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
        <w:spacing w:line="360" w:lineRule="auto"/>
        <w:ind w:firstLine="883"/>
        <w:jc w:val="center"/>
        <w:rPr>
          <w:rFonts w:hint="eastAsia" w:ascii="Times New Roman" w:hAnsi="Times New Roman" w:cs="Times New Roman"/>
          <w:b/>
          <w:bCs/>
          <w:color w:val="0000FF"/>
          <w:sz w:val="44"/>
          <w:szCs w:val="52"/>
          <w:lang w:val="en-US" w:eastAsia="zh-CN"/>
        </w:rPr>
      </w:pPr>
    </w:p>
    <w:p>
      <w:pPr>
        <w:pStyle w:val="11"/>
        <w:spacing w:line="360" w:lineRule="auto"/>
        <w:ind w:firstLine="883"/>
        <w:jc w:val="center"/>
        <w:rPr>
          <w:rFonts w:hint="eastAsia" w:ascii="Times New Roman" w:hAnsi="Times New Roman" w:cs="Times New Roman"/>
          <w:b/>
          <w:bCs/>
          <w:color w:val="0000FF"/>
          <w:sz w:val="44"/>
          <w:szCs w:val="52"/>
          <w:lang w:val="en-US" w:eastAsia="zh-CN"/>
        </w:rPr>
      </w:pPr>
    </w:p>
    <w:p>
      <w:pPr>
        <w:pStyle w:val="11"/>
        <w:spacing w:line="360" w:lineRule="auto"/>
        <w:ind w:firstLine="883"/>
        <w:jc w:val="center"/>
        <w:rPr>
          <w:rFonts w:hint="eastAsia" w:ascii="Times New Roman" w:hAnsi="Times New Roman" w:cs="Times New Roman"/>
          <w:b/>
          <w:bCs/>
          <w:color w:val="0000FF"/>
          <w:sz w:val="44"/>
          <w:szCs w:val="52"/>
          <w:lang w:val="en-US" w:eastAsia="zh-CN"/>
        </w:rPr>
      </w:pPr>
    </w:p>
    <w:p>
      <w:pPr>
        <w:pStyle w:val="11"/>
        <w:spacing w:line="360" w:lineRule="auto"/>
        <w:ind w:firstLine="883"/>
        <w:jc w:val="center"/>
        <w:rPr>
          <w:rFonts w:ascii="Times New Roman" w:hAnsi="Times New Roman" w:cs="Times New Roman"/>
          <w:b/>
          <w:bCs/>
          <w:color w:val="auto"/>
          <w:sz w:val="44"/>
          <w:szCs w:val="52"/>
        </w:rPr>
      </w:pPr>
      <w:r>
        <w:rPr>
          <w:rFonts w:hint="eastAsia" w:ascii="Times New Roman" w:hAnsi="Times New Roman" w:cs="Times New Roman"/>
          <w:b/>
          <w:bCs/>
          <w:color w:val="auto"/>
          <w:sz w:val="44"/>
          <w:szCs w:val="52"/>
          <w:lang w:val="en-US" w:eastAsia="zh-CN"/>
        </w:rPr>
        <w:t>潮水医院新建院区</w:t>
      </w:r>
      <w:r>
        <w:rPr>
          <w:rFonts w:ascii="Times New Roman" w:hAnsi="Times New Roman" w:cs="Times New Roman"/>
          <w:b/>
          <w:bCs/>
          <w:color w:val="auto"/>
          <w:sz w:val="44"/>
          <w:szCs w:val="52"/>
        </w:rPr>
        <w:t>地块</w:t>
      </w:r>
    </w:p>
    <w:p>
      <w:pPr>
        <w:pStyle w:val="11"/>
        <w:spacing w:line="360" w:lineRule="auto"/>
        <w:ind w:firstLine="883"/>
        <w:jc w:val="center"/>
        <w:rPr>
          <w:rFonts w:ascii="Times New Roman" w:hAnsi="Times New Roman" w:cs="Times New Roman"/>
          <w:b/>
          <w:bCs/>
          <w:color w:val="auto"/>
          <w:sz w:val="44"/>
          <w:szCs w:val="52"/>
        </w:rPr>
      </w:pPr>
      <w:r>
        <w:rPr>
          <w:rFonts w:ascii="Times New Roman" w:hAnsi="Times New Roman" w:cs="Times New Roman"/>
          <w:b/>
          <w:bCs/>
          <w:color w:val="auto"/>
          <w:sz w:val="44"/>
          <w:szCs w:val="52"/>
        </w:rPr>
        <w:t>土壤污染状况调查报告</w:t>
      </w:r>
    </w:p>
    <w:p>
      <w:pPr>
        <w:pStyle w:val="11"/>
        <w:rPr>
          <w:rFonts w:ascii="Times New Roman" w:hAnsi="Times New Roman" w:cs="Times New Roman"/>
          <w:color w:val="auto"/>
        </w:rPr>
      </w:pPr>
    </w:p>
    <w:p>
      <w:pPr>
        <w:pStyle w:val="11"/>
        <w:rPr>
          <w:rFonts w:ascii="Times New Roman" w:hAnsi="Times New Roman" w:cs="Times New Roman"/>
          <w:color w:val="0000FF"/>
        </w:rPr>
      </w:pPr>
    </w:p>
    <w:p>
      <w:pPr>
        <w:pStyle w:val="11"/>
        <w:rPr>
          <w:rFonts w:ascii="Times New Roman" w:hAnsi="Times New Roman" w:cs="Times New Roman"/>
          <w:color w:val="0000FF"/>
        </w:rPr>
      </w:pPr>
    </w:p>
    <w:p>
      <w:pPr>
        <w:pStyle w:val="11"/>
        <w:ind w:firstLine="2880"/>
        <w:rPr>
          <w:rFonts w:ascii="Times New Roman" w:hAnsi="Times New Roman" w:cs="Times New Roman"/>
          <w:color w:val="0000FF"/>
          <w:sz w:val="144"/>
          <w:szCs w:val="180"/>
        </w:rPr>
      </w:pPr>
    </w:p>
    <w:p>
      <w:pPr>
        <w:pStyle w:val="11"/>
        <w:ind w:firstLine="2880"/>
        <w:rPr>
          <w:rFonts w:ascii="Times New Roman" w:hAnsi="Times New Roman" w:cs="Times New Roman"/>
          <w:color w:val="0000FF"/>
          <w:sz w:val="144"/>
          <w:szCs w:val="180"/>
        </w:rPr>
      </w:pPr>
    </w:p>
    <w:p>
      <w:pPr>
        <w:pStyle w:val="11"/>
        <w:ind w:firstLine="0" w:firstLineChars="0"/>
        <w:rPr>
          <w:rFonts w:ascii="Times New Roman" w:hAnsi="Times New Roman" w:cs="Times New Roman"/>
          <w:color w:val="0000FF"/>
        </w:rPr>
      </w:pPr>
    </w:p>
    <w:p>
      <w:pPr>
        <w:pStyle w:val="11"/>
        <w:ind w:left="0" w:leftChars="0" w:firstLine="321" w:firstLineChars="100"/>
        <w:rPr>
          <w:rFonts w:hint="eastAsia" w:ascii="Times New Roman" w:hAnsi="Times New Roman" w:cs="Times New Roman"/>
          <w:b/>
          <w:bCs/>
          <w:color w:val="auto"/>
          <w:sz w:val="32"/>
          <w:szCs w:val="40"/>
          <w:lang w:val="en-US" w:eastAsia="zh-CN"/>
        </w:rPr>
      </w:pPr>
      <w:r>
        <w:rPr>
          <w:rFonts w:ascii="Times New Roman" w:hAnsi="Times New Roman" w:cs="Times New Roman"/>
          <w:b/>
          <w:bCs/>
          <w:color w:val="auto"/>
          <w:sz w:val="32"/>
          <w:szCs w:val="40"/>
        </w:rPr>
        <w:t>委托单位：</w:t>
      </w:r>
      <w:r>
        <w:rPr>
          <w:rFonts w:hint="eastAsia" w:ascii="Times New Roman" w:hAnsi="Times New Roman" w:cs="Times New Roman"/>
          <w:b/>
          <w:bCs/>
          <w:color w:val="auto"/>
          <w:sz w:val="32"/>
          <w:szCs w:val="40"/>
          <w:lang w:val="en-US" w:eastAsia="zh-CN"/>
        </w:rPr>
        <w:t>烟台经济技术开发区潮水中心卫生院</w:t>
      </w:r>
    </w:p>
    <w:p>
      <w:pPr>
        <w:pStyle w:val="11"/>
        <w:ind w:left="0" w:leftChars="0" w:firstLine="321" w:firstLineChars="100"/>
        <w:rPr>
          <w:rFonts w:hint="eastAsia" w:ascii="Times New Roman" w:hAnsi="Times New Roman" w:cs="Times New Roman"/>
          <w:b/>
          <w:bCs/>
          <w:color w:val="auto"/>
          <w:sz w:val="32"/>
          <w:szCs w:val="40"/>
          <w:lang w:val="en-US" w:eastAsia="zh-CN"/>
        </w:rPr>
      </w:pPr>
    </w:p>
    <w:p>
      <w:pPr>
        <w:pStyle w:val="11"/>
        <w:ind w:left="0" w:leftChars="0" w:firstLine="321" w:firstLineChars="100"/>
        <w:rPr>
          <w:rFonts w:hint="default" w:ascii="Times New Roman" w:hAnsi="Times New Roman" w:cs="Times New Roman" w:eastAsiaTheme="minorEastAsia"/>
          <w:b/>
          <w:bCs/>
          <w:color w:val="auto"/>
          <w:sz w:val="32"/>
          <w:szCs w:val="40"/>
          <w:lang w:val="en-US" w:eastAsia="zh-CN"/>
        </w:rPr>
      </w:pPr>
      <w:r>
        <w:rPr>
          <w:rFonts w:ascii="Times New Roman" w:hAnsi="Times New Roman" w:cs="Times New Roman"/>
          <w:b/>
          <w:bCs/>
          <w:color w:val="auto"/>
          <w:sz w:val="32"/>
          <w:szCs w:val="40"/>
        </w:rPr>
        <w:t>编制单位：</w:t>
      </w:r>
      <w:r>
        <w:rPr>
          <w:rFonts w:hint="eastAsia" w:ascii="Times New Roman" w:hAnsi="Times New Roman" w:cs="Times New Roman"/>
          <w:b/>
          <w:bCs/>
          <w:color w:val="auto"/>
          <w:sz w:val="32"/>
          <w:szCs w:val="40"/>
          <w:lang w:val="en-US" w:eastAsia="zh-CN"/>
        </w:rPr>
        <w:t>烟台拉楷管理咨询有限公司</w:t>
      </w:r>
    </w:p>
    <w:p>
      <w:pPr>
        <w:pStyle w:val="11"/>
        <w:ind w:firstLine="640"/>
        <w:rPr>
          <w:rFonts w:ascii="Times New Roman" w:hAnsi="Times New Roman" w:cs="Times New Roman"/>
          <w:color w:val="auto"/>
          <w:sz w:val="32"/>
          <w:szCs w:val="40"/>
        </w:rPr>
      </w:pPr>
    </w:p>
    <w:p>
      <w:pPr>
        <w:pStyle w:val="11"/>
        <w:ind w:firstLine="640"/>
        <w:rPr>
          <w:rFonts w:ascii="Times New Roman" w:hAnsi="Times New Roman" w:cs="Times New Roman"/>
          <w:color w:val="auto"/>
          <w:sz w:val="32"/>
          <w:szCs w:val="40"/>
        </w:rPr>
      </w:pPr>
    </w:p>
    <w:p>
      <w:pPr>
        <w:pStyle w:val="11"/>
        <w:ind w:firstLine="640"/>
        <w:jc w:val="center"/>
        <w:rPr>
          <w:rFonts w:ascii="Times New Roman" w:hAnsi="Times New Roman" w:cs="Times New Roman"/>
          <w:color w:val="auto"/>
          <w:sz w:val="32"/>
          <w:szCs w:val="40"/>
        </w:rPr>
      </w:pPr>
      <w:r>
        <w:rPr>
          <w:rFonts w:ascii="Times New Roman" w:hAnsi="Times New Roman" w:cs="Times New Roman"/>
          <w:color w:val="auto"/>
          <w:sz w:val="32"/>
          <w:szCs w:val="40"/>
        </w:rPr>
        <w:t>二〇二</w:t>
      </w:r>
      <w:r>
        <w:rPr>
          <w:rFonts w:hint="eastAsia" w:ascii="Times New Roman" w:hAnsi="Times New Roman" w:cs="Times New Roman"/>
          <w:color w:val="auto"/>
          <w:sz w:val="32"/>
          <w:szCs w:val="40"/>
          <w:lang w:val="en-US" w:eastAsia="zh-CN"/>
        </w:rPr>
        <w:t>二</w:t>
      </w:r>
      <w:r>
        <w:rPr>
          <w:rFonts w:ascii="Times New Roman" w:hAnsi="Times New Roman" w:cs="Times New Roman"/>
          <w:color w:val="auto"/>
          <w:sz w:val="32"/>
          <w:szCs w:val="40"/>
        </w:rPr>
        <w:t>年</w:t>
      </w:r>
      <w:r>
        <w:rPr>
          <w:rFonts w:hint="eastAsia" w:ascii="Times New Roman" w:hAnsi="Times New Roman" w:cs="Times New Roman"/>
          <w:color w:val="auto"/>
          <w:sz w:val="32"/>
          <w:szCs w:val="40"/>
          <w:lang w:val="en-US" w:eastAsia="zh-CN"/>
        </w:rPr>
        <w:t>六</w:t>
      </w:r>
      <w:r>
        <w:rPr>
          <w:rFonts w:ascii="Times New Roman" w:hAnsi="Times New Roman" w:cs="Times New Roman"/>
          <w:color w:val="auto"/>
          <w:sz w:val="32"/>
          <w:szCs w:val="40"/>
        </w:rPr>
        <w:t>月</w:t>
      </w:r>
    </w:p>
    <w:p>
      <w:pPr>
        <w:jc w:val="both"/>
        <w:rPr>
          <w:rFonts w:hint="eastAsia" w:eastAsiaTheme="minorEastAsia"/>
          <w:color w:val="0000FF"/>
          <w:lang w:eastAsia="zh-CN"/>
        </w:rPr>
      </w:pPr>
    </w:p>
    <w:p>
      <w:pPr>
        <w:pStyle w:val="11"/>
        <w:rPr>
          <w:color w:val="0000FF"/>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sdt>
      <w:sdtPr>
        <w:rPr>
          <w:rFonts w:ascii="宋体" w:hAnsi="宋体" w:eastAsia="宋体" w:cstheme="minorBidi"/>
          <w:color w:val="0000FF"/>
          <w:kern w:val="2"/>
          <w:sz w:val="21"/>
          <w:szCs w:val="24"/>
          <w:lang w:val="en-US" w:eastAsia="zh-CN" w:bidi="ar-SA"/>
        </w:rPr>
        <w:id w:val="147460098"/>
        <w15:color w:val="DBDBDB"/>
        <w:docPartObj>
          <w:docPartGallery w:val="Table of Contents"/>
          <w:docPartUnique/>
        </w:docPartObj>
      </w:sdtPr>
      <w:sdtEndPr>
        <w:rPr>
          <w:rFonts w:hint="default" w:ascii="Times New Roman" w:hAnsi="Times New Roman" w:eastAsia="宋体" w:cs="Times New Roman"/>
          <w:b/>
          <w:color w:val="0000FF"/>
          <w:kern w:val="2"/>
          <w:sz w:val="24"/>
          <w:szCs w:val="24"/>
          <w:lang w:val="en-US" w:eastAsia="zh-CN" w:bidi="ar-SA"/>
        </w:rPr>
      </w:sdtEndPr>
      <w:sdtContent>
        <w:p>
          <w:pPr>
            <w:spacing w:before="0" w:beforeLines="0" w:after="0" w:afterLines="0" w:line="240" w:lineRule="auto"/>
            <w:ind w:left="0" w:leftChars="0" w:right="0" w:rightChars="0" w:firstLine="0" w:firstLineChars="0"/>
            <w:jc w:val="center"/>
            <w:rPr>
              <w:b/>
              <w:bCs/>
              <w:color w:val="auto"/>
              <w:sz w:val="28"/>
              <w:szCs w:val="36"/>
            </w:rPr>
          </w:pPr>
          <w:r>
            <w:rPr>
              <w:rFonts w:ascii="宋体" w:hAnsi="宋体" w:eastAsia="宋体"/>
              <w:b/>
              <w:bCs/>
              <w:color w:val="auto"/>
              <w:sz w:val="28"/>
              <w:szCs w:val="36"/>
            </w:rPr>
            <w:t>目录</w:t>
          </w:r>
        </w:p>
        <w:p>
          <w:pPr>
            <w:pStyle w:val="5"/>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color w:val="0000FF"/>
              <w:sz w:val="24"/>
              <w:szCs w:val="24"/>
            </w:rPr>
            <w:instrText xml:space="preserve">TOC \o "1-2" \h \u </w:instrText>
          </w:r>
          <w:r>
            <w:rPr>
              <w:rFonts w:hint="default" w:ascii="Times New Roman" w:hAnsi="Times New Roman" w:eastAsia="宋体" w:cs="Times New Roman"/>
              <w:color w:val="0000FF"/>
              <w:sz w:val="24"/>
              <w:szCs w:val="24"/>
            </w:rPr>
            <w:fldChar w:fldCharType="separate"/>
          </w: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_Toc1380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kern w:val="0"/>
              <w:sz w:val="24"/>
              <w:szCs w:val="24"/>
              <w:lang w:val="en-US" w:eastAsia="zh-CN"/>
            </w:rPr>
            <w:t>1 前言</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_Toc1380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1</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5"/>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_Toc31282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kern w:val="0"/>
              <w:sz w:val="24"/>
              <w:szCs w:val="24"/>
              <w:lang w:val="en-US" w:eastAsia="zh-CN"/>
            </w:rPr>
            <w:t>2 概述</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_Toc31282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2</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6"/>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_Toc25058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kern w:val="0"/>
              <w:sz w:val="24"/>
              <w:szCs w:val="24"/>
              <w:lang w:val="en-US" w:eastAsia="zh-CN"/>
            </w:rPr>
            <w:t>2.1 项目背景</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_Toc25058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2</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6"/>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_Toc16503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kern w:val="0"/>
              <w:sz w:val="24"/>
              <w:szCs w:val="24"/>
              <w:lang w:val="en-US" w:eastAsia="zh-CN"/>
            </w:rPr>
            <w:t>2.2 调查目的与原则</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_Toc16503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2</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6"/>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_Toc27642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kern w:val="0"/>
              <w:sz w:val="24"/>
              <w:szCs w:val="24"/>
              <w:lang w:val="en-US" w:eastAsia="zh-CN"/>
            </w:rPr>
            <w:t>2.3 调查依据</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_Toc27642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3</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6"/>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_Toc15128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kern w:val="0"/>
              <w:sz w:val="24"/>
              <w:szCs w:val="24"/>
              <w:lang w:val="en-US" w:eastAsia="zh-CN"/>
            </w:rPr>
            <w:t>2.4 技术路线及工作程序</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_Toc15128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4</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6"/>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_Toc8827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kern w:val="0"/>
              <w:sz w:val="24"/>
              <w:szCs w:val="24"/>
              <w:lang w:val="en-US" w:eastAsia="zh-CN"/>
            </w:rPr>
            <w:t>2.5 调查范围段</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_Toc8827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6</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5"/>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_Toc20750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kern w:val="0"/>
              <w:sz w:val="24"/>
              <w:szCs w:val="24"/>
              <w:lang w:val="en-US" w:eastAsia="zh-CN"/>
            </w:rPr>
            <w:t>3 地块概况</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_Toc20750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10</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6"/>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_Toc11857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kern w:val="0"/>
              <w:sz w:val="24"/>
              <w:szCs w:val="24"/>
              <w:lang w:val="en-US" w:eastAsia="zh-CN"/>
            </w:rPr>
            <w:t>3.1 地块地理位置</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_Toc11857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10</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6"/>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_Toc22020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kern w:val="0"/>
              <w:sz w:val="24"/>
              <w:szCs w:val="24"/>
              <w:lang w:val="en-US" w:eastAsia="zh-CN"/>
            </w:rPr>
            <w:t>3.2 区域经济社会概况</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_Toc22020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13</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6"/>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_Toc28965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kern w:val="0"/>
              <w:sz w:val="24"/>
              <w:szCs w:val="24"/>
              <w:lang w:val="en-US" w:eastAsia="zh-CN"/>
            </w:rPr>
            <w:t>3.3 调查区域自然环境概况</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_Toc28965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13</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6"/>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_Toc14084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kern w:val="0"/>
              <w:sz w:val="24"/>
              <w:szCs w:val="24"/>
              <w:lang w:val="en-US" w:eastAsia="zh-CN"/>
            </w:rPr>
            <w:t>3.4敏感目标</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_Toc14084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35</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6"/>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_Toc30168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kern w:val="0"/>
              <w:sz w:val="24"/>
              <w:szCs w:val="24"/>
              <w:lang w:val="en-US" w:eastAsia="zh-CN"/>
            </w:rPr>
            <w:t>3.5 地块的现状和历史</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_Toc30168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37</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6"/>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_Toc17785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kern w:val="0"/>
              <w:sz w:val="24"/>
              <w:szCs w:val="24"/>
              <w:lang w:val="en-US" w:eastAsia="zh-CN"/>
            </w:rPr>
            <w:t>3.6 相邻地块现状和历史</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_Toc17785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44</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6"/>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_Toc14826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kern w:val="0"/>
              <w:sz w:val="24"/>
              <w:szCs w:val="24"/>
              <w:lang w:val="en-US" w:eastAsia="zh-CN"/>
            </w:rPr>
            <w:t>3.7 地块利用的规划</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_Toc14826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53</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5"/>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_Toc23431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kern w:val="0"/>
              <w:sz w:val="24"/>
              <w:szCs w:val="24"/>
              <w:lang w:val="en-US" w:eastAsia="zh-CN"/>
            </w:rPr>
            <w:t>4 资料分析</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_Toc23431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55</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6"/>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_Toc16146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kern w:val="0"/>
              <w:sz w:val="24"/>
              <w:szCs w:val="24"/>
              <w:lang w:val="en-US" w:eastAsia="zh-CN"/>
            </w:rPr>
            <w:t>4.1政府和权威机构资料收集和分析</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_Toc16146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55</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6"/>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_Toc11195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kern w:val="0"/>
              <w:sz w:val="24"/>
              <w:szCs w:val="24"/>
              <w:lang w:val="en-US" w:eastAsia="zh-CN"/>
            </w:rPr>
            <w:t>4.2地块资料收集和分析</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_Toc11195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55</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6"/>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_Toc3725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kern w:val="0"/>
              <w:sz w:val="24"/>
              <w:szCs w:val="24"/>
              <w:lang w:val="en-US" w:eastAsia="zh-CN"/>
            </w:rPr>
            <w:t>4.3其他</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_Toc3725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56</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5"/>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_Toc24484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kern w:val="0"/>
              <w:sz w:val="24"/>
              <w:szCs w:val="24"/>
              <w:lang w:val="en-US" w:eastAsia="zh-CN"/>
            </w:rPr>
            <w:t>5 现场踏勘和人员访谈</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_Toc24484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59</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6"/>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_Toc25581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kern w:val="0"/>
              <w:sz w:val="24"/>
              <w:szCs w:val="24"/>
              <w:lang w:val="en-US" w:eastAsia="zh-CN"/>
            </w:rPr>
            <w:t>5.1 现场踏勘</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_Toc25581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59</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6"/>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_Toc983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kern w:val="0"/>
              <w:sz w:val="24"/>
              <w:szCs w:val="24"/>
              <w:lang w:val="en-US" w:eastAsia="zh-CN"/>
            </w:rPr>
            <w:t>5.2 人员访谈</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_Toc983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61</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6"/>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_Toc9080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kern w:val="0"/>
              <w:sz w:val="24"/>
              <w:szCs w:val="24"/>
              <w:lang w:val="en-US" w:eastAsia="zh-CN"/>
            </w:rPr>
            <w:t>5.3有毒有害物质的储存、使用情况分析</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_Toc9080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63</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6"/>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_Toc30056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kern w:val="0"/>
              <w:sz w:val="24"/>
              <w:szCs w:val="24"/>
              <w:lang w:val="en-US" w:eastAsia="zh-CN"/>
            </w:rPr>
            <w:t>5.4各类槽罐内的物质和泄露评价</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_Toc30056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64</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6"/>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_Toc8272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kern w:val="0"/>
              <w:sz w:val="24"/>
              <w:szCs w:val="24"/>
              <w:lang w:val="en-US" w:eastAsia="zh-CN"/>
            </w:rPr>
            <w:t>5.5固体废物和危险废物的处理评价</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_Toc8272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64</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6"/>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_Toc25571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kern w:val="0"/>
              <w:sz w:val="24"/>
              <w:szCs w:val="24"/>
              <w:lang w:val="en-US" w:eastAsia="zh-CN"/>
            </w:rPr>
            <w:t>5.6管线、沟渠泄露评价</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_Toc25571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64</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6"/>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_Toc6390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kern w:val="0"/>
              <w:sz w:val="24"/>
              <w:szCs w:val="24"/>
              <w:lang w:val="en-US" w:eastAsia="zh-CN"/>
            </w:rPr>
            <w:t>5.7与污染物迁移相关的环境因素分析</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_Toc6390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64</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5"/>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_Toc21573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kern w:val="0"/>
              <w:sz w:val="24"/>
              <w:szCs w:val="24"/>
              <w:lang w:val="en-US" w:eastAsia="zh-CN"/>
            </w:rPr>
            <w:t>6 结果和分析</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_Toc21573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70</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6"/>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_Toc17651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lang w:val="en-US" w:eastAsia="zh-CN"/>
            </w:rPr>
            <w:t>6.1 资料收集、现场踏勘、人员访谈的一致性分析</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_Toc17651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70</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6"/>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_Toc13447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napToGrid/>
              <w:kern w:val="2"/>
              <w:sz w:val="24"/>
              <w:szCs w:val="24"/>
              <w:lang w:val="en-US" w:eastAsia="zh-CN" w:bidi="ar-SA"/>
            </w:rPr>
            <w:t>6.2 资料收集、现场踏勘、人员访谈的差异性分析</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_Toc13447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70</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6"/>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_Toc25762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napToGrid/>
              <w:kern w:val="2"/>
              <w:sz w:val="24"/>
              <w:szCs w:val="24"/>
              <w:lang w:val="en-US" w:eastAsia="zh-CN" w:bidi="ar-SA"/>
            </w:rPr>
            <w:t>6.3 污染识别</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_Toc25762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70</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6"/>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_Toc19640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napToGrid/>
              <w:kern w:val="2"/>
              <w:sz w:val="24"/>
              <w:szCs w:val="24"/>
              <w:lang w:val="en-US" w:eastAsia="zh-CN" w:bidi="ar-SA"/>
            </w:rPr>
            <w:t>6.4土壤快速检测情况</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_Toc19640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71</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6"/>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_Toc3187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napToGrid/>
              <w:kern w:val="2"/>
              <w:sz w:val="24"/>
              <w:szCs w:val="24"/>
              <w:lang w:val="en-US" w:eastAsia="zh-CN"/>
            </w:rPr>
            <w:t>6</w:t>
          </w:r>
          <w:r>
            <w:rPr>
              <w:rFonts w:hint="default" w:ascii="Times New Roman" w:hAnsi="Times New Roman" w:eastAsia="宋体" w:cs="Times New Roman"/>
              <w:bCs/>
              <w:snapToGrid/>
              <w:kern w:val="2"/>
              <w:sz w:val="24"/>
              <w:szCs w:val="24"/>
            </w:rPr>
            <w:t>.5不确定性分析</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_Toc3187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76</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5"/>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_Toc445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kern w:val="0"/>
              <w:sz w:val="24"/>
              <w:szCs w:val="24"/>
              <w:lang w:val="en-US" w:eastAsia="zh-CN"/>
            </w:rPr>
            <w:t>7 结论和建议</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_Toc445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77</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6"/>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_Toc28448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lang w:val="en-US" w:eastAsia="zh-CN"/>
            </w:rPr>
            <w:t>7.1 调查地块概况</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_Toc28448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77</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6"/>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_Toc16169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lang w:val="en-US" w:eastAsia="zh-CN"/>
            </w:rPr>
            <w:t>7.2结论</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_Toc16169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77</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6"/>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_Toc18086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lang w:val="en-US" w:eastAsia="zh-CN"/>
            </w:rPr>
            <w:t>7.3建议</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_Toc18086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77</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5"/>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_Toc18644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lang w:val="en-US" w:eastAsia="zh-CN"/>
            </w:rPr>
            <w:t>附件1委托书</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_Toc18644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79</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5"/>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_Toc14858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lang w:val="en-US" w:eastAsia="zh-CN"/>
            </w:rPr>
            <w:t>附件2现场工作照片</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_Toc14858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80</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5"/>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_Toc31251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lang w:val="en-US" w:eastAsia="zh-CN"/>
            </w:rPr>
            <w:t>附件3现场勘察记录表</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_Toc31251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87</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5"/>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_Toc20012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lang w:val="en-US" w:eastAsia="zh-CN"/>
            </w:rPr>
            <w:t>附件4 人员访谈记录</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_Toc20012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90</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5"/>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_Toc26555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lang w:val="en-US" w:eastAsia="zh-CN"/>
            </w:rPr>
            <w:t>附件5关于烟台市蓬莱区2022年第2批次建设用地的批复</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_Toc26555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102</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5"/>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_Toc8749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lang w:val="en-US" w:eastAsia="zh-CN"/>
            </w:rPr>
            <w:t>附件6快筛校准记录</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_Toc8749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103</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5"/>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_Toc17252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lang w:val="en-US" w:eastAsia="zh-CN"/>
            </w:rPr>
            <w:t>附件7现场快筛记录</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_Toc17252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104</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5"/>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_Toc31814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lang w:val="en-US" w:eastAsia="zh-CN"/>
            </w:rPr>
            <w:t>附件8周边企业环评信息</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_Toc31814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105</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pStyle w:val="5"/>
            <w:tabs>
              <w:tab w:val="right" w:leader="dot" w:pos="8306"/>
            </w:tabs>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FF"/>
              <w:sz w:val="24"/>
              <w:szCs w:val="24"/>
            </w:rPr>
            <w:fldChar w:fldCharType="begin"/>
          </w:r>
          <w:r>
            <w:rPr>
              <w:rFonts w:hint="default" w:ascii="Times New Roman" w:hAnsi="Times New Roman" w:eastAsia="宋体" w:cs="Times New Roman"/>
              <w:sz w:val="24"/>
              <w:szCs w:val="24"/>
            </w:rPr>
            <w:instrText xml:space="preserve"> HYPERLINK \l _Toc4476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lang w:val="en-US" w:eastAsia="zh-CN"/>
            </w:rPr>
            <w:t>附件9水文地质勘查报告</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_Toc4476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155</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olor w:val="0000FF"/>
              <w:sz w:val="24"/>
              <w:szCs w:val="24"/>
            </w:rPr>
            <w:fldChar w:fldCharType="end"/>
          </w:r>
        </w:p>
        <w:p>
          <w:pPr>
            <w:spacing w:line="360" w:lineRule="auto"/>
            <w:rPr>
              <w:rFonts w:hint="default" w:ascii="Times New Roman" w:hAnsi="Times New Roman" w:eastAsia="宋体" w:cs="Times New Roman"/>
              <w:color w:val="0000FF"/>
              <w:sz w:val="24"/>
              <w:szCs w:val="24"/>
            </w:rPr>
          </w:pPr>
          <w:r>
            <w:rPr>
              <w:rFonts w:hint="default" w:ascii="Times New Roman" w:hAnsi="Times New Roman" w:eastAsia="宋体" w:cs="Times New Roman"/>
              <w:color w:val="0000FF"/>
              <w:sz w:val="24"/>
              <w:szCs w:val="24"/>
            </w:rPr>
            <w:fldChar w:fldCharType="end"/>
          </w:r>
        </w:p>
      </w:sdtContent>
    </w:sdt>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default" w:ascii="Times New Roman" w:hAnsi="Times New Roman" w:eastAsia="宋体" w:cs="Times New Roman"/>
          <w:b/>
          <w:bCs/>
          <w:color w:val="0000FF"/>
          <w:kern w:val="0"/>
          <w:sz w:val="24"/>
          <w:szCs w:val="24"/>
          <w:lang w:val="en-US" w:eastAsia="zh-CN"/>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jc w:val="center"/>
        <w:textAlignment w:val="auto"/>
        <w:outlineLvl w:val="0"/>
        <w:rPr>
          <w:rFonts w:hint="default" w:ascii="Times New Roman" w:hAnsi="Times New Roman" w:cs="Times New Roman" w:eastAsiaTheme="majorEastAsia"/>
          <w:b/>
          <w:bCs/>
          <w:color w:val="auto"/>
          <w:kern w:val="0"/>
          <w:sz w:val="36"/>
          <w:szCs w:val="36"/>
          <w:lang w:val="en-US" w:eastAsia="zh-CN"/>
        </w:rPr>
      </w:pPr>
      <w:bookmarkStart w:id="0" w:name="_Toc1380"/>
      <w:r>
        <w:rPr>
          <w:rFonts w:hint="eastAsia" w:ascii="Times New Roman" w:hAnsi="Times New Roman" w:cs="Times New Roman" w:eastAsiaTheme="majorEastAsia"/>
          <w:b/>
          <w:bCs/>
          <w:color w:val="auto"/>
          <w:kern w:val="0"/>
          <w:sz w:val="36"/>
          <w:szCs w:val="36"/>
          <w:lang w:val="en-US" w:eastAsia="zh-CN"/>
        </w:rPr>
        <w:t>1 前言</w:t>
      </w:r>
      <w:bookmarkEnd w:id="0"/>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b w:val="0"/>
          <w:bCs w:val="0"/>
          <w:color w:val="auto"/>
          <w:sz w:val="24"/>
          <w:szCs w:val="32"/>
          <w:lang w:val="en-US" w:eastAsia="zh-CN"/>
        </w:rPr>
      </w:pPr>
      <w:r>
        <w:rPr>
          <w:rFonts w:hint="eastAsia" w:ascii="Times New Roman" w:hAnsi="Times New Roman" w:cs="Times New Roman"/>
          <w:b w:val="0"/>
          <w:bCs w:val="0"/>
          <w:color w:val="auto"/>
          <w:sz w:val="24"/>
          <w:szCs w:val="32"/>
          <w:lang w:val="en-US" w:eastAsia="zh-CN"/>
        </w:rPr>
        <w:t>潮水医院新建院区地块（以下简称“地块”）位于</w:t>
      </w:r>
      <w:r>
        <w:rPr>
          <w:rFonts w:hint="default" w:ascii="Times New Roman" w:hAnsi="Times New Roman" w:cs="Times New Roman" w:eastAsiaTheme="majorEastAsia"/>
          <w:b w:val="0"/>
          <w:bCs w:val="0"/>
          <w:color w:val="auto"/>
          <w:kern w:val="0"/>
          <w:sz w:val="24"/>
          <w:szCs w:val="24"/>
          <w:lang w:val="en-US" w:eastAsia="zh-CN"/>
        </w:rPr>
        <w:t>烟台</w:t>
      </w:r>
      <w:r>
        <w:rPr>
          <w:rFonts w:hint="eastAsia" w:ascii="Times New Roman" w:hAnsi="Times New Roman" w:cs="Times New Roman" w:eastAsiaTheme="majorEastAsia"/>
          <w:b w:val="0"/>
          <w:bCs w:val="0"/>
          <w:color w:val="auto"/>
          <w:kern w:val="0"/>
          <w:sz w:val="24"/>
          <w:szCs w:val="24"/>
          <w:lang w:val="en-US" w:eastAsia="zh-CN"/>
        </w:rPr>
        <w:t>经济技术开发区金柳路以西、规划路</w:t>
      </w:r>
      <w:r>
        <w:rPr>
          <w:rFonts w:hint="eastAsia" w:ascii="Times New Roman" w:hAnsi="Times New Roman" w:cs="Times New Roman"/>
          <w:b w:val="0"/>
          <w:bCs w:val="0"/>
          <w:color w:val="auto"/>
          <w:sz w:val="24"/>
          <w:szCs w:val="32"/>
          <w:lang w:val="en-US" w:eastAsia="zh-CN"/>
        </w:rPr>
        <w:t>以东、</w:t>
      </w:r>
      <w:r>
        <w:rPr>
          <w:rFonts w:hint="eastAsia" w:ascii="Times New Roman" w:hAnsi="Times New Roman" w:cs="Times New Roman" w:eastAsiaTheme="majorEastAsia"/>
          <w:b w:val="0"/>
          <w:bCs w:val="0"/>
          <w:color w:val="auto"/>
          <w:kern w:val="0"/>
          <w:sz w:val="24"/>
          <w:szCs w:val="24"/>
          <w:lang w:val="en-US" w:eastAsia="zh-CN"/>
        </w:rPr>
        <w:t>规划路</w:t>
      </w:r>
      <w:r>
        <w:rPr>
          <w:rFonts w:hint="eastAsia" w:ascii="Times New Roman" w:hAnsi="Times New Roman" w:cs="Times New Roman"/>
          <w:b w:val="0"/>
          <w:bCs w:val="0"/>
          <w:color w:val="auto"/>
          <w:sz w:val="24"/>
          <w:szCs w:val="32"/>
          <w:lang w:val="en-US" w:eastAsia="zh-CN"/>
        </w:rPr>
        <w:t>以南、</w:t>
      </w:r>
      <w:r>
        <w:rPr>
          <w:rFonts w:hint="eastAsia" w:ascii="Times New Roman" w:hAnsi="Times New Roman" w:cs="Times New Roman" w:eastAsiaTheme="majorEastAsia"/>
          <w:b w:val="0"/>
          <w:bCs w:val="0"/>
          <w:color w:val="auto"/>
          <w:kern w:val="0"/>
          <w:sz w:val="24"/>
          <w:szCs w:val="24"/>
          <w:lang w:val="en-US" w:eastAsia="zh-CN"/>
        </w:rPr>
        <w:t>规划路</w:t>
      </w:r>
      <w:r>
        <w:rPr>
          <w:rFonts w:hint="eastAsia" w:ascii="Times New Roman" w:hAnsi="Times New Roman" w:cs="Times New Roman"/>
          <w:b w:val="0"/>
          <w:bCs w:val="0"/>
          <w:color w:val="auto"/>
          <w:sz w:val="24"/>
          <w:szCs w:val="32"/>
          <w:lang w:val="en-US" w:eastAsia="zh-CN"/>
        </w:rPr>
        <w:t>以北。调查面积25795.7平方米。</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color w:val="auto"/>
          <w:sz w:val="24"/>
          <w:szCs w:val="32"/>
          <w:highlight w:val="none"/>
          <w:lang w:val="en-US" w:eastAsia="zh-CN"/>
        </w:rPr>
      </w:pPr>
      <w:r>
        <w:rPr>
          <w:rFonts w:hint="eastAsia" w:ascii="Times New Roman" w:hAnsi="Times New Roman" w:cs="Times New Roman"/>
          <w:b w:val="0"/>
          <w:bCs w:val="0"/>
          <w:color w:val="auto"/>
          <w:sz w:val="24"/>
          <w:szCs w:val="32"/>
          <w:lang w:val="en-US" w:eastAsia="zh-CN"/>
        </w:rPr>
        <w:t>该地块原为农用地和建设用地，2022年4月14日山东省人民政府以鲁政土字F【2022】10号文，同意将该地块转变为建设用地并征收，该地块拟建设潮水医院，根据</w:t>
      </w:r>
      <w:r>
        <w:rPr>
          <w:rFonts w:hint="eastAsia" w:ascii="Times New Roman" w:hAnsi="Times New Roman" w:cs="Times New Roman"/>
          <w:b w:val="0"/>
          <w:bCs w:val="0"/>
          <w:color w:val="auto"/>
          <w:sz w:val="24"/>
          <w:szCs w:val="32"/>
          <w:highlight w:val="none"/>
          <w:lang w:val="en-US" w:eastAsia="zh-CN"/>
        </w:rPr>
        <w:t>《土壤环境质量 建设用地土壤污染风险管控标准（试行）》 （GB36600-2018）</w:t>
      </w:r>
      <w:r>
        <w:rPr>
          <w:rFonts w:hint="eastAsia" w:ascii="Times New Roman" w:hAnsi="Times New Roman" w:cs="Times New Roman"/>
          <w:color w:val="auto"/>
          <w:sz w:val="24"/>
          <w:szCs w:val="32"/>
          <w:highlight w:val="none"/>
          <w:lang w:val="en-US" w:eastAsia="zh-CN"/>
        </w:rPr>
        <w:t>可知，本地块用地性质为：公共管理与公共服务用地中的医疗卫生用地（A5）。</w:t>
      </w:r>
    </w:p>
    <w:p>
      <w:pPr>
        <w:pStyle w:val="2"/>
        <w:spacing w:line="360" w:lineRule="auto"/>
        <w:rPr>
          <w:rFonts w:hint="default" w:ascii="Times New Roman" w:hAnsi="Times New Roman" w:cs="Times New Roman" w:eastAsiaTheme="majorEastAsia"/>
          <w:color w:val="0000FF"/>
          <w:kern w:val="0"/>
          <w:sz w:val="24"/>
          <w:szCs w:val="24"/>
          <w:lang w:val="en-US" w:eastAsia="zh-CN"/>
        </w:rPr>
      </w:pPr>
      <w:r>
        <w:rPr>
          <w:rFonts w:hint="eastAsia" w:ascii="Times New Roman" w:hAnsi="Times New Roman" w:cs="Times New Roman" w:eastAsiaTheme="majorEastAsia"/>
          <w:color w:val="auto"/>
          <w:kern w:val="0"/>
          <w:sz w:val="24"/>
          <w:szCs w:val="24"/>
          <w:lang w:val="en-US" w:eastAsia="zh-CN"/>
        </w:rPr>
        <w:t>本地块用途变更为</w:t>
      </w:r>
      <w:r>
        <w:rPr>
          <w:rFonts w:hint="eastAsia" w:ascii="Times New Roman" w:hAnsi="Times New Roman" w:cs="Times New Roman"/>
          <w:color w:val="auto"/>
          <w:sz w:val="24"/>
          <w:szCs w:val="32"/>
          <w:highlight w:val="none"/>
          <w:lang w:val="en-US" w:eastAsia="zh-CN"/>
        </w:rPr>
        <w:t>公共管理与公共服务用地中的医疗卫生用地（A5），</w:t>
      </w:r>
      <w:r>
        <w:rPr>
          <w:rFonts w:hint="eastAsia" w:ascii="Times New Roman" w:hAnsi="Times New Roman" w:cs="Times New Roman" w:eastAsiaTheme="majorEastAsia"/>
          <w:color w:val="auto"/>
          <w:kern w:val="0"/>
          <w:sz w:val="24"/>
          <w:szCs w:val="24"/>
          <w:lang w:val="en-US" w:eastAsia="zh-CN"/>
        </w:rPr>
        <w:t>依据</w:t>
      </w:r>
      <w:r>
        <w:rPr>
          <w:rFonts w:hint="default" w:ascii="Times New Roman" w:hAnsi="Times New Roman" w:cs="Times New Roman" w:eastAsiaTheme="majorEastAsia"/>
          <w:color w:val="auto"/>
          <w:kern w:val="0"/>
          <w:sz w:val="24"/>
          <w:szCs w:val="24"/>
          <w:lang w:val="en-US" w:eastAsia="zh-CN"/>
        </w:rPr>
        <w:t>《中华人民共和国土壤污染防治法》第四章第五十九条规定：用途变更为住宅、公共管理与公共服务用地的，变更前应当按照规定进行土壤污染状况调查。《山东省土壤污染防治条例》第十八条规定：居民区、幼儿园、学校、医疗机构、养老机构和饮用水水源地等公共建设项目选址时，应当重点调查、分析项目所在地以及周边土壤对项目的环境影响。</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b w:val="0"/>
          <w:bCs w:val="0"/>
          <w:color w:val="auto"/>
          <w:sz w:val="24"/>
          <w:szCs w:val="32"/>
          <w:lang w:val="en-US" w:eastAsia="zh-CN"/>
        </w:rPr>
      </w:pPr>
      <w:r>
        <w:rPr>
          <w:rFonts w:hint="eastAsia" w:ascii="Times New Roman" w:hAnsi="Times New Roman" w:cs="Times New Roman"/>
          <w:b w:val="0"/>
          <w:bCs w:val="0"/>
          <w:color w:val="auto"/>
          <w:sz w:val="24"/>
          <w:szCs w:val="32"/>
          <w:lang w:val="en-US" w:eastAsia="zh-CN"/>
        </w:rPr>
        <w:t>受烟台经济技术开发区潮水中心卫生院委托，烟台拉楷管理咨询有限公司对该地块开展了地块土壤污染状况调查工作，并编制形成报告，为本地块的开发利用提供技术依据。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b w:val="0"/>
          <w:bCs w:val="0"/>
          <w:color w:val="auto"/>
          <w:sz w:val="24"/>
          <w:szCs w:val="32"/>
          <w:lang w:val="en-US" w:eastAsia="zh-CN"/>
        </w:rPr>
      </w:pPr>
      <w:r>
        <w:rPr>
          <w:rFonts w:hint="eastAsia" w:ascii="Times New Roman" w:hAnsi="Times New Roman" w:cs="Times New Roman"/>
          <w:b w:val="0"/>
          <w:bCs w:val="0"/>
          <w:color w:val="auto"/>
          <w:sz w:val="24"/>
          <w:szCs w:val="32"/>
          <w:lang w:val="en-US" w:eastAsia="zh-CN"/>
        </w:rPr>
        <w:t>经调查地块的历史资料收集与分析、现场踏勘、人员访谈，确认地块内及周边地区无明确造成土壤污染的来源。根据《建设用地土壤污染状况调查技术导则》 （HJ 25.1-2019）规定，第一阶段调查确认地块内及周围区域当前和历史上均无可能的污染源，地块的环境状况可以接受，调查活动可以结束。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b w:val="0"/>
          <w:bCs w:val="0"/>
          <w:color w:val="auto"/>
          <w:sz w:val="24"/>
          <w:szCs w:val="32"/>
          <w:lang w:val="en-US" w:eastAsia="zh-CN"/>
        </w:rPr>
      </w:pPr>
    </w:p>
    <w:p>
      <w:pPr>
        <w:sectPr>
          <w:pgSz w:w="11906" w:h="16838"/>
          <w:pgMar w:top="1440" w:right="1800" w:bottom="1440" w:left="1800" w:header="851" w:footer="992" w:gutter="0"/>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Times New Roman" w:hAnsi="Times New Roman" w:cs="Times New Roman" w:eastAsiaTheme="majorEastAsia"/>
          <w:b/>
          <w:bCs/>
          <w:color w:val="auto"/>
          <w:kern w:val="0"/>
          <w:sz w:val="36"/>
          <w:szCs w:val="36"/>
          <w:lang w:val="en-US" w:eastAsia="zh-CN"/>
        </w:rPr>
      </w:pPr>
      <w:bookmarkStart w:id="1" w:name="_Toc445"/>
      <w:r>
        <w:rPr>
          <w:rFonts w:hint="eastAsia" w:ascii="Times New Roman" w:hAnsi="Times New Roman" w:cs="Times New Roman" w:eastAsiaTheme="majorEastAsia"/>
          <w:b/>
          <w:bCs/>
          <w:color w:val="auto"/>
          <w:kern w:val="0"/>
          <w:sz w:val="36"/>
          <w:szCs w:val="36"/>
          <w:lang w:val="en-US" w:eastAsia="zh-CN"/>
        </w:rPr>
        <w:t>7 结论和建议</w:t>
      </w:r>
      <w:bookmarkEnd w:id="1"/>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1"/>
        <w:rPr>
          <w:rFonts w:hint="eastAsia" w:ascii="Times New Roman" w:hAnsi="Times New Roman" w:cs="Times New Roman"/>
          <w:b/>
          <w:bCs/>
          <w:color w:val="auto"/>
          <w:sz w:val="32"/>
          <w:szCs w:val="40"/>
          <w:lang w:val="en-US" w:eastAsia="zh-CN"/>
        </w:rPr>
      </w:pPr>
      <w:bookmarkStart w:id="2" w:name="_Toc968"/>
      <w:bookmarkStart w:id="3" w:name="_Toc28448"/>
      <w:r>
        <w:rPr>
          <w:rFonts w:hint="eastAsia" w:ascii="Times New Roman" w:hAnsi="Times New Roman" w:cs="Times New Roman"/>
          <w:b/>
          <w:bCs/>
          <w:color w:val="auto"/>
          <w:sz w:val="32"/>
          <w:szCs w:val="40"/>
          <w:lang w:val="en-US" w:eastAsia="zh-CN"/>
        </w:rPr>
        <w:t>7.1 调查地块概况</w:t>
      </w:r>
      <w:bookmarkEnd w:id="2"/>
      <w:bookmarkEnd w:id="3"/>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b w:val="0"/>
          <w:bCs w:val="0"/>
          <w:color w:val="auto"/>
          <w:sz w:val="24"/>
          <w:szCs w:val="32"/>
          <w:lang w:val="en-US" w:eastAsia="zh-CN"/>
        </w:rPr>
      </w:pPr>
      <w:r>
        <w:rPr>
          <w:rFonts w:hint="eastAsia" w:ascii="Times New Roman" w:hAnsi="Times New Roman" w:cs="Times New Roman"/>
          <w:b w:val="0"/>
          <w:bCs w:val="0"/>
          <w:color w:val="auto"/>
          <w:sz w:val="24"/>
          <w:szCs w:val="32"/>
          <w:lang w:val="en-US" w:eastAsia="zh-CN"/>
        </w:rPr>
        <w:t>潮水医院新建院区地块（以下简称“地块”）位于</w:t>
      </w:r>
      <w:r>
        <w:rPr>
          <w:rFonts w:hint="default" w:ascii="Times New Roman" w:hAnsi="Times New Roman" w:cs="Times New Roman" w:eastAsiaTheme="majorEastAsia"/>
          <w:b w:val="0"/>
          <w:bCs w:val="0"/>
          <w:color w:val="auto"/>
          <w:kern w:val="0"/>
          <w:sz w:val="24"/>
          <w:szCs w:val="24"/>
          <w:lang w:val="en-US" w:eastAsia="zh-CN"/>
        </w:rPr>
        <w:t>烟台</w:t>
      </w:r>
      <w:r>
        <w:rPr>
          <w:rFonts w:hint="eastAsia" w:ascii="Times New Roman" w:hAnsi="Times New Roman" w:cs="Times New Roman" w:eastAsiaTheme="majorEastAsia"/>
          <w:b w:val="0"/>
          <w:bCs w:val="0"/>
          <w:color w:val="auto"/>
          <w:kern w:val="0"/>
          <w:sz w:val="24"/>
          <w:szCs w:val="24"/>
          <w:lang w:val="en-US" w:eastAsia="zh-CN"/>
        </w:rPr>
        <w:t>经济技术开发区金柳路以西、规划路</w:t>
      </w:r>
      <w:r>
        <w:rPr>
          <w:rFonts w:hint="eastAsia" w:ascii="Times New Roman" w:hAnsi="Times New Roman" w:cs="Times New Roman"/>
          <w:b w:val="0"/>
          <w:bCs w:val="0"/>
          <w:color w:val="auto"/>
          <w:sz w:val="24"/>
          <w:szCs w:val="32"/>
          <w:lang w:val="en-US" w:eastAsia="zh-CN"/>
        </w:rPr>
        <w:t>以东、</w:t>
      </w:r>
      <w:r>
        <w:rPr>
          <w:rFonts w:hint="eastAsia" w:ascii="Times New Roman" w:hAnsi="Times New Roman" w:cs="Times New Roman" w:eastAsiaTheme="majorEastAsia"/>
          <w:b w:val="0"/>
          <w:bCs w:val="0"/>
          <w:color w:val="auto"/>
          <w:kern w:val="0"/>
          <w:sz w:val="24"/>
          <w:szCs w:val="24"/>
          <w:lang w:val="en-US" w:eastAsia="zh-CN"/>
        </w:rPr>
        <w:t>规划路</w:t>
      </w:r>
      <w:r>
        <w:rPr>
          <w:rFonts w:hint="eastAsia" w:ascii="Times New Roman" w:hAnsi="Times New Roman" w:cs="Times New Roman"/>
          <w:b w:val="0"/>
          <w:bCs w:val="0"/>
          <w:color w:val="auto"/>
          <w:sz w:val="24"/>
          <w:szCs w:val="32"/>
          <w:lang w:val="en-US" w:eastAsia="zh-CN"/>
        </w:rPr>
        <w:t>以南、</w:t>
      </w:r>
      <w:r>
        <w:rPr>
          <w:rFonts w:hint="eastAsia" w:ascii="Times New Roman" w:hAnsi="Times New Roman" w:cs="Times New Roman" w:eastAsiaTheme="majorEastAsia"/>
          <w:b w:val="0"/>
          <w:bCs w:val="0"/>
          <w:color w:val="auto"/>
          <w:kern w:val="0"/>
          <w:sz w:val="24"/>
          <w:szCs w:val="24"/>
          <w:lang w:val="en-US" w:eastAsia="zh-CN"/>
        </w:rPr>
        <w:t>规划路</w:t>
      </w:r>
      <w:r>
        <w:rPr>
          <w:rFonts w:hint="eastAsia" w:ascii="Times New Roman" w:hAnsi="Times New Roman" w:cs="Times New Roman"/>
          <w:b w:val="0"/>
          <w:bCs w:val="0"/>
          <w:color w:val="auto"/>
          <w:sz w:val="24"/>
          <w:szCs w:val="32"/>
          <w:lang w:val="en-US" w:eastAsia="zh-CN"/>
        </w:rPr>
        <w:t>以北。调查面积25795.7平方米。</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color w:val="auto"/>
          <w:sz w:val="24"/>
          <w:szCs w:val="32"/>
          <w:highlight w:val="none"/>
          <w:lang w:val="en-US" w:eastAsia="zh-CN"/>
        </w:rPr>
      </w:pPr>
      <w:r>
        <w:rPr>
          <w:rFonts w:hint="eastAsia" w:ascii="Times New Roman" w:hAnsi="Times New Roman" w:cs="Times New Roman"/>
          <w:b w:val="0"/>
          <w:bCs w:val="0"/>
          <w:color w:val="auto"/>
          <w:sz w:val="24"/>
          <w:szCs w:val="32"/>
          <w:lang w:val="en-US" w:eastAsia="zh-CN"/>
        </w:rPr>
        <w:t>该地块原为农用地和建设用地，2022年4月14日山东省人民政府以鲁政土字F【2022】10号文，同意将该地块转变为建设用地并征收，该地块拟建设潮水医院，根据</w:t>
      </w:r>
      <w:r>
        <w:rPr>
          <w:rFonts w:hint="eastAsia" w:ascii="Times New Roman" w:hAnsi="Times New Roman" w:cs="Times New Roman"/>
          <w:b w:val="0"/>
          <w:bCs w:val="0"/>
          <w:color w:val="auto"/>
          <w:sz w:val="24"/>
          <w:szCs w:val="32"/>
          <w:highlight w:val="none"/>
          <w:lang w:val="en-US" w:eastAsia="zh-CN"/>
        </w:rPr>
        <w:t>《土壤环境质量 建设用地土壤污染风险管控标准（试行）》（GB36600-2018）</w:t>
      </w:r>
      <w:r>
        <w:rPr>
          <w:rFonts w:hint="eastAsia" w:ascii="Times New Roman" w:hAnsi="Times New Roman" w:cs="Times New Roman"/>
          <w:color w:val="auto"/>
          <w:sz w:val="24"/>
          <w:szCs w:val="32"/>
          <w:highlight w:val="none"/>
          <w:lang w:val="en-US" w:eastAsia="zh-CN"/>
        </w:rPr>
        <w:t>可知，本地块用地性质为：公共管理与公共服务用地中的医疗卫生用地（A5），属于</w:t>
      </w:r>
      <w:r>
        <w:rPr>
          <w:rFonts w:hint="eastAsia" w:ascii="Times New Roman" w:hAnsi="Times New Roman" w:cs="Times New Roman"/>
          <w:b w:val="0"/>
          <w:bCs w:val="0"/>
          <w:color w:val="auto"/>
          <w:sz w:val="24"/>
          <w:szCs w:val="32"/>
          <w:highlight w:val="none"/>
          <w:lang w:val="en-US" w:eastAsia="zh-CN"/>
        </w:rPr>
        <w:t>第一类用地。</w:t>
      </w:r>
    </w:p>
    <w:p>
      <w:pPr>
        <w:pStyle w:val="2"/>
        <w:spacing w:line="360" w:lineRule="auto"/>
        <w:rPr>
          <w:rFonts w:hint="default" w:ascii="Times New Roman" w:hAnsi="Times New Roman" w:cs="Times New Roman" w:eastAsiaTheme="majorEastAsia"/>
          <w:color w:val="0000FF"/>
          <w:kern w:val="0"/>
          <w:sz w:val="24"/>
          <w:szCs w:val="24"/>
          <w:lang w:val="en-US" w:eastAsia="zh-CN"/>
        </w:rPr>
      </w:pPr>
      <w:r>
        <w:rPr>
          <w:rFonts w:hint="eastAsia" w:ascii="Times New Roman" w:hAnsi="Times New Roman" w:cs="Times New Roman" w:eastAsiaTheme="majorEastAsia"/>
          <w:color w:val="auto"/>
          <w:kern w:val="0"/>
          <w:sz w:val="24"/>
          <w:szCs w:val="24"/>
          <w:lang w:val="en-US" w:eastAsia="zh-CN"/>
        </w:rPr>
        <w:t>本地块变更为</w:t>
      </w:r>
      <w:r>
        <w:rPr>
          <w:rFonts w:hint="eastAsia" w:ascii="Times New Roman" w:hAnsi="Times New Roman" w:cs="Times New Roman"/>
          <w:color w:val="auto"/>
          <w:sz w:val="24"/>
          <w:szCs w:val="32"/>
          <w:highlight w:val="none"/>
          <w:lang w:val="en-US" w:eastAsia="zh-CN"/>
        </w:rPr>
        <w:t>公共管理与公共服务用地中的医疗卫生用地（A5），</w:t>
      </w:r>
      <w:r>
        <w:rPr>
          <w:rFonts w:hint="eastAsia" w:ascii="Times New Roman" w:hAnsi="Times New Roman" w:cs="Times New Roman" w:eastAsiaTheme="majorEastAsia"/>
          <w:color w:val="auto"/>
          <w:kern w:val="0"/>
          <w:sz w:val="24"/>
          <w:szCs w:val="24"/>
          <w:lang w:val="en-US" w:eastAsia="zh-CN"/>
        </w:rPr>
        <w:t>依据</w:t>
      </w:r>
      <w:r>
        <w:rPr>
          <w:rFonts w:hint="default" w:ascii="Times New Roman" w:hAnsi="Times New Roman" w:cs="Times New Roman" w:eastAsiaTheme="majorEastAsia"/>
          <w:color w:val="auto"/>
          <w:kern w:val="0"/>
          <w:sz w:val="24"/>
          <w:szCs w:val="24"/>
          <w:lang w:val="en-US" w:eastAsia="zh-CN"/>
        </w:rPr>
        <w:t>《中华人民共和国土壤污染防治法》第四章第五十九条规定：用途变更为住宅、公共管理与公共服务用地的，变更前应当按照规定进行土壤污染状况调查。《山东省土壤污染防治条例》第十八条规定：居民区、幼儿园、学校、医疗机构、养老机构和饮用水水源地等公共建设项目选址时，应当重点调查、分析项目所在地以及周边土壤对项目的环境影响。</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1"/>
        <w:rPr>
          <w:rFonts w:hint="eastAsia" w:ascii="Times New Roman" w:hAnsi="Times New Roman" w:cs="Times New Roman"/>
          <w:b/>
          <w:bCs/>
          <w:color w:val="auto"/>
          <w:sz w:val="32"/>
          <w:szCs w:val="40"/>
          <w:lang w:val="en-US" w:eastAsia="zh-CN"/>
        </w:rPr>
      </w:pPr>
      <w:bookmarkStart w:id="4" w:name="_Toc16169"/>
      <w:bookmarkStart w:id="5" w:name="_Toc10303"/>
      <w:r>
        <w:rPr>
          <w:rFonts w:hint="eastAsia" w:ascii="Times New Roman" w:hAnsi="Times New Roman" w:cs="Times New Roman"/>
          <w:b/>
          <w:bCs/>
          <w:color w:val="auto"/>
          <w:sz w:val="32"/>
          <w:szCs w:val="40"/>
          <w:lang w:val="en-US" w:eastAsia="zh-CN"/>
        </w:rPr>
        <w:t>7.2结论</w:t>
      </w:r>
      <w:bookmarkEnd w:id="4"/>
      <w:bookmarkEnd w:id="5"/>
    </w:p>
    <w:p>
      <w:pPr>
        <w:pStyle w:val="7"/>
        <w:spacing w:line="360" w:lineRule="auto"/>
        <w:ind w:left="0" w:leftChars="0" w:firstLine="480"/>
      </w:pPr>
      <w:r>
        <w:rPr>
          <w:rFonts w:ascii="Times New Roman" w:hAnsi="Times New Roman" w:cs="Times New Roman" w:eastAsiaTheme="minorEastAsia"/>
          <w:snapToGrid/>
          <w:color w:val="auto"/>
          <w:kern w:val="2"/>
          <w:sz w:val="24"/>
          <w:szCs w:val="32"/>
          <w:highlight w:val="none"/>
        </w:rPr>
        <w:t>根据第一阶段地块土壤污染状况调查结果，结合前期资料收集、现场踏勘及人员访谈等资料的分析，</w:t>
      </w:r>
      <w:r>
        <w:rPr>
          <w:rFonts w:hint="eastAsia" w:ascii="Times New Roman" w:hAnsi="Times New Roman" w:cs="Times New Roman" w:eastAsiaTheme="minorEastAsia"/>
          <w:snapToGrid/>
          <w:color w:val="auto"/>
          <w:kern w:val="2"/>
          <w:sz w:val="24"/>
          <w:szCs w:val="32"/>
          <w:highlight w:val="none"/>
          <w:lang w:val="en-US" w:eastAsia="zh-CN"/>
        </w:rPr>
        <w:t>地块内主要种植小麦、苹果等农作物，种植过程中使用复合肥、磷酸二氢钾、农家肥等为植物提供养分，同时使用啶虫脒、石硫合剂、矮壮素等农药。化肥、农药进入土壤后易被降解，同时地块内不涉及污水灌溉，地块内无排污管道、污水沟渠、污水池、危废堆场等，未发现环境污染情况。调查地块内无潜在污染源，地块环境状</w:t>
      </w:r>
      <w:r>
        <w:rPr>
          <w:rFonts w:ascii="Times New Roman" w:hAnsi="Times New Roman" w:cs="Times New Roman" w:eastAsiaTheme="minorEastAsia"/>
          <w:snapToGrid/>
          <w:color w:val="auto"/>
          <w:kern w:val="2"/>
          <w:sz w:val="24"/>
          <w:szCs w:val="32"/>
          <w:highlight w:val="none"/>
        </w:rPr>
        <w:t>况可接受，</w:t>
      </w:r>
      <w:r>
        <w:rPr>
          <w:rFonts w:hint="eastAsia" w:ascii="Times New Roman" w:hAnsi="Times New Roman" w:cs="Times New Roman" w:eastAsiaTheme="minorEastAsia"/>
          <w:snapToGrid/>
          <w:color w:val="auto"/>
          <w:kern w:val="2"/>
          <w:sz w:val="24"/>
          <w:szCs w:val="32"/>
          <w:highlight w:val="none"/>
          <w:lang w:val="en-US" w:eastAsia="zh-CN"/>
        </w:rPr>
        <w:t>无需进行第二阶段初步采样调查，调查活动可以结束</w:t>
      </w:r>
      <w:r>
        <w:rPr>
          <w:rFonts w:ascii="Times New Roman" w:hAnsi="Times New Roman" w:cs="Times New Roman" w:eastAsiaTheme="minorEastAsia"/>
          <w:snapToGrid/>
          <w:color w:val="auto"/>
          <w:kern w:val="2"/>
          <w:sz w:val="24"/>
          <w:szCs w:val="32"/>
          <w:highlight w:val="none"/>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1"/>
        <w:rPr>
          <w:rFonts w:hint="eastAsia" w:ascii="Times New Roman" w:hAnsi="Times New Roman" w:cs="Times New Roman"/>
          <w:b/>
          <w:bCs/>
          <w:color w:val="auto"/>
          <w:sz w:val="32"/>
          <w:szCs w:val="40"/>
          <w:lang w:val="en-US" w:eastAsia="zh-CN"/>
        </w:rPr>
      </w:pPr>
      <w:bookmarkStart w:id="6" w:name="_Toc8653"/>
      <w:bookmarkStart w:id="7" w:name="_Toc18086"/>
      <w:r>
        <w:rPr>
          <w:rFonts w:hint="eastAsia" w:ascii="Times New Roman" w:hAnsi="Times New Roman" w:cs="Times New Roman"/>
          <w:b/>
          <w:bCs/>
          <w:color w:val="auto"/>
          <w:sz w:val="32"/>
          <w:szCs w:val="40"/>
          <w:lang w:val="en-US" w:eastAsia="zh-CN"/>
        </w:rPr>
        <w:t>7.3建议</w:t>
      </w:r>
      <w:bookmarkEnd w:id="6"/>
      <w:bookmarkEnd w:id="7"/>
    </w:p>
    <w:p>
      <w:pPr>
        <w:pStyle w:val="7"/>
        <w:spacing w:line="360" w:lineRule="auto"/>
        <w:ind w:left="0" w:leftChars="0" w:firstLine="480"/>
        <w:rPr>
          <w:rFonts w:ascii="Times New Roman" w:hAnsi="Times New Roman" w:cs="Times New Roman" w:eastAsiaTheme="minorEastAsia"/>
          <w:snapToGrid/>
          <w:color w:val="auto"/>
          <w:kern w:val="2"/>
          <w:sz w:val="24"/>
          <w:szCs w:val="32"/>
          <w:highlight w:val="none"/>
        </w:rPr>
      </w:pPr>
      <w:r>
        <w:rPr>
          <w:rFonts w:ascii="Times New Roman" w:hAnsi="Times New Roman" w:cs="Times New Roman" w:eastAsiaTheme="minorEastAsia"/>
          <w:snapToGrid/>
          <w:color w:val="auto"/>
          <w:kern w:val="2"/>
          <w:sz w:val="24"/>
          <w:szCs w:val="32"/>
          <w:highlight w:val="none"/>
        </w:rPr>
        <w:t>本次调查工作按照国家相关导则要求和相关标准对该地块现状土壤环境质量进行了分析与评价。调查结果显示该地块土壤未受到污染，地块土壤环境质量状况良好，满足现有用地规划要求。基于本次调查结果，提出如下建议：</w:t>
      </w:r>
    </w:p>
    <w:p>
      <w:pPr>
        <w:pStyle w:val="7"/>
        <w:spacing w:line="360" w:lineRule="auto"/>
        <w:ind w:left="0" w:leftChars="0" w:firstLine="480"/>
        <w:rPr>
          <w:rFonts w:ascii="Times New Roman" w:hAnsi="Times New Roman" w:cs="Times New Roman" w:eastAsiaTheme="minorEastAsia"/>
          <w:snapToGrid/>
          <w:color w:val="auto"/>
          <w:kern w:val="2"/>
          <w:sz w:val="24"/>
          <w:szCs w:val="32"/>
          <w:highlight w:val="none"/>
        </w:rPr>
      </w:pPr>
      <w:r>
        <w:rPr>
          <w:rFonts w:ascii="Times New Roman" w:hAnsi="Times New Roman" w:cs="Times New Roman" w:eastAsiaTheme="minorEastAsia"/>
          <w:snapToGrid/>
          <w:color w:val="auto"/>
          <w:kern w:val="2"/>
          <w:sz w:val="24"/>
          <w:szCs w:val="32"/>
          <w:highlight w:val="none"/>
        </w:rPr>
        <w:t>1、本次调查结论是基于现有规划条件下形成的，建议业主方按照现有规划对本地块进行开发建设。若规划发生改变，应该对本地块土壤环境质量重新进行评估，以确保该地块土壤环境质量满足相应规划要求。</w:t>
      </w:r>
    </w:p>
    <w:p>
      <w:pPr>
        <w:pStyle w:val="11"/>
        <w:spacing w:line="360" w:lineRule="auto"/>
        <w:rPr>
          <w:rFonts w:hint="eastAsia" w:ascii="Times New Roman" w:hAnsi="Times New Roman" w:cs="Times New Roman"/>
          <w:b w:val="0"/>
          <w:bCs w:val="0"/>
          <w:color w:val="0000FF"/>
          <w:sz w:val="24"/>
          <w:szCs w:val="32"/>
          <w:lang w:val="en-US" w:eastAsia="zh-CN"/>
        </w:rPr>
      </w:pPr>
      <w:r>
        <w:rPr>
          <w:rFonts w:ascii="Times New Roman" w:hAnsi="Times New Roman" w:cs="Times New Roman" w:eastAsiaTheme="minorEastAsia"/>
          <w:snapToGrid/>
          <w:color w:val="auto"/>
          <w:kern w:val="2"/>
          <w:sz w:val="24"/>
          <w:szCs w:val="32"/>
          <w:highlight w:val="none"/>
        </w:rPr>
        <w:t>2、本项目是基于国家现行的相关标准、规范对地块开展的土壤污染状况调查和风险筛选，并形成调查结论。在调查工作完成和地块开始开发利用期间，甲方单位应做好后期管理措施，避免在此期间内产生新的污染。</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b w:val="0"/>
          <w:bCs w:val="0"/>
          <w:color w:val="0000FF"/>
          <w:sz w:val="24"/>
          <w:szCs w:val="32"/>
          <w:lang w:val="en-US" w:eastAsia="zh-CN"/>
        </w:rPr>
        <w:sectPr>
          <w:pgSz w:w="11906" w:h="16838"/>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type="lines" w:linePitch="319" w:charSpace="0"/>
        </w:sectPr>
      </w:pPr>
    </w:p>
    <w:p>
      <w:bookmarkStart w:id="8" w:name="_GoBack"/>
      <w:bookmarkEnd w:id="8"/>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kwMDRjZjk4NzIzNTg1ZmFjMWNlZWIyOWM1ODAzN2QifQ=="/>
  </w:docVars>
  <w:rsids>
    <w:rsidRoot w:val="3A445172"/>
    <w:rsid w:val="3A4451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widowControl w:val="0"/>
      <w:spacing w:line="240" w:lineRule="auto"/>
      <w:ind w:firstLine="420"/>
      <w:jc w:val="both"/>
    </w:pPr>
    <w:rPr>
      <w:sz w:val="20"/>
      <w:szCs w:val="20"/>
    </w:rPr>
  </w:style>
  <w:style w:type="paragraph" w:styleId="3">
    <w:name w:val="Body Text Indent"/>
    <w:basedOn w:val="1"/>
    <w:next w:val="1"/>
    <w:qFormat/>
    <w:uiPriority w:val="0"/>
    <w:pPr>
      <w:spacing w:line="360" w:lineRule="auto"/>
      <w:ind w:firstLine="600" w:firstLineChars="250"/>
    </w:pPr>
    <w:rPr>
      <w:color w:val="FF0000"/>
      <w:sz w:val="24"/>
    </w:rPr>
  </w:style>
  <w:style w:type="paragraph" w:styleId="4">
    <w:name w:val="footer"/>
    <w:basedOn w:val="1"/>
    <w:qFormat/>
    <w:uiPriority w:val="0"/>
    <w:pPr>
      <w:tabs>
        <w:tab w:val="center" w:pos="4153"/>
        <w:tab w:val="right" w:pos="8306"/>
      </w:tabs>
      <w:snapToGrid w:val="0"/>
      <w:jc w:val="left"/>
    </w:pPr>
    <w:rPr>
      <w:sz w:val="18"/>
    </w:rPr>
  </w:style>
  <w:style w:type="paragraph" w:styleId="5">
    <w:name w:val="toc 1"/>
    <w:basedOn w:val="1"/>
    <w:next w:val="1"/>
    <w:qFormat/>
    <w:uiPriority w:val="39"/>
  </w:style>
  <w:style w:type="paragraph" w:styleId="6">
    <w:name w:val="toc 2"/>
    <w:basedOn w:val="1"/>
    <w:next w:val="1"/>
    <w:qFormat/>
    <w:uiPriority w:val="39"/>
    <w:pPr>
      <w:ind w:left="420" w:leftChars="200"/>
    </w:pPr>
  </w:style>
  <w:style w:type="paragraph" w:styleId="7">
    <w:name w:val="Body Text First Indent 2"/>
    <w:basedOn w:val="3"/>
    <w:next w:val="1"/>
    <w:qFormat/>
    <w:uiPriority w:val="0"/>
    <w:pPr>
      <w:spacing w:after="120" w:line="240" w:lineRule="auto"/>
      <w:ind w:left="420" w:leftChars="200" w:firstLine="420" w:firstLineChars="200"/>
    </w:pPr>
    <w:rPr>
      <w:rFonts w:eastAsia="仿宋_GB2312"/>
      <w:snapToGrid w:val="0"/>
      <w:color w:val="000000"/>
      <w:kern w:val="0"/>
      <w:sz w:val="28"/>
      <w:szCs w:val="20"/>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列出段落11"/>
    <w:basedOn w:val="1"/>
    <w:qFormat/>
    <w:uiPriority w:val="34"/>
    <w:pPr>
      <w:ind w:firstLine="420" w:firstLineChars="200"/>
    </w:pPr>
  </w:style>
  <w:style w:type="paragraph" w:customStyle="1" w:styleId="12">
    <w:name w:val="样式 正文11 + 首行缩进:  2 字符"/>
    <w:basedOn w:val="1"/>
    <w:qFormat/>
    <w:uiPriority w:val="0"/>
    <w:pPr>
      <w:spacing w:line="500" w:lineRule="exact"/>
      <w:ind w:firstLine="560" w:firstLineChars="200"/>
    </w:pPr>
    <w:rPr>
      <w:rFonts w:ascii="宋体" w:hAnsi="宋体" w:eastAsia="宋体" w:cs="宋体"/>
      <w:color w:val="000000"/>
      <w:sz w:val="24"/>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2022-07-25T07:35:00Z</dcterms:created>
  <dc:creator>岳飞飞</dc:creator>
  <cp:lastModifiedBy>岳飞飞</cp:lastModifiedBy>
  <dcterms:modified xsi:type="dcterms:W3CDTF">2022-07-25T07:36:14Z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2D1F29BC7ABC4910B41B1F3A05B7A594</vt:lpwstr>
  </property>
</Properties>
</file>