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sz w:val="28"/>
          <w:highlight w:val="none"/>
        </w:rPr>
      </w:pPr>
    </w:p>
    <w:p>
      <w:pPr>
        <w:jc w:val="center"/>
        <w:rPr>
          <w:color w:val="auto"/>
          <w:sz w:val="28"/>
          <w:highlight w:val="none"/>
        </w:rPr>
      </w:pPr>
    </w:p>
    <w:p>
      <w:pPr>
        <w:ind w:firstLine="0" w:firstLineChars="0"/>
        <w:jc w:val="center"/>
        <w:rPr>
          <w:rFonts w:hint="eastAsia"/>
          <w:b/>
          <w:color w:val="auto"/>
          <w:sz w:val="44"/>
          <w:szCs w:val="44"/>
          <w:highlight w:val="none"/>
        </w:rPr>
      </w:pPr>
      <w:r>
        <w:rPr>
          <w:rFonts w:hint="eastAsia"/>
          <w:b/>
          <w:color w:val="auto"/>
          <w:sz w:val="44"/>
          <w:szCs w:val="44"/>
          <w:highlight w:val="none"/>
        </w:rPr>
        <w:t>济南久隆医药科技有限公司</w:t>
      </w:r>
    </w:p>
    <w:p>
      <w:pPr>
        <w:ind w:firstLine="0" w:firstLineChars="0"/>
        <w:jc w:val="center"/>
        <w:rPr>
          <w:b/>
          <w:color w:val="auto"/>
          <w:sz w:val="44"/>
          <w:szCs w:val="44"/>
          <w:highlight w:val="none"/>
        </w:rPr>
      </w:pPr>
      <w:r>
        <w:rPr>
          <w:rFonts w:hint="eastAsia"/>
          <w:b/>
          <w:color w:val="auto"/>
          <w:sz w:val="44"/>
          <w:szCs w:val="44"/>
          <w:highlight w:val="none"/>
        </w:rPr>
        <w:t>实验室建设项目</w:t>
      </w:r>
      <w:bookmarkStart w:id="218" w:name="_GoBack"/>
      <w:bookmarkEnd w:id="218"/>
    </w:p>
    <w:p>
      <w:pPr>
        <w:spacing w:line="720" w:lineRule="auto"/>
        <w:ind w:firstLine="0" w:firstLineChars="0"/>
        <w:jc w:val="center"/>
        <w:rPr>
          <w:b/>
          <w:bCs/>
          <w:color w:val="auto"/>
          <w:sz w:val="72"/>
          <w:szCs w:val="72"/>
          <w:highlight w:val="none"/>
        </w:rPr>
      </w:pPr>
      <w:r>
        <w:rPr>
          <w:b/>
          <w:bCs/>
          <w:color w:val="auto"/>
          <w:sz w:val="72"/>
          <w:szCs w:val="72"/>
          <w:highlight w:val="none"/>
        </w:rPr>
        <w:t>竣工环境保护验收</w:t>
      </w:r>
    </w:p>
    <w:p>
      <w:pPr>
        <w:spacing w:line="720" w:lineRule="auto"/>
        <w:ind w:firstLine="0" w:firstLineChars="0"/>
        <w:jc w:val="center"/>
        <w:rPr>
          <w:b/>
          <w:bCs/>
          <w:color w:val="auto"/>
          <w:sz w:val="48"/>
          <w:szCs w:val="48"/>
          <w:highlight w:val="none"/>
        </w:rPr>
      </w:pPr>
      <w:r>
        <w:rPr>
          <w:b/>
          <w:bCs/>
          <w:color w:val="auto"/>
          <w:sz w:val="72"/>
          <w:szCs w:val="72"/>
          <w:highlight w:val="none"/>
        </w:rPr>
        <w:t>监测报告表</w:t>
      </w:r>
    </w:p>
    <w:p>
      <w:pPr>
        <w:ind w:firstLine="883"/>
        <w:jc w:val="center"/>
        <w:rPr>
          <w:b/>
          <w:color w:val="auto"/>
          <w:sz w:val="44"/>
          <w:szCs w:val="44"/>
          <w:highlight w:val="none"/>
        </w:rPr>
      </w:pPr>
    </w:p>
    <w:p>
      <w:pPr>
        <w:ind w:firstLine="883"/>
        <w:jc w:val="center"/>
        <w:rPr>
          <w:b/>
          <w:color w:val="auto"/>
          <w:sz w:val="44"/>
          <w:szCs w:val="44"/>
          <w:highlight w:val="none"/>
        </w:rPr>
      </w:pPr>
    </w:p>
    <w:p>
      <w:pPr>
        <w:ind w:firstLine="883"/>
        <w:jc w:val="center"/>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pStyle w:val="2"/>
        <w:ind w:firstLine="883"/>
        <w:rPr>
          <w:rFonts w:ascii="Times New Roman" w:hAnsi="Times New Roman"/>
          <w:b/>
          <w:color w:val="auto"/>
          <w:sz w:val="44"/>
          <w:szCs w:val="44"/>
          <w:highlight w:val="none"/>
        </w:rPr>
      </w:pPr>
    </w:p>
    <w:p>
      <w:pPr>
        <w:pStyle w:val="2"/>
        <w:ind w:firstLine="883"/>
        <w:rPr>
          <w:rFonts w:ascii="Times New Roman" w:hAnsi="Times New Roman"/>
          <w:b/>
          <w:color w:val="auto"/>
          <w:sz w:val="44"/>
          <w:szCs w:val="44"/>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jc w:val="center"/>
        <w:rPr>
          <w:b/>
          <w:bCs/>
          <w:color w:val="auto"/>
          <w:sz w:val="32"/>
          <w:szCs w:val="32"/>
          <w:highlight w:val="none"/>
        </w:rPr>
      </w:pPr>
      <w:r>
        <w:rPr>
          <w:b/>
          <w:bCs/>
          <w:color w:val="auto"/>
          <w:sz w:val="32"/>
          <w:szCs w:val="32"/>
          <w:highlight w:val="none"/>
        </w:rPr>
        <w:t>建设单位：</w:t>
      </w:r>
      <w:r>
        <w:rPr>
          <w:rFonts w:hint="eastAsia"/>
          <w:b/>
          <w:bCs/>
          <w:color w:val="auto"/>
          <w:sz w:val="32"/>
          <w:szCs w:val="32"/>
          <w:highlight w:val="none"/>
        </w:rPr>
        <w:t>济南久隆医药科技有限公司</w:t>
      </w:r>
    </w:p>
    <w:p>
      <w:pPr>
        <w:ind w:firstLine="643"/>
        <w:jc w:val="center"/>
        <w:rPr>
          <w:b/>
          <w:bCs/>
          <w:color w:val="auto"/>
          <w:sz w:val="32"/>
          <w:szCs w:val="32"/>
          <w:highlight w:val="none"/>
        </w:rPr>
      </w:pPr>
      <w:r>
        <w:rPr>
          <w:b/>
          <w:bCs/>
          <w:color w:val="auto"/>
          <w:sz w:val="32"/>
          <w:szCs w:val="32"/>
          <w:highlight w:val="none"/>
        </w:rPr>
        <w:t>202</w:t>
      </w:r>
      <w:r>
        <w:rPr>
          <w:rFonts w:hint="eastAsia"/>
          <w:b/>
          <w:bCs/>
          <w:color w:val="auto"/>
          <w:sz w:val="32"/>
          <w:szCs w:val="32"/>
          <w:highlight w:val="none"/>
        </w:rPr>
        <w:t>2</w:t>
      </w:r>
      <w:r>
        <w:rPr>
          <w:b/>
          <w:bCs/>
          <w:color w:val="auto"/>
          <w:sz w:val="32"/>
          <w:szCs w:val="32"/>
          <w:highlight w:val="none"/>
        </w:rPr>
        <w:t>年</w:t>
      </w:r>
      <w:r>
        <w:rPr>
          <w:rFonts w:hint="eastAsia"/>
          <w:b/>
          <w:bCs/>
          <w:color w:val="auto"/>
          <w:sz w:val="32"/>
          <w:szCs w:val="32"/>
          <w:highlight w:val="none"/>
        </w:rPr>
        <w:t>7</w:t>
      </w:r>
      <w:r>
        <w:rPr>
          <w:b/>
          <w:bCs/>
          <w:color w:val="auto"/>
          <w:sz w:val="32"/>
          <w:szCs w:val="32"/>
          <w:highlight w:val="none"/>
        </w:rPr>
        <w:t>月</w:t>
      </w:r>
    </w:p>
    <w:p>
      <w:pPr>
        <w:ind w:firstLine="643"/>
        <w:rPr>
          <w:b/>
          <w:bCs/>
          <w:color w:val="auto"/>
          <w:sz w:val="32"/>
          <w:szCs w:val="32"/>
          <w:highlight w:val="none"/>
        </w:rPr>
      </w:pPr>
    </w:p>
    <w:p>
      <w:pPr>
        <w:ind w:firstLine="0" w:firstLineChars="0"/>
        <w:rPr>
          <w:b/>
          <w:bCs/>
          <w:color w:val="auto"/>
          <w:sz w:val="32"/>
          <w:szCs w:val="32"/>
          <w:highlight w:val="none"/>
        </w:rPr>
      </w:pPr>
    </w:p>
    <w:p>
      <w:pPr>
        <w:pStyle w:val="6"/>
        <w:rPr>
          <w:color w:val="auto"/>
          <w:sz w:val="36"/>
          <w:szCs w:val="22"/>
          <w:highlight w:val="none"/>
        </w:rPr>
        <w:sectPr>
          <w:pgSz w:w="11906" w:h="16838"/>
          <w:pgMar w:top="1440" w:right="1800" w:bottom="1440" w:left="1800" w:header="851" w:footer="992" w:gutter="0"/>
          <w:cols w:space="720" w:num="1"/>
          <w:docGrid w:type="lines" w:linePitch="312" w:charSpace="0"/>
        </w:sectPr>
      </w:pPr>
      <w:bookmarkStart w:id="0" w:name="_Toc16879"/>
      <w:bookmarkStart w:id="1" w:name="_Toc21306"/>
      <w:bookmarkStart w:id="2" w:name="_Toc14548"/>
    </w:p>
    <w:p>
      <w:pPr>
        <w:ind w:firstLine="0" w:firstLineChars="0"/>
        <w:jc w:val="center"/>
        <w:rPr>
          <w:b/>
          <w:bCs/>
          <w:color w:val="auto"/>
          <w:sz w:val="36"/>
          <w:szCs w:val="36"/>
          <w:highlight w:val="none"/>
        </w:rPr>
      </w:pPr>
      <w:r>
        <w:rPr>
          <w:b/>
          <w:bCs/>
          <w:color w:val="auto"/>
          <w:sz w:val="36"/>
          <w:szCs w:val="36"/>
          <w:highlight w:val="none"/>
        </w:rPr>
        <w:t>前言</w:t>
      </w:r>
      <w:bookmarkEnd w:id="0"/>
      <w:bookmarkEnd w:id="1"/>
      <w:bookmarkEnd w:id="2"/>
    </w:p>
    <w:p>
      <w:pPr>
        <w:pStyle w:val="34"/>
        <w:rPr>
          <w:rFonts w:cs="Times New Roman"/>
          <w:color w:val="auto"/>
          <w:szCs w:val="24"/>
          <w:highlight w:val="none"/>
        </w:rPr>
      </w:pPr>
      <w:r>
        <w:rPr>
          <w:rFonts w:cs="Times New Roman"/>
          <w:color w:val="auto"/>
          <w:szCs w:val="24"/>
          <w:highlight w:val="none"/>
        </w:rPr>
        <w:t>济南久隆医药科技有限公司成立于2008年06月20日，目前注册地位于山东省济南市高新区春兰路1177号银丰国际生物城B7栋02号，法定代表人为李志远。经营范围包括一般项目：技术服务、技术开发、技术咨询、技术交流、技术转让、技术推广；发酵过程优化技术研发；生物化工产品技术研发；医学研究和试验发展；专用化学产品制造（不含危险化学品）；药品委托生产等</w:t>
      </w:r>
      <w:r>
        <w:rPr>
          <w:rFonts w:hint="eastAsia" w:cs="Times New Roman"/>
          <w:color w:val="auto"/>
          <w:szCs w:val="24"/>
          <w:highlight w:val="none"/>
        </w:rPr>
        <w:t>。</w:t>
      </w:r>
    </w:p>
    <w:p>
      <w:pPr>
        <w:ind w:firstLine="480"/>
        <w:rPr>
          <w:color w:val="auto"/>
          <w:highlight w:val="none"/>
        </w:rPr>
      </w:pPr>
      <w:r>
        <w:rPr>
          <w:rFonts w:hint="eastAsia"/>
          <w:color w:val="auto"/>
          <w:highlight w:val="none"/>
        </w:rPr>
        <w:t>济南久隆医药科技有限公司位于济南高新区颖秀路2766号迪亚新药与药械基地北楼736室，占地面积138.6m</w:t>
      </w:r>
      <w:r>
        <w:rPr>
          <w:rFonts w:hint="eastAsia"/>
          <w:color w:val="auto"/>
          <w:highlight w:val="none"/>
          <w:vertAlign w:val="superscript"/>
        </w:rPr>
        <w:t>2</w:t>
      </w:r>
      <w:r>
        <w:rPr>
          <w:rFonts w:hint="eastAsia"/>
          <w:color w:val="auto"/>
          <w:highlight w:val="none"/>
        </w:rPr>
        <w:t>，主要从事药品研发（含合成实验、分析实验）。于2016年5月委托山东神华山大能源环境有限公司编制《</w:t>
      </w:r>
      <w:r>
        <w:rPr>
          <w:rFonts w:hint="eastAsia"/>
          <w:color w:val="auto"/>
          <w:highlight w:val="none"/>
          <w:lang w:eastAsia="zh-CN"/>
        </w:rPr>
        <w:t>济南久隆医药科技有限公司实验室项目</w:t>
      </w:r>
      <w:r>
        <w:rPr>
          <w:rFonts w:hint="eastAsia"/>
          <w:color w:val="auto"/>
          <w:highlight w:val="none"/>
        </w:rPr>
        <w:t>环境影响报告表》，原济南市环境保护局于2016年6月6日以济环报告表[2016]G21 号对其进行批复，于2018年7月11日通过竣工环境保护验收，验收文号为济环建验[2018]G106 号。</w:t>
      </w:r>
    </w:p>
    <w:p>
      <w:pPr>
        <w:pStyle w:val="34"/>
        <w:rPr>
          <w:rFonts w:cs="Times New Roman"/>
          <w:color w:val="auto"/>
          <w:spacing w:val="8"/>
          <w:highlight w:val="none"/>
        </w:rPr>
      </w:pPr>
      <w:r>
        <w:rPr>
          <w:rFonts w:hint="eastAsia" w:cs="Times New Roman"/>
          <w:color w:val="auto"/>
          <w:kern w:val="21"/>
          <w:szCs w:val="24"/>
          <w:highlight w:val="none"/>
        </w:rPr>
        <w:t>因公司发展需要，济南久隆医药科技有限公司</w:t>
      </w:r>
      <w:r>
        <w:rPr>
          <w:rFonts w:hint="eastAsia" w:cs="Times New Roman"/>
          <w:color w:val="auto"/>
          <w:kern w:val="21"/>
          <w:szCs w:val="24"/>
          <w:highlight w:val="none"/>
          <w:lang w:eastAsia="zh-CN"/>
        </w:rPr>
        <w:t>于2021年9月搬迁至济南市</w:t>
      </w:r>
      <w:r>
        <w:rPr>
          <w:rFonts w:hint="eastAsia" w:cs="Times New Roman"/>
          <w:color w:val="auto"/>
          <w:kern w:val="21"/>
          <w:szCs w:val="24"/>
          <w:highlight w:val="none"/>
        </w:rPr>
        <w:t>高新区春兰路1177号银丰国际生物城B7栋02号。济南久隆医药科技有限公司实验室建设项目（以下简称“本项目”）</w:t>
      </w:r>
      <w:r>
        <w:rPr>
          <w:rFonts w:hint="eastAsia" w:cs="Times New Roman"/>
          <w:color w:val="auto"/>
          <w:szCs w:val="24"/>
          <w:highlight w:val="none"/>
        </w:rPr>
        <w:t>主要进行</w:t>
      </w:r>
      <w:r>
        <w:rPr>
          <w:rFonts w:cs="Times New Roman"/>
          <w:color w:val="auto"/>
          <w:szCs w:val="24"/>
          <w:highlight w:val="none"/>
        </w:rPr>
        <w:t>化学药品研发</w:t>
      </w:r>
      <w:r>
        <w:rPr>
          <w:rFonts w:hint="eastAsia" w:cs="Times New Roman"/>
          <w:color w:val="auto"/>
          <w:szCs w:val="24"/>
          <w:highlight w:val="none"/>
        </w:rPr>
        <w:t>（包括合成、分析实验），</w:t>
      </w:r>
      <w:r>
        <w:rPr>
          <w:rFonts w:cs="Times New Roman"/>
          <w:color w:val="auto"/>
          <w:szCs w:val="24"/>
          <w:highlight w:val="none"/>
        </w:rPr>
        <w:t>项目</w:t>
      </w:r>
      <w:r>
        <w:rPr>
          <w:rFonts w:cs="Times New Roman"/>
          <w:color w:val="auto"/>
          <w:highlight w:val="none"/>
        </w:rPr>
        <w:t>占地面积</w:t>
      </w:r>
      <w:r>
        <w:rPr>
          <w:rFonts w:hint="eastAsia" w:cs="Times New Roman"/>
          <w:color w:val="auto"/>
          <w:highlight w:val="none"/>
        </w:rPr>
        <w:t>482</w:t>
      </w:r>
      <w:r>
        <w:rPr>
          <w:rFonts w:cs="Times New Roman"/>
          <w:color w:val="auto"/>
          <w:highlight w:val="none"/>
        </w:rPr>
        <w:t>平方米，总建筑面积</w:t>
      </w:r>
      <w:r>
        <w:rPr>
          <w:rFonts w:hint="eastAsia" w:cs="Times New Roman"/>
          <w:color w:val="auto"/>
          <w:highlight w:val="none"/>
        </w:rPr>
        <w:t>742</w:t>
      </w:r>
      <w:r>
        <w:rPr>
          <w:rFonts w:cs="Times New Roman"/>
          <w:color w:val="auto"/>
          <w:highlight w:val="none"/>
        </w:rPr>
        <w:t>平方米。</w:t>
      </w:r>
      <w:r>
        <w:rPr>
          <w:rFonts w:hint="eastAsia" w:cs="Times New Roman"/>
          <w:color w:val="auto"/>
          <w:highlight w:val="none"/>
        </w:rPr>
        <w:t>三</w:t>
      </w:r>
      <w:r>
        <w:rPr>
          <w:rFonts w:cs="Times New Roman"/>
          <w:color w:val="auto"/>
          <w:highlight w:val="none"/>
        </w:rPr>
        <w:t>楼为</w:t>
      </w:r>
      <w:r>
        <w:rPr>
          <w:rFonts w:hint="eastAsia" w:cs="Times New Roman"/>
          <w:color w:val="auto"/>
          <w:highlight w:val="none"/>
        </w:rPr>
        <w:t>实验区，主要包括理化室、称量室、液相室、气相室、高温室、试剂室、留样室、合成室、危废暂存间等；四楼为办公区，主要包括办公室、技术讨论室、档案室、开放办公区等。</w:t>
      </w:r>
      <w:r>
        <w:rPr>
          <w:rFonts w:hint="eastAsia" w:cs="Times New Roman"/>
          <w:color w:val="auto"/>
          <w:szCs w:val="24"/>
          <w:highlight w:val="none"/>
        </w:rPr>
        <w:t>总投资1300万元，其中环保投资20元，项目职工定员25人</w:t>
      </w:r>
      <w:r>
        <w:rPr>
          <w:rFonts w:cs="Times New Roman"/>
          <w:color w:val="auto"/>
          <w:szCs w:val="24"/>
          <w:highlight w:val="none"/>
        </w:rPr>
        <w:t>，每天工作8小时，年工作300天，年工作时间2400小时，夜间不生产。</w:t>
      </w:r>
    </w:p>
    <w:p>
      <w:pPr>
        <w:ind w:firstLine="480"/>
        <w:rPr>
          <w:color w:val="auto"/>
          <w:highlight w:val="none"/>
        </w:rPr>
      </w:pPr>
      <w:r>
        <w:rPr>
          <w:rFonts w:hint="eastAsia"/>
          <w:color w:val="auto"/>
          <w:highlight w:val="none"/>
        </w:rPr>
        <w:t>济南久隆医药科技有限公司</w:t>
      </w:r>
      <w:r>
        <w:rPr>
          <w:color w:val="auto"/>
          <w:highlight w:val="none"/>
        </w:rPr>
        <w:t>2021年</w:t>
      </w:r>
      <w:r>
        <w:rPr>
          <w:rFonts w:hint="eastAsia"/>
          <w:color w:val="auto"/>
          <w:highlight w:val="none"/>
        </w:rPr>
        <w:t>11</w:t>
      </w:r>
      <w:r>
        <w:rPr>
          <w:color w:val="auto"/>
          <w:highlight w:val="none"/>
        </w:rPr>
        <w:t>月委托</w:t>
      </w:r>
      <w:r>
        <w:rPr>
          <w:rFonts w:hint="eastAsia"/>
          <w:color w:val="auto"/>
          <w:highlight w:val="none"/>
        </w:rPr>
        <w:t>山东国嘉环保科技有限公司</w:t>
      </w:r>
      <w:r>
        <w:rPr>
          <w:color w:val="auto"/>
          <w:kern w:val="21"/>
          <w:highlight w:val="none"/>
        </w:rPr>
        <w:t>编制完成了</w:t>
      </w:r>
      <w:r>
        <w:rPr>
          <w:color w:val="auto"/>
          <w:highlight w:val="none"/>
        </w:rPr>
        <w:t>《</w:t>
      </w:r>
      <w:r>
        <w:rPr>
          <w:rFonts w:hint="eastAsia"/>
          <w:color w:val="auto"/>
          <w:highlight w:val="none"/>
          <w:lang w:eastAsia="zh-CN"/>
        </w:rPr>
        <w:t>济南久隆医药科技有限公司实验室建设项目</w:t>
      </w:r>
      <w:r>
        <w:rPr>
          <w:color w:val="auto"/>
          <w:highlight w:val="none"/>
        </w:rPr>
        <w:t>环境影响报告表》，并于</w:t>
      </w:r>
      <w:r>
        <w:rPr>
          <w:rFonts w:hint="eastAsia"/>
          <w:color w:val="auto"/>
          <w:highlight w:val="none"/>
        </w:rPr>
        <w:t>2021年12月30日</w:t>
      </w:r>
      <w:r>
        <w:rPr>
          <w:color w:val="auto"/>
          <w:highlight w:val="none"/>
        </w:rPr>
        <w:t>经济南市生态环境局审批（</w:t>
      </w:r>
      <w:r>
        <w:rPr>
          <w:rFonts w:hint="eastAsia"/>
          <w:color w:val="auto"/>
          <w:highlight w:val="none"/>
        </w:rPr>
        <w:t>济环报告表［2021］G130号</w:t>
      </w:r>
      <w:r>
        <w:rPr>
          <w:color w:val="auto"/>
          <w:highlight w:val="none"/>
        </w:rPr>
        <w:t>）。</w:t>
      </w:r>
    </w:p>
    <w:p>
      <w:pPr>
        <w:pStyle w:val="34"/>
        <w:rPr>
          <w:color w:val="auto"/>
          <w:highlight w:val="none"/>
        </w:rPr>
      </w:pPr>
      <w:r>
        <w:rPr>
          <w:rFonts w:hint="eastAsia" w:cs="Times New Roman"/>
          <w:color w:val="auto"/>
          <w:highlight w:val="none"/>
        </w:rPr>
        <w:t>本项目购置已建成的厂房，于2022年1月开工建设，2022年1月建设完成并投入试生产阶段，</w:t>
      </w:r>
      <w:r>
        <w:rPr>
          <w:color w:val="auto"/>
          <w:highlight w:val="none"/>
        </w:rPr>
        <w:t>环保设施同时</w:t>
      </w:r>
      <w:r>
        <w:rPr>
          <w:rFonts w:hint="eastAsia"/>
          <w:color w:val="auto"/>
          <w:highlight w:val="none"/>
        </w:rPr>
        <w:t>设计同时施工并同时</w:t>
      </w:r>
      <w:r>
        <w:rPr>
          <w:color w:val="auto"/>
          <w:highlight w:val="none"/>
        </w:rPr>
        <w:t>进行试运行，</w:t>
      </w:r>
      <w:r>
        <w:rPr>
          <w:rFonts w:hint="eastAsia"/>
          <w:color w:val="auto"/>
          <w:highlight w:val="none"/>
        </w:rPr>
        <w:t>试</w:t>
      </w:r>
      <w:r>
        <w:rPr>
          <w:color w:val="auto"/>
          <w:highlight w:val="none"/>
        </w:rPr>
        <w:t>运营期间运行状况良好，具备竣工验收条件。</w:t>
      </w:r>
    </w:p>
    <w:p>
      <w:pPr>
        <w:ind w:firstLine="480"/>
        <w:rPr>
          <w:color w:val="auto"/>
          <w:highlight w:val="none"/>
        </w:rPr>
      </w:pPr>
      <w:r>
        <w:rPr>
          <w:color w:val="auto"/>
          <w:kern w:val="21"/>
          <w:highlight w:val="none"/>
        </w:rPr>
        <w:t>本次验收内容为</w:t>
      </w:r>
      <w:r>
        <w:rPr>
          <w:rFonts w:hint="eastAsia"/>
          <w:color w:val="auto"/>
          <w:kern w:val="21"/>
          <w:highlight w:val="none"/>
        </w:rPr>
        <w:t>济南久隆医药科技有限公司实验室建设项目</w:t>
      </w:r>
      <w:r>
        <w:rPr>
          <w:color w:val="auto"/>
          <w:kern w:val="21"/>
          <w:highlight w:val="none"/>
        </w:rPr>
        <w:t>建成后的全部内容。</w:t>
      </w:r>
    </w:p>
    <w:p>
      <w:pPr>
        <w:ind w:firstLine="480"/>
        <w:rPr>
          <w:rFonts w:hint="eastAsia"/>
          <w:color w:val="auto"/>
          <w:kern w:val="21"/>
          <w:highlight w:val="none"/>
        </w:rPr>
      </w:pPr>
      <w:r>
        <w:rPr>
          <w:color w:val="auto"/>
          <w:kern w:val="0"/>
          <w:highlight w:val="none"/>
        </w:rPr>
        <w:t>根据</w:t>
      </w:r>
      <w:r>
        <w:rPr>
          <w:color w:val="auto"/>
          <w:highlight w:val="none"/>
        </w:rPr>
        <w:t>生态环境部＜关于发布《建设项目竣工环境保护验收技术指南 污染影响类》的公告＞（公告2018年 第9号）及《建设项目竣工环境保护验收暂行办法》（国环规环评[2017] 4号）</w:t>
      </w:r>
      <w:r>
        <w:rPr>
          <w:color w:val="auto"/>
          <w:kern w:val="0"/>
          <w:highlight w:val="none"/>
        </w:rPr>
        <w:t>要求，需对</w:t>
      </w:r>
      <w:r>
        <w:rPr>
          <w:rFonts w:hint="eastAsia"/>
          <w:color w:val="auto"/>
          <w:highlight w:val="none"/>
        </w:rPr>
        <w:t>济南久隆医药科技有限公司实验室建设项目</w:t>
      </w:r>
      <w:r>
        <w:rPr>
          <w:color w:val="auto"/>
          <w:kern w:val="0"/>
          <w:highlight w:val="none"/>
        </w:rPr>
        <w:t>进行竣工环境保护验收。</w:t>
      </w:r>
      <w:r>
        <w:rPr>
          <w:rFonts w:hint="eastAsia"/>
          <w:color w:val="auto"/>
          <w:kern w:val="0"/>
          <w:highlight w:val="none"/>
        </w:rPr>
        <w:t>因不具备检测能力，</w:t>
      </w:r>
      <w:r>
        <w:rPr>
          <w:rFonts w:hint="eastAsia"/>
          <w:color w:val="auto"/>
          <w:highlight w:val="none"/>
        </w:rPr>
        <w:t>济南久隆医药科技有限公司</w:t>
      </w:r>
      <w:r>
        <w:rPr>
          <w:rFonts w:hint="eastAsia"/>
          <w:color w:val="auto"/>
          <w:kern w:val="0"/>
          <w:highlight w:val="none"/>
        </w:rPr>
        <w:t>委托</w:t>
      </w:r>
      <w:r>
        <w:rPr>
          <w:rFonts w:hint="eastAsia"/>
          <w:color w:val="auto"/>
          <w:highlight w:val="none"/>
        </w:rPr>
        <w:t>山东国环环保科技有限公司进行验收工作，山东国环环保科技有限公司随后委托</w:t>
      </w:r>
      <w:r>
        <w:rPr>
          <w:color w:val="auto"/>
          <w:kern w:val="0"/>
          <w:highlight w:val="none"/>
        </w:rPr>
        <w:t>山东华晟环境检测有限公司</w:t>
      </w:r>
      <w:r>
        <w:rPr>
          <w:rFonts w:hint="eastAsia"/>
          <w:color w:val="auto"/>
          <w:kern w:val="0"/>
          <w:highlight w:val="none"/>
        </w:rPr>
        <w:t>于2022年1月10日~2022年1月11日、2022年4月21日~2022年4月22日，共计4</w:t>
      </w:r>
      <w:r>
        <w:rPr>
          <w:color w:val="auto"/>
          <w:kern w:val="0"/>
          <w:highlight w:val="none"/>
        </w:rPr>
        <w:t>天对本项目</w:t>
      </w:r>
      <w:r>
        <w:rPr>
          <w:rFonts w:hint="eastAsia"/>
          <w:color w:val="auto"/>
          <w:kern w:val="0"/>
          <w:highlight w:val="none"/>
        </w:rPr>
        <w:t>废气、废水、噪声</w:t>
      </w:r>
      <w:r>
        <w:rPr>
          <w:color w:val="auto"/>
          <w:kern w:val="0"/>
          <w:highlight w:val="none"/>
        </w:rPr>
        <w:t>进行了</w:t>
      </w:r>
      <w:r>
        <w:rPr>
          <w:rFonts w:hint="eastAsia"/>
          <w:color w:val="auto"/>
          <w:kern w:val="0"/>
          <w:highlight w:val="none"/>
        </w:rPr>
        <w:t>竣工</w:t>
      </w:r>
      <w:r>
        <w:rPr>
          <w:color w:val="auto"/>
          <w:kern w:val="0"/>
          <w:highlight w:val="none"/>
        </w:rPr>
        <w:t>验收</w:t>
      </w:r>
      <w:r>
        <w:rPr>
          <w:rFonts w:hint="eastAsia"/>
          <w:color w:val="auto"/>
          <w:kern w:val="0"/>
          <w:highlight w:val="none"/>
        </w:rPr>
        <w:t>检测并出具检测报告</w:t>
      </w:r>
      <w:r>
        <w:rPr>
          <w:bCs/>
          <w:caps/>
          <w:color w:val="auto"/>
          <w:kern w:val="0"/>
          <w:highlight w:val="none"/>
        </w:rPr>
        <w:t>。</w:t>
      </w:r>
      <w:r>
        <w:rPr>
          <w:rFonts w:hint="eastAsia"/>
          <w:bCs/>
          <w:caps/>
          <w:color w:val="auto"/>
          <w:kern w:val="0"/>
          <w:highlight w:val="none"/>
        </w:rPr>
        <w:t>根据项目情况及检测报告，</w:t>
      </w:r>
      <w:r>
        <w:rPr>
          <w:rFonts w:hint="eastAsia"/>
          <w:color w:val="auto"/>
          <w:kern w:val="21"/>
          <w:highlight w:val="none"/>
        </w:rPr>
        <w:t>济南久隆医药科技有限公司于2022年7月编制完成了《济南久隆医药科技有限公司实验室建设项目</w:t>
      </w:r>
      <w:r>
        <w:rPr>
          <w:rFonts w:hint="eastAsia"/>
          <w:color w:val="auto"/>
          <w:highlight w:val="none"/>
        </w:rPr>
        <w:t>竣工环境保护验收监测报告表</w:t>
      </w:r>
      <w:r>
        <w:rPr>
          <w:rFonts w:hint="eastAsia"/>
          <w:color w:val="auto"/>
          <w:kern w:val="21"/>
          <w:highlight w:val="none"/>
        </w:rPr>
        <w:t>》。</w:t>
      </w:r>
    </w:p>
    <w:p>
      <w:pPr>
        <w:ind w:firstLine="480"/>
        <w:rPr>
          <w:color w:val="auto"/>
          <w:kern w:val="0"/>
          <w:highlight w:val="none"/>
        </w:rPr>
      </w:pPr>
      <w:r>
        <w:rPr>
          <w:rFonts w:hint="eastAsia" w:ascii="Times New Roman" w:hAnsi="Times New Roman" w:eastAsia="宋体" w:cs="Times New Roman"/>
          <w:sz w:val="24"/>
          <w:szCs w:val="24"/>
          <w:lang w:val="en-US" w:eastAsia="zh-CN"/>
        </w:rPr>
        <w:t>2022年7月30日，济南久隆医药科技有限公司在济南市高新区组织了项目竣工环境保护验收会。验收组由建设单位/验收监测报告编制单位济南久隆医药科技有限公司、检测单位山东华晟环境检测有限公司等单位的代表和专业技术专家组成，对济南久隆医药科技有限公司实验室建设项目开展环保验收工作，验收工作组对现场进行了检查，听取了竣工环保验收监测报告编制单位的工作成果汇报，并进行了技术质询及评议后，验收组同意通过验收，验收合格。</w:t>
      </w:r>
    </w:p>
    <w:p>
      <w:pPr>
        <w:ind w:firstLine="480"/>
        <w:rPr>
          <w:color w:val="auto"/>
          <w:highlight w:val="none"/>
        </w:rPr>
      </w:pPr>
    </w:p>
    <w:p>
      <w:pPr>
        <w:pStyle w:val="2"/>
        <w:ind w:firstLine="560"/>
        <w:rPr>
          <w:rFonts w:ascii="Times New Roman" w:hAnsi="Times New Roman"/>
          <w:color w:val="auto"/>
          <w:highlight w:val="none"/>
        </w:rPr>
        <w:sectPr>
          <w:footerReference r:id="rId5"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color w:val="auto"/>
          <w:sz w:val="36"/>
          <w:szCs w:val="36"/>
          <w:highlight w:val="none"/>
        </w:rPr>
      </w:pPr>
      <w:bookmarkStart w:id="3" w:name="_Toc4792"/>
      <w:r>
        <w:rPr>
          <w:b/>
          <w:bCs/>
          <w:color w:val="auto"/>
          <w:sz w:val="36"/>
          <w:szCs w:val="36"/>
          <w:highlight w:val="none"/>
        </w:rPr>
        <w:t>目</w:t>
      </w:r>
      <w:r>
        <w:rPr>
          <w:rFonts w:hint="eastAsia"/>
          <w:b/>
          <w:bCs/>
          <w:color w:val="auto"/>
          <w:sz w:val="36"/>
          <w:szCs w:val="36"/>
          <w:highlight w:val="none"/>
        </w:rPr>
        <w:t xml:space="preserve"> </w:t>
      </w:r>
      <w:r>
        <w:rPr>
          <w:b/>
          <w:bCs/>
          <w:color w:val="auto"/>
          <w:sz w:val="36"/>
          <w:szCs w:val="36"/>
          <w:highlight w:val="none"/>
        </w:rPr>
        <w:t>录</w:t>
      </w:r>
      <w:bookmarkEnd w:id="3"/>
    </w:p>
    <w:p>
      <w:pPr>
        <w:pStyle w:val="34"/>
        <w:ind w:firstLine="0" w:firstLineChars="0"/>
        <w:jc w:val="center"/>
        <w:rPr>
          <w:rFonts w:cs="Times New Roman"/>
          <w:b/>
          <w:bCs/>
          <w:color w:val="auto"/>
          <w:sz w:val="36"/>
          <w:szCs w:val="36"/>
          <w:highlight w:val="none"/>
        </w:rPr>
      </w:pPr>
    </w:p>
    <w:p>
      <w:pPr>
        <w:pStyle w:val="22"/>
        <w:tabs>
          <w:tab w:val="right" w:leader="dot" w:pos="8924"/>
          <w:tab w:val="clear" w:pos="8836"/>
        </w:tabs>
        <w:rPr>
          <w:sz w:val="28"/>
          <w:szCs w:val="28"/>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"1-3" \h \u </w:instrText>
      </w:r>
      <w:r>
        <w:rPr>
          <w:rFonts w:ascii="Times New Roman" w:hAnsi="Times New Roman"/>
          <w:color w:val="auto"/>
          <w:sz w:val="28"/>
          <w:szCs w:val="28"/>
          <w:highlight w:val="none"/>
        </w:rPr>
        <w:fldChar w:fldCharType="separate"/>
      </w:r>
      <w:r>
        <w:rPr>
          <w:rFonts w:cs="Times New Roman"/>
          <w:color w:val="auto"/>
          <w:sz w:val="28"/>
          <w:szCs w:val="28"/>
          <w:highlight w:val="none"/>
        </w:rPr>
        <w:fldChar w:fldCharType="begin"/>
      </w:r>
      <w:r>
        <w:rPr>
          <w:rFonts w:cs="Times New Roman"/>
          <w:sz w:val="28"/>
          <w:szCs w:val="28"/>
          <w:highlight w:val="none"/>
        </w:rPr>
        <w:instrText xml:space="preserve"> HYPERLINK \l _Toc9563 </w:instrText>
      </w:r>
      <w:r>
        <w:rPr>
          <w:rFonts w:cs="Times New Roman"/>
          <w:sz w:val="28"/>
          <w:szCs w:val="28"/>
          <w:highlight w:val="none"/>
        </w:rPr>
        <w:fldChar w:fldCharType="separate"/>
      </w:r>
      <w:r>
        <w:rPr>
          <w:bCs/>
          <w:sz w:val="28"/>
          <w:szCs w:val="28"/>
          <w:highlight w:val="none"/>
        </w:rPr>
        <w:t>表1  基本情况</w:t>
      </w:r>
      <w:r>
        <w:rPr>
          <w:sz w:val="28"/>
          <w:szCs w:val="28"/>
        </w:rPr>
        <w:tab/>
      </w:r>
      <w:r>
        <w:rPr>
          <w:sz w:val="28"/>
          <w:szCs w:val="28"/>
        </w:rPr>
        <w:fldChar w:fldCharType="begin"/>
      </w:r>
      <w:r>
        <w:rPr>
          <w:sz w:val="28"/>
          <w:szCs w:val="28"/>
        </w:rPr>
        <w:instrText xml:space="preserve"> PAGEREF _Toc9563 \h </w:instrText>
      </w:r>
      <w:r>
        <w:rPr>
          <w:sz w:val="28"/>
          <w:szCs w:val="28"/>
        </w:rPr>
        <w:fldChar w:fldCharType="separate"/>
      </w:r>
      <w:r>
        <w:rPr>
          <w:sz w:val="28"/>
          <w:szCs w:val="28"/>
        </w:rPr>
        <w:t>1</w:t>
      </w:r>
      <w:r>
        <w:rPr>
          <w:sz w:val="28"/>
          <w:szCs w:val="28"/>
        </w:rPr>
        <w:fldChar w:fldCharType="end"/>
      </w:r>
      <w:r>
        <w:rPr>
          <w:rFonts w:cs="Times New Roman"/>
          <w:color w:val="auto"/>
          <w:sz w:val="28"/>
          <w:szCs w:val="28"/>
          <w:highlight w:val="none"/>
        </w:rPr>
        <w:fldChar w:fldCharType="end"/>
      </w:r>
    </w:p>
    <w:p>
      <w:pPr>
        <w:pStyle w:val="22"/>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_Toc22863 </w:instrText>
      </w:r>
      <w:r>
        <w:rPr>
          <w:rFonts w:cs="Times New Roman"/>
          <w:sz w:val="28"/>
          <w:szCs w:val="28"/>
          <w:highlight w:val="none"/>
        </w:rPr>
        <w:fldChar w:fldCharType="separate"/>
      </w:r>
      <w:r>
        <w:rPr>
          <w:bCs/>
          <w:sz w:val="28"/>
          <w:szCs w:val="28"/>
          <w:highlight w:val="none"/>
        </w:rPr>
        <w:t>表2  建设项目概况及工艺流程</w:t>
      </w:r>
      <w:r>
        <w:rPr>
          <w:sz w:val="28"/>
          <w:szCs w:val="28"/>
        </w:rPr>
        <w:tab/>
      </w:r>
      <w:r>
        <w:rPr>
          <w:sz w:val="28"/>
          <w:szCs w:val="28"/>
        </w:rPr>
        <w:fldChar w:fldCharType="begin"/>
      </w:r>
      <w:r>
        <w:rPr>
          <w:sz w:val="28"/>
          <w:szCs w:val="28"/>
        </w:rPr>
        <w:instrText xml:space="preserve"> PAGEREF _Toc22863 \h </w:instrText>
      </w:r>
      <w:r>
        <w:rPr>
          <w:sz w:val="28"/>
          <w:szCs w:val="28"/>
        </w:rPr>
        <w:fldChar w:fldCharType="separate"/>
      </w:r>
      <w:r>
        <w:rPr>
          <w:sz w:val="28"/>
          <w:szCs w:val="28"/>
        </w:rPr>
        <w:t>4</w:t>
      </w:r>
      <w:r>
        <w:rPr>
          <w:sz w:val="28"/>
          <w:szCs w:val="28"/>
        </w:rPr>
        <w:fldChar w:fldCharType="end"/>
      </w:r>
      <w:r>
        <w:rPr>
          <w:rFonts w:cs="Times New Roman"/>
          <w:color w:val="auto"/>
          <w:sz w:val="28"/>
          <w:szCs w:val="28"/>
          <w:highlight w:val="none"/>
        </w:rPr>
        <w:fldChar w:fldCharType="end"/>
      </w:r>
    </w:p>
    <w:p>
      <w:pPr>
        <w:pStyle w:val="22"/>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_Toc9265 </w:instrText>
      </w:r>
      <w:r>
        <w:rPr>
          <w:rFonts w:cs="Times New Roman"/>
          <w:sz w:val="28"/>
          <w:szCs w:val="28"/>
          <w:highlight w:val="none"/>
        </w:rPr>
        <w:fldChar w:fldCharType="separate"/>
      </w:r>
      <w:r>
        <w:rPr>
          <w:bCs/>
          <w:sz w:val="28"/>
          <w:szCs w:val="28"/>
          <w:highlight w:val="none"/>
        </w:rPr>
        <w:t>表3  主要污染源、污染物处理和排放情况</w:t>
      </w:r>
      <w:r>
        <w:rPr>
          <w:sz w:val="28"/>
          <w:szCs w:val="28"/>
        </w:rPr>
        <w:tab/>
      </w:r>
      <w:r>
        <w:rPr>
          <w:sz w:val="28"/>
          <w:szCs w:val="28"/>
        </w:rPr>
        <w:fldChar w:fldCharType="begin"/>
      </w:r>
      <w:r>
        <w:rPr>
          <w:sz w:val="28"/>
          <w:szCs w:val="28"/>
        </w:rPr>
        <w:instrText xml:space="preserve"> PAGEREF _Toc9265 \h </w:instrText>
      </w:r>
      <w:r>
        <w:rPr>
          <w:sz w:val="28"/>
          <w:szCs w:val="28"/>
        </w:rPr>
        <w:fldChar w:fldCharType="separate"/>
      </w:r>
      <w:r>
        <w:rPr>
          <w:sz w:val="28"/>
          <w:szCs w:val="28"/>
        </w:rPr>
        <w:t>20</w:t>
      </w:r>
      <w:r>
        <w:rPr>
          <w:sz w:val="28"/>
          <w:szCs w:val="28"/>
        </w:rPr>
        <w:fldChar w:fldCharType="end"/>
      </w:r>
      <w:r>
        <w:rPr>
          <w:rFonts w:cs="Times New Roman"/>
          <w:color w:val="auto"/>
          <w:sz w:val="28"/>
          <w:szCs w:val="28"/>
          <w:highlight w:val="none"/>
        </w:rPr>
        <w:fldChar w:fldCharType="end"/>
      </w:r>
    </w:p>
    <w:p>
      <w:pPr>
        <w:pStyle w:val="22"/>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_Toc1214 </w:instrText>
      </w:r>
      <w:r>
        <w:rPr>
          <w:rFonts w:cs="Times New Roman"/>
          <w:sz w:val="28"/>
          <w:szCs w:val="28"/>
          <w:highlight w:val="none"/>
        </w:rPr>
        <w:fldChar w:fldCharType="separate"/>
      </w:r>
      <w:r>
        <w:rPr>
          <w:bCs/>
          <w:sz w:val="28"/>
          <w:szCs w:val="28"/>
          <w:highlight w:val="none"/>
        </w:rPr>
        <w:t>表4  环评主要结论、审批部门审批决定及批复落实情况</w:t>
      </w:r>
      <w:r>
        <w:rPr>
          <w:sz w:val="28"/>
          <w:szCs w:val="28"/>
        </w:rPr>
        <w:tab/>
      </w:r>
      <w:r>
        <w:rPr>
          <w:sz w:val="28"/>
          <w:szCs w:val="28"/>
        </w:rPr>
        <w:fldChar w:fldCharType="begin"/>
      </w:r>
      <w:r>
        <w:rPr>
          <w:sz w:val="28"/>
          <w:szCs w:val="28"/>
        </w:rPr>
        <w:instrText xml:space="preserve"> PAGEREF _Toc1214 \h </w:instrText>
      </w:r>
      <w:r>
        <w:rPr>
          <w:sz w:val="28"/>
          <w:szCs w:val="28"/>
        </w:rPr>
        <w:fldChar w:fldCharType="separate"/>
      </w:r>
      <w:r>
        <w:rPr>
          <w:sz w:val="28"/>
          <w:szCs w:val="28"/>
        </w:rPr>
        <w:t>24</w:t>
      </w:r>
      <w:r>
        <w:rPr>
          <w:sz w:val="28"/>
          <w:szCs w:val="28"/>
        </w:rPr>
        <w:fldChar w:fldCharType="end"/>
      </w:r>
      <w:r>
        <w:rPr>
          <w:rFonts w:cs="Times New Roman"/>
          <w:color w:val="auto"/>
          <w:sz w:val="28"/>
          <w:szCs w:val="28"/>
          <w:highlight w:val="none"/>
        </w:rPr>
        <w:fldChar w:fldCharType="end"/>
      </w:r>
    </w:p>
    <w:p>
      <w:pPr>
        <w:pStyle w:val="22"/>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_Toc32555 </w:instrText>
      </w:r>
      <w:r>
        <w:rPr>
          <w:rFonts w:cs="Times New Roman"/>
          <w:sz w:val="28"/>
          <w:szCs w:val="28"/>
          <w:highlight w:val="none"/>
        </w:rPr>
        <w:fldChar w:fldCharType="separate"/>
      </w:r>
      <w:r>
        <w:rPr>
          <w:bCs/>
          <w:sz w:val="28"/>
          <w:szCs w:val="28"/>
          <w:highlight w:val="none"/>
        </w:rPr>
        <w:t>表5  验收监测质量保证及质量控制</w:t>
      </w:r>
      <w:r>
        <w:rPr>
          <w:sz w:val="28"/>
          <w:szCs w:val="28"/>
        </w:rPr>
        <w:tab/>
      </w:r>
      <w:r>
        <w:rPr>
          <w:sz w:val="28"/>
          <w:szCs w:val="28"/>
        </w:rPr>
        <w:fldChar w:fldCharType="begin"/>
      </w:r>
      <w:r>
        <w:rPr>
          <w:sz w:val="28"/>
          <w:szCs w:val="28"/>
        </w:rPr>
        <w:instrText xml:space="preserve"> PAGEREF _Toc32555 \h </w:instrText>
      </w:r>
      <w:r>
        <w:rPr>
          <w:sz w:val="28"/>
          <w:szCs w:val="28"/>
        </w:rPr>
        <w:fldChar w:fldCharType="separate"/>
      </w:r>
      <w:r>
        <w:rPr>
          <w:sz w:val="28"/>
          <w:szCs w:val="28"/>
        </w:rPr>
        <w:t>32</w:t>
      </w:r>
      <w:r>
        <w:rPr>
          <w:sz w:val="28"/>
          <w:szCs w:val="28"/>
        </w:rPr>
        <w:fldChar w:fldCharType="end"/>
      </w:r>
      <w:r>
        <w:rPr>
          <w:rFonts w:cs="Times New Roman"/>
          <w:color w:val="auto"/>
          <w:sz w:val="28"/>
          <w:szCs w:val="28"/>
          <w:highlight w:val="none"/>
        </w:rPr>
        <w:fldChar w:fldCharType="end"/>
      </w:r>
    </w:p>
    <w:p>
      <w:pPr>
        <w:pStyle w:val="22"/>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_Toc23704 </w:instrText>
      </w:r>
      <w:r>
        <w:rPr>
          <w:rFonts w:cs="Times New Roman"/>
          <w:sz w:val="28"/>
          <w:szCs w:val="28"/>
          <w:highlight w:val="none"/>
        </w:rPr>
        <w:fldChar w:fldCharType="separate"/>
      </w:r>
      <w:r>
        <w:rPr>
          <w:bCs/>
          <w:sz w:val="28"/>
          <w:szCs w:val="28"/>
          <w:highlight w:val="none"/>
        </w:rPr>
        <w:t>表6  验收监测内容</w:t>
      </w:r>
      <w:r>
        <w:rPr>
          <w:sz w:val="28"/>
          <w:szCs w:val="28"/>
        </w:rPr>
        <w:tab/>
      </w:r>
      <w:r>
        <w:rPr>
          <w:sz w:val="28"/>
          <w:szCs w:val="28"/>
        </w:rPr>
        <w:fldChar w:fldCharType="begin"/>
      </w:r>
      <w:r>
        <w:rPr>
          <w:sz w:val="28"/>
          <w:szCs w:val="28"/>
        </w:rPr>
        <w:instrText xml:space="preserve"> PAGEREF _Toc23704 \h </w:instrText>
      </w:r>
      <w:r>
        <w:rPr>
          <w:sz w:val="28"/>
          <w:szCs w:val="28"/>
        </w:rPr>
        <w:fldChar w:fldCharType="separate"/>
      </w:r>
      <w:r>
        <w:rPr>
          <w:sz w:val="28"/>
          <w:szCs w:val="28"/>
        </w:rPr>
        <w:t>35</w:t>
      </w:r>
      <w:r>
        <w:rPr>
          <w:sz w:val="28"/>
          <w:szCs w:val="28"/>
        </w:rPr>
        <w:fldChar w:fldCharType="end"/>
      </w:r>
      <w:r>
        <w:rPr>
          <w:rFonts w:cs="Times New Roman"/>
          <w:color w:val="auto"/>
          <w:sz w:val="28"/>
          <w:szCs w:val="28"/>
          <w:highlight w:val="none"/>
        </w:rPr>
        <w:fldChar w:fldCharType="end"/>
      </w:r>
    </w:p>
    <w:p>
      <w:pPr>
        <w:pStyle w:val="22"/>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_Toc15202 </w:instrText>
      </w:r>
      <w:r>
        <w:rPr>
          <w:rFonts w:cs="Times New Roman"/>
          <w:sz w:val="28"/>
          <w:szCs w:val="28"/>
          <w:highlight w:val="none"/>
        </w:rPr>
        <w:fldChar w:fldCharType="separate"/>
      </w:r>
      <w:r>
        <w:rPr>
          <w:bCs/>
          <w:sz w:val="28"/>
          <w:szCs w:val="28"/>
          <w:highlight w:val="none"/>
        </w:rPr>
        <w:t>表7  验收监测期间工况记录及验收监测结果</w:t>
      </w:r>
      <w:r>
        <w:rPr>
          <w:sz w:val="28"/>
          <w:szCs w:val="28"/>
        </w:rPr>
        <w:tab/>
      </w:r>
      <w:r>
        <w:rPr>
          <w:sz w:val="28"/>
          <w:szCs w:val="28"/>
        </w:rPr>
        <w:fldChar w:fldCharType="begin"/>
      </w:r>
      <w:r>
        <w:rPr>
          <w:sz w:val="28"/>
          <w:szCs w:val="28"/>
        </w:rPr>
        <w:instrText xml:space="preserve"> PAGEREF _Toc15202 \h </w:instrText>
      </w:r>
      <w:r>
        <w:rPr>
          <w:sz w:val="28"/>
          <w:szCs w:val="28"/>
        </w:rPr>
        <w:fldChar w:fldCharType="separate"/>
      </w:r>
      <w:r>
        <w:rPr>
          <w:sz w:val="28"/>
          <w:szCs w:val="28"/>
        </w:rPr>
        <w:t>40</w:t>
      </w:r>
      <w:r>
        <w:rPr>
          <w:sz w:val="28"/>
          <w:szCs w:val="28"/>
        </w:rPr>
        <w:fldChar w:fldCharType="end"/>
      </w:r>
      <w:r>
        <w:rPr>
          <w:rFonts w:cs="Times New Roman"/>
          <w:color w:val="auto"/>
          <w:sz w:val="28"/>
          <w:szCs w:val="28"/>
          <w:highlight w:val="none"/>
        </w:rPr>
        <w:fldChar w:fldCharType="end"/>
      </w:r>
    </w:p>
    <w:p>
      <w:pPr>
        <w:pStyle w:val="22"/>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_Toc25157 </w:instrText>
      </w:r>
      <w:r>
        <w:rPr>
          <w:rFonts w:cs="Times New Roman"/>
          <w:sz w:val="28"/>
          <w:szCs w:val="28"/>
          <w:highlight w:val="none"/>
        </w:rPr>
        <w:fldChar w:fldCharType="separate"/>
      </w:r>
      <w:r>
        <w:rPr>
          <w:bCs/>
          <w:sz w:val="28"/>
          <w:szCs w:val="28"/>
          <w:highlight w:val="none"/>
        </w:rPr>
        <w:t>表8  环境管理检查情况</w:t>
      </w:r>
      <w:r>
        <w:rPr>
          <w:sz w:val="28"/>
          <w:szCs w:val="28"/>
        </w:rPr>
        <w:tab/>
      </w:r>
      <w:r>
        <w:rPr>
          <w:sz w:val="28"/>
          <w:szCs w:val="28"/>
        </w:rPr>
        <w:fldChar w:fldCharType="begin"/>
      </w:r>
      <w:r>
        <w:rPr>
          <w:sz w:val="28"/>
          <w:szCs w:val="28"/>
        </w:rPr>
        <w:instrText xml:space="preserve"> PAGEREF _Toc25157 \h </w:instrText>
      </w:r>
      <w:r>
        <w:rPr>
          <w:sz w:val="28"/>
          <w:szCs w:val="28"/>
        </w:rPr>
        <w:fldChar w:fldCharType="separate"/>
      </w:r>
      <w:r>
        <w:rPr>
          <w:sz w:val="28"/>
          <w:szCs w:val="28"/>
        </w:rPr>
        <w:t>57</w:t>
      </w:r>
      <w:r>
        <w:rPr>
          <w:sz w:val="28"/>
          <w:szCs w:val="28"/>
        </w:rPr>
        <w:fldChar w:fldCharType="end"/>
      </w:r>
      <w:r>
        <w:rPr>
          <w:rFonts w:cs="Times New Roman"/>
          <w:color w:val="auto"/>
          <w:sz w:val="28"/>
          <w:szCs w:val="28"/>
          <w:highlight w:val="none"/>
        </w:rPr>
        <w:fldChar w:fldCharType="end"/>
      </w:r>
    </w:p>
    <w:p>
      <w:pPr>
        <w:pStyle w:val="22"/>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_Toc27269 </w:instrText>
      </w:r>
      <w:r>
        <w:rPr>
          <w:rFonts w:cs="Times New Roman"/>
          <w:sz w:val="28"/>
          <w:szCs w:val="28"/>
          <w:highlight w:val="none"/>
        </w:rPr>
        <w:fldChar w:fldCharType="separate"/>
      </w:r>
      <w:r>
        <w:rPr>
          <w:bCs/>
          <w:sz w:val="28"/>
          <w:szCs w:val="28"/>
          <w:highlight w:val="none"/>
        </w:rPr>
        <w:t>表9  验收监测结论及建议</w:t>
      </w:r>
      <w:r>
        <w:rPr>
          <w:sz w:val="28"/>
          <w:szCs w:val="28"/>
        </w:rPr>
        <w:tab/>
      </w:r>
      <w:r>
        <w:rPr>
          <w:sz w:val="28"/>
          <w:szCs w:val="28"/>
        </w:rPr>
        <w:fldChar w:fldCharType="begin"/>
      </w:r>
      <w:r>
        <w:rPr>
          <w:sz w:val="28"/>
          <w:szCs w:val="28"/>
        </w:rPr>
        <w:instrText xml:space="preserve"> PAGEREF _Toc27269 \h </w:instrText>
      </w:r>
      <w:r>
        <w:rPr>
          <w:sz w:val="28"/>
          <w:szCs w:val="28"/>
        </w:rPr>
        <w:fldChar w:fldCharType="separate"/>
      </w:r>
      <w:r>
        <w:rPr>
          <w:sz w:val="28"/>
          <w:szCs w:val="28"/>
        </w:rPr>
        <w:t>61</w:t>
      </w:r>
      <w:r>
        <w:rPr>
          <w:sz w:val="28"/>
          <w:szCs w:val="28"/>
        </w:rPr>
        <w:fldChar w:fldCharType="end"/>
      </w:r>
      <w:r>
        <w:rPr>
          <w:rFonts w:cs="Times New Roman"/>
          <w:color w:val="auto"/>
          <w:sz w:val="28"/>
          <w:szCs w:val="28"/>
          <w:highlight w:val="none"/>
        </w:rPr>
        <w:fldChar w:fldCharType="end"/>
      </w:r>
    </w:p>
    <w:p>
      <w:pPr>
        <w:pStyle w:val="34"/>
        <w:ind w:firstLine="0" w:firstLineChars="0"/>
        <w:rPr>
          <w:rFonts w:cs="Times New Roman"/>
          <w:color w:val="auto"/>
          <w:highlight w:val="none"/>
        </w:rPr>
      </w:pPr>
      <w:r>
        <w:rPr>
          <w:rFonts w:cs="Times New Roman"/>
          <w:color w:val="auto"/>
          <w:sz w:val="28"/>
          <w:szCs w:val="28"/>
          <w:highlight w:val="none"/>
        </w:rPr>
        <w:fldChar w:fldCharType="end"/>
      </w:r>
      <w:r>
        <w:rPr>
          <w:rFonts w:cs="Times New Roman"/>
          <w:color w:val="auto"/>
          <w:szCs w:val="24"/>
          <w:highlight w:val="none"/>
        </w:rPr>
        <w:t>附件：</w:t>
      </w:r>
    </w:p>
    <w:p>
      <w:pPr>
        <w:ind w:firstLine="480"/>
        <w:rPr>
          <w:color w:val="auto"/>
          <w:highlight w:val="none"/>
        </w:rPr>
      </w:pPr>
      <w:r>
        <w:rPr>
          <w:color w:val="auto"/>
          <w:highlight w:val="none"/>
        </w:rPr>
        <w:t>附件1  委托书</w:t>
      </w:r>
    </w:p>
    <w:p>
      <w:pPr>
        <w:ind w:firstLine="480"/>
        <w:rPr>
          <w:color w:val="auto"/>
          <w:highlight w:val="none"/>
        </w:rPr>
      </w:pPr>
      <w:r>
        <w:rPr>
          <w:color w:val="auto"/>
          <w:highlight w:val="none"/>
        </w:rPr>
        <w:t>附件2  环评批复</w:t>
      </w:r>
    </w:p>
    <w:p>
      <w:pPr>
        <w:ind w:firstLine="480"/>
        <w:rPr>
          <w:color w:val="auto"/>
          <w:highlight w:val="none"/>
        </w:rPr>
      </w:pPr>
      <w:r>
        <w:rPr>
          <w:color w:val="auto"/>
          <w:highlight w:val="none"/>
        </w:rPr>
        <w:t>附件</w:t>
      </w:r>
      <w:r>
        <w:rPr>
          <w:rFonts w:hint="eastAsia"/>
          <w:color w:val="auto"/>
          <w:highlight w:val="none"/>
        </w:rPr>
        <w:t>3</w:t>
      </w:r>
      <w:r>
        <w:rPr>
          <w:color w:val="auto"/>
          <w:highlight w:val="none"/>
        </w:rPr>
        <w:t xml:space="preserve">  </w:t>
      </w:r>
      <w:r>
        <w:rPr>
          <w:rFonts w:hint="eastAsia"/>
          <w:color w:val="auto"/>
          <w:highlight w:val="none"/>
        </w:rPr>
        <w:t>危废合同</w:t>
      </w:r>
    </w:p>
    <w:p>
      <w:pPr>
        <w:ind w:firstLine="480"/>
        <w:rPr>
          <w:color w:val="auto"/>
          <w:highlight w:val="none"/>
        </w:rPr>
      </w:pPr>
      <w:r>
        <w:rPr>
          <w:color w:val="auto"/>
          <w:highlight w:val="none"/>
        </w:rPr>
        <w:t>附件</w:t>
      </w:r>
      <w:r>
        <w:rPr>
          <w:rFonts w:hint="eastAsia"/>
          <w:color w:val="auto"/>
          <w:highlight w:val="none"/>
        </w:rPr>
        <w:t>4</w:t>
      </w:r>
      <w:r>
        <w:rPr>
          <w:color w:val="auto"/>
          <w:highlight w:val="none"/>
        </w:rPr>
        <w:t xml:space="preserve">  检测报告</w:t>
      </w:r>
    </w:p>
    <w:p>
      <w:pPr>
        <w:ind w:firstLine="480"/>
        <w:rPr>
          <w:color w:val="auto"/>
          <w:highlight w:val="none"/>
        </w:rPr>
      </w:pPr>
      <w:r>
        <w:rPr>
          <w:color w:val="auto"/>
          <w:highlight w:val="none"/>
        </w:rPr>
        <w:t>附件</w:t>
      </w:r>
      <w:r>
        <w:rPr>
          <w:rFonts w:hint="eastAsia"/>
          <w:color w:val="auto"/>
          <w:highlight w:val="none"/>
        </w:rPr>
        <w:t>5</w:t>
      </w:r>
      <w:r>
        <w:rPr>
          <w:color w:val="auto"/>
          <w:highlight w:val="none"/>
        </w:rPr>
        <w:t xml:space="preserve">  工况证明</w:t>
      </w:r>
    </w:p>
    <w:p>
      <w:pPr>
        <w:ind w:firstLine="480"/>
        <w:rPr>
          <w:color w:val="auto"/>
          <w:highlight w:val="none"/>
        </w:rPr>
      </w:pPr>
      <w:r>
        <w:rPr>
          <w:color w:val="auto"/>
          <w:highlight w:val="none"/>
        </w:rPr>
        <w:t>附件</w:t>
      </w:r>
      <w:r>
        <w:rPr>
          <w:rFonts w:hint="eastAsia"/>
          <w:color w:val="auto"/>
          <w:highlight w:val="none"/>
        </w:rPr>
        <w:t>6</w:t>
      </w:r>
      <w:r>
        <w:rPr>
          <w:color w:val="auto"/>
          <w:highlight w:val="none"/>
        </w:rPr>
        <w:t xml:space="preserve">  </w:t>
      </w:r>
      <w:r>
        <w:rPr>
          <w:rFonts w:hint="eastAsia"/>
          <w:color w:val="auto"/>
          <w:highlight w:val="none"/>
        </w:rPr>
        <w:t>进口</w:t>
      </w:r>
      <w:r>
        <w:rPr>
          <w:color w:val="auto"/>
          <w:highlight w:val="none"/>
        </w:rPr>
        <w:t>证明</w:t>
      </w:r>
    </w:p>
    <w:p>
      <w:pPr>
        <w:ind w:firstLine="480"/>
        <w:rPr>
          <w:rFonts w:hint="eastAsia" w:eastAsia="宋体"/>
          <w:color w:val="auto"/>
          <w:highlight w:val="none"/>
          <w:lang w:eastAsia="zh-CN"/>
        </w:rPr>
      </w:pPr>
      <w:r>
        <w:rPr>
          <w:color w:val="auto"/>
          <w:highlight w:val="none"/>
        </w:rPr>
        <w:t>附件</w:t>
      </w:r>
      <w:r>
        <w:rPr>
          <w:rFonts w:hint="eastAsia"/>
          <w:color w:val="auto"/>
          <w:highlight w:val="none"/>
          <w:lang w:val="en-US" w:eastAsia="zh-CN"/>
        </w:rPr>
        <w:t>7</w:t>
      </w:r>
      <w:r>
        <w:rPr>
          <w:color w:val="auto"/>
          <w:highlight w:val="none"/>
        </w:rPr>
        <w:t xml:space="preserve">  </w:t>
      </w:r>
      <w:r>
        <w:rPr>
          <w:rFonts w:hint="eastAsia"/>
          <w:color w:val="auto"/>
          <w:highlight w:val="none"/>
          <w:lang w:eastAsia="zh-CN"/>
        </w:rPr>
        <w:t>检测资质</w:t>
      </w:r>
    </w:p>
    <w:p>
      <w:pPr>
        <w:ind w:firstLine="0" w:firstLineChars="0"/>
        <w:rPr>
          <w:color w:val="auto"/>
          <w:kern w:val="0"/>
          <w:highlight w:val="none"/>
        </w:rPr>
      </w:pPr>
      <w:r>
        <w:rPr>
          <w:color w:val="auto"/>
          <w:kern w:val="0"/>
          <w:highlight w:val="none"/>
        </w:rPr>
        <w:t>附图：</w:t>
      </w:r>
    </w:p>
    <w:p>
      <w:pPr>
        <w:ind w:firstLine="480"/>
        <w:rPr>
          <w:color w:val="auto"/>
          <w:kern w:val="0"/>
          <w:highlight w:val="none"/>
        </w:rPr>
      </w:pPr>
      <w:r>
        <w:rPr>
          <w:color w:val="auto"/>
          <w:kern w:val="0"/>
          <w:highlight w:val="none"/>
        </w:rPr>
        <w:t>附图1  项目地理位置图</w:t>
      </w:r>
    </w:p>
    <w:p>
      <w:pPr>
        <w:ind w:firstLine="480"/>
        <w:rPr>
          <w:color w:val="auto"/>
          <w:kern w:val="0"/>
          <w:highlight w:val="none"/>
        </w:rPr>
      </w:pPr>
      <w:r>
        <w:rPr>
          <w:color w:val="auto"/>
          <w:kern w:val="0"/>
          <w:highlight w:val="none"/>
        </w:rPr>
        <w:t>附图2  项目周边情况图</w:t>
      </w:r>
    </w:p>
    <w:p>
      <w:pPr>
        <w:widowControl/>
        <w:ind w:firstLine="480"/>
        <w:rPr>
          <w:color w:val="auto"/>
          <w:kern w:val="0"/>
          <w:highlight w:val="none"/>
        </w:rPr>
      </w:pPr>
      <w:r>
        <w:rPr>
          <w:color w:val="auto"/>
          <w:kern w:val="0"/>
          <w:highlight w:val="none"/>
        </w:rPr>
        <w:t xml:space="preserve">附图3  </w:t>
      </w:r>
      <w:r>
        <w:rPr>
          <w:rFonts w:hint="eastAsia"/>
          <w:color w:val="auto"/>
          <w:kern w:val="0"/>
          <w:highlight w:val="none"/>
        </w:rPr>
        <w:t>项目</w:t>
      </w:r>
      <w:r>
        <w:rPr>
          <w:color w:val="auto"/>
          <w:kern w:val="0"/>
          <w:highlight w:val="none"/>
        </w:rPr>
        <w:t>平面布置图</w:t>
      </w:r>
    </w:p>
    <w:p>
      <w:pPr>
        <w:ind w:firstLine="0" w:firstLineChars="0"/>
        <w:rPr>
          <w:color w:val="auto"/>
          <w:kern w:val="0"/>
          <w:highlight w:val="none"/>
        </w:rPr>
      </w:pPr>
      <w:r>
        <w:rPr>
          <w:color w:val="auto"/>
          <w:kern w:val="0"/>
          <w:highlight w:val="none"/>
        </w:rPr>
        <w:t>附表：三同时登记表</w:t>
      </w:r>
    </w:p>
    <w:p>
      <w:pPr>
        <w:pStyle w:val="14"/>
        <w:ind w:left="0" w:leftChars="0" w:firstLine="0" w:firstLineChars="0"/>
        <w:outlineLvl w:val="0"/>
        <w:rPr>
          <w:b/>
          <w:bCs/>
          <w:color w:val="auto"/>
          <w:sz w:val="30"/>
          <w:szCs w:val="30"/>
          <w:highlight w:val="none"/>
        </w:rPr>
        <w:sectPr>
          <w:pgSz w:w="11906" w:h="16838"/>
          <w:pgMar w:top="1440" w:right="1463" w:bottom="1440" w:left="1519" w:header="851" w:footer="992" w:gutter="0"/>
          <w:cols w:space="720" w:num="1"/>
          <w:docGrid w:type="lines" w:linePitch="312" w:charSpace="0"/>
        </w:sectPr>
      </w:pPr>
      <w:bookmarkStart w:id="4" w:name="_Toc20449"/>
    </w:p>
    <w:p>
      <w:pPr>
        <w:pStyle w:val="14"/>
        <w:ind w:left="0" w:leftChars="0" w:firstLine="0" w:firstLineChars="0"/>
        <w:outlineLvl w:val="0"/>
        <w:rPr>
          <w:b/>
          <w:bCs/>
          <w:color w:val="auto"/>
          <w:highlight w:val="none"/>
        </w:rPr>
      </w:pPr>
      <w:bookmarkStart w:id="5" w:name="_Toc1462"/>
      <w:bookmarkStart w:id="6" w:name="_Toc28133"/>
      <w:bookmarkStart w:id="7" w:name="_Toc12779"/>
      <w:bookmarkStart w:id="8" w:name="_Toc3787"/>
      <w:bookmarkStart w:id="9" w:name="_Toc7544"/>
      <w:bookmarkStart w:id="10" w:name="_Toc20840"/>
      <w:bookmarkStart w:id="11" w:name="_Toc5501"/>
      <w:bookmarkStart w:id="12" w:name="_Toc22303"/>
      <w:bookmarkStart w:id="13" w:name="_Toc20976"/>
      <w:bookmarkStart w:id="14" w:name="_Toc11266"/>
      <w:bookmarkStart w:id="15" w:name="_Toc9427"/>
      <w:bookmarkStart w:id="16" w:name="_Toc17633"/>
      <w:bookmarkStart w:id="17" w:name="_Toc24423"/>
      <w:bookmarkStart w:id="18" w:name="_Toc17743"/>
      <w:bookmarkStart w:id="19" w:name="_Toc4904"/>
      <w:bookmarkStart w:id="20" w:name="_Toc937"/>
      <w:bookmarkStart w:id="21" w:name="_Toc16517"/>
      <w:bookmarkStart w:id="22" w:name="_Toc29383"/>
      <w:bookmarkStart w:id="23" w:name="_Toc17783"/>
      <w:bookmarkStart w:id="24" w:name="_Toc27870"/>
      <w:bookmarkStart w:id="25" w:name="_Toc6463"/>
      <w:bookmarkStart w:id="26" w:name="_Toc9563"/>
      <w:bookmarkStart w:id="27" w:name="_Toc6117"/>
      <w:r>
        <w:rPr>
          <w:b/>
          <w:bCs/>
          <w:color w:val="auto"/>
          <w:sz w:val="30"/>
          <w:szCs w:val="30"/>
          <w:highlight w:val="none"/>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tbl>
      <w:tblPr>
        <w:tblStyle w:val="26"/>
        <w:tblW w:w="512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6"/>
        <w:gridCol w:w="1893"/>
        <w:gridCol w:w="2001"/>
        <w:gridCol w:w="1172"/>
        <w:gridCol w:w="792"/>
        <w:gridCol w:w="128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tcBorders>
              <w:top w:val="single" w:color="000000" w:sz="12" w:space="0"/>
            </w:tcBorders>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建设项目名称</w:t>
            </w:r>
          </w:p>
        </w:tc>
        <w:tc>
          <w:tcPr>
            <w:tcW w:w="3885" w:type="pct"/>
            <w:gridSpan w:val="5"/>
            <w:tcBorders>
              <w:top w:val="single" w:color="000000" w:sz="12" w:space="0"/>
            </w:tcBorders>
            <w:vAlign w:val="center"/>
          </w:tcPr>
          <w:p>
            <w:pPr>
              <w:adjustRightInd w:val="0"/>
              <w:snapToGrid w:val="0"/>
              <w:spacing w:line="240" w:lineRule="auto"/>
              <w:ind w:firstLine="0" w:firstLineChars="0"/>
              <w:jc w:val="center"/>
              <w:rPr>
                <w:color w:val="auto"/>
                <w:highlight w:val="none"/>
              </w:rPr>
            </w:pPr>
            <w:r>
              <w:rPr>
                <w:rFonts w:hint="eastAsia"/>
                <w:color w:val="auto"/>
                <w:highlight w:val="none"/>
              </w:rPr>
              <w:t>济南久隆医药科技有限公司实验室建设项目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建设单位名称</w:t>
            </w:r>
          </w:p>
        </w:tc>
        <w:tc>
          <w:tcPr>
            <w:tcW w:w="3885" w:type="pct"/>
            <w:gridSpan w:val="5"/>
            <w:vAlign w:val="center"/>
          </w:tcPr>
          <w:p>
            <w:pPr>
              <w:adjustRightInd w:val="0"/>
              <w:snapToGrid w:val="0"/>
              <w:spacing w:line="240" w:lineRule="auto"/>
              <w:ind w:firstLine="0" w:firstLineChars="0"/>
              <w:jc w:val="center"/>
              <w:rPr>
                <w:color w:val="auto"/>
                <w:highlight w:val="none"/>
              </w:rPr>
            </w:pPr>
            <w:r>
              <w:rPr>
                <w:rFonts w:hint="eastAsia"/>
                <w:color w:val="auto"/>
                <w:highlight w:val="none"/>
              </w:rPr>
              <w:t>济南久隆医药科技有限公司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建设项目主管部门</w:t>
            </w:r>
          </w:p>
        </w:tc>
        <w:tc>
          <w:tcPr>
            <w:tcW w:w="3885" w:type="pct"/>
            <w:gridSpan w:val="5"/>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建设项目性质</w:t>
            </w:r>
          </w:p>
        </w:tc>
        <w:tc>
          <w:tcPr>
            <w:tcW w:w="3885" w:type="pct"/>
            <w:gridSpan w:val="5"/>
            <w:vAlign w:val="center"/>
          </w:tcPr>
          <w:p>
            <w:pPr>
              <w:adjustRightInd w:val="0"/>
              <w:snapToGrid w:val="0"/>
              <w:spacing w:line="240" w:lineRule="auto"/>
              <w:ind w:firstLine="0" w:firstLineChars="0"/>
              <w:jc w:val="center"/>
              <w:rPr>
                <w:color w:val="auto"/>
                <w:highlight w:val="none"/>
              </w:rPr>
            </w:pPr>
            <w:r>
              <w:rPr>
                <w:color w:val="auto"/>
                <w:szCs w:val="21"/>
                <w:highlight w:val="none"/>
              </w:rPr>
              <w:sym w:font="Wingdings 2" w:char="0052"/>
            </w:r>
            <w:r>
              <w:rPr>
                <w:color w:val="auto"/>
                <w:highlight w:val="none"/>
              </w:rPr>
              <w:t xml:space="preserve">新建  </w:t>
            </w:r>
            <w:r>
              <w:rPr>
                <w:color w:val="auto"/>
                <w:szCs w:val="21"/>
                <w:highlight w:val="none"/>
              </w:rPr>
              <w:sym w:font="Wingdings 2" w:char="00A3"/>
            </w:r>
            <w:r>
              <w:rPr>
                <w:color w:val="auto"/>
                <w:highlight w:val="none"/>
              </w:rPr>
              <w:t xml:space="preserve">改扩建  </w:t>
            </w:r>
            <w:r>
              <w:rPr>
                <w:color w:val="auto"/>
                <w:szCs w:val="21"/>
                <w:highlight w:val="none"/>
              </w:rPr>
              <w:t>□</w:t>
            </w:r>
            <w:r>
              <w:rPr>
                <w:color w:val="auto"/>
                <w:highlight w:val="none"/>
              </w:rPr>
              <w:t xml:space="preserve">技术改造  </w:t>
            </w:r>
            <w:r>
              <w:rPr>
                <w:color w:val="auto"/>
                <w:szCs w:val="21"/>
                <w:highlight w:val="none"/>
              </w:rPr>
              <w:t>□</w:t>
            </w:r>
            <w:r>
              <w:rPr>
                <w:color w:val="auto"/>
                <w:highlight w:val="none"/>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highlight w:val="none"/>
              </w:rPr>
            </w:pPr>
            <w:r>
              <w:rPr>
                <w:color w:val="auto"/>
                <w:highlight w:val="none"/>
              </w:rPr>
              <w:t>项目建设地点</w:t>
            </w:r>
          </w:p>
        </w:tc>
        <w:tc>
          <w:tcPr>
            <w:tcW w:w="3885" w:type="pct"/>
            <w:gridSpan w:val="5"/>
            <w:vAlign w:val="center"/>
          </w:tcPr>
          <w:p>
            <w:pPr>
              <w:adjustRightInd w:val="0"/>
              <w:snapToGrid w:val="0"/>
              <w:spacing w:line="240" w:lineRule="auto"/>
              <w:ind w:firstLine="0" w:firstLineChars="0"/>
              <w:jc w:val="center"/>
              <w:rPr>
                <w:color w:val="auto"/>
                <w:highlight w:val="none"/>
              </w:rPr>
            </w:pPr>
            <w:r>
              <w:rPr>
                <w:rFonts w:hint="eastAsia"/>
                <w:color w:val="auto"/>
                <w:highlight w:val="none"/>
              </w:rPr>
              <w:t>济南市高新区春兰路1177号银丰国际生物城B7-02楼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主要产品名称</w:t>
            </w:r>
          </w:p>
          <w:p>
            <w:pPr>
              <w:adjustRightInd w:val="0"/>
              <w:snapToGrid w:val="0"/>
              <w:spacing w:line="240" w:lineRule="auto"/>
              <w:ind w:firstLine="0" w:firstLineChars="0"/>
              <w:jc w:val="center"/>
              <w:rPr>
                <w:color w:val="auto"/>
                <w:sz w:val="30"/>
                <w:szCs w:val="30"/>
                <w:highlight w:val="none"/>
              </w:rPr>
            </w:pPr>
            <w:r>
              <w:rPr>
                <w:color w:val="auto"/>
                <w:highlight w:val="none"/>
              </w:rPr>
              <w:t>设计生产能力</w:t>
            </w:r>
          </w:p>
          <w:p>
            <w:pPr>
              <w:adjustRightInd w:val="0"/>
              <w:snapToGrid w:val="0"/>
              <w:spacing w:line="240" w:lineRule="auto"/>
              <w:ind w:firstLine="0" w:firstLineChars="0"/>
              <w:jc w:val="center"/>
              <w:rPr>
                <w:color w:val="auto"/>
                <w:sz w:val="30"/>
                <w:szCs w:val="30"/>
                <w:highlight w:val="none"/>
              </w:rPr>
            </w:pPr>
            <w:r>
              <w:rPr>
                <w:color w:val="auto"/>
                <w:highlight w:val="none"/>
              </w:rPr>
              <w:t>实际生产能力</w:t>
            </w:r>
          </w:p>
        </w:tc>
        <w:tc>
          <w:tcPr>
            <w:tcW w:w="3885" w:type="pct"/>
            <w:gridSpan w:val="5"/>
            <w:vAlign w:val="center"/>
          </w:tcPr>
          <w:p>
            <w:pPr>
              <w:pStyle w:val="42"/>
              <w:kinsoku w:val="0"/>
              <w:overflowPunct w:val="0"/>
              <w:spacing w:before="27"/>
              <w:ind w:right="6"/>
              <w:jc w:val="left"/>
              <w:rPr>
                <w:color w:val="auto"/>
                <w:sz w:val="24"/>
                <w:highlight w:val="none"/>
              </w:rPr>
            </w:pPr>
            <w:r>
              <w:rPr>
                <w:color w:val="auto"/>
                <w:sz w:val="24"/>
                <w:highlight w:val="none"/>
              </w:rPr>
              <w:t>主要产品名称：化学药品研发</w:t>
            </w:r>
            <w:r>
              <w:rPr>
                <w:rFonts w:hint="eastAsia"/>
                <w:color w:val="auto"/>
                <w:sz w:val="24"/>
                <w:highlight w:val="none"/>
              </w:rPr>
              <w:t>（包括合成、分析实验）</w:t>
            </w:r>
            <w:r>
              <w:rPr>
                <w:color w:val="auto"/>
                <w:sz w:val="24"/>
                <w:highlight w:val="none"/>
              </w:rPr>
              <w:t>；</w:t>
            </w:r>
          </w:p>
          <w:p>
            <w:pPr>
              <w:pStyle w:val="42"/>
              <w:kinsoku w:val="0"/>
              <w:overflowPunct w:val="0"/>
              <w:spacing w:before="27"/>
              <w:ind w:right="6"/>
              <w:jc w:val="left"/>
              <w:rPr>
                <w:color w:val="auto"/>
                <w:sz w:val="24"/>
                <w:highlight w:val="none"/>
              </w:rPr>
            </w:pPr>
            <w:r>
              <w:rPr>
                <w:color w:val="auto"/>
                <w:sz w:val="24"/>
                <w:highlight w:val="none"/>
              </w:rPr>
              <w:t>设计生产能力：/</w:t>
            </w:r>
          </w:p>
          <w:p>
            <w:pPr>
              <w:adjustRightInd w:val="0"/>
              <w:snapToGrid w:val="0"/>
              <w:spacing w:line="240" w:lineRule="auto"/>
              <w:ind w:firstLine="0" w:firstLineChars="0"/>
              <w:jc w:val="left"/>
              <w:rPr>
                <w:color w:val="auto"/>
                <w:highlight w:val="none"/>
              </w:rPr>
            </w:pPr>
            <w:r>
              <w:rPr>
                <w:color w:val="auto"/>
                <w:highlight w:val="none"/>
              </w:rPr>
              <w:t>实际生产能力：/</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highlight w:val="none"/>
              </w:rPr>
            </w:pPr>
            <w:r>
              <w:rPr>
                <w:color w:val="auto"/>
                <w:highlight w:val="none"/>
              </w:rPr>
              <w:t>环评时间</w:t>
            </w:r>
          </w:p>
        </w:tc>
        <w:tc>
          <w:tcPr>
            <w:tcW w:w="1030"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2021年12月30日</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开工日期</w:t>
            </w:r>
          </w:p>
        </w:tc>
        <w:tc>
          <w:tcPr>
            <w:tcW w:w="1765"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2</w:t>
            </w:r>
            <w:r>
              <w:rPr>
                <w:color w:val="auto"/>
                <w:highlight w:val="none"/>
              </w:rPr>
              <w:t>年</w:t>
            </w:r>
            <w:r>
              <w:rPr>
                <w:rFonts w:hint="eastAsia"/>
                <w:color w:val="auto"/>
                <w:highlight w:val="none"/>
              </w:rPr>
              <w:t>1</w:t>
            </w:r>
            <w:r>
              <w:rPr>
                <w:color w:val="auto"/>
                <w:highlight w:val="none"/>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highlight w:val="none"/>
              </w:rPr>
            </w:pPr>
            <w:r>
              <w:rPr>
                <w:color w:val="auto"/>
                <w:highlight w:val="none"/>
              </w:rPr>
              <w:t>投入试生产时间</w:t>
            </w:r>
          </w:p>
        </w:tc>
        <w:tc>
          <w:tcPr>
            <w:tcW w:w="1030" w:type="pct"/>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2</w:t>
            </w:r>
            <w:r>
              <w:rPr>
                <w:color w:val="auto"/>
                <w:highlight w:val="none"/>
              </w:rPr>
              <w:t>年</w:t>
            </w:r>
            <w:r>
              <w:rPr>
                <w:rFonts w:hint="eastAsia"/>
                <w:color w:val="auto"/>
                <w:highlight w:val="none"/>
              </w:rPr>
              <w:t>1</w:t>
            </w:r>
            <w:r>
              <w:rPr>
                <w:color w:val="auto"/>
                <w:highlight w:val="none"/>
              </w:rPr>
              <w:t>月</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现场监测时间</w:t>
            </w:r>
          </w:p>
        </w:tc>
        <w:tc>
          <w:tcPr>
            <w:tcW w:w="1765" w:type="pct"/>
            <w:gridSpan w:val="3"/>
            <w:vAlign w:val="center"/>
          </w:tcPr>
          <w:p>
            <w:pPr>
              <w:pStyle w:val="34"/>
              <w:snapToGrid w:val="0"/>
              <w:spacing w:line="240" w:lineRule="auto"/>
              <w:ind w:firstLine="0" w:firstLineChars="0"/>
              <w:textAlignment w:val="auto"/>
              <w:rPr>
                <w:rFonts w:cs="Times New Roman"/>
                <w:color w:val="auto"/>
                <w:szCs w:val="24"/>
                <w:highlight w:val="none"/>
              </w:rPr>
            </w:pPr>
            <w:r>
              <w:rPr>
                <w:rFonts w:hint="eastAsia" w:cs="Times New Roman"/>
                <w:color w:val="auto"/>
                <w:kern w:val="0"/>
                <w:highlight w:val="none"/>
              </w:rPr>
              <w:t>2022年1月10日~2022年1月11日、2022年4月21日~2022年4月22日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14"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环评报告表</w:t>
            </w:r>
          </w:p>
          <w:p>
            <w:pPr>
              <w:adjustRightInd w:val="0"/>
              <w:snapToGrid w:val="0"/>
              <w:spacing w:line="240" w:lineRule="auto"/>
              <w:ind w:firstLine="0" w:firstLineChars="0"/>
              <w:jc w:val="center"/>
              <w:rPr>
                <w:color w:val="auto"/>
                <w:sz w:val="30"/>
                <w:szCs w:val="30"/>
                <w:highlight w:val="none"/>
              </w:rPr>
            </w:pPr>
            <w:r>
              <w:rPr>
                <w:color w:val="auto"/>
                <w:highlight w:val="none"/>
              </w:rPr>
              <w:t>审批部门</w:t>
            </w:r>
          </w:p>
        </w:tc>
        <w:tc>
          <w:tcPr>
            <w:tcW w:w="1030" w:type="pct"/>
            <w:vAlign w:val="center"/>
          </w:tcPr>
          <w:p>
            <w:pPr>
              <w:adjustRightInd w:val="0"/>
              <w:snapToGrid w:val="0"/>
              <w:spacing w:line="240" w:lineRule="auto"/>
              <w:ind w:firstLine="0" w:firstLineChars="0"/>
              <w:jc w:val="center"/>
              <w:rPr>
                <w:color w:val="auto"/>
                <w:highlight w:val="none"/>
              </w:rPr>
            </w:pPr>
            <w:r>
              <w:rPr>
                <w:color w:val="auto"/>
                <w:highlight w:val="none"/>
              </w:rPr>
              <w:t>济南市生态环境局</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环评报告表</w:t>
            </w:r>
          </w:p>
          <w:p>
            <w:pPr>
              <w:adjustRightInd w:val="0"/>
              <w:snapToGrid w:val="0"/>
              <w:spacing w:line="240" w:lineRule="auto"/>
              <w:ind w:firstLine="0" w:firstLineChars="0"/>
              <w:jc w:val="center"/>
              <w:rPr>
                <w:color w:val="auto"/>
                <w:highlight w:val="none"/>
              </w:rPr>
            </w:pPr>
            <w:r>
              <w:rPr>
                <w:color w:val="auto"/>
                <w:highlight w:val="none"/>
              </w:rPr>
              <w:t>编制单位</w:t>
            </w:r>
          </w:p>
        </w:tc>
        <w:tc>
          <w:tcPr>
            <w:tcW w:w="1765" w:type="pct"/>
            <w:gridSpan w:val="3"/>
            <w:vAlign w:val="center"/>
          </w:tcPr>
          <w:p>
            <w:pPr>
              <w:adjustRightInd w:val="0"/>
              <w:snapToGrid w:val="0"/>
              <w:spacing w:line="240" w:lineRule="auto"/>
              <w:ind w:firstLine="0" w:firstLineChars="0"/>
              <w:rPr>
                <w:color w:val="auto"/>
                <w:highlight w:val="none"/>
              </w:rPr>
            </w:pPr>
            <w:r>
              <w:rPr>
                <w:rFonts w:hint="eastAsia"/>
                <w:color w:val="auto"/>
                <w:highlight w:val="none"/>
              </w:rPr>
              <w:t>山东国嘉环保科技有限公司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环保设施设计单位</w:t>
            </w:r>
          </w:p>
        </w:tc>
        <w:tc>
          <w:tcPr>
            <w:tcW w:w="1030" w:type="pct"/>
            <w:vAlign w:val="center"/>
          </w:tcPr>
          <w:p>
            <w:pPr>
              <w:adjustRightInd w:val="0"/>
              <w:snapToGrid w:val="0"/>
              <w:spacing w:line="240" w:lineRule="auto"/>
              <w:ind w:firstLine="0" w:firstLineChars="0"/>
              <w:jc w:val="center"/>
              <w:rPr>
                <w:color w:val="auto"/>
                <w:highlight w:val="none"/>
              </w:rPr>
            </w:pPr>
            <w:r>
              <w:rPr>
                <w:color w:val="auto"/>
                <w:highlight w:val="none"/>
              </w:rPr>
              <w:t>——</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环保设施施工单位</w:t>
            </w:r>
          </w:p>
        </w:tc>
        <w:tc>
          <w:tcPr>
            <w:tcW w:w="1765"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投资总概算</w:t>
            </w:r>
          </w:p>
        </w:tc>
        <w:tc>
          <w:tcPr>
            <w:tcW w:w="1030"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3000</w:t>
            </w:r>
            <w:r>
              <w:rPr>
                <w:color w:val="auto"/>
                <w:highlight w:val="none"/>
              </w:rPr>
              <w:t>万元</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环保投资总概算</w:t>
            </w:r>
          </w:p>
        </w:tc>
        <w:tc>
          <w:tcPr>
            <w:tcW w:w="638"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20</w:t>
            </w:r>
            <w:r>
              <w:rPr>
                <w:color w:val="auto"/>
                <w:highlight w:val="none"/>
              </w:rPr>
              <w:t>万元</w:t>
            </w:r>
          </w:p>
        </w:tc>
        <w:tc>
          <w:tcPr>
            <w:tcW w:w="431"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69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0.67</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4" w:type="pct"/>
            <w:vAlign w:val="center"/>
          </w:tcPr>
          <w:p>
            <w:pPr>
              <w:adjustRightInd w:val="0"/>
              <w:snapToGrid w:val="0"/>
              <w:spacing w:line="240" w:lineRule="auto"/>
              <w:ind w:firstLine="0" w:firstLineChars="0"/>
              <w:jc w:val="center"/>
              <w:rPr>
                <w:color w:val="auto"/>
                <w:highlight w:val="none"/>
              </w:rPr>
            </w:pPr>
            <w:r>
              <w:rPr>
                <w:color w:val="auto"/>
                <w:highlight w:val="none"/>
              </w:rPr>
              <w:t>实际总投资</w:t>
            </w:r>
          </w:p>
        </w:tc>
        <w:tc>
          <w:tcPr>
            <w:tcW w:w="1030"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1300</w:t>
            </w:r>
            <w:r>
              <w:rPr>
                <w:color w:val="auto"/>
                <w:highlight w:val="none"/>
              </w:rPr>
              <w:t>万元</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实际环保投资</w:t>
            </w:r>
          </w:p>
        </w:tc>
        <w:tc>
          <w:tcPr>
            <w:tcW w:w="638"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20</w:t>
            </w:r>
            <w:r>
              <w:rPr>
                <w:color w:val="auto"/>
                <w:highlight w:val="none"/>
              </w:rPr>
              <w:t>万元</w:t>
            </w:r>
          </w:p>
        </w:tc>
        <w:tc>
          <w:tcPr>
            <w:tcW w:w="431"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69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rPr>
              <w:t>1.5</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14"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验收监测依据</w:t>
            </w:r>
          </w:p>
        </w:tc>
        <w:tc>
          <w:tcPr>
            <w:tcW w:w="3885" w:type="pct"/>
            <w:gridSpan w:val="5"/>
            <w:vAlign w:val="center"/>
          </w:tcPr>
          <w:p>
            <w:pPr>
              <w:adjustRightInd w:val="0"/>
              <w:snapToGrid w:val="0"/>
              <w:ind w:firstLine="0" w:firstLineChars="0"/>
              <w:jc w:val="left"/>
              <w:rPr>
                <w:color w:val="auto"/>
                <w:highlight w:val="none"/>
              </w:rPr>
            </w:pPr>
            <w:r>
              <w:rPr>
                <w:color w:val="auto"/>
                <w:highlight w:val="none"/>
              </w:rPr>
              <w:t>1、中华人民共和国国务院令《建设项目环境保护管理条例》（2017年修订）第682号；</w:t>
            </w:r>
          </w:p>
          <w:p>
            <w:pPr>
              <w:adjustRightInd w:val="0"/>
              <w:snapToGrid w:val="0"/>
              <w:ind w:firstLine="0" w:firstLineChars="0"/>
              <w:jc w:val="left"/>
              <w:rPr>
                <w:color w:val="auto"/>
                <w:highlight w:val="none"/>
              </w:rPr>
            </w:pPr>
            <w:r>
              <w:rPr>
                <w:color w:val="auto"/>
                <w:highlight w:val="none"/>
              </w:rPr>
              <w:t>2、生态环境部＜关于发布《建设项目竣工环境保护验收技术指南 污染影响类》的公告＞（公告2018年 第9号）；</w:t>
            </w:r>
          </w:p>
          <w:p>
            <w:pPr>
              <w:adjustRightInd w:val="0"/>
              <w:snapToGrid w:val="0"/>
              <w:ind w:firstLine="0" w:firstLineChars="0"/>
              <w:jc w:val="left"/>
              <w:rPr>
                <w:color w:val="auto"/>
                <w:highlight w:val="none"/>
              </w:rPr>
            </w:pPr>
            <w:r>
              <w:rPr>
                <w:color w:val="auto"/>
                <w:highlight w:val="none"/>
              </w:rPr>
              <w:t>3、环境保护部办公厅函《建设项目竣工环境保护验收暂行办法》（国环规环评[2017]4号）；</w:t>
            </w:r>
          </w:p>
          <w:p>
            <w:pPr>
              <w:pStyle w:val="34"/>
              <w:snapToGrid w:val="0"/>
              <w:ind w:firstLine="0" w:firstLineChars="0"/>
              <w:textAlignment w:val="auto"/>
              <w:rPr>
                <w:color w:val="auto"/>
                <w:highlight w:val="none"/>
              </w:rPr>
            </w:pPr>
            <w:r>
              <w:rPr>
                <w:rFonts w:hint="eastAsia"/>
                <w:color w:val="auto"/>
                <w:highlight w:val="none"/>
              </w:rPr>
              <w:t>4</w:t>
            </w:r>
            <w:r>
              <w:rPr>
                <w:color w:val="auto"/>
                <w:highlight w:val="none"/>
              </w:rPr>
              <w:t>、关于印发《污染影响类建设项目重大变动清单（试行）的通知》（环办环评函[2020]688号）；</w:t>
            </w:r>
          </w:p>
          <w:p>
            <w:pPr>
              <w:adjustRightInd w:val="0"/>
              <w:snapToGrid w:val="0"/>
              <w:ind w:firstLine="0" w:firstLineChars="0"/>
              <w:jc w:val="left"/>
              <w:rPr>
                <w:color w:val="auto"/>
                <w:highlight w:val="none"/>
              </w:rPr>
            </w:pPr>
            <w:r>
              <w:rPr>
                <w:rFonts w:hint="eastAsia"/>
                <w:color w:val="auto"/>
                <w:highlight w:val="none"/>
              </w:rPr>
              <w:t>5</w:t>
            </w:r>
            <w:r>
              <w:rPr>
                <w:color w:val="auto"/>
                <w:highlight w:val="none"/>
              </w:rPr>
              <w:t>、《关于印发建设项目竣工环境保护验收现场检查及审查要点的通知》（环办〔2015〕113号）；</w:t>
            </w:r>
          </w:p>
          <w:p>
            <w:pPr>
              <w:pStyle w:val="34"/>
              <w:snapToGrid w:val="0"/>
              <w:ind w:firstLine="0" w:firstLineChars="0"/>
              <w:textAlignment w:val="auto"/>
              <w:rPr>
                <w:color w:val="auto"/>
                <w:highlight w:val="none"/>
              </w:rPr>
            </w:pPr>
            <w:r>
              <w:rPr>
                <w:rFonts w:hint="eastAsia"/>
                <w:color w:val="auto"/>
                <w:highlight w:val="none"/>
              </w:rPr>
              <w:t>6</w:t>
            </w:r>
            <w:r>
              <w:rPr>
                <w:color w:val="auto"/>
                <w:highlight w:val="none"/>
              </w:rPr>
              <w:t>、《中华人民共和国环境保护法》（2015年1月1日实施）；</w:t>
            </w:r>
          </w:p>
          <w:p>
            <w:pPr>
              <w:pStyle w:val="34"/>
              <w:snapToGrid w:val="0"/>
              <w:ind w:firstLine="0" w:firstLineChars="0"/>
              <w:textAlignment w:val="auto"/>
              <w:rPr>
                <w:color w:val="auto"/>
                <w:highlight w:val="none"/>
              </w:rPr>
            </w:pPr>
            <w:r>
              <w:rPr>
                <w:rFonts w:hint="eastAsia"/>
                <w:color w:val="auto"/>
                <w:highlight w:val="none"/>
              </w:rPr>
              <w:t>7</w:t>
            </w:r>
            <w:r>
              <w:rPr>
                <w:color w:val="auto"/>
                <w:highlight w:val="none"/>
              </w:rPr>
              <w:t>、《中华人民共和国环境影响评价法》（2018年修正，2020年9月29日起实施）；</w:t>
            </w:r>
          </w:p>
          <w:p>
            <w:pPr>
              <w:pStyle w:val="34"/>
              <w:snapToGrid w:val="0"/>
              <w:ind w:firstLine="0" w:firstLineChars="0"/>
              <w:textAlignment w:val="auto"/>
              <w:rPr>
                <w:color w:val="auto"/>
                <w:highlight w:val="none"/>
              </w:rPr>
            </w:pPr>
            <w:r>
              <w:rPr>
                <w:rFonts w:hint="eastAsia"/>
                <w:color w:val="auto"/>
                <w:highlight w:val="none"/>
              </w:rPr>
              <w:t>8</w:t>
            </w:r>
            <w:r>
              <w:rPr>
                <w:color w:val="auto"/>
                <w:highlight w:val="none"/>
              </w:rPr>
              <w:t>、《中华人民共和国固体废物污染环境防治法》（2020年9月1日起实施）；</w:t>
            </w:r>
          </w:p>
          <w:p>
            <w:pPr>
              <w:pStyle w:val="34"/>
              <w:snapToGrid w:val="0"/>
              <w:ind w:firstLine="0" w:firstLineChars="0"/>
              <w:textAlignment w:val="auto"/>
              <w:rPr>
                <w:color w:val="auto"/>
                <w:highlight w:val="none"/>
              </w:rPr>
            </w:pPr>
            <w:r>
              <w:rPr>
                <w:rFonts w:hint="eastAsia"/>
                <w:color w:val="auto"/>
                <w:highlight w:val="none"/>
              </w:rPr>
              <w:t>9</w:t>
            </w:r>
            <w:r>
              <w:rPr>
                <w:color w:val="auto"/>
                <w:highlight w:val="none"/>
              </w:rPr>
              <w:t>、《中华人民共和国水污染防治法》（2018年1月1日施行）；</w:t>
            </w:r>
          </w:p>
          <w:p>
            <w:pPr>
              <w:pStyle w:val="34"/>
              <w:snapToGrid w:val="0"/>
              <w:ind w:firstLine="0" w:firstLineChars="0"/>
              <w:textAlignment w:val="auto"/>
              <w:rPr>
                <w:color w:val="auto"/>
                <w:highlight w:val="none"/>
              </w:rPr>
            </w:pPr>
            <w:r>
              <w:rPr>
                <w:color w:val="auto"/>
                <w:highlight w:val="none"/>
              </w:rPr>
              <w:t>1</w:t>
            </w:r>
            <w:r>
              <w:rPr>
                <w:rFonts w:hint="eastAsia"/>
                <w:color w:val="auto"/>
                <w:highlight w:val="none"/>
              </w:rPr>
              <w:t>0</w:t>
            </w:r>
            <w:r>
              <w:rPr>
                <w:color w:val="auto"/>
                <w:highlight w:val="none"/>
              </w:rPr>
              <w:t>、《中华人民共和国环境噪声污染防治法》</w:t>
            </w:r>
            <w:r>
              <w:rPr>
                <w:rFonts w:hint="eastAsia" w:cs="Times New Roman"/>
                <w:color w:val="auto"/>
                <w:szCs w:val="24"/>
                <w:highlight w:val="none"/>
              </w:rPr>
              <w:t>（</w:t>
            </w:r>
            <w:r>
              <w:rPr>
                <w:rFonts w:cs="Times New Roman"/>
                <w:color w:val="auto"/>
                <w:szCs w:val="24"/>
                <w:highlight w:val="none"/>
              </w:rPr>
              <w:t>2022年6月5日施行</w:t>
            </w:r>
            <w:r>
              <w:rPr>
                <w:rFonts w:hint="eastAsia" w:cs="Times New Roman"/>
                <w:color w:val="auto"/>
                <w:szCs w:val="24"/>
                <w:highlight w:val="none"/>
              </w:rPr>
              <w:t>）</w:t>
            </w:r>
            <w:r>
              <w:rPr>
                <w:color w:val="auto"/>
                <w:highlight w:val="none"/>
              </w:rPr>
              <w:t>；</w:t>
            </w:r>
          </w:p>
          <w:p>
            <w:pPr>
              <w:pStyle w:val="34"/>
              <w:snapToGrid w:val="0"/>
              <w:ind w:firstLine="0" w:firstLineChars="0"/>
              <w:textAlignment w:val="auto"/>
              <w:rPr>
                <w:color w:val="auto"/>
                <w:highlight w:val="none"/>
              </w:rPr>
            </w:pPr>
            <w:r>
              <w:rPr>
                <w:color w:val="auto"/>
                <w:highlight w:val="none"/>
              </w:rPr>
              <w:t>11、《中华人民共和国大气污染防治法》（2018年10月）；</w:t>
            </w:r>
          </w:p>
          <w:p>
            <w:pPr>
              <w:pStyle w:val="34"/>
              <w:snapToGrid w:val="0"/>
              <w:ind w:firstLine="0" w:firstLineChars="0"/>
              <w:textAlignment w:val="auto"/>
              <w:rPr>
                <w:color w:val="auto"/>
                <w:highlight w:val="none"/>
              </w:rPr>
            </w:pPr>
            <w:r>
              <w:rPr>
                <w:color w:val="auto"/>
                <w:highlight w:val="none"/>
              </w:rPr>
              <w:t>12、《山东省环境保护条例》（2019年1月1日）；</w:t>
            </w:r>
          </w:p>
          <w:p>
            <w:pPr>
              <w:pStyle w:val="34"/>
              <w:snapToGrid w:val="0"/>
              <w:ind w:firstLine="0" w:firstLineChars="0"/>
              <w:textAlignment w:val="auto"/>
              <w:rPr>
                <w:color w:val="auto"/>
                <w:highlight w:val="none"/>
              </w:rPr>
            </w:pPr>
            <w:r>
              <w:rPr>
                <w:color w:val="auto"/>
                <w:highlight w:val="none"/>
              </w:rPr>
              <w:t>13、山东国嘉环保科技有限公司《济南久隆医药科技有限公司实验室建设项目环境影响报告表》（2021年11月）；</w:t>
            </w:r>
          </w:p>
          <w:p>
            <w:pPr>
              <w:pStyle w:val="34"/>
              <w:snapToGrid w:val="0"/>
              <w:ind w:firstLine="0" w:firstLineChars="0"/>
              <w:textAlignment w:val="auto"/>
              <w:rPr>
                <w:color w:val="auto"/>
                <w:highlight w:val="none"/>
              </w:rPr>
            </w:pPr>
            <w:r>
              <w:rPr>
                <w:color w:val="auto"/>
                <w:highlight w:val="none"/>
              </w:rPr>
              <w:t>14</w:t>
            </w:r>
            <w:r>
              <w:rPr>
                <w:rFonts w:hint="eastAsia"/>
                <w:color w:val="auto"/>
                <w:highlight w:val="none"/>
              </w:rPr>
              <w:t>、</w:t>
            </w:r>
            <w:r>
              <w:rPr>
                <w:color w:val="auto"/>
                <w:highlight w:val="none"/>
              </w:rPr>
              <w:t>济南市生态环境局</w:t>
            </w:r>
            <w:r>
              <w:rPr>
                <w:rFonts w:hint="eastAsia"/>
                <w:color w:val="auto"/>
                <w:highlight w:val="none"/>
              </w:rPr>
              <w:t>关于《</w:t>
            </w:r>
            <w:r>
              <w:rPr>
                <w:color w:val="auto"/>
                <w:highlight w:val="none"/>
              </w:rPr>
              <w:t>济南久隆医药科技有限公司实验室建设项目</w:t>
            </w:r>
            <w:r>
              <w:rPr>
                <w:rFonts w:hint="eastAsia"/>
                <w:color w:val="auto"/>
                <w:highlight w:val="none"/>
              </w:rPr>
              <w:t>环境影响报告表》的</w:t>
            </w:r>
            <w:r>
              <w:rPr>
                <w:color w:val="auto"/>
                <w:highlight w:val="none"/>
              </w:rPr>
              <w:t>批复</w:t>
            </w:r>
            <w:r>
              <w:rPr>
                <w:rFonts w:hint="eastAsia"/>
                <w:color w:val="auto"/>
                <w:highlight w:val="none"/>
              </w:rPr>
              <w:t>（</w:t>
            </w:r>
            <w:r>
              <w:rPr>
                <w:color w:val="auto"/>
                <w:highlight w:val="none"/>
              </w:rPr>
              <w:t>济环报告表［2021］G130号</w:t>
            </w:r>
            <w:r>
              <w:rPr>
                <w:rFonts w:hint="eastAsia"/>
                <w:color w:val="auto"/>
                <w:highlight w:val="none"/>
              </w:rPr>
              <w:t>，</w:t>
            </w:r>
            <w:r>
              <w:rPr>
                <w:color w:val="auto"/>
                <w:highlight w:val="none"/>
              </w:rPr>
              <w:t>2021年12月30日</w:t>
            </w:r>
            <w:r>
              <w:rPr>
                <w:rFonts w:hint="eastAsia"/>
                <w:color w:val="auto"/>
                <w:highlight w:val="none"/>
              </w:rPr>
              <w:t>）；</w:t>
            </w:r>
          </w:p>
          <w:p>
            <w:pPr>
              <w:pStyle w:val="34"/>
              <w:snapToGrid w:val="0"/>
              <w:ind w:firstLine="0" w:firstLineChars="0"/>
              <w:rPr>
                <w:color w:val="auto"/>
                <w:highlight w:val="none"/>
              </w:rPr>
            </w:pPr>
            <w:r>
              <w:rPr>
                <w:color w:val="auto"/>
                <w:highlight w:val="none"/>
              </w:rPr>
              <w:t>15、济南久隆医药科技有限公司实验室建设项目竣工环境保护验收监测委托书。</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14" w:type="pct"/>
            <w:vAlign w:val="center"/>
          </w:tcPr>
          <w:p>
            <w:pPr>
              <w:spacing w:line="240" w:lineRule="auto"/>
              <w:ind w:firstLine="0" w:firstLineChars="0"/>
              <w:jc w:val="center"/>
              <w:rPr>
                <w:color w:val="auto"/>
                <w:sz w:val="30"/>
                <w:szCs w:val="30"/>
                <w:highlight w:val="none"/>
              </w:rPr>
            </w:pPr>
            <w:r>
              <w:rPr>
                <w:color w:val="auto"/>
                <w:highlight w:val="none"/>
              </w:rPr>
              <w:t>验收判定标准</w:t>
            </w:r>
          </w:p>
          <w:p>
            <w:pPr>
              <w:spacing w:line="240" w:lineRule="auto"/>
              <w:ind w:firstLine="0" w:firstLineChars="0"/>
              <w:jc w:val="center"/>
              <w:rPr>
                <w:color w:val="auto"/>
                <w:highlight w:val="none"/>
              </w:rPr>
            </w:pPr>
            <w:r>
              <w:rPr>
                <w:color w:val="auto"/>
                <w:highlight w:val="none"/>
              </w:rPr>
              <w:t>标号、级别</w:t>
            </w:r>
          </w:p>
        </w:tc>
        <w:tc>
          <w:tcPr>
            <w:tcW w:w="3885" w:type="pct"/>
            <w:gridSpan w:val="5"/>
            <w:vAlign w:val="center"/>
          </w:tcPr>
          <w:p>
            <w:pPr>
              <w:pStyle w:val="3"/>
              <w:adjustRightInd w:val="0"/>
              <w:snapToGrid w:val="0"/>
              <w:ind w:firstLine="480"/>
              <w:rPr>
                <w:rFonts w:ascii="Times New Roman" w:hAnsi="Times New Roman"/>
                <w:color w:val="auto"/>
                <w:sz w:val="24"/>
                <w:highlight w:val="none"/>
              </w:rPr>
            </w:pPr>
            <w:r>
              <w:rPr>
                <w:rFonts w:ascii="Times New Roman" w:hAnsi="Times New Roman"/>
                <w:color w:val="auto"/>
                <w:sz w:val="24"/>
                <w:highlight w:val="none"/>
              </w:rPr>
              <w:t>1、废气：</w:t>
            </w:r>
          </w:p>
          <w:p>
            <w:pPr>
              <w:widowControl/>
              <w:ind w:firstLine="480"/>
              <w:rPr>
                <w:color w:val="auto"/>
                <w:highlight w:val="none"/>
              </w:rPr>
            </w:pPr>
            <w:r>
              <w:rPr>
                <w:rFonts w:hint="eastAsia"/>
                <w:color w:val="auto"/>
                <w:highlight w:val="none"/>
              </w:rPr>
              <w:t>有组织VOCs排放浓度和排放速率执行《挥发性有机物排放标准 第7部分：其他行业》（DB37/2801.7-2019）表1中“非重点行业”II时段排放限值要求；有组织甲苯、苯的排放浓度均执行《制药工业大气污染物排放标准》（GB37823-2019）表2大气污染物特别排放限值要求，排放速率执行《大气污染物综合排放标准》（GB16297-1996）表2二级标准的限值要求；有组织氯化氢排放浓度及排放速率执行《制药工业大气污染物排放标准》（GB37823-2019）表2大气污染物特别排放限值要求及《大气污染物综合排放标准》（GB16297-1996）表2限值要求；有组织氨排放浓度执行《制药工业大气污染物排放标准》（GB37823-2019）表2大气污染物特别排放限值要求，排放速率执行《恶臭污染物排放标准》(GB14554-93)表2排放限值要求；有组织硫酸雾、甲醇的排放浓度、排放速率均执行《大气污染物综合排放标准》（GB16297-1996）表2二级标准的限值要求；有组织臭气浓度执行《恶臭污染物排放标准》（GB14554-93）表2排放标准限值。</w:t>
            </w:r>
          </w:p>
          <w:p>
            <w:pPr>
              <w:widowControl/>
              <w:ind w:firstLine="480"/>
              <w:rPr>
                <w:color w:val="auto"/>
                <w:highlight w:val="none"/>
              </w:rPr>
            </w:pPr>
            <w:r>
              <w:rPr>
                <w:color w:val="auto"/>
                <w:highlight w:val="none"/>
              </w:rPr>
              <w:t>无组织VOCs执行山东省</w:t>
            </w:r>
            <w:r>
              <w:rPr>
                <w:rFonts w:hint="eastAsia"/>
                <w:color w:val="auto"/>
                <w:highlight w:val="none"/>
              </w:rPr>
              <w:t>《挥发性有机物排放标准第7部分：其他行业》（DB37/2801.7-2019）表2厂界监控点浓度限值及《挥发性有机物无组织排放控制标准》（GB37822-2019）要求；无组织甲苯、苯执行《挥发性有机物排放标准第7部分：其他行业》（DB37/2801.7-2019）表3厂界监控点浓度限值要求；无组织氯化氢执行《制药工业大气污染物排放标准》（GB37823-2019）表4浓度限值要求；无组织氨执行《恶臭污染物排放标准》(GB14554-93)表1</w:t>
            </w:r>
            <w:r>
              <w:rPr>
                <w:color w:val="auto"/>
                <w:highlight w:val="none"/>
              </w:rPr>
              <w:t>二级新改扩建浓度限值</w:t>
            </w:r>
            <w:r>
              <w:rPr>
                <w:rFonts w:hint="eastAsia"/>
                <w:color w:val="auto"/>
                <w:kern w:val="0"/>
                <w:highlight w:val="none"/>
                <w:lang w:bidi="ar"/>
              </w:rPr>
              <w:t>；无组织硫酸雾、甲醇执行《大气污染物综合排放标准》（GB16297-1996）表2无组织排放监控浓度限值要求</w:t>
            </w:r>
            <w:r>
              <w:rPr>
                <w:rFonts w:hint="eastAsia"/>
                <w:color w:val="auto"/>
                <w:highlight w:val="none"/>
              </w:rPr>
              <w:t>；无</w:t>
            </w:r>
            <w:r>
              <w:rPr>
                <w:rFonts w:hint="eastAsia"/>
                <w:color w:val="auto"/>
                <w:highlight w:val="none"/>
                <w:lang w:bidi="ar"/>
              </w:rPr>
              <w:t>组织臭气浓度执行《挥发性有机物排放标准第7部分：其他行业》（DB37/2801.7-2019）表2厂界监控点浓度限值要求</w:t>
            </w:r>
            <w:r>
              <w:rPr>
                <w:rFonts w:hint="eastAsia"/>
                <w:color w:val="auto"/>
                <w:kern w:val="0"/>
                <w:highlight w:val="none"/>
                <w:lang w:bidi="ar"/>
              </w:rPr>
              <w:t>。</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1-1</w:t>
            </w:r>
            <w:r>
              <w:rPr>
                <w:rFonts w:ascii="Times New Roman" w:hAnsi="Times New Roman"/>
                <w:b/>
                <w:bCs/>
                <w:color w:val="auto"/>
                <w:sz w:val="24"/>
                <w:highlight w:val="none"/>
              </w:rPr>
              <w:t xml:space="preserve">  大气污染物排放限值</w:t>
            </w:r>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363"/>
              <w:gridCol w:w="1776"/>
              <w:gridCol w:w="1526"/>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vMerge w:val="restart"/>
                  <w:shd w:val="clear" w:color="auto" w:fill="auto"/>
                  <w:vAlign w:val="center"/>
                </w:tcPr>
                <w:p>
                  <w:pPr>
                    <w:pStyle w:val="42"/>
                    <w:rPr>
                      <w:b/>
                      <w:bCs/>
                      <w:color w:val="auto"/>
                      <w:szCs w:val="21"/>
                      <w:highlight w:val="none"/>
                    </w:rPr>
                  </w:pPr>
                  <w:r>
                    <w:rPr>
                      <w:b/>
                      <w:bCs/>
                      <w:color w:val="auto"/>
                      <w:szCs w:val="21"/>
                      <w:highlight w:val="none"/>
                    </w:rPr>
                    <w:t>序号</w:t>
                  </w:r>
                </w:p>
              </w:tc>
              <w:tc>
                <w:tcPr>
                  <w:tcW w:w="959" w:type="pct"/>
                  <w:vMerge w:val="restart"/>
                  <w:shd w:val="clear" w:color="auto" w:fill="auto"/>
                  <w:vAlign w:val="center"/>
                </w:tcPr>
                <w:p>
                  <w:pPr>
                    <w:pStyle w:val="42"/>
                    <w:rPr>
                      <w:b/>
                      <w:bCs/>
                      <w:color w:val="auto"/>
                      <w:szCs w:val="21"/>
                      <w:highlight w:val="none"/>
                    </w:rPr>
                  </w:pPr>
                  <w:r>
                    <w:rPr>
                      <w:b/>
                      <w:bCs/>
                      <w:color w:val="auto"/>
                      <w:szCs w:val="21"/>
                      <w:highlight w:val="none"/>
                    </w:rPr>
                    <w:t>污染物</w:t>
                  </w:r>
                </w:p>
              </w:tc>
              <w:tc>
                <w:tcPr>
                  <w:tcW w:w="2324" w:type="pct"/>
                  <w:gridSpan w:val="2"/>
                  <w:shd w:val="clear" w:color="auto" w:fill="auto"/>
                  <w:vAlign w:val="center"/>
                </w:tcPr>
                <w:p>
                  <w:pPr>
                    <w:pStyle w:val="42"/>
                    <w:rPr>
                      <w:b/>
                      <w:bCs/>
                      <w:color w:val="auto"/>
                      <w:szCs w:val="21"/>
                      <w:highlight w:val="none"/>
                    </w:rPr>
                  </w:pPr>
                  <w:r>
                    <w:rPr>
                      <w:b/>
                      <w:bCs/>
                      <w:color w:val="auto"/>
                      <w:szCs w:val="21"/>
                      <w:highlight w:val="none"/>
                    </w:rPr>
                    <w:t>有组织排放</w:t>
                  </w:r>
                </w:p>
              </w:tc>
              <w:tc>
                <w:tcPr>
                  <w:tcW w:w="1235" w:type="pct"/>
                  <w:shd w:val="clear" w:color="auto" w:fill="auto"/>
                  <w:vAlign w:val="center"/>
                </w:tcPr>
                <w:p>
                  <w:pPr>
                    <w:pStyle w:val="42"/>
                    <w:rPr>
                      <w:b/>
                      <w:bCs/>
                      <w:color w:val="auto"/>
                      <w:szCs w:val="21"/>
                      <w:highlight w:val="none"/>
                    </w:rPr>
                  </w:pPr>
                  <w:r>
                    <w:rPr>
                      <w:b/>
                      <w:bCs/>
                      <w:color w:val="auto"/>
                      <w:szCs w:val="21"/>
                      <w:highlight w:val="none"/>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vMerge w:val="continue"/>
                  <w:shd w:val="clear" w:color="auto" w:fill="auto"/>
                  <w:vAlign w:val="center"/>
                </w:tcPr>
                <w:p>
                  <w:pPr>
                    <w:pStyle w:val="42"/>
                    <w:rPr>
                      <w:b/>
                      <w:bCs/>
                      <w:color w:val="auto"/>
                      <w:szCs w:val="21"/>
                      <w:highlight w:val="none"/>
                    </w:rPr>
                  </w:pPr>
                </w:p>
              </w:tc>
              <w:tc>
                <w:tcPr>
                  <w:tcW w:w="959" w:type="pct"/>
                  <w:vMerge w:val="continue"/>
                  <w:shd w:val="clear" w:color="auto" w:fill="auto"/>
                  <w:vAlign w:val="center"/>
                </w:tcPr>
                <w:p>
                  <w:pPr>
                    <w:pStyle w:val="42"/>
                    <w:rPr>
                      <w:b/>
                      <w:bCs/>
                      <w:color w:val="auto"/>
                      <w:szCs w:val="21"/>
                      <w:highlight w:val="none"/>
                    </w:rPr>
                  </w:pPr>
                </w:p>
              </w:tc>
              <w:tc>
                <w:tcPr>
                  <w:tcW w:w="1250" w:type="pct"/>
                  <w:shd w:val="clear" w:color="auto" w:fill="auto"/>
                  <w:vAlign w:val="center"/>
                </w:tcPr>
                <w:p>
                  <w:pPr>
                    <w:pStyle w:val="42"/>
                    <w:rPr>
                      <w:b/>
                      <w:bCs/>
                      <w:color w:val="auto"/>
                      <w:szCs w:val="21"/>
                      <w:highlight w:val="none"/>
                    </w:rPr>
                  </w:pPr>
                  <w:r>
                    <w:rPr>
                      <w:rFonts w:hint="eastAsia"/>
                      <w:b/>
                      <w:bCs/>
                      <w:color w:val="auto"/>
                      <w:szCs w:val="21"/>
                      <w:highlight w:val="none"/>
                    </w:rPr>
                    <w:t>最大允许</w:t>
                  </w:r>
                  <w:r>
                    <w:rPr>
                      <w:b/>
                      <w:bCs/>
                      <w:color w:val="auto"/>
                      <w:szCs w:val="21"/>
                      <w:highlight w:val="none"/>
                    </w:rPr>
                    <w:t>排放浓度mg/</w:t>
                  </w:r>
                  <w:r>
                    <w:rPr>
                      <w:rFonts w:hint="eastAsia"/>
                      <w:b/>
                      <w:bCs/>
                      <w:color w:val="auto"/>
                      <w:szCs w:val="21"/>
                      <w:highlight w:val="none"/>
                    </w:rPr>
                    <w:t>m</w:t>
                  </w:r>
                  <w:r>
                    <w:rPr>
                      <w:rFonts w:hint="eastAsia"/>
                      <w:b/>
                      <w:bCs/>
                      <w:color w:val="auto"/>
                      <w:szCs w:val="21"/>
                      <w:highlight w:val="none"/>
                      <w:vertAlign w:val="superscript"/>
                    </w:rPr>
                    <w:t>3</w:t>
                  </w:r>
                </w:p>
              </w:tc>
              <w:tc>
                <w:tcPr>
                  <w:tcW w:w="1073" w:type="pct"/>
                  <w:shd w:val="clear" w:color="auto" w:fill="auto"/>
                  <w:vAlign w:val="center"/>
                </w:tcPr>
                <w:p>
                  <w:pPr>
                    <w:pStyle w:val="42"/>
                    <w:rPr>
                      <w:b/>
                      <w:bCs/>
                      <w:color w:val="auto"/>
                      <w:szCs w:val="21"/>
                      <w:highlight w:val="none"/>
                    </w:rPr>
                  </w:pPr>
                  <w:r>
                    <w:rPr>
                      <w:rFonts w:hint="eastAsia"/>
                      <w:b/>
                      <w:bCs/>
                      <w:color w:val="auto"/>
                      <w:szCs w:val="21"/>
                      <w:highlight w:val="none"/>
                    </w:rPr>
                    <w:t>最大允许</w:t>
                  </w:r>
                  <w:r>
                    <w:rPr>
                      <w:b/>
                      <w:bCs/>
                      <w:color w:val="auto"/>
                      <w:szCs w:val="21"/>
                      <w:highlight w:val="none"/>
                    </w:rPr>
                    <w:t>排放速率kg/h</w:t>
                  </w:r>
                </w:p>
              </w:tc>
              <w:tc>
                <w:tcPr>
                  <w:tcW w:w="1235" w:type="pct"/>
                  <w:shd w:val="clear" w:color="auto" w:fill="auto"/>
                  <w:vAlign w:val="center"/>
                </w:tcPr>
                <w:p>
                  <w:pPr>
                    <w:pStyle w:val="42"/>
                    <w:rPr>
                      <w:b/>
                      <w:bCs/>
                      <w:color w:val="auto"/>
                      <w:szCs w:val="21"/>
                      <w:highlight w:val="none"/>
                    </w:rPr>
                  </w:pPr>
                  <w:r>
                    <w:rPr>
                      <w:rFonts w:hint="eastAsia"/>
                      <w:b/>
                      <w:bCs/>
                      <w:color w:val="auto"/>
                      <w:szCs w:val="21"/>
                      <w:highlight w:val="none"/>
                    </w:rPr>
                    <w:t>最大允许</w:t>
                  </w:r>
                  <w:r>
                    <w:rPr>
                      <w:b/>
                      <w:bCs/>
                      <w:color w:val="auto"/>
                      <w:szCs w:val="21"/>
                      <w:highlight w:val="none"/>
                    </w:rPr>
                    <w:t>排放浓度mg/</w:t>
                  </w:r>
                  <w:r>
                    <w:rPr>
                      <w:rFonts w:hint="eastAsia"/>
                      <w:b/>
                      <w:bCs/>
                      <w:color w:val="auto"/>
                      <w:szCs w:val="21"/>
                      <w:highlight w:val="none"/>
                    </w:rPr>
                    <w:t>m</w:t>
                  </w:r>
                  <w:r>
                    <w:rPr>
                      <w:rFonts w:hint="eastAsia"/>
                      <w:b/>
                      <w:bCs/>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shd w:val="clear" w:color="auto" w:fill="auto"/>
                  <w:vAlign w:val="center"/>
                </w:tcPr>
                <w:p>
                  <w:pPr>
                    <w:pStyle w:val="42"/>
                    <w:rPr>
                      <w:color w:val="auto"/>
                      <w:szCs w:val="21"/>
                      <w:highlight w:val="none"/>
                    </w:rPr>
                  </w:pPr>
                  <w:r>
                    <w:rPr>
                      <w:color w:val="auto"/>
                      <w:szCs w:val="21"/>
                      <w:highlight w:val="none"/>
                    </w:rPr>
                    <w:t>1</w:t>
                  </w:r>
                </w:p>
              </w:tc>
              <w:tc>
                <w:tcPr>
                  <w:tcW w:w="9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125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c>
                <w:tcPr>
                  <w:tcW w:w="10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123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shd w:val="clear" w:color="auto" w:fill="auto"/>
                  <w:vAlign w:val="center"/>
                </w:tcPr>
                <w:p>
                  <w:pPr>
                    <w:pStyle w:val="42"/>
                    <w:rPr>
                      <w:color w:val="auto"/>
                      <w:szCs w:val="21"/>
                      <w:highlight w:val="none"/>
                    </w:rPr>
                  </w:pPr>
                  <w:r>
                    <w:rPr>
                      <w:rFonts w:hint="eastAsia"/>
                      <w:color w:val="auto"/>
                      <w:szCs w:val="21"/>
                      <w:highlight w:val="none"/>
                    </w:rPr>
                    <w:t>2</w:t>
                  </w:r>
                </w:p>
              </w:tc>
              <w:tc>
                <w:tcPr>
                  <w:tcW w:w="9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125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10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0.90</w:t>
                  </w:r>
                </w:p>
              </w:tc>
              <w:tc>
                <w:tcPr>
                  <w:tcW w:w="123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shd w:val="clear" w:color="auto" w:fill="auto"/>
                  <w:vAlign w:val="center"/>
                </w:tcPr>
                <w:p>
                  <w:pPr>
                    <w:pStyle w:val="42"/>
                    <w:rPr>
                      <w:color w:val="auto"/>
                      <w:szCs w:val="21"/>
                      <w:highlight w:val="none"/>
                    </w:rPr>
                  </w:pPr>
                  <w:r>
                    <w:rPr>
                      <w:rFonts w:hint="eastAsia"/>
                      <w:color w:val="auto"/>
                      <w:szCs w:val="21"/>
                      <w:highlight w:val="none"/>
                    </w:rPr>
                    <w:t>3</w:t>
                  </w:r>
                </w:p>
              </w:tc>
              <w:tc>
                <w:tcPr>
                  <w:tcW w:w="9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125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40</w:t>
                  </w:r>
                </w:p>
              </w:tc>
              <w:tc>
                <w:tcPr>
                  <w:tcW w:w="10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5.2</w:t>
                  </w:r>
                </w:p>
              </w:tc>
              <w:tc>
                <w:tcPr>
                  <w:tcW w:w="123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shd w:val="clear" w:color="auto" w:fill="auto"/>
                  <w:vAlign w:val="center"/>
                </w:tcPr>
                <w:p>
                  <w:pPr>
                    <w:pStyle w:val="42"/>
                    <w:rPr>
                      <w:color w:val="auto"/>
                      <w:szCs w:val="21"/>
                      <w:highlight w:val="none"/>
                    </w:rPr>
                  </w:pPr>
                  <w:r>
                    <w:rPr>
                      <w:rFonts w:hint="eastAsia"/>
                      <w:color w:val="auto"/>
                      <w:szCs w:val="21"/>
                      <w:highlight w:val="none"/>
                    </w:rPr>
                    <w:t>4</w:t>
                  </w:r>
                </w:p>
              </w:tc>
              <w:tc>
                <w:tcPr>
                  <w:tcW w:w="9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125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30</w:t>
                  </w:r>
                </w:p>
              </w:tc>
              <w:tc>
                <w:tcPr>
                  <w:tcW w:w="10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0.43</w:t>
                  </w:r>
                </w:p>
              </w:tc>
              <w:tc>
                <w:tcPr>
                  <w:tcW w:w="123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shd w:val="clear" w:color="auto" w:fill="auto"/>
                  <w:vAlign w:val="center"/>
                </w:tcPr>
                <w:p>
                  <w:pPr>
                    <w:pStyle w:val="42"/>
                    <w:rPr>
                      <w:color w:val="auto"/>
                      <w:szCs w:val="21"/>
                      <w:highlight w:val="none"/>
                    </w:rPr>
                  </w:pPr>
                  <w:r>
                    <w:rPr>
                      <w:rFonts w:hint="eastAsia"/>
                      <w:color w:val="auto"/>
                      <w:szCs w:val="21"/>
                      <w:highlight w:val="none"/>
                    </w:rPr>
                    <w:t>5</w:t>
                  </w:r>
                </w:p>
              </w:tc>
              <w:tc>
                <w:tcPr>
                  <w:tcW w:w="9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125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190</w:t>
                  </w:r>
                </w:p>
              </w:tc>
              <w:tc>
                <w:tcPr>
                  <w:tcW w:w="10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p>
              </w:tc>
              <w:tc>
                <w:tcPr>
                  <w:tcW w:w="123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shd w:val="clear" w:color="auto" w:fill="auto"/>
                  <w:vAlign w:val="center"/>
                </w:tcPr>
                <w:p>
                  <w:pPr>
                    <w:pStyle w:val="42"/>
                    <w:rPr>
                      <w:color w:val="auto"/>
                      <w:szCs w:val="21"/>
                      <w:highlight w:val="none"/>
                    </w:rPr>
                  </w:pPr>
                  <w:r>
                    <w:rPr>
                      <w:rFonts w:hint="eastAsia"/>
                      <w:color w:val="auto"/>
                      <w:szCs w:val="21"/>
                      <w:highlight w:val="none"/>
                    </w:rPr>
                    <w:t>6</w:t>
                  </w:r>
                </w:p>
              </w:tc>
              <w:tc>
                <w:tcPr>
                  <w:tcW w:w="9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125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10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8.7</w:t>
                  </w:r>
                </w:p>
              </w:tc>
              <w:tc>
                <w:tcPr>
                  <w:tcW w:w="123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shd w:val="clear" w:color="auto" w:fill="auto"/>
                  <w:vAlign w:val="center"/>
                </w:tcPr>
                <w:p>
                  <w:pPr>
                    <w:pStyle w:val="42"/>
                    <w:rPr>
                      <w:color w:val="auto"/>
                      <w:szCs w:val="21"/>
                      <w:highlight w:val="none"/>
                    </w:rPr>
                  </w:pPr>
                  <w:r>
                    <w:rPr>
                      <w:rFonts w:hint="eastAsia"/>
                      <w:color w:val="auto"/>
                      <w:szCs w:val="21"/>
                      <w:highlight w:val="none"/>
                    </w:rPr>
                    <w:t>7</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6000（无量纲）</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16（无量纲）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shd w:val="clear" w:color="auto" w:fill="auto"/>
                  <w:vAlign w:val="center"/>
                </w:tcPr>
                <w:p>
                  <w:pPr>
                    <w:pStyle w:val="42"/>
                    <w:rPr>
                      <w:color w:val="auto"/>
                      <w:szCs w:val="21"/>
                      <w:highlight w:val="none"/>
                    </w:rPr>
                  </w:pPr>
                  <w:r>
                    <w:rPr>
                      <w:rFonts w:hint="eastAsia"/>
                      <w:color w:val="auto"/>
                      <w:szCs w:val="21"/>
                      <w:highlight w:val="none"/>
                    </w:rPr>
                    <w:t>8</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硫酸雾</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45</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2.6</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shd w:val="clear" w:color="auto" w:fill="auto"/>
                  <w:vAlign w:val="center"/>
                </w:tcPr>
                <w:p>
                  <w:pPr>
                    <w:pStyle w:val="42"/>
                    <w:rPr>
                      <w:color w:val="auto"/>
                      <w:szCs w:val="21"/>
                      <w:highlight w:val="none"/>
                    </w:rPr>
                  </w:pPr>
                  <w:r>
                    <w:rPr>
                      <w:rFonts w:hint="eastAsia"/>
                      <w:color w:val="auto"/>
                      <w:szCs w:val="21"/>
                      <w:highlight w:val="none"/>
                    </w:rPr>
                    <w:t>9</w:t>
                  </w:r>
                </w:p>
              </w:tc>
              <w:tc>
                <w:tcPr>
                  <w:tcW w:w="0" w:type="auto"/>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NMHC</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0" w:type="auto"/>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r>
          </w:tbl>
          <w:p>
            <w:pPr>
              <w:pStyle w:val="3"/>
              <w:adjustRightInd w:val="0"/>
              <w:snapToGrid w:val="0"/>
              <w:ind w:firstLine="480"/>
              <w:rPr>
                <w:rFonts w:ascii="Times New Roman" w:hAnsi="Times New Roman"/>
                <w:color w:val="auto"/>
                <w:highlight w:val="none"/>
              </w:rPr>
            </w:pPr>
            <w:r>
              <w:rPr>
                <w:rFonts w:ascii="Times New Roman" w:hAnsi="Times New Roman"/>
                <w:color w:val="auto"/>
                <w:sz w:val="24"/>
                <w:highlight w:val="none"/>
              </w:rPr>
              <w:t>2、废水：执行《污水排入城镇下水道水质标准》（GB/T31962-2015）</w:t>
            </w:r>
            <w:r>
              <w:rPr>
                <w:rFonts w:hint="eastAsia" w:ascii="Times New Roman" w:hAnsi="Times New Roman"/>
                <w:color w:val="auto"/>
                <w:sz w:val="24"/>
                <w:highlight w:val="none"/>
                <w:lang w:eastAsia="zh-CN"/>
              </w:rPr>
              <w:t>A级</w:t>
            </w:r>
            <w:r>
              <w:rPr>
                <w:rFonts w:ascii="Times New Roman" w:hAnsi="Times New Roman"/>
                <w:color w:val="auto"/>
                <w:sz w:val="24"/>
                <w:highlight w:val="none"/>
              </w:rPr>
              <w:t>标准要求。</w:t>
            </w:r>
          </w:p>
          <w:p>
            <w:pPr>
              <w:pStyle w:val="3"/>
              <w:adjustRightInd w:val="0"/>
              <w:snapToGrid w:val="0"/>
              <w:ind w:firstLine="480"/>
              <w:rPr>
                <w:rFonts w:ascii="Times New Roman" w:hAnsi="Times New Roman"/>
                <w:color w:val="auto"/>
                <w:sz w:val="24"/>
                <w:highlight w:val="none"/>
              </w:rPr>
            </w:pPr>
            <w:r>
              <w:rPr>
                <w:rFonts w:ascii="Times New Roman" w:hAnsi="Times New Roman"/>
                <w:color w:val="auto"/>
                <w:sz w:val="24"/>
                <w:highlight w:val="none"/>
              </w:rPr>
              <w:t>3、噪声：执行《工业企业厂界环境噪声排放标准》（GB12348-2008）中2类标准。</w:t>
            </w:r>
          </w:p>
          <w:p>
            <w:pPr>
              <w:pStyle w:val="3"/>
              <w:snapToGrid w:val="0"/>
              <w:ind w:firstLine="480"/>
              <w:rPr>
                <w:rFonts w:ascii="Times New Roman" w:hAnsi="Times New Roman"/>
                <w:color w:val="auto"/>
                <w:sz w:val="24"/>
                <w:highlight w:val="none"/>
              </w:rPr>
            </w:pPr>
            <w:r>
              <w:rPr>
                <w:rFonts w:ascii="Times New Roman" w:hAnsi="Times New Roman"/>
                <w:color w:val="auto"/>
                <w:sz w:val="24"/>
                <w:highlight w:val="none"/>
              </w:rPr>
              <w:t>4、固废：一般固废执行《一般工业固体废物贮存和填埋污染控制标准》（GB18599-2020）的要求，危险废物执行《危险废物贮存污染控制标准》（GB18597-2001）及修改单的规定。</w:t>
            </w:r>
          </w:p>
        </w:tc>
      </w:tr>
    </w:tbl>
    <w:p>
      <w:pPr>
        <w:ind w:firstLine="0" w:firstLineChars="0"/>
        <w:outlineLvl w:val="0"/>
        <w:rPr>
          <w:b/>
          <w:bCs/>
          <w:color w:val="auto"/>
          <w:sz w:val="30"/>
          <w:szCs w:val="30"/>
          <w:highlight w:val="none"/>
        </w:rPr>
      </w:pPr>
      <w:r>
        <w:rPr>
          <w:b/>
          <w:bCs/>
          <w:color w:val="auto"/>
          <w:sz w:val="30"/>
          <w:szCs w:val="30"/>
          <w:highlight w:val="none"/>
        </w:rPr>
        <w:br w:type="page"/>
      </w:r>
      <w:bookmarkStart w:id="28" w:name="_Toc15160"/>
      <w:bookmarkStart w:id="29" w:name="_Toc30894"/>
      <w:bookmarkStart w:id="30" w:name="_Toc24508"/>
      <w:bookmarkStart w:id="31" w:name="_Toc25486"/>
      <w:bookmarkStart w:id="32" w:name="_Toc16985"/>
      <w:bookmarkStart w:id="33" w:name="_Toc507"/>
      <w:bookmarkStart w:id="34" w:name="_Toc8085"/>
      <w:bookmarkStart w:id="35" w:name="_Toc32647"/>
      <w:bookmarkStart w:id="36" w:name="_Toc29904"/>
      <w:bookmarkStart w:id="37" w:name="_Toc7621"/>
      <w:bookmarkStart w:id="38" w:name="_Toc3294"/>
      <w:bookmarkStart w:id="39" w:name="_Toc23043"/>
      <w:bookmarkStart w:id="40" w:name="_Toc15252"/>
      <w:bookmarkStart w:id="41" w:name="_Toc19780"/>
      <w:bookmarkStart w:id="42" w:name="_Toc19070"/>
      <w:bookmarkStart w:id="43" w:name="_Toc12110"/>
      <w:bookmarkStart w:id="44" w:name="_Toc11264"/>
      <w:bookmarkStart w:id="45" w:name="_Toc23544"/>
      <w:bookmarkStart w:id="46" w:name="_Toc19446"/>
      <w:bookmarkStart w:id="47" w:name="_Toc2469"/>
      <w:bookmarkStart w:id="48" w:name="_Toc4548"/>
      <w:bookmarkStart w:id="49" w:name="_Toc27773"/>
      <w:bookmarkStart w:id="50" w:name="_Toc17386"/>
      <w:bookmarkStart w:id="51" w:name="_Toc22863"/>
      <w:r>
        <w:rPr>
          <w:b/>
          <w:bCs/>
          <w:color w:val="auto"/>
          <w:sz w:val="30"/>
          <w:szCs w:val="30"/>
          <w:highlight w:val="none"/>
        </w:rPr>
        <w:t>表2  建设项目概况及工艺流程</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tbl>
      <w:tblPr>
        <w:tblStyle w:val="26"/>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4"/>
              <w:ind w:firstLine="482"/>
              <w:rPr>
                <w:rFonts w:cs="Times New Roman"/>
                <w:b/>
                <w:bCs/>
                <w:color w:val="auto"/>
                <w:kern w:val="0"/>
                <w:highlight w:val="none"/>
              </w:rPr>
            </w:pPr>
            <w:r>
              <w:rPr>
                <w:rFonts w:cs="Times New Roman"/>
                <w:b/>
                <w:bCs/>
                <w:color w:val="auto"/>
                <w:kern w:val="0"/>
                <w:highlight w:val="none"/>
              </w:rPr>
              <w:t>一、公司概况</w:t>
            </w:r>
          </w:p>
          <w:p>
            <w:pPr>
              <w:pStyle w:val="34"/>
              <w:rPr>
                <w:rFonts w:cs="Times New Roman"/>
                <w:color w:val="auto"/>
                <w:szCs w:val="24"/>
                <w:highlight w:val="none"/>
              </w:rPr>
            </w:pPr>
            <w:r>
              <w:rPr>
                <w:rFonts w:cs="Times New Roman"/>
                <w:color w:val="auto"/>
                <w:szCs w:val="24"/>
                <w:highlight w:val="none"/>
              </w:rPr>
              <w:t>济南久隆医药科技有限公司成立于2008年06月20日，目前注册地位于山东省济南市高新区春兰路1177号银丰国际生物城B7栋02号，法定代表人为李志远。经营范围包括一般项目：技术服务、技术开发、技术咨询、技术交流、技术转让、技术推广；发酵过程优化技术研发；生物化工产品技术研发；医学研究和试验发展；专用化学产品制造（不含危险化学品）；药品委托生产等</w:t>
            </w:r>
            <w:r>
              <w:rPr>
                <w:rFonts w:hint="eastAsia" w:cs="Times New Roman"/>
                <w:color w:val="auto"/>
                <w:szCs w:val="24"/>
                <w:highlight w:val="none"/>
              </w:rPr>
              <w:t>。</w:t>
            </w:r>
          </w:p>
          <w:p>
            <w:pPr>
              <w:ind w:firstLine="482"/>
              <w:jc w:val="left"/>
              <w:rPr>
                <w:b/>
                <w:bCs/>
                <w:color w:val="auto"/>
                <w:highlight w:val="none"/>
              </w:rPr>
            </w:pPr>
            <w:r>
              <w:rPr>
                <w:b/>
                <w:bCs/>
                <w:color w:val="auto"/>
                <w:highlight w:val="none"/>
              </w:rPr>
              <w:t>二、本项目概况</w:t>
            </w:r>
          </w:p>
          <w:p>
            <w:pPr>
              <w:ind w:firstLine="480"/>
              <w:rPr>
                <w:color w:val="auto"/>
                <w:highlight w:val="none"/>
              </w:rPr>
            </w:pPr>
            <w:r>
              <w:rPr>
                <w:rFonts w:hint="eastAsia"/>
                <w:color w:val="auto"/>
                <w:highlight w:val="none"/>
              </w:rPr>
              <w:t>济南久隆医药科技有限公司位于济南高新区颖秀路2766号迪亚新药与药械基地北楼736室，占地面积138.6m</w:t>
            </w:r>
            <w:r>
              <w:rPr>
                <w:rFonts w:hint="eastAsia"/>
                <w:color w:val="auto"/>
                <w:highlight w:val="none"/>
                <w:vertAlign w:val="superscript"/>
              </w:rPr>
              <w:t>2</w:t>
            </w:r>
            <w:r>
              <w:rPr>
                <w:rFonts w:hint="eastAsia"/>
                <w:color w:val="auto"/>
                <w:highlight w:val="none"/>
              </w:rPr>
              <w:t>，主要从事药品研发（含合成实验、分析实验）。于2016年5月委托山东神华山大能源环境有限公司编制《</w:t>
            </w:r>
            <w:r>
              <w:rPr>
                <w:rFonts w:hint="eastAsia"/>
                <w:color w:val="auto"/>
                <w:highlight w:val="none"/>
                <w:lang w:eastAsia="zh-CN"/>
              </w:rPr>
              <w:t>济南久隆医药科技有限公司实验室项目</w:t>
            </w:r>
            <w:r>
              <w:rPr>
                <w:rFonts w:hint="eastAsia"/>
                <w:color w:val="auto"/>
                <w:highlight w:val="none"/>
              </w:rPr>
              <w:t>环境影响报告表》，原济南市环境保护局于2016年6月6日以济环报告表[2016]G21 号对其进行批复，于2018年7月11日通过竣工环境保护验收，验收文号为济环建验[2018]G106 号。</w:t>
            </w:r>
          </w:p>
          <w:p>
            <w:pPr>
              <w:pStyle w:val="34"/>
              <w:rPr>
                <w:rFonts w:cs="Times New Roman"/>
                <w:color w:val="auto"/>
                <w:spacing w:val="8"/>
                <w:highlight w:val="none"/>
              </w:rPr>
            </w:pPr>
            <w:r>
              <w:rPr>
                <w:rFonts w:hint="eastAsia" w:cs="Times New Roman"/>
                <w:color w:val="auto"/>
                <w:kern w:val="21"/>
                <w:szCs w:val="24"/>
                <w:highlight w:val="none"/>
              </w:rPr>
              <w:t>因公司发展需要，济南久隆医药科技有限公司</w:t>
            </w:r>
            <w:r>
              <w:rPr>
                <w:rFonts w:hint="eastAsia" w:cs="Times New Roman"/>
                <w:color w:val="auto"/>
                <w:kern w:val="21"/>
                <w:szCs w:val="24"/>
                <w:highlight w:val="none"/>
                <w:lang w:eastAsia="zh-CN"/>
              </w:rPr>
              <w:t>于2021年9月搬迁至济南市</w:t>
            </w:r>
            <w:r>
              <w:rPr>
                <w:rFonts w:hint="eastAsia" w:cs="Times New Roman"/>
                <w:color w:val="auto"/>
                <w:kern w:val="21"/>
                <w:szCs w:val="24"/>
                <w:highlight w:val="none"/>
              </w:rPr>
              <w:t>高新区春兰路1177号银丰国际生物城B7栋02号。济南久隆医药科技有限公司实验室建设项目（以下简称“本项目”）</w:t>
            </w:r>
            <w:r>
              <w:rPr>
                <w:rFonts w:hint="eastAsia" w:cs="Times New Roman"/>
                <w:color w:val="auto"/>
                <w:szCs w:val="24"/>
                <w:highlight w:val="none"/>
              </w:rPr>
              <w:t>主要进行</w:t>
            </w:r>
            <w:r>
              <w:rPr>
                <w:rFonts w:cs="Times New Roman"/>
                <w:color w:val="auto"/>
                <w:szCs w:val="24"/>
                <w:highlight w:val="none"/>
              </w:rPr>
              <w:t>化学药品研发</w:t>
            </w:r>
            <w:r>
              <w:rPr>
                <w:rFonts w:hint="eastAsia" w:cs="Times New Roman"/>
                <w:color w:val="auto"/>
                <w:szCs w:val="24"/>
                <w:highlight w:val="none"/>
              </w:rPr>
              <w:t>（包括合成、分析实验），</w:t>
            </w:r>
            <w:r>
              <w:rPr>
                <w:rFonts w:cs="Times New Roman"/>
                <w:color w:val="auto"/>
                <w:szCs w:val="24"/>
                <w:highlight w:val="none"/>
              </w:rPr>
              <w:t>项目</w:t>
            </w:r>
            <w:r>
              <w:rPr>
                <w:rFonts w:cs="Times New Roman"/>
                <w:color w:val="auto"/>
                <w:highlight w:val="none"/>
              </w:rPr>
              <w:t>占地面积</w:t>
            </w:r>
            <w:r>
              <w:rPr>
                <w:rFonts w:hint="eastAsia" w:cs="Times New Roman"/>
                <w:color w:val="auto"/>
                <w:highlight w:val="none"/>
              </w:rPr>
              <w:t>482</w:t>
            </w:r>
            <w:r>
              <w:rPr>
                <w:rFonts w:cs="Times New Roman"/>
                <w:color w:val="auto"/>
                <w:highlight w:val="none"/>
              </w:rPr>
              <w:t>平方米，总建筑面积</w:t>
            </w:r>
            <w:r>
              <w:rPr>
                <w:rFonts w:hint="eastAsia" w:cs="Times New Roman"/>
                <w:color w:val="auto"/>
                <w:highlight w:val="none"/>
              </w:rPr>
              <w:t>742</w:t>
            </w:r>
            <w:r>
              <w:rPr>
                <w:rFonts w:cs="Times New Roman"/>
                <w:color w:val="auto"/>
                <w:highlight w:val="none"/>
              </w:rPr>
              <w:t>平方米。</w:t>
            </w:r>
            <w:r>
              <w:rPr>
                <w:rFonts w:hint="eastAsia" w:cs="Times New Roman"/>
                <w:color w:val="auto"/>
                <w:highlight w:val="none"/>
              </w:rPr>
              <w:t>三</w:t>
            </w:r>
            <w:r>
              <w:rPr>
                <w:rFonts w:cs="Times New Roman"/>
                <w:color w:val="auto"/>
                <w:highlight w:val="none"/>
              </w:rPr>
              <w:t>楼为</w:t>
            </w:r>
            <w:r>
              <w:rPr>
                <w:rFonts w:hint="eastAsia" w:cs="Times New Roman"/>
                <w:color w:val="auto"/>
                <w:highlight w:val="none"/>
              </w:rPr>
              <w:t>实验区，主要包括理化室、称量室、液相室、气相室、高温室、试剂室、留样室、合成室、危废暂存间等；四楼为办公区，主要包括办公室、技术讨论室、档案室、开放办公区等。</w:t>
            </w:r>
            <w:r>
              <w:rPr>
                <w:rFonts w:hint="eastAsia" w:cs="Times New Roman"/>
                <w:color w:val="auto"/>
                <w:szCs w:val="24"/>
                <w:highlight w:val="none"/>
              </w:rPr>
              <w:t>总投资1300万元，其中环保投资20元，项目职工定员25人</w:t>
            </w:r>
            <w:r>
              <w:rPr>
                <w:rFonts w:cs="Times New Roman"/>
                <w:color w:val="auto"/>
                <w:szCs w:val="24"/>
                <w:highlight w:val="none"/>
              </w:rPr>
              <w:t>，每天工作8小时，年工作300天，年工作时间2400小时，夜间不生产。</w:t>
            </w:r>
          </w:p>
          <w:p>
            <w:pPr>
              <w:ind w:firstLine="480"/>
              <w:rPr>
                <w:color w:val="auto"/>
                <w:highlight w:val="none"/>
              </w:rPr>
            </w:pPr>
            <w:r>
              <w:rPr>
                <w:rFonts w:hint="eastAsia"/>
                <w:color w:val="auto"/>
                <w:highlight w:val="none"/>
              </w:rPr>
              <w:t>济南久隆医药科技有限公司</w:t>
            </w:r>
            <w:r>
              <w:rPr>
                <w:color w:val="auto"/>
                <w:highlight w:val="none"/>
              </w:rPr>
              <w:t>2021年</w:t>
            </w:r>
            <w:r>
              <w:rPr>
                <w:rFonts w:hint="eastAsia"/>
                <w:color w:val="auto"/>
                <w:highlight w:val="none"/>
              </w:rPr>
              <w:t>11</w:t>
            </w:r>
            <w:r>
              <w:rPr>
                <w:color w:val="auto"/>
                <w:highlight w:val="none"/>
              </w:rPr>
              <w:t>月委托</w:t>
            </w:r>
            <w:r>
              <w:rPr>
                <w:rFonts w:hint="eastAsia"/>
                <w:color w:val="auto"/>
                <w:highlight w:val="none"/>
              </w:rPr>
              <w:t>山东国嘉环保科技有限公司</w:t>
            </w:r>
            <w:r>
              <w:rPr>
                <w:color w:val="auto"/>
                <w:kern w:val="21"/>
                <w:highlight w:val="none"/>
              </w:rPr>
              <w:t>编制完成了</w:t>
            </w:r>
            <w:r>
              <w:rPr>
                <w:color w:val="auto"/>
                <w:highlight w:val="none"/>
              </w:rPr>
              <w:t>《</w:t>
            </w:r>
            <w:r>
              <w:rPr>
                <w:rFonts w:hint="eastAsia"/>
                <w:color w:val="auto"/>
                <w:highlight w:val="none"/>
                <w:lang w:eastAsia="zh-CN"/>
              </w:rPr>
              <w:t>济南久隆医药科技有限公司实验室建设项目</w:t>
            </w:r>
            <w:r>
              <w:rPr>
                <w:color w:val="auto"/>
                <w:highlight w:val="none"/>
              </w:rPr>
              <w:t>环境影响报告表》，并于</w:t>
            </w:r>
            <w:r>
              <w:rPr>
                <w:rFonts w:hint="eastAsia"/>
                <w:color w:val="auto"/>
                <w:highlight w:val="none"/>
              </w:rPr>
              <w:t>2021年12月30日</w:t>
            </w:r>
            <w:r>
              <w:rPr>
                <w:color w:val="auto"/>
                <w:highlight w:val="none"/>
              </w:rPr>
              <w:t>经济南市生态环境局审批（</w:t>
            </w:r>
            <w:r>
              <w:rPr>
                <w:rFonts w:hint="eastAsia"/>
                <w:color w:val="auto"/>
                <w:highlight w:val="none"/>
              </w:rPr>
              <w:t>济环报告表［2021］G130号</w:t>
            </w:r>
            <w:r>
              <w:rPr>
                <w:color w:val="auto"/>
                <w:highlight w:val="none"/>
              </w:rPr>
              <w:t>）。</w:t>
            </w:r>
          </w:p>
          <w:p>
            <w:pPr>
              <w:pStyle w:val="34"/>
              <w:rPr>
                <w:color w:val="auto"/>
                <w:highlight w:val="none"/>
              </w:rPr>
            </w:pPr>
            <w:r>
              <w:rPr>
                <w:rFonts w:hint="eastAsia" w:cs="Times New Roman"/>
                <w:color w:val="auto"/>
                <w:highlight w:val="none"/>
              </w:rPr>
              <w:t>本项目购置已建成的厂房，于2022年1月开工建设，2022年1月建设完成并投入试生产阶段，</w:t>
            </w:r>
            <w:r>
              <w:rPr>
                <w:color w:val="auto"/>
                <w:highlight w:val="none"/>
              </w:rPr>
              <w:t>环保设施同时</w:t>
            </w:r>
            <w:r>
              <w:rPr>
                <w:rFonts w:hint="eastAsia"/>
                <w:color w:val="auto"/>
                <w:highlight w:val="none"/>
              </w:rPr>
              <w:t>设计同时施工并同时</w:t>
            </w:r>
            <w:r>
              <w:rPr>
                <w:color w:val="auto"/>
                <w:highlight w:val="none"/>
              </w:rPr>
              <w:t>进行试运行，</w:t>
            </w:r>
            <w:r>
              <w:rPr>
                <w:rFonts w:hint="eastAsia"/>
                <w:color w:val="auto"/>
                <w:highlight w:val="none"/>
              </w:rPr>
              <w:t>试</w:t>
            </w:r>
            <w:r>
              <w:rPr>
                <w:color w:val="auto"/>
                <w:highlight w:val="none"/>
              </w:rPr>
              <w:t>运营期间运行状况良好，具备竣工验收条件。</w:t>
            </w:r>
          </w:p>
          <w:p>
            <w:pPr>
              <w:pStyle w:val="34"/>
              <w:ind w:firstLine="482"/>
              <w:rPr>
                <w:rFonts w:cs="Times New Roman"/>
                <w:b/>
                <w:bCs/>
                <w:color w:val="auto"/>
                <w:highlight w:val="none"/>
              </w:rPr>
            </w:pPr>
            <w:r>
              <w:rPr>
                <w:rFonts w:cs="Times New Roman"/>
                <w:b/>
                <w:bCs/>
                <w:color w:val="auto"/>
                <w:highlight w:val="none"/>
              </w:rPr>
              <w:t>1、建设内容</w:t>
            </w:r>
          </w:p>
          <w:p>
            <w:pPr>
              <w:pStyle w:val="34"/>
              <w:rPr>
                <w:rFonts w:cs="Times New Roman"/>
                <w:b/>
                <w:bCs/>
                <w:color w:val="auto"/>
                <w:szCs w:val="24"/>
                <w:highlight w:val="none"/>
              </w:rPr>
            </w:pPr>
            <w:r>
              <w:rPr>
                <w:rFonts w:cs="Times New Roman"/>
                <w:color w:val="auto"/>
                <w:szCs w:val="24"/>
                <w:highlight w:val="none"/>
              </w:rPr>
              <w:t>本项目工程主要组成见表2-1，主要生产设备见表2-2，原辅料及能源使用情况见表2-3。</w:t>
            </w:r>
          </w:p>
          <w:p>
            <w:pPr>
              <w:ind w:firstLine="482"/>
              <w:jc w:val="center"/>
              <w:rPr>
                <w:b/>
                <w:bCs/>
                <w:color w:val="auto"/>
                <w:highlight w:val="none"/>
              </w:rPr>
            </w:pPr>
            <w:r>
              <w:rPr>
                <w:b/>
                <w:bCs/>
                <w:color w:val="auto"/>
                <w:highlight w:val="none"/>
              </w:rPr>
              <w:t>表2-1  本项目工程主要组成一览表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113" w:type="dxa"/>
                <w:left w:w="28" w:type="dxa"/>
                <w:bottom w:w="113" w:type="dxa"/>
                <w:right w:w="28" w:type="dxa"/>
              </w:tblCellMar>
            </w:tblPr>
            <w:tblGrid>
              <w:gridCol w:w="614"/>
              <w:gridCol w:w="778"/>
              <w:gridCol w:w="2878"/>
              <w:gridCol w:w="3013"/>
              <w:gridCol w:w="162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44" w:type="pct"/>
                  <w:tcBorders>
                    <w:top w:val="single" w:color="auto" w:sz="4" w:space="0"/>
                    <w:left w:val="single" w:color="auto" w:sz="4" w:space="0"/>
                    <w:bottom w:val="single" w:color="auto" w:sz="6" w:space="0"/>
                    <w:right w:val="single" w:color="auto" w:sz="6" w:space="0"/>
                  </w:tcBorders>
                  <w:tcMar>
                    <w:left w:w="0" w:type="dxa"/>
                    <w:right w:w="0" w:type="dxa"/>
                  </w:tcMar>
                  <w:vAlign w:val="center"/>
                </w:tcPr>
                <w:p>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工程分类</w:t>
                  </w:r>
                </w:p>
              </w:tc>
              <w:tc>
                <w:tcPr>
                  <w:tcW w:w="437"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工程</w:t>
                  </w:r>
                </w:p>
                <w:p>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名称</w:t>
                  </w:r>
                </w:p>
              </w:tc>
              <w:tc>
                <w:tcPr>
                  <w:tcW w:w="1614" w:type="pct"/>
                  <w:tcBorders>
                    <w:top w:val="single" w:color="auto" w:sz="4" w:space="0"/>
                    <w:left w:val="single" w:color="auto" w:sz="6" w:space="0"/>
                    <w:bottom w:val="single" w:color="auto" w:sz="6" w:space="0"/>
                    <w:right w:val="single" w:color="auto" w:sz="4" w:space="0"/>
                  </w:tcBorders>
                  <w:tcMar>
                    <w:left w:w="0" w:type="dxa"/>
                    <w:right w:w="0" w:type="dxa"/>
                  </w:tcMar>
                  <w:vAlign w:val="center"/>
                </w:tcPr>
                <w:p>
                  <w:pPr>
                    <w:adjustRightInd w:val="0"/>
                    <w:snapToGrid w:val="0"/>
                    <w:spacing w:line="240" w:lineRule="auto"/>
                    <w:ind w:firstLine="0" w:firstLineChars="0"/>
                    <w:jc w:val="center"/>
                    <w:rPr>
                      <w:b/>
                      <w:color w:val="auto"/>
                      <w:sz w:val="21"/>
                      <w:szCs w:val="21"/>
                      <w:highlight w:val="none"/>
                    </w:rPr>
                  </w:pPr>
                  <w:r>
                    <w:rPr>
                      <w:rFonts w:hint="eastAsia"/>
                      <w:b/>
                      <w:color w:val="auto"/>
                      <w:sz w:val="21"/>
                      <w:szCs w:val="21"/>
                      <w:highlight w:val="none"/>
                    </w:rPr>
                    <w:t>环评</w:t>
                  </w:r>
                  <w:r>
                    <w:rPr>
                      <w:b/>
                      <w:color w:val="auto"/>
                      <w:sz w:val="21"/>
                      <w:szCs w:val="21"/>
                      <w:highlight w:val="none"/>
                    </w:rPr>
                    <w:t>主要建设内容及规模</w:t>
                  </w:r>
                </w:p>
              </w:tc>
              <w:tc>
                <w:tcPr>
                  <w:tcW w:w="1690" w:type="pct"/>
                  <w:tcBorders>
                    <w:top w:val="single" w:color="auto" w:sz="4" w:space="0"/>
                    <w:left w:val="single" w:color="auto" w:sz="4" w:space="0"/>
                    <w:bottom w:val="single" w:color="auto" w:sz="6" w:space="0"/>
                    <w:right w:val="single" w:color="auto" w:sz="6" w:space="0"/>
                  </w:tcBorders>
                  <w:tcMar>
                    <w:left w:w="0" w:type="dxa"/>
                    <w:right w:w="0" w:type="dxa"/>
                  </w:tcMar>
                  <w:vAlign w:val="center"/>
                </w:tcPr>
                <w:p>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实际主要建设内容及规模</w:t>
                  </w:r>
                </w:p>
              </w:tc>
              <w:tc>
                <w:tcPr>
                  <w:tcW w:w="913"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4"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主体工程</w:t>
                  </w:r>
                </w:p>
              </w:tc>
              <w:tc>
                <w:tcPr>
                  <w:tcW w:w="437"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实验区</w:t>
                  </w:r>
                </w:p>
              </w:tc>
              <w:tc>
                <w:tcPr>
                  <w:tcW w:w="1614"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位于银丰国际生物城B7-02楼的F3层，建筑面积为482m</w:t>
                  </w:r>
                  <w:r>
                    <w:rPr>
                      <w:color w:val="auto"/>
                      <w:szCs w:val="21"/>
                      <w:highlight w:val="none"/>
                      <w:vertAlign w:val="superscript"/>
                      <w:lang w:bidi="ar"/>
                    </w:rPr>
                    <w:t>3</w:t>
                  </w:r>
                  <w:r>
                    <w:rPr>
                      <w:color w:val="auto"/>
                      <w:szCs w:val="21"/>
                      <w:highlight w:val="none"/>
                      <w:lang w:bidi="ar"/>
                    </w:rPr>
                    <w:t>，主要包括理化室、称量室、液相室、气相室、高温室、试剂室、留样室、合成室、危废暂存间等。</w:t>
                  </w:r>
                </w:p>
              </w:tc>
              <w:tc>
                <w:tcPr>
                  <w:tcW w:w="1690"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位于银丰国际生物城B7-02楼的F3层，建筑面积为482m</w:t>
                  </w:r>
                  <w:r>
                    <w:rPr>
                      <w:color w:val="auto"/>
                      <w:szCs w:val="21"/>
                      <w:highlight w:val="none"/>
                      <w:vertAlign w:val="superscript"/>
                      <w:lang w:bidi="ar"/>
                    </w:rPr>
                    <w:t>3</w:t>
                  </w:r>
                  <w:r>
                    <w:rPr>
                      <w:color w:val="auto"/>
                      <w:szCs w:val="21"/>
                      <w:highlight w:val="none"/>
                      <w:lang w:bidi="ar"/>
                    </w:rPr>
                    <w:t>，主要包括理化室、称量室、液相室、气相室、高温室、试剂室、留样室、合成室、危废暂存间等。</w:t>
                  </w:r>
                </w:p>
              </w:tc>
              <w:tc>
                <w:tcPr>
                  <w:tcW w:w="91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4" w:type="pct"/>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辅助工程</w:t>
                  </w:r>
                </w:p>
              </w:tc>
              <w:tc>
                <w:tcPr>
                  <w:tcW w:w="437"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办公区</w:t>
                  </w:r>
                </w:p>
              </w:tc>
              <w:tc>
                <w:tcPr>
                  <w:tcW w:w="1614"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位于银丰国际生物城B7-02楼的F4层，建筑面积为260m</w:t>
                  </w:r>
                  <w:r>
                    <w:rPr>
                      <w:color w:val="auto"/>
                      <w:szCs w:val="21"/>
                      <w:highlight w:val="none"/>
                      <w:vertAlign w:val="superscript"/>
                      <w:lang w:bidi="ar"/>
                    </w:rPr>
                    <w:t>3</w:t>
                  </w:r>
                  <w:r>
                    <w:rPr>
                      <w:color w:val="auto"/>
                      <w:szCs w:val="21"/>
                      <w:highlight w:val="none"/>
                      <w:lang w:bidi="ar"/>
                    </w:rPr>
                    <w:t>，主要包括办公室、技术讨论室、档案室、开放办公区等。</w:t>
                  </w:r>
                </w:p>
              </w:tc>
              <w:tc>
                <w:tcPr>
                  <w:tcW w:w="1690"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位于银丰国际生物城B7-02楼的F4层，建筑面积为260m</w:t>
                  </w:r>
                  <w:r>
                    <w:rPr>
                      <w:color w:val="auto"/>
                      <w:szCs w:val="21"/>
                      <w:highlight w:val="none"/>
                      <w:vertAlign w:val="superscript"/>
                      <w:lang w:bidi="ar"/>
                    </w:rPr>
                    <w:t>3</w:t>
                  </w:r>
                  <w:r>
                    <w:rPr>
                      <w:color w:val="auto"/>
                      <w:szCs w:val="21"/>
                      <w:highlight w:val="none"/>
                      <w:lang w:bidi="ar"/>
                    </w:rPr>
                    <w:t>，主要包括办公室、技术讨论室、档案室、开放办公区等。</w:t>
                  </w:r>
                </w:p>
              </w:tc>
              <w:tc>
                <w:tcPr>
                  <w:tcW w:w="91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4"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公用工程</w:t>
                  </w:r>
                </w:p>
              </w:tc>
              <w:tc>
                <w:tcPr>
                  <w:tcW w:w="437"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给水</w:t>
                  </w:r>
                </w:p>
              </w:tc>
              <w:tc>
                <w:tcPr>
                  <w:tcW w:w="1614"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新鲜水由当地自来水管网提供</w:t>
                  </w:r>
                  <w:r>
                    <w:rPr>
                      <w:rFonts w:hint="eastAsia"/>
                      <w:color w:val="auto"/>
                      <w:szCs w:val="21"/>
                      <w:highlight w:val="none"/>
                      <w:lang w:bidi="ar"/>
                    </w:rPr>
                    <w:t>；纯净水为外购</w:t>
                  </w:r>
                </w:p>
              </w:tc>
              <w:tc>
                <w:tcPr>
                  <w:tcW w:w="1690"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新鲜水由当地自来水管网提供；</w:t>
                  </w:r>
                  <w:r>
                    <w:rPr>
                      <w:rFonts w:hint="eastAsia"/>
                      <w:color w:val="auto"/>
                      <w:szCs w:val="21"/>
                      <w:highlight w:val="none"/>
                      <w:lang w:bidi="ar"/>
                    </w:rPr>
                    <w:t>净水为外购</w:t>
                  </w:r>
                </w:p>
              </w:tc>
              <w:tc>
                <w:tcPr>
                  <w:tcW w:w="91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4" w:type="pct"/>
                  <w:vMerge w:val="continue"/>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排水</w:t>
                  </w:r>
                </w:p>
              </w:tc>
              <w:tc>
                <w:tcPr>
                  <w:tcW w:w="1614"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采用雨污分流，雨水收集后排入雨水管网；</w:t>
                  </w:r>
                </w:p>
                <w:p>
                  <w:pPr>
                    <w:pStyle w:val="42"/>
                    <w:ind w:firstLine="420" w:firstLineChars="200"/>
                    <w:jc w:val="left"/>
                    <w:rPr>
                      <w:color w:val="auto"/>
                      <w:szCs w:val="21"/>
                      <w:highlight w:val="none"/>
                      <w:lang w:bidi="ar"/>
                    </w:rPr>
                  </w:pPr>
                  <w:r>
                    <w:rPr>
                      <w:color w:val="auto"/>
                      <w:szCs w:val="21"/>
                      <w:highlight w:val="none"/>
                      <w:lang w:bidi="ar"/>
                    </w:rPr>
                    <w:t>拟建项目产生的生活污水、实验后器皿两次清洗后清洗废水、环保设备排污水、地面清洁废水均经银丰国际生物城污水处理站处理，处理达标后通过市政管网排入巨野河污水处理厂进行深度处理，达标后经西巨野河排入小清河。</w:t>
                  </w:r>
                </w:p>
              </w:tc>
              <w:tc>
                <w:tcPr>
                  <w:tcW w:w="1690"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采用雨污分流，雨水收集后排入雨水管网；</w:t>
                  </w:r>
                </w:p>
                <w:p>
                  <w:pPr>
                    <w:pStyle w:val="42"/>
                    <w:ind w:firstLine="420" w:firstLineChars="200"/>
                    <w:jc w:val="left"/>
                    <w:rPr>
                      <w:color w:val="auto"/>
                      <w:szCs w:val="21"/>
                      <w:highlight w:val="none"/>
                      <w:lang w:bidi="ar"/>
                    </w:rPr>
                  </w:pPr>
                  <w:r>
                    <w:rPr>
                      <w:color w:val="auto"/>
                      <w:szCs w:val="21"/>
                      <w:highlight w:val="none"/>
                      <w:lang w:bidi="ar"/>
                    </w:rPr>
                    <w:t>项目产生的生活污水、实验后器皿两次清洗后清洗废水、环保设备排污水、地面清洁废水均经银丰国际生物城污水处理站处理，处理达标后通过市政管网排入巨野河污水处理厂进行深度处理，达标后经西巨野河排入小清河。</w:t>
                  </w:r>
                </w:p>
              </w:tc>
              <w:tc>
                <w:tcPr>
                  <w:tcW w:w="91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4" w:type="pct"/>
                  <w:vMerge w:val="continue"/>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供电</w:t>
                  </w:r>
                </w:p>
              </w:tc>
              <w:tc>
                <w:tcPr>
                  <w:tcW w:w="1614"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由济南市高新区电网提供。</w:t>
                  </w:r>
                </w:p>
              </w:tc>
              <w:tc>
                <w:tcPr>
                  <w:tcW w:w="1690"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由济南市高新区电网提供。</w:t>
                  </w:r>
                </w:p>
              </w:tc>
              <w:tc>
                <w:tcPr>
                  <w:tcW w:w="91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344"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环保工程</w:t>
                  </w:r>
                </w:p>
              </w:tc>
              <w:tc>
                <w:tcPr>
                  <w:tcW w:w="437"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废气</w:t>
                  </w:r>
                </w:p>
              </w:tc>
              <w:tc>
                <w:tcPr>
                  <w:tcW w:w="1614" w:type="pct"/>
                  <w:tcBorders>
                    <w:top w:val="single" w:color="auto" w:sz="6" w:space="0"/>
                    <w:left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项目废气主要为实验过程中产生的有机废气（VOCs、甲苯、苯、甲醇）、酸碱废气（硫酸雾、氯化氢、氨）和臭气（臭气浓度）。</w:t>
                  </w:r>
                </w:p>
                <w:p>
                  <w:pPr>
                    <w:pStyle w:val="42"/>
                    <w:ind w:firstLine="420" w:firstLineChars="200"/>
                    <w:jc w:val="left"/>
                    <w:rPr>
                      <w:color w:val="auto"/>
                      <w:szCs w:val="21"/>
                      <w:highlight w:val="none"/>
                      <w:lang w:bidi="ar"/>
                    </w:rPr>
                  </w:pPr>
                  <w:r>
                    <w:rPr>
                      <w:color w:val="auto"/>
                      <w:szCs w:val="21"/>
                      <w:highlight w:val="none"/>
                      <w:lang w:bidi="ar"/>
                    </w:rPr>
                    <w:t>项目北侧合成实验室1及南侧理化室、液相室、气相室等运行过程中产生的上述废气由通风柜或万向吸风罩收集后经一套“碱喷淋+活性炭”装置处理后，通过1根25m高的排气筒（DA001）排放；</w:t>
                  </w:r>
                </w:p>
                <w:p>
                  <w:pPr>
                    <w:pStyle w:val="42"/>
                    <w:ind w:firstLine="420" w:firstLineChars="200"/>
                    <w:jc w:val="left"/>
                    <w:rPr>
                      <w:color w:val="auto"/>
                      <w:szCs w:val="21"/>
                      <w:highlight w:val="none"/>
                      <w:lang w:bidi="ar"/>
                    </w:rPr>
                  </w:pPr>
                  <w:r>
                    <w:rPr>
                      <w:color w:val="auto"/>
                      <w:szCs w:val="21"/>
                      <w:highlight w:val="none"/>
                      <w:lang w:bidi="ar"/>
                    </w:rPr>
                    <w:t>项目北侧合成实验室2、合成实验室3、氢化室等运行过程中产生的上述废气由通风柜收集后经一套“碱喷淋+活性炭”装置处理后，通过1根25m高的排气筒（DA002）排放。</w:t>
                  </w:r>
                </w:p>
                <w:p>
                  <w:pPr>
                    <w:pStyle w:val="42"/>
                    <w:ind w:firstLine="420" w:firstLineChars="200"/>
                    <w:jc w:val="left"/>
                    <w:rPr>
                      <w:color w:val="auto"/>
                      <w:szCs w:val="21"/>
                      <w:highlight w:val="none"/>
                      <w:lang w:bidi="ar"/>
                    </w:rPr>
                  </w:pPr>
                  <w:r>
                    <w:rPr>
                      <w:color w:val="auto"/>
                      <w:szCs w:val="21"/>
                      <w:highlight w:val="none"/>
                      <w:lang w:bidi="ar"/>
                    </w:rPr>
                    <w:t>未收集的有机废气，通过加强实验室通风，无组织排放。</w:t>
                  </w:r>
                </w:p>
              </w:tc>
              <w:tc>
                <w:tcPr>
                  <w:tcW w:w="1690"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项目废气主要为实验过程中产生的有机废气（VOCs、甲苯、苯、甲醇）、酸碱废气（硫酸雾、氯化氢、氨）和臭气（臭气浓度）。</w:t>
                  </w:r>
                </w:p>
                <w:p>
                  <w:pPr>
                    <w:pStyle w:val="42"/>
                    <w:ind w:firstLine="420" w:firstLineChars="200"/>
                    <w:jc w:val="left"/>
                    <w:rPr>
                      <w:color w:val="auto"/>
                      <w:szCs w:val="21"/>
                      <w:highlight w:val="none"/>
                      <w:lang w:bidi="ar"/>
                    </w:rPr>
                  </w:pPr>
                  <w:r>
                    <w:rPr>
                      <w:color w:val="auto"/>
                      <w:szCs w:val="21"/>
                      <w:highlight w:val="none"/>
                      <w:lang w:bidi="ar"/>
                    </w:rPr>
                    <w:t>项目北侧合成实验室1及南侧理化室、液相室、气相室等运行过程中产生的上述废气由通风柜或万向吸风罩收集后经一套“碱喷淋+活性炭”装置处理后，通过1根25m高的排气筒（DA001）排放；</w:t>
                  </w:r>
                </w:p>
                <w:p>
                  <w:pPr>
                    <w:pStyle w:val="42"/>
                    <w:ind w:firstLine="420" w:firstLineChars="200"/>
                    <w:jc w:val="left"/>
                    <w:rPr>
                      <w:color w:val="auto"/>
                      <w:szCs w:val="21"/>
                      <w:highlight w:val="none"/>
                      <w:lang w:bidi="ar"/>
                    </w:rPr>
                  </w:pPr>
                  <w:r>
                    <w:rPr>
                      <w:color w:val="auto"/>
                      <w:szCs w:val="21"/>
                      <w:highlight w:val="none"/>
                      <w:lang w:bidi="ar"/>
                    </w:rPr>
                    <w:t>项目北侧合成实验室2、合成实验室3、氢化室等运行过程中产生的上述废气由通风柜收集后经一套“碱喷淋+活性炭”装置处理后，通过1根25m高的排气筒（DA002）排放。</w:t>
                  </w:r>
                </w:p>
                <w:p>
                  <w:pPr>
                    <w:pStyle w:val="42"/>
                    <w:ind w:firstLine="420" w:firstLineChars="200"/>
                    <w:jc w:val="left"/>
                    <w:rPr>
                      <w:color w:val="auto"/>
                      <w:szCs w:val="21"/>
                      <w:highlight w:val="none"/>
                      <w:lang w:bidi="ar"/>
                    </w:rPr>
                  </w:pPr>
                  <w:r>
                    <w:rPr>
                      <w:color w:val="auto"/>
                      <w:szCs w:val="21"/>
                      <w:highlight w:val="none"/>
                      <w:lang w:bidi="ar"/>
                    </w:rPr>
                    <w:t>未收集的有机废气，通过加强实验室通风，无组织排放。</w:t>
                  </w:r>
                </w:p>
              </w:tc>
              <w:tc>
                <w:tcPr>
                  <w:tcW w:w="913"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4" w:type="pct"/>
                  <w:vMerge w:val="continue"/>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废水</w:t>
                  </w:r>
                </w:p>
              </w:tc>
              <w:tc>
                <w:tcPr>
                  <w:tcW w:w="1614"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拟建项目产生的生活污水、实验后器皿两次清洗后清洗废水、环保设备排污水、地面清洁废水均经银丰国际生物城污水处理站（处理规模：1000m</w:t>
                  </w:r>
                  <w:r>
                    <w:rPr>
                      <w:color w:val="auto"/>
                      <w:szCs w:val="21"/>
                      <w:highlight w:val="none"/>
                      <w:vertAlign w:val="superscript"/>
                      <w:lang w:bidi="ar"/>
                    </w:rPr>
                    <w:t>3</w:t>
                  </w:r>
                  <w:r>
                    <w:rPr>
                      <w:color w:val="auto"/>
                      <w:szCs w:val="21"/>
                      <w:highlight w:val="none"/>
                      <w:lang w:bidi="ar"/>
                    </w:rPr>
                    <w:t>/d）处理，处理达标后通过市政管网排入巨野河污水处理厂进行深度处理，达标后经西巨野河排入小清河。</w:t>
                  </w:r>
                </w:p>
              </w:tc>
              <w:tc>
                <w:tcPr>
                  <w:tcW w:w="1690"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项目产生的生活污水、实验后器皿两次清洗后清洗废水、环保设备排污水、地面清洁废水均经银丰国际生物城污水处理站（处理规模：1000m</w:t>
                  </w:r>
                  <w:r>
                    <w:rPr>
                      <w:color w:val="auto"/>
                      <w:szCs w:val="21"/>
                      <w:highlight w:val="none"/>
                      <w:vertAlign w:val="superscript"/>
                      <w:lang w:bidi="ar"/>
                    </w:rPr>
                    <w:t>3</w:t>
                  </w:r>
                  <w:r>
                    <w:rPr>
                      <w:color w:val="auto"/>
                      <w:szCs w:val="21"/>
                      <w:highlight w:val="none"/>
                      <w:lang w:bidi="ar"/>
                    </w:rPr>
                    <w:t>/d）处理，处理达标后通过市政管网排入巨野河污水处理厂进行深度处理，达标后经西巨野河排入小清河。</w:t>
                  </w:r>
                </w:p>
              </w:tc>
              <w:tc>
                <w:tcPr>
                  <w:tcW w:w="91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4" w:type="pct"/>
                  <w:vMerge w:val="continue"/>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固体废物</w:t>
                  </w:r>
                </w:p>
              </w:tc>
              <w:tc>
                <w:tcPr>
                  <w:tcW w:w="1614"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生活垃圾由环卫部门定期清运；未沾染药品废包装物外售资源回收单位。实验废物（沾染试剂的废包装物、废试剂瓶、废手套等）、实验废液（废流动相、实验后器皿前两次清洗废水、实验配制废水等）及废活性炭，均属于危险废物，经收集后暂存危废间，委托有资质单位处理。</w:t>
                  </w:r>
                </w:p>
              </w:tc>
              <w:tc>
                <w:tcPr>
                  <w:tcW w:w="1690"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生活垃圾由环卫部门定期清运；未沾染药品废包装物外售资源回收单位。实验废物（沾染试剂的废包装物、废试剂瓶、废手套等）、实验废液（废流动相、实验后器皿前两次清洗废水、实验配制废水等）及废活性炭，均属于危险废物，经收集后暂存危废间，委托</w:t>
                  </w:r>
                  <w:r>
                    <w:rPr>
                      <w:rFonts w:hint="eastAsia"/>
                      <w:color w:val="auto"/>
                      <w:szCs w:val="21"/>
                      <w:highlight w:val="none"/>
                    </w:rPr>
                    <w:t>山东朋光环保科技有限公司</w:t>
                  </w:r>
                  <w:r>
                    <w:rPr>
                      <w:color w:val="auto"/>
                      <w:szCs w:val="21"/>
                      <w:highlight w:val="none"/>
                      <w:lang w:bidi="ar"/>
                    </w:rPr>
                    <w:t>处理。</w:t>
                  </w:r>
                </w:p>
              </w:tc>
              <w:tc>
                <w:tcPr>
                  <w:tcW w:w="91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4" w:type="pct"/>
                  <w:vMerge w:val="continue"/>
                  <w:tcBorders>
                    <w:left w:val="single" w:color="auto" w:sz="4" w:space="0"/>
                    <w:bottom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highlight w:val="none"/>
                    </w:rPr>
                  </w:pPr>
                </w:p>
              </w:tc>
              <w:tc>
                <w:tcPr>
                  <w:tcW w:w="437"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2"/>
                    <w:rPr>
                      <w:color w:val="auto"/>
                      <w:szCs w:val="21"/>
                      <w:highlight w:val="none"/>
                      <w:lang w:bidi="ar"/>
                    </w:rPr>
                  </w:pPr>
                  <w:r>
                    <w:rPr>
                      <w:color w:val="auto"/>
                      <w:szCs w:val="21"/>
                      <w:highlight w:val="none"/>
                      <w:lang w:bidi="ar"/>
                    </w:rPr>
                    <w:t>噪声</w:t>
                  </w:r>
                </w:p>
              </w:tc>
              <w:tc>
                <w:tcPr>
                  <w:tcW w:w="1614"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选用低噪声设备，优化实验室布局，采取减震、隔声、距离衰减等基础降噪措施</w:t>
                  </w:r>
                  <w:r>
                    <w:rPr>
                      <w:rFonts w:hint="eastAsia"/>
                      <w:color w:val="auto"/>
                      <w:szCs w:val="21"/>
                      <w:highlight w:val="none"/>
                      <w:lang w:bidi="ar"/>
                    </w:rPr>
                    <w:t>。</w:t>
                  </w:r>
                </w:p>
              </w:tc>
              <w:tc>
                <w:tcPr>
                  <w:tcW w:w="1690"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2"/>
                    <w:ind w:firstLine="420" w:firstLineChars="200"/>
                    <w:jc w:val="left"/>
                    <w:rPr>
                      <w:color w:val="auto"/>
                      <w:szCs w:val="21"/>
                      <w:highlight w:val="none"/>
                      <w:lang w:bidi="ar"/>
                    </w:rPr>
                  </w:pPr>
                  <w:r>
                    <w:rPr>
                      <w:color w:val="auto"/>
                      <w:szCs w:val="21"/>
                      <w:highlight w:val="none"/>
                      <w:lang w:bidi="ar"/>
                    </w:rPr>
                    <w:t>选用低噪声设备，优化实验室布局，采取减震、隔声、距离衰减等基础降噪措施</w:t>
                  </w:r>
                  <w:r>
                    <w:rPr>
                      <w:rFonts w:hint="eastAsia"/>
                      <w:color w:val="auto"/>
                      <w:szCs w:val="21"/>
                      <w:highlight w:val="none"/>
                      <w:lang w:bidi="ar"/>
                    </w:rPr>
                    <w:t>。</w:t>
                  </w:r>
                </w:p>
              </w:tc>
              <w:tc>
                <w:tcPr>
                  <w:tcW w:w="91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bl>
          <w:p>
            <w:pPr>
              <w:ind w:firstLine="482"/>
              <w:jc w:val="center"/>
              <w:rPr>
                <w:b/>
                <w:bCs/>
                <w:color w:val="auto"/>
                <w:highlight w:val="none"/>
              </w:rPr>
            </w:pPr>
            <w:r>
              <w:rPr>
                <w:b/>
                <w:bCs/>
                <w:color w:val="auto"/>
                <w:highlight w:val="none"/>
              </w:rPr>
              <w:t>表2-2  本项目主要生产设备一览表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626"/>
              <w:gridCol w:w="1453"/>
              <w:gridCol w:w="812"/>
              <w:gridCol w:w="1195"/>
              <w:gridCol w:w="1492"/>
              <w:gridCol w:w="1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506" w:type="dxa"/>
                  <w:tcBorders>
                    <w:top w:val="single" w:color="auto" w:sz="4" w:space="0"/>
                    <w:left w:val="single" w:color="auto" w:sz="4" w:space="0"/>
                    <w:right w:val="single" w:color="auto" w:sz="4" w:space="0"/>
                  </w:tcBorders>
                  <w:vAlign w:val="center"/>
                </w:tcPr>
                <w:p>
                  <w:pPr>
                    <w:pStyle w:val="42"/>
                    <w:rPr>
                      <w:b/>
                      <w:bCs/>
                      <w:color w:val="auto"/>
                      <w:szCs w:val="21"/>
                      <w:highlight w:val="none"/>
                    </w:rPr>
                  </w:pPr>
                  <w:r>
                    <w:rPr>
                      <w:b/>
                      <w:bCs/>
                      <w:color w:val="auto"/>
                      <w:szCs w:val="21"/>
                      <w:highlight w:val="none"/>
                    </w:rPr>
                    <w:t>序号</w:t>
                  </w:r>
                </w:p>
              </w:tc>
              <w:tc>
                <w:tcPr>
                  <w:tcW w:w="1626" w:type="dxa"/>
                  <w:tcBorders>
                    <w:top w:val="single" w:color="auto" w:sz="4" w:space="0"/>
                    <w:left w:val="single" w:color="auto" w:sz="4" w:space="0"/>
                    <w:right w:val="single" w:color="auto" w:sz="4" w:space="0"/>
                  </w:tcBorders>
                  <w:vAlign w:val="center"/>
                </w:tcPr>
                <w:p>
                  <w:pPr>
                    <w:pStyle w:val="42"/>
                    <w:rPr>
                      <w:b/>
                      <w:bCs/>
                      <w:color w:val="auto"/>
                      <w:szCs w:val="21"/>
                      <w:highlight w:val="none"/>
                    </w:rPr>
                  </w:pPr>
                  <w:r>
                    <w:rPr>
                      <w:b/>
                      <w:bCs/>
                      <w:color w:val="auto"/>
                      <w:szCs w:val="21"/>
                      <w:highlight w:val="none"/>
                    </w:rPr>
                    <w:t>设备名称</w:t>
                  </w:r>
                </w:p>
              </w:tc>
              <w:tc>
                <w:tcPr>
                  <w:tcW w:w="1453" w:type="dxa"/>
                  <w:tcBorders>
                    <w:top w:val="single" w:color="auto" w:sz="4" w:space="0"/>
                    <w:left w:val="single" w:color="auto" w:sz="4" w:space="0"/>
                    <w:right w:val="single" w:color="auto" w:sz="4" w:space="0"/>
                  </w:tcBorders>
                  <w:vAlign w:val="center"/>
                </w:tcPr>
                <w:p>
                  <w:pPr>
                    <w:pStyle w:val="42"/>
                    <w:rPr>
                      <w:b/>
                      <w:bCs/>
                      <w:color w:val="auto"/>
                      <w:szCs w:val="21"/>
                      <w:highlight w:val="none"/>
                    </w:rPr>
                  </w:pPr>
                  <w:r>
                    <w:rPr>
                      <w:b/>
                      <w:bCs/>
                      <w:color w:val="auto"/>
                      <w:szCs w:val="21"/>
                      <w:highlight w:val="none"/>
                    </w:rPr>
                    <w:t>规格型号</w:t>
                  </w:r>
                </w:p>
              </w:tc>
              <w:tc>
                <w:tcPr>
                  <w:tcW w:w="810" w:type="dxa"/>
                  <w:tcBorders>
                    <w:top w:val="single" w:color="auto" w:sz="4" w:space="0"/>
                    <w:left w:val="single" w:color="auto" w:sz="4" w:space="0"/>
                    <w:right w:val="single" w:color="auto" w:sz="4" w:space="0"/>
                  </w:tcBorders>
                  <w:vAlign w:val="center"/>
                </w:tcPr>
                <w:p>
                  <w:pPr>
                    <w:pStyle w:val="42"/>
                    <w:rPr>
                      <w:b/>
                      <w:bCs/>
                      <w:color w:val="auto"/>
                      <w:szCs w:val="21"/>
                      <w:highlight w:val="none"/>
                    </w:rPr>
                  </w:pPr>
                  <w:r>
                    <w:rPr>
                      <w:rFonts w:hint="eastAsia"/>
                      <w:b/>
                      <w:bCs/>
                      <w:color w:val="auto"/>
                      <w:szCs w:val="21"/>
                      <w:highlight w:val="none"/>
                    </w:rPr>
                    <w:t>单位</w:t>
                  </w:r>
                </w:p>
              </w:tc>
              <w:tc>
                <w:tcPr>
                  <w:tcW w:w="1195" w:type="dxa"/>
                  <w:tcBorders>
                    <w:top w:val="single" w:color="auto" w:sz="4" w:space="0"/>
                    <w:left w:val="single" w:color="auto" w:sz="4" w:space="0"/>
                    <w:right w:val="single" w:color="auto" w:sz="4" w:space="0"/>
                  </w:tcBorders>
                  <w:vAlign w:val="center"/>
                </w:tcPr>
                <w:p>
                  <w:pPr>
                    <w:pStyle w:val="42"/>
                    <w:rPr>
                      <w:b/>
                      <w:bCs/>
                      <w:color w:val="auto"/>
                      <w:szCs w:val="21"/>
                      <w:highlight w:val="none"/>
                    </w:rPr>
                  </w:pPr>
                  <w:r>
                    <w:rPr>
                      <w:b/>
                      <w:bCs/>
                      <w:color w:val="auto"/>
                      <w:szCs w:val="21"/>
                      <w:highlight w:val="none"/>
                    </w:rPr>
                    <w:t>环评</w:t>
                  </w:r>
                  <w:r>
                    <w:rPr>
                      <w:rFonts w:hint="eastAsia"/>
                      <w:b/>
                      <w:bCs/>
                      <w:color w:val="auto"/>
                      <w:szCs w:val="21"/>
                      <w:highlight w:val="none"/>
                    </w:rPr>
                    <w:t>数量</w:t>
                  </w:r>
                </w:p>
              </w:tc>
              <w:tc>
                <w:tcPr>
                  <w:tcW w:w="1492" w:type="dxa"/>
                  <w:tcBorders>
                    <w:top w:val="single" w:color="auto" w:sz="4" w:space="0"/>
                    <w:left w:val="single" w:color="auto" w:sz="4" w:space="0"/>
                    <w:right w:val="single" w:color="auto" w:sz="4" w:space="0"/>
                  </w:tcBorders>
                  <w:vAlign w:val="center"/>
                </w:tcPr>
                <w:p>
                  <w:pPr>
                    <w:pStyle w:val="42"/>
                    <w:rPr>
                      <w:b/>
                      <w:bCs/>
                      <w:color w:val="auto"/>
                      <w:szCs w:val="21"/>
                      <w:highlight w:val="none"/>
                    </w:rPr>
                  </w:pPr>
                  <w:r>
                    <w:rPr>
                      <w:b/>
                      <w:bCs/>
                      <w:color w:val="auto"/>
                      <w:szCs w:val="21"/>
                      <w:highlight w:val="none"/>
                    </w:rPr>
                    <w:t>实际</w:t>
                  </w:r>
                  <w:r>
                    <w:rPr>
                      <w:rFonts w:hint="eastAsia"/>
                      <w:b/>
                      <w:bCs/>
                      <w:color w:val="auto"/>
                      <w:szCs w:val="21"/>
                      <w:highlight w:val="none"/>
                    </w:rPr>
                    <w:t>数量</w:t>
                  </w:r>
                </w:p>
              </w:tc>
              <w:tc>
                <w:tcPr>
                  <w:tcW w:w="1832" w:type="dxa"/>
                  <w:tcBorders>
                    <w:top w:val="single" w:color="auto" w:sz="4" w:space="0"/>
                    <w:left w:val="single" w:color="auto" w:sz="4" w:space="0"/>
                    <w:bottom w:val="single" w:color="auto" w:sz="4" w:space="0"/>
                    <w:right w:val="single" w:color="auto" w:sz="4" w:space="0"/>
                  </w:tcBorders>
                  <w:vAlign w:val="center"/>
                </w:tcPr>
                <w:p>
                  <w:pPr>
                    <w:pStyle w:val="42"/>
                    <w:rPr>
                      <w:b/>
                      <w:bCs/>
                      <w:color w:val="auto"/>
                      <w:szCs w:val="21"/>
                      <w:highlight w:val="none"/>
                    </w:rPr>
                  </w:pPr>
                  <w:r>
                    <w:rPr>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1</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水分测定仪</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ZDJ-2S</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2</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2</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紫外分光光度计</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UV754PC</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2</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0</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3</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红外分光光度计</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TJ270-30A</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0</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4</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马弗炉</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DRZ-3D</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2</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5</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真空烘箱</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DZF-6050A</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6</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鼓风干燥箱</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50L</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2</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2</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7</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PH计</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PHS-3C</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6</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8</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XS型天平</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XS105</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6</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2</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9</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恒温油（水）浴锅</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HH-4</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40</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12</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10</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电导率仪</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DDS-11A</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0</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rPr>
                  </w:pPr>
                  <w:r>
                    <w:rPr>
                      <w:color w:val="auto"/>
                      <w:szCs w:val="21"/>
                      <w:highlight w:val="none"/>
                    </w:rPr>
                    <w:t>11</w:t>
                  </w:r>
                </w:p>
              </w:tc>
              <w:tc>
                <w:tcPr>
                  <w:tcW w:w="1626"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旋光仪</w:t>
                  </w:r>
                </w:p>
              </w:tc>
              <w:tc>
                <w:tcPr>
                  <w:tcW w:w="145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WZZ-2A</w:t>
                  </w:r>
                </w:p>
              </w:tc>
              <w:tc>
                <w:tcPr>
                  <w:tcW w:w="812"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台</w:t>
                  </w:r>
                </w:p>
              </w:tc>
              <w:tc>
                <w:tcPr>
                  <w:tcW w:w="1193" w:type="dxa"/>
                  <w:tcBorders>
                    <w:top w:val="single" w:color="auto" w:sz="4" w:space="0"/>
                    <w:left w:val="single" w:color="auto" w:sz="4" w:space="0"/>
                    <w:bottom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1</w:t>
                  </w:r>
                </w:p>
              </w:tc>
              <w:tc>
                <w:tcPr>
                  <w:tcW w:w="149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0</w:t>
                  </w:r>
                </w:p>
              </w:tc>
              <w:tc>
                <w:tcPr>
                  <w:tcW w:w="1832" w:type="dxa"/>
                  <w:tcBorders>
                    <w:left w:val="single" w:color="auto" w:sz="4" w:space="0"/>
                    <w:right w:val="single" w:color="auto" w:sz="4" w:space="0"/>
                  </w:tcBorders>
                  <w:vAlign w:val="center"/>
                </w:tcPr>
                <w:p>
                  <w:pPr>
                    <w:pStyle w:val="42"/>
                    <w:rPr>
                      <w:color w:val="auto"/>
                      <w:szCs w:val="21"/>
                      <w:highlight w:val="none"/>
                      <w:lang w:bidi="ar"/>
                    </w:rPr>
                  </w:pPr>
                  <w:r>
                    <w:rPr>
                      <w:color w:val="auto"/>
                      <w:szCs w:val="21"/>
                      <w:highlight w:val="none"/>
                      <w:lang w:bidi="ar"/>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color w:val="auto"/>
                      <w:szCs w:val="21"/>
                      <w:highlight w:val="none"/>
                    </w:rPr>
                    <w:t>12</w:t>
                  </w:r>
                </w:p>
              </w:tc>
              <w:tc>
                <w:tcPr>
                  <w:tcW w:w="1626" w:type="dxa"/>
                  <w:vAlign w:val="center"/>
                </w:tcPr>
                <w:p>
                  <w:pPr>
                    <w:pStyle w:val="42"/>
                    <w:rPr>
                      <w:color w:val="auto"/>
                      <w:szCs w:val="21"/>
                      <w:highlight w:val="none"/>
                      <w:lang w:bidi="ar"/>
                    </w:rPr>
                  </w:pPr>
                  <w:r>
                    <w:rPr>
                      <w:color w:val="auto"/>
                      <w:szCs w:val="21"/>
                      <w:highlight w:val="none"/>
                      <w:lang w:bidi="ar"/>
                    </w:rPr>
                    <w:t>水分滴定仪</w:t>
                  </w:r>
                </w:p>
              </w:tc>
              <w:tc>
                <w:tcPr>
                  <w:tcW w:w="1453" w:type="dxa"/>
                  <w:vAlign w:val="center"/>
                </w:tcPr>
                <w:p>
                  <w:pPr>
                    <w:pStyle w:val="42"/>
                    <w:rPr>
                      <w:color w:val="auto"/>
                      <w:szCs w:val="21"/>
                      <w:highlight w:val="none"/>
                      <w:lang w:bidi="ar"/>
                    </w:rPr>
                  </w:pPr>
                  <w:r>
                    <w:rPr>
                      <w:color w:val="auto"/>
                      <w:szCs w:val="21"/>
                      <w:highlight w:val="none"/>
                      <w:lang w:bidi="ar"/>
                    </w:rPr>
                    <w:t>ZSD-2J</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4</w:t>
                  </w:r>
                </w:p>
              </w:tc>
              <w:tc>
                <w:tcPr>
                  <w:tcW w:w="1492" w:type="dxa"/>
                  <w:vAlign w:val="center"/>
                </w:tcPr>
                <w:p>
                  <w:pPr>
                    <w:pStyle w:val="42"/>
                    <w:rPr>
                      <w:color w:val="auto"/>
                      <w:szCs w:val="21"/>
                      <w:highlight w:val="none"/>
                      <w:lang w:bidi="ar"/>
                    </w:rPr>
                  </w:pPr>
                  <w:r>
                    <w:rPr>
                      <w:color w:val="auto"/>
                      <w:szCs w:val="21"/>
                      <w:highlight w:val="none"/>
                      <w:lang w:bidi="ar"/>
                    </w:rPr>
                    <w:t>0</w:t>
                  </w:r>
                </w:p>
              </w:tc>
              <w:tc>
                <w:tcPr>
                  <w:tcW w:w="1832" w:type="dxa"/>
                  <w:vAlign w:val="center"/>
                </w:tcPr>
                <w:p>
                  <w:pPr>
                    <w:pStyle w:val="42"/>
                    <w:rPr>
                      <w:color w:val="auto"/>
                      <w:szCs w:val="21"/>
                      <w:highlight w:val="none"/>
                      <w:lang w:bidi="ar"/>
                    </w:rPr>
                  </w:pPr>
                  <w:r>
                    <w:rPr>
                      <w:color w:val="auto"/>
                      <w:szCs w:val="21"/>
                      <w:highlight w:val="none"/>
                      <w:lang w:bidi="ar"/>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color w:val="auto"/>
                      <w:szCs w:val="21"/>
                      <w:highlight w:val="none"/>
                    </w:rPr>
                    <w:t>13</w:t>
                  </w:r>
                </w:p>
              </w:tc>
              <w:tc>
                <w:tcPr>
                  <w:tcW w:w="1626" w:type="dxa"/>
                  <w:vAlign w:val="center"/>
                </w:tcPr>
                <w:p>
                  <w:pPr>
                    <w:pStyle w:val="42"/>
                    <w:rPr>
                      <w:color w:val="auto"/>
                      <w:szCs w:val="21"/>
                      <w:highlight w:val="none"/>
                      <w:lang w:bidi="ar"/>
                    </w:rPr>
                  </w:pPr>
                  <w:r>
                    <w:rPr>
                      <w:color w:val="auto"/>
                      <w:szCs w:val="21"/>
                      <w:highlight w:val="none"/>
                      <w:lang w:bidi="ar"/>
                    </w:rPr>
                    <w:t>电位滴定仪</w:t>
                  </w:r>
                </w:p>
              </w:tc>
              <w:tc>
                <w:tcPr>
                  <w:tcW w:w="1453" w:type="dxa"/>
                  <w:vAlign w:val="center"/>
                </w:tcPr>
                <w:p>
                  <w:pPr>
                    <w:pStyle w:val="42"/>
                    <w:rPr>
                      <w:color w:val="auto"/>
                      <w:szCs w:val="21"/>
                      <w:highlight w:val="none"/>
                      <w:lang w:bidi="ar"/>
                    </w:rPr>
                  </w:pPr>
                  <w:r>
                    <w:rPr>
                      <w:color w:val="auto"/>
                      <w:szCs w:val="21"/>
                      <w:highlight w:val="none"/>
                      <w:lang w:bidi="ar"/>
                    </w:rPr>
                    <w:t>ZDJ-4A</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1</w:t>
                  </w:r>
                </w:p>
              </w:tc>
              <w:tc>
                <w:tcPr>
                  <w:tcW w:w="1492" w:type="dxa"/>
                  <w:vAlign w:val="center"/>
                </w:tcPr>
                <w:p>
                  <w:pPr>
                    <w:pStyle w:val="42"/>
                    <w:rPr>
                      <w:color w:val="auto"/>
                      <w:szCs w:val="21"/>
                      <w:highlight w:val="none"/>
                      <w:lang w:bidi="ar"/>
                    </w:rPr>
                  </w:pPr>
                  <w:r>
                    <w:rPr>
                      <w:color w:val="auto"/>
                      <w:szCs w:val="21"/>
                      <w:highlight w:val="none"/>
                      <w:lang w:bidi="ar"/>
                    </w:rPr>
                    <w:t>0</w:t>
                  </w:r>
                </w:p>
              </w:tc>
              <w:tc>
                <w:tcPr>
                  <w:tcW w:w="1832" w:type="dxa"/>
                  <w:vAlign w:val="center"/>
                </w:tcPr>
                <w:p>
                  <w:pPr>
                    <w:pStyle w:val="42"/>
                    <w:rPr>
                      <w:color w:val="auto"/>
                      <w:szCs w:val="21"/>
                      <w:highlight w:val="none"/>
                      <w:lang w:bidi="ar"/>
                    </w:rPr>
                  </w:pPr>
                  <w:r>
                    <w:rPr>
                      <w:color w:val="auto"/>
                      <w:szCs w:val="21"/>
                      <w:highlight w:val="none"/>
                      <w:lang w:bidi="ar"/>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color w:val="auto"/>
                      <w:szCs w:val="21"/>
                      <w:highlight w:val="none"/>
                    </w:rPr>
                    <w:t>14</w:t>
                  </w:r>
                </w:p>
              </w:tc>
              <w:tc>
                <w:tcPr>
                  <w:tcW w:w="1626" w:type="dxa"/>
                  <w:vAlign w:val="center"/>
                </w:tcPr>
                <w:p>
                  <w:pPr>
                    <w:pStyle w:val="42"/>
                    <w:rPr>
                      <w:color w:val="auto"/>
                      <w:szCs w:val="21"/>
                      <w:highlight w:val="none"/>
                      <w:lang w:bidi="ar"/>
                    </w:rPr>
                  </w:pPr>
                  <w:r>
                    <w:rPr>
                      <w:color w:val="auto"/>
                      <w:szCs w:val="21"/>
                      <w:highlight w:val="none"/>
                      <w:lang w:bidi="ar"/>
                    </w:rPr>
                    <w:t>稳定性试验箱</w:t>
                  </w:r>
                </w:p>
              </w:tc>
              <w:tc>
                <w:tcPr>
                  <w:tcW w:w="1453" w:type="dxa"/>
                  <w:vAlign w:val="center"/>
                </w:tcPr>
                <w:p>
                  <w:pPr>
                    <w:pStyle w:val="42"/>
                    <w:rPr>
                      <w:color w:val="auto"/>
                      <w:szCs w:val="21"/>
                      <w:highlight w:val="none"/>
                      <w:lang w:bidi="ar"/>
                    </w:rPr>
                  </w:pPr>
                  <w:r>
                    <w:rPr>
                      <w:color w:val="auto"/>
                      <w:szCs w:val="21"/>
                      <w:highlight w:val="none"/>
                      <w:lang w:bidi="ar"/>
                    </w:rPr>
                    <w:t>LHH-250SD</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4</w:t>
                  </w:r>
                </w:p>
              </w:tc>
              <w:tc>
                <w:tcPr>
                  <w:tcW w:w="1492" w:type="dxa"/>
                  <w:vAlign w:val="center"/>
                </w:tcPr>
                <w:p>
                  <w:pPr>
                    <w:pStyle w:val="42"/>
                    <w:rPr>
                      <w:color w:val="auto"/>
                      <w:szCs w:val="21"/>
                      <w:highlight w:val="none"/>
                      <w:lang w:bidi="ar"/>
                    </w:rPr>
                  </w:pPr>
                  <w:r>
                    <w:rPr>
                      <w:color w:val="auto"/>
                      <w:szCs w:val="21"/>
                      <w:highlight w:val="none"/>
                      <w:lang w:bidi="ar"/>
                    </w:rPr>
                    <w:t>0</w:t>
                  </w:r>
                </w:p>
              </w:tc>
              <w:tc>
                <w:tcPr>
                  <w:tcW w:w="1832" w:type="dxa"/>
                  <w:vAlign w:val="center"/>
                </w:tcPr>
                <w:p>
                  <w:pPr>
                    <w:pStyle w:val="42"/>
                    <w:rPr>
                      <w:color w:val="auto"/>
                      <w:szCs w:val="21"/>
                      <w:highlight w:val="none"/>
                      <w:lang w:bidi="ar"/>
                    </w:rPr>
                  </w:pPr>
                  <w:r>
                    <w:rPr>
                      <w:color w:val="auto"/>
                      <w:szCs w:val="21"/>
                      <w:highlight w:val="none"/>
                      <w:lang w:bidi="ar"/>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color w:val="auto"/>
                      <w:szCs w:val="21"/>
                      <w:highlight w:val="none"/>
                    </w:rPr>
                    <w:t>15</w:t>
                  </w:r>
                </w:p>
              </w:tc>
              <w:tc>
                <w:tcPr>
                  <w:tcW w:w="1626" w:type="dxa"/>
                  <w:vAlign w:val="center"/>
                </w:tcPr>
                <w:p>
                  <w:pPr>
                    <w:pStyle w:val="42"/>
                    <w:rPr>
                      <w:color w:val="auto"/>
                      <w:szCs w:val="21"/>
                      <w:highlight w:val="none"/>
                      <w:lang w:bidi="ar"/>
                    </w:rPr>
                  </w:pPr>
                  <w:r>
                    <w:rPr>
                      <w:color w:val="auto"/>
                      <w:szCs w:val="21"/>
                      <w:highlight w:val="none"/>
                      <w:lang w:bidi="ar"/>
                    </w:rPr>
                    <w:t>电子天平</w:t>
                  </w:r>
                </w:p>
              </w:tc>
              <w:tc>
                <w:tcPr>
                  <w:tcW w:w="1453" w:type="dxa"/>
                  <w:vAlign w:val="center"/>
                </w:tcPr>
                <w:p>
                  <w:pPr>
                    <w:pStyle w:val="42"/>
                    <w:rPr>
                      <w:color w:val="auto"/>
                      <w:szCs w:val="21"/>
                      <w:highlight w:val="none"/>
                      <w:lang w:bidi="ar"/>
                    </w:rPr>
                  </w:pPr>
                  <w:r>
                    <w:rPr>
                      <w:color w:val="auto"/>
                      <w:szCs w:val="21"/>
                      <w:highlight w:val="none"/>
                      <w:lang w:bidi="ar"/>
                    </w:rPr>
                    <w:t>LS120A</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6</w:t>
                  </w:r>
                </w:p>
              </w:tc>
              <w:tc>
                <w:tcPr>
                  <w:tcW w:w="1492" w:type="dxa"/>
                  <w:vAlign w:val="center"/>
                </w:tcPr>
                <w:p>
                  <w:pPr>
                    <w:pStyle w:val="42"/>
                    <w:rPr>
                      <w:color w:val="auto"/>
                      <w:szCs w:val="21"/>
                      <w:highlight w:val="none"/>
                      <w:lang w:bidi="ar"/>
                    </w:rPr>
                  </w:pPr>
                  <w:r>
                    <w:rPr>
                      <w:color w:val="auto"/>
                      <w:szCs w:val="21"/>
                      <w:highlight w:val="none"/>
                      <w:lang w:bidi="ar"/>
                    </w:rPr>
                    <w:t>3</w:t>
                  </w:r>
                </w:p>
              </w:tc>
              <w:tc>
                <w:tcPr>
                  <w:tcW w:w="1832" w:type="dxa"/>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color w:val="auto"/>
                      <w:szCs w:val="21"/>
                      <w:highlight w:val="none"/>
                    </w:rPr>
                    <w:t>16</w:t>
                  </w:r>
                </w:p>
              </w:tc>
              <w:tc>
                <w:tcPr>
                  <w:tcW w:w="1626" w:type="dxa"/>
                  <w:vAlign w:val="center"/>
                </w:tcPr>
                <w:p>
                  <w:pPr>
                    <w:pStyle w:val="42"/>
                    <w:rPr>
                      <w:color w:val="auto"/>
                      <w:szCs w:val="21"/>
                      <w:highlight w:val="none"/>
                      <w:lang w:bidi="ar"/>
                    </w:rPr>
                  </w:pPr>
                  <w:r>
                    <w:rPr>
                      <w:color w:val="auto"/>
                      <w:szCs w:val="21"/>
                      <w:highlight w:val="none"/>
                      <w:lang w:bidi="ar"/>
                    </w:rPr>
                    <w:t>液相色谱仪</w:t>
                  </w:r>
                </w:p>
              </w:tc>
              <w:tc>
                <w:tcPr>
                  <w:tcW w:w="1453" w:type="dxa"/>
                  <w:vAlign w:val="center"/>
                </w:tcPr>
                <w:p>
                  <w:pPr>
                    <w:pStyle w:val="42"/>
                    <w:rPr>
                      <w:color w:val="auto"/>
                      <w:szCs w:val="21"/>
                      <w:highlight w:val="none"/>
                      <w:lang w:bidi="ar"/>
                    </w:rPr>
                  </w:pPr>
                  <w:r>
                    <w:rPr>
                      <w:color w:val="auto"/>
                      <w:szCs w:val="21"/>
                      <w:highlight w:val="none"/>
                      <w:lang w:bidi="ar"/>
                    </w:rPr>
                    <w:t>Primaide</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4</w:t>
                  </w:r>
                </w:p>
              </w:tc>
              <w:tc>
                <w:tcPr>
                  <w:tcW w:w="1492" w:type="dxa"/>
                  <w:vAlign w:val="center"/>
                </w:tcPr>
                <w:p>
                  <w:pPr>
                    <w:pStyle w:val="42"/>
                    <w:rPr>
                      <w:color w:val="auto"/>
                      <w:szCs w:val="21"/>
                      <w:highlight w:val="none"/>
                      <w:lang w:bidi="ar"/>
                    </w:rPr>
                  </w:pPr>
                  <w:r>
                    <w:rPr>
                      <w:color w:val="auto"/>
                      <w:szCs w:val="21"/>
                      <w:highlight w:val="none"/>
                      <w:lang w:bidi="ar"/>
                    </w:rPr>
                    <w:t>4</w:t>
                  </w:r>
                </w:p>
              </w:tc>
              <w:tc>
                <w:tcPr>
                  <w:tcW w:w="1832" w:type="dxa"/>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color w:val="auto"/>
                      <w:szCs w:val="21"/>
                      <w:highlight w:val="none"/>
                    </w:rPr>
                    <w:t>17</w:t>
                  </w:r>
                </w:p>
              </w:tc>
              <w:tc>
                <w:tcPr>
                  <w:tcW w:w="1626" w:type="dxa"/>
                  <w:vAlign w:val="center"/>
                </w:tcPr>
                <w:p>
                  <w:pPr>
                    <w:pStyle w:val="42"/>
                    <w:rPr>
                      <w:color w:val="auto"/>
                      <w:szCs w:val="21"/>
                      <w:highlight w:val="none"/>
                      <w:lang w:bidi="ar"/>
                    </w:rPr>
                  </w:pPr>
                  <w:r>
                    <w:rPr>
                      <w:color w:val="auto"/>
                      <w:szCs w:val="21"/>
                      <w:highlight w:val="none"/>
                      <w:lang w:bidi="ar"/>
                    </w:rPr>
                    <w:t>COD检测仪</w:t>
                  </w:r>
                </w:p>
              </w:tc>
              <w:tc>
                <w:tcPr>
                  <w:tcW w:w="1453" w:type="dxa"/>
                  <w:vAlign w:val="center"/>
                </w:tcPr>
                <w:p>
                  <w:pPr>
                    <w:pStyle w:val="42"/>
                    <w:rPr>
                      <w:color w:val="auto"/>
                      <w:szCs w:val="21"/>
                      <w:highlight w:val="none"/>
                      <w:lang w:bidi="ar"/>
                    </w:rPr>
                  </w:pPr>
                  <w:r>
                    <w:rPr>
                      <w:color w:val="auto"/>
                      <w:szCs w:val="21"/>
                      <w:highlight w:val="none"/>
                      <w:lang w:bidi="ar"/>
                    </w:rPr>
                    <w:t>5B-6C(V8)</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1</w:t>
                  </w:r>
                </w:p>
              </w:tc>
              <w:tc>
                <w:tcPr>
                  <w:tcW w:w="1492" w:type="dxa"/>
                  <w:vAlign w:val="center"/>
                </w:tcPr>
                <w:p>
                  <w:pPr>
                    <w:pStyle w:val="42"/>
                    <w:rPr>
                      <w:color w:val="auto"/>
                      <w:szCs w:val="21"/>
                      <w:highlight w:val="none"/>
                      <w:lang w:bidi="ar"/>
                    </w:rPr>
                  </w:pPr>
                  <w:r>
                    <w:rPr>
                      <w:color w:val="auto"/>
                      <w:szCs w:val="21"/>
                      <w:highlight w:val="none"/>
                      <w:lang w:bidi="ar"/>
                    </w:rPr>
                    <w:t>1</w:t>
                  </w:r>
                </w:p>
              </w:tc>
              <w:tc>
                <w:tcPr>
                  <w:tcW w:w="1832" w:type="dxa"/>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vAlign w:val="center"/>
                </w:tcPr>
                <w:p>
                  <w:pPr>
                    <w:pStyle w:val="42"/>
                    <w:rPr>
                      <w:color w:val="auto"/>
                      <w:szCs w:val="21"/>
                      <w:highlight w:val="none"/>
                    </w:rPr>
                  </w:pPr>
                  <w:r>
                    <w:rPr>
                      <w:color w:val="auto"/>
                      <w:szCs w:val="21"/>
                      <w:highlight w:val="none"/>
                    </w:rPr>
                    <w:t>18</w:t>
                  </w:r>
                </w:p>
              </w:tc>
              <w:tc>
                <w:tcPr>
                  <w:tcW w:w="1626" w:type="dxa"/>
                  <w:vAlign w:val="center"/>
                </w:tcPr>
                <w:p>
                  <w:pPr>
                    <w:pStyle w:val="42"/>
                    <w:rPr>
                      <w:color w:val="auto"/>
                      <w:szCs w:val="21"/>
                      <w:highlight w:val="none"/>
                      <w:lang w:bidi="ar"/>
                    </w:rPr>
                  </w:pPr>
                  <w:r>
                    <w:rPr>
                      <w:color w:val="auto"/>
                      <w:szCs w:val="21"/>
                      <w:highlight w:val="none"/>
                      <w:lang w:bidi="ar"/>
                    </w:rPr>
                    <w:t>熔点仪</w:t>
                  </w:r>
                </w:p>
              </w:tc>
              <w:tc>
                <w:tcPr>
                  <w:tcW w:w="1453" w:type="dxa"/>
                  <w:vAlign w:val="center"/>
                </w:tcPr>
                <w:p>
                  <w:pPr>
                    <w:pStyle w:val="42"/>
                    <w:rPr>
                      <w:color w:val="auto"/>
                      <w:szCs w:val="21"/>
                      <w:highlight w:val="none"/>
                      <w:lang w:bidi="ar"/>
                    </w:rPr>
                  </w:pPr>
                  <w:r>
                    <w:rPr>
                      <w:color w:val="auto"/>
                      <w:szCs w:val="21"/>
                      <w:highlight w:val="none"/>
                      <w:lang w:bidi="ar"/>
                    </w:rPr>
                    <w:t>WRS-1B</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1</w:t>
                  </w:r>
                </w:p>
              </w:tc>
              <w:tc>
                <w:tcPr>
                  <w:tcW w:w="1492" w:type="dxa"/>
                  <w:vAlign w:val="center"/>
                </w:tcPr>
                <w:p>
                  <w:pPr>
                    <w:pStyle w:val="42"/>
                    <w:rPr>
                      <w:color w:val="auto"/>
                      <w:szCs w:val="21"/>
                      <w:highlight w:val="none"/>
                      <w:lang w:bidi="ar"/>
                    </w:rPr>
                  </w:pPr>
                  <w:r>
                    <w:rPr>
                      <w:color w:val="auto"/>
                      <w:szCs w:val="21"/>
                      <w:highlight w:val="none"/>
                      <w:lang w:bidi="ar"/>
                    </w:rPr>
                    <w:t>1</w:t>
                  </w:r>
                </w:p>
              </w:tc>
              <w:tc>
                <w:tcPr>
                  <w:tcW w:w="1832" w:type="dxa"/>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19</w:t>
                  </w:r>
                </w:p>
              </w:tc>
              <w:tc>
                <w:tcPr>
                  <w:tcW w:w="1626" w:type="dxa"/>
                  <w:vAlign w:val="center"/>
                </w:tcPr>
                <w:p>
                  <w:pPr>
                    <w:pStyle w:val="42"/>
                    <w:rPr>
                      <w:color w:val="auto"/>
                      <w:szCs w:val="21"/>
                      <w:highlight w:val="none"/>
                      <w:lang w:bidi="ar"/>
                    </w:rPr>
                  </w:pPr>
                  <w:r>
                    <w:rPr>
                      <w:color w:val="auto"/>
                      <w:szCs w:val="21"/>
                      <w:highlight w:val="none"/>
                      <w:lang w:bidi="ar"/>
                    </w:rPr>
                    <w:t>玻璃反应釜</w:t>
                  </w:r>
                </w:p>
              </w:tc>
              <w:tc>
                <w:tcPr>
                  <w:tcW w:w="1453" w:type="dxa"/>
                  <w:vAlign w:val="center"/>
                </w:tcPr>
                <w:p>
                  <w:pPr>
                    <w:pStyle w:val="42"/>
                    <w:rPr>
                      <w:color w:val="auto"/>
                      <w:szCs w:val="21"/>
                      <w:highlight w:val="none"/>
                      <w:lang w:bidi="ar"/>
                    </w:rPr>
                  </w:pPr>
                  <w:r>
                    <w:rPr>
                      <w:color w:val="auto"/>
                      <w:szCs w:val="21"/>
                      <w:highlight w:val="none"/>
                      <w:lang w:bidi="ar"/>
                    </w:rPr>
                    <w:t>50L</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2</w:t>
                  </w:r>
                </w:p>
              </w:tc>
              <w:tc>
                <w:tcPr>
                  <w:tcW w:w="1492" w:type="dxa"/>
                  <w:vAlign w:val="center"/>
                </w:tcPr>
                <w:p>
                  <w:pPr>
                    <w:pStyle w:val="42"/>
                    <w:rPr>
                      <w:color w:val="auto"/>
                      <w:szCs w:val="21"/>
                      <w:highlight w:val="none"/>
                      <w:lang w:bidi="ar"/>
                    </w:rPr>
                  </w:pPr>
                  <w:r>
                    <w:rPr>
                      <w:color w:val="auto"/>
                      <w:szCs w:val="21"/>
                      <w:highlight w:val="none"/>
                      <w:lang w:bidi="ar"/>
                    </w:rPr>
                    <w:t>2</w:t>
                  </w:r>
                </w:p>
              </w:tc>
              <w:tc>
                <w:tcPr>
                  <w:tcW w:w="1832" w:type="dxa"/>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20</w:t>
                  </w:r>
                </w:p>
              </w:tc>
              <w:tc>
                <w:tcPr>
                  <w:tcW w:w="1626" w:type="dxa"/>
                  <w:vAlign w:val="center"/>
                </w:tcPr>
                <w:p>
                  <w:pPr>
                    <w:pStyle w:val="42"/>
                    <w:rPr>
                      <w:color w:val="auto"/>
                      <w:szCs w:val="21"/>
                      <w:highlight w:val="none"/>
                      <w:lang w:bidi="ar"/>
                    </w:rPr>
                  </w:pPr>
                  <w:r>
                    <w:rPr>
                      <w:color w:val="auto"/>
                      <w:szCs w:val="21"/>
                      <w:highlight w:val="none"/>
                      <w:lang w:bidi="ar"/>
                    </w:rPr>
                    <w:t>高低温一体机</w:t>
                  </w:r>
                </w:p>
              </w:tc>
              <w:tc>
                <w:tcPr>
                  <w:tcW w:w="1453" w:type="dxa"/>
                  <w:vAlign w:val="center"/>
                </w:tcPr>
                <w:p>
                  <w:pPr>
                    <w:pStyle w:val="42"/>
                    <w:rPr>
                      <w:color w:val="auto"/>
                      <w:szCs w:val="21"/>
                      <w:highlight w:val="none"/>
                      <w:lang w:bidi="ar"/>
                    </w:rPr>
                  </w:pPr>
                  <w:r>
                    <w:rPr>
                      <w:color w:val="auto"/>
                      <w:szCs w:val="21"/>
                      <w:highlight w:val="none"/>
                      <w:lang w:bidi="ar"/>
                    </w:rPr>
                    <w:t>GDX-5040</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2</w:t>
                  </w:r>
                </w:p>
              </w:tc>
              <w:tc>
                <w:tcPr>
                  <w:tcW w:w="1492" w:type="dxa"/>
                  <w:vAlign w:val="center"/>
                </w:tcPr>
                <w:p>
                  <w:pPr>
                    <w:pStyle w:val="42"/>
                    <w:rPr>
                      <w:color w:val="auto"/>
                      <w:szCs w:val="21"/>
                      <w:highlight w:val="none"/>
                      <w:lang w:bidi="ar"/>
                    </w:rPr>
                  </w:pPr>
                  <w:r>
                    <w:rPr>
                      <w:color w:val="auto"/>
                      <w:szCs w:val="21"/>
                      <w:highlight w:val="none"/>
                      <w:lang w:bidi="ar"/>
                    </w:rPr>
                    <w:t>1</w:t>
                  </w:r>
                </w:p>
              </w:tc>
              <w:tc>
                <w:tcPr>
                  <w:tcW w:w="1832" w:type="dxa"/>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21</w:t>
                  </w:r>
                </w:p>
              </w:tc>
              <w:tc>
                <w:tcPr>
                  <w:tcW w:w="1626" w:type="dxa"/>
                  <w:vAlign w:val="center"/>
                </w:tcPr>
                <w:p>
                  <w:pPr>
                    <w:pStyle w:val="42"/>
                    <w:rPr>
                      <w:color w:val="auto"/>
                      <w:szCs w:val="21"/>
                      <w:highlight w:val="none"/>
                      <w:lang w:bidi="ar"/>
                    </w:rPr>
                  </w:pPr>
                  <w:r>
                    <w:rPr>
                      <w:color w:val="auto"/>
                      <w:szCs w:val="21"/>
                      <w:highlight w:val="none"/>
                      <w:lang w:bidi="ar"/>
                    </w:rPr>
                    <w:t>真空水泵</w:t>
                  </w:r>
                </w:p>
              </w:tc>
              <w:tc>
                <w:tcPr>
                  <w:tcW w:w="1453" w:type="dxa"/>
                  <w:vAlign w:val="center"/>
                </w:tcPr>
                <w:p>
                  <w:pPr>
                    <w:pStyle w:val="42"/>
                    <w:rPr>
                      <w:color w:val="auto"/>
                      <w:szCs w:val="21"/>
                      <w:highlight w:val="none"/>
                      <w:lang w:bidi="ar"/>
                    </w:rPr>
                  </w:pPr>
                  <w:r>
                    <w:rPr>
                      <w:color w:val="auto"/>
                      <w:szCs w:val="21"/>
                      <w:highlight w:val="none"/>
                      <w:lang w:bidi="ar"/>
                    </w:rPr>
                    <w:t>SHK-B95</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4</w:t>
                  </w:r>
                </w:p>
              </w:tc>
              <w:tc>
                <w:tcPr>
                  <w:tcW w:w="1492" w:type="dxa"/>
                  <w:vAlign w:val="center"/>
                </w:tcPr>
                <w:p>
                  <w:pPr>
                    <w:pStyle w:val="42"/>
                    <w:rPr>
                      <w:color w:val="auto"/>
                      <w:szCs w:val="21"/>
                      <w:highlight w:val="none"/>
                      <w:lang w:bidi="ar"/>
                    </w:rPr>
                  </w:pPr>
                  <w:r>
                    <w:rPr>
                      <w:color w:val="auto"/>
                      <w:szCs w:val="21"/>
                      <w:highlight w:val="none"/>
                      <w:lang w:bidi="ar"/>
                    </w:rPr>
                    <w:t>4</w:t>
                  </w:r>
                </w:p>
              </w:tc>
              <w:tc>
                <w:tcPr>
                  <w:tcW w:w="1832" w:type="dxa"/>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22</w:t>
                  </w:r>
                </w:p>
              </w:tc>
              <w:tc>
                <w:tcPr>
                  <w:tcW w:w="1626" w:type="dxa"/>
                  <w:vAlign w:val="center"/>
                </w:tcPr>
                <w:p>
                  <w:pPr>
                    <w:pStyle w:val="42"/>
                    <w:rPr>
                      <w:color w:val="auto"/>
                      <w:szCs w:val="21"/>
                      <w:highlight w:val="none"/>
                      <w:lang w:bidi="ar"/>
                    </w:rPr>
                  </w:pPr>
                  <w:r>
                    <w:rPr>
                      <w:color w:val="auto"/>
                      <w:szCs w:val="21"/>
                      <w:highlight w:val="none"/>
                      <w:lang w:bidi="ar"/>
                    </w:rPr>
                    <w:t>台式真空水泵</w:t>
                  </w:r>
                </w:p>
              </w:tc>
              <w:tc>
                <w:tcPr>
                  <w:tcW w:w="1453" w:type="dxa"/>
                  <w:vAlign w:val="center"/>
                </w:tcPr>
                <w:p>
                  <w:pPr>
                    <w:pStyle w:val="42"/>
                    <w:rPr>
                      <w:color w:val="auto"/>
                      <w:szCs w:val="21"/>
                      <w:highlight w:val="none"/>
                      <w:lang w:bidi="ar"/>
                    </w:rPr>
                  </w:pPr>
                  <w:r>
                    <w:rPr>
                      <w:color w:val="auto"/>
                      <w:szCs w:val="21"/>
                      <w:highlight w:val="none"/>
                      <w:lang w:bidi="ar"/>
                    </w:rPr>
                    <w:t>SHK-III</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30</w:t>
                  </w:r>
                </w:p>
              </w:tc>
              <w:tc>
                <w:tcPr>
                  <w:tcW w:w="1492" w:type="dxa"/>
                  <w:vAlign w:val="center"/>
                </w:tcPr>
                <w:p>
                  <w:pPr>
                    <w:pStyle w:val="42"/>
                    <w:rPr>
                      <w:color w:val="auto"/>
                      <w:szCs w:val="21"/>
                      <w:highlight w:val="none"/>
                      <w:lang w:bidi="ar"/>
                    </w:rPr>
                  </w:pPr>
                  <w:r>
                    <w:rPr>
                      <w:color w:val="auto"/>
                      <w:szCs w:val="21"/>
                      <w:highlight w:val="none"/>
                      <w:lang w:bidi="ar"/>
                    </w:rPr>
                    <w:t>7</w:t>
                  </w:r>
                </w:p>
              </w:tc>
              <w:tc>
                <w:tcPr>
                  <w:tcW w:w="1832" w:type="dxa"/>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23</w:t>
                  </w:r>
                </w:p>
              </w:tc>
              <w:tc>
                <w:tcPr>
                  <w:tcW w:w="1626" w:type="dxa"/>
                  <w:vAlign w:val="center"/>
                </w:tcPr>
                <w:p>
                  <w:pPr>
                    <w:pStyle w:val="42"/>
                    <w:rPr>
                      <w:color w:val="auto"/>
                      <w:szCs w:val="21"/>
                      <w:highlight w:val="none"/>
                      <w:lang w:bidi="ar"/>
                    </w:rPr>
                  </w:pPr>
                  <w:r>
                    <w:rPr>
                      <w:color w:val="auto"/>
                      <w:szCs w:val="21"/>
                      <w:highlight w:val="none"/>
                      <w:lang w:bidi="ar"/>
                    </w:rPr>
                    <w:t>旋转蒸发仪</w:t>
                  </w:r>
                </w:p>
              </w:tc>
              <w:tc>
                <w:tcPr>
                  <w:tcW w:w="1453" w:type="dxa"/>
                  <w:vAlign w:val="center"/>
                </w:tcPr>
                <w:p>
                  <w:pPr>
                    <w:pStyle w:val="42"/>
                    <w:rPr>
                      <w:color w:val="auto"/>
                      <w:szCs w:val="21"/>
                      <w:highlight w:val="none"/>
                      <w:lang w:bidi="ar"/>
                    </w:rPr>
                  </w:pPr>
                  <w:r>
                    <w:rPr>
                      <w:color w:val="auto"/>
                      <w:szCs w:val="21"/>
                      <w:highlight w:val="none"/>
                      <w:lang w:bidi="ar"/>
                    </w:rPr>
                    <w:t>RK-1020</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2</w:t>
                  </w:r>
                </w:p>
              </w:tc>
              <w:tc>
                <w:tcPr>
                  <w:tcW w:w="1492" w:type="dxa"/>
                  <w:vAlign w:val="center"/>
                </w:tcPr>
                <w:p>
                  <w:pPr>
                    <w:pStyle w:val="42"/>
                    <w:rPr>
                      <w:color w:val="auto"/>
                      <w:szCs w:val="21"/>
                      <w:highlight w:val="none"/>
                      <w:lang w:bidi="ar"/>
                    </w:rPr>
                  </w:pPr>
                  <w:r>
                    <w:rPr>
                      <w:rFonts w:hint="eastAsia"/>
                      <w:color w:val="auto"/>
                      <w:szCs w:val="21"/>
                      <w:highlight w:val="none"/>
                      <w:lang w:bidi="ar"/>
                    </w:rPr>
                    <w:t>3</w:t>
                  </w:r>
                </w:p>
              </w:tc>
              <w:tc>
                <w:tcPr>
                  <w:tcW w:w="1832" w:type="dxa"/>
                  <w:vAlign w:val="center"/>
                </w:tcPr>
                <w:p>
                  <w:pPr>
                    <w:pStyle w:val="42"/>
                    <w:rPr>
                      <w:color w:val="auto"/>
                      <w:szCs w:val="21"/>
                      <w:highlight w:val="none"/>
                      <w:lang w:bidi="ar"/>
                    </w:rPr>
                  </w:pPr>
                  <w:r>
                    <w:rPr>
                      <w:rFonts w:hint="eastAsia"/>
                      <w:color w:val="auto"/>
                      <w:szCs w:val="21"/>
                      <w:highlight w:val="none"/>
                      <w:lang w:bidi="ar"/>
                    </w:rPr>
                    <w:t>增加设备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24</w:t>
                  </w:r>
                </w:p>
              </w:tc>
              <w:tc>
                <w:tcPr>
                  <w:tcW w:w="1626" w:type="dxa"/>
                  <w:vAlign w:val="center"/>
                </w:tcPr>
                <w:p>
                  <w:pPr>
                    <w:pStyle w:val="42"/>
                    <w:rPr>
                      <w:color w:val="auto"/>
                      <w:szCs w:val="21"/>
                      <w:highlight w:val="none"/>
                      <w:lang w:bidi="ar"/>
                    </w:rPr>
                  </w:pPr>
                  <w:r>
                    <w:rPr>
                      <w:color w:val="auto"/>
                      <w:szCs w:val="21"/>
                      <w:highlight w:val="none"/>
                      <w:lang w:bidi="ar"/>
                    </w:rPr>
                    <w:t>旋转蒸发仪</w:t>
                  </w:r>
                </w:p>
              </w:tc>
              <w:tc>
                <w:tcPr>
                  <w:tcW w:w="1453" w:type="dxa"/>
                  <w:vAlign w:val="center"/>
                </w:tcPr>
                <w:p>
                  <w:pPr>
                    <w:pStyle w:val="42"/>
                    <w:rPr>
                      <w:color w:val="auto"/>
                      <w:szCs w:val="21"/>
                      <w:highlight w:val="none"/>
                      <w:lang w:bidi="ar"/>
                    </w:rPr>
                  </w:pPr>
                  <w:r>
                    <w:rPr>
                      <w:color w:val="auto"/>
                      <w:szCs w:val="21"/>
                      <w:highlight w:val="none"/>
                      <w:lang w:bidi="ar"/>
                    </w:rPr>
                    <w:t>RE-2000B</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2</w:t>
                  </w:r>
                </w:p>
              </w:tc>
              <w:tc>
                <w:tcPr>
                  <w:tcW w:w="1492" w:type="dxa"/>
                  <w:vAlign w:val="center"/>
                </w:tcPr>
                <w:p>
                  <w:pPr>
                    <w:pStyle w:val="42"/>
                    <w:rPr>
                      <w:color w:val="auto"/>
                      <w:szCs w:val="21"/>
                      <w:highlight w:val="none"/>
                      <w:lang w:bidi="ar"/>
                    </w:rPr>
                  </w:pPr>
                  <w:r>
                    <w:rPr>
                      <w:color w:val="auto"/>
                      <w:szCs w:val="21"/>
                      <w:highlight w:val="none"/>
                      <w:lang w:bidi="ar"/>
                    </w:rPr>
                    <w:t>2</w:t>
                  </w:r>
                </w:p>
              </w:tc>
              <w:tc>
                <w:tcPr>
                  <w:tcW w:w="1832" w:type="dxa"/>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25</w:t>
                  </w:r>
                </w:p>
              </w:tc>
              <w:tc>
                <w:tcPr>
                  <w:tcW w:w="1626" w:type="dxa"/>
                  <w:vAlign w:val="center"/>
                </w:tcPr>
                <w:p>
                  <w:pPr>
                    <w:pStyle w:val="42"/>
                    <w:rPr>
                      <w:color w:val="auto"/>
                      <w:szCs w:val="21"/>
                      <w:highlight w:val="none"/>
                      <w:lang w:bidi="ar"/>
                    </w:rPr>
                  </w:pPr>
                  <w:r>
                    <w:rPr>
                      <w:color w:val="auto"/>
                      <w:szCs w:val="21"/>
                      <w:highlight w:val="none"/>
                      <w:lang w:bidi="ar"/>
                    </w:rPr>
                    <w:t>气相色谱仪</w:t>
                  </w:r>
                </w:p>
              </w:tc>
              <w:tc>
                <w:tcPr>
                  <w:tcW w:w="1453" w:type="dxa"/>
                  <w:vAlign w:val="center"/>
                </w:tcPr>
                <w:p>
                  <w:pPr>
                    <w:pStyle w:val="42"/>
                    <w:rPr>
                      <w:color w:val="auto"/>
                      <w:szCs w:val="21"/>
                      <w:highlight w:val="none"/>
                      <w:lang w:bidi="ar"/>
                    </w:rPr>
                  </w:pPr>
                  <w:r>
                    <w:rPr>
                      <w:color w:val="auto"/>
                      <w:szCs w:val="21"/>
                      <w:highlight w:val="none"/>
                      <w:lang w:bidi="ar"/>
                    </w:rPr>
                    <w:t>/</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2</w:t>
                  </w:r>
                </w:p>
              </w:tc>
              <w:tc>
                <w:tcPr>
                  <w:tcW w:w="1492" w:type="dxa"/>
                  <w:vAlign w:val="center"/>
                </w:tcPr>
                <w:p>
                  <w:pPr>
                    <w:pStyle w:val="42"/>
                    <w:rPr>
                      <w:color w:val="auto"/>
                      <w:szCs w:val="21"/>
                      <w:highlight w:val="none"/>
                      <w:lang w:bidi="ar"/>
                    </w:rPr>
                  </w:pPr>
                  <w:r>
                    <w:rPr>
                      <w:color w:val="auto"/>
                      <w:szCs w:val="21"/>
                      <w:highlight w:val="none"/>
                      <w:lang w:bidi="ar"/>
                    </w:rPr>
                    <w:t>2</w:t>
                  </w:r>
                </w:p>
              </w:tc>
              <w:tc>
                <w:tcPr>
                  <w:tcW w:w="1832" w:type="dxa"/>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26</w:t>
                  </w:r>
                </w:p>
              </w:tc>
              <w:tc>
                <w:tcPr>
                  <w:tcW w:w="1626" w:type="dxa"/>
                  <w:vAlign w:val="center"/>
                </w:tcPr>
                <w:p>
                  <w:pPr>
                    <w:pStyle w:val="42"/>
                    <w:rPr>
                      <w:color w:val="auto"/>
                      <w:szCs w:val="21"/>
                      <w:highlight w:val="none"/>
                      <w:lang w:bidi="ar"/>
                    </w:rPr>
                  </w:pPr>
                  <w:r>
                    <w:rPr>
                      <w:color w:val="auto"/>
                      <w:szCs w:val="21"/>
                      <w:highlight w:val="none"/>
                      <w:lang w:bidi="ar"/>
                    </w:rPr>
                    <w:t>电动搅拌仪</w:t>
                  </w:r>
                </w:p>
              </w:tc>
              <w:tc>
                <w:tcPr>
                  <w:tcW w:w="1453" w:type="dxa"/>
                  <w:vAlign w:val="center"/>
                </w:tcPr>
                <w:p>
                  <w:pPr>
                    <w:pStyle w:val="42"/>
                    <w:rPr>
                      <w:color w:val="auto"/>
                      <w:szCs w:val="21"/>
                      <w:highlight w:val="none"/>
                      <w:lang w:bidi="ar"/>
                    </w:rPr>
                  </w:pPr>
                  <w:r>
                    <w:rPr>
                      <w:color w:val="auto"/>
                      <w:szCs w:val="21"/>
                      <w:highlight w:val="none"/>
                      <w:lang w:bidi="ar"/>
                    </w:rPr>
                    <w:t>/</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20</w:t>
                  </w:r>
                </w:p>
              </w:tc>
              <w:tc>
                <w:tcPr>
                  <w:tcW w:w="1492" w:type="dxa"/>
                  <w:vAlign w:val="center"/>
                </w:tcPr>
                <w:p>
                  <w:pPr>
                    <w:pStyle w:val="42"/>
                    <w:rPr>
                      <w:color w:val="auto"/>
                      <w:szCs w:val="21"/>
                      <w:highlight w:val="none"/>
                      <w:lang w:bidi="ar"/>
                    </w:rPr>
                  </w:pPr>
                  <w:r>
                    <w:rPr>
                      <w:color w:val="auto"/>
                      <w:szCs w:val="21"/>
                      <w:highlight w:val="none"/>
                      <w:lang w:bidi="ar"/>
                    </w:rPr>
                    <w:t>14</w:t>
                  </w:r>
                </w:p>
              </w:tc>
              <w:tc>
                <w:tcPr>
                  <w:tcW w:w="1832" w:type="dxa"/>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27</w:t>
                  </w:r>
                </w:p>
              </w:tc>
              <w:tc>
                <w:tcPr>
                  <w:tcW w:w="1626" w:type="dxa"/>
                  <w:vAlign w:val="center"/>
                </w:tcPr>
                <w:p>
                  <w:pPr>
                    <w:pStyle w:val="42"/>
                    <w:rPr>
                      <w:color w:val="auto"/>
                      <w:szCs w:val="21"/>
                      <w:highlight w:val="none"/>
                      <w:lang w:bidi="ar"/>
                    </w:rPr>
                  </w:pPr>
                  <w:r>
                    <w:rPr>
                      <w:color w:val="auto"/>
                      <w:szCs w:val="21"/>
                      <w:highlight w:val="none"/>
                      <w:lang w:bidi="ar"/>
                    </w:rPr>
                    <w:t>超声清洗机</w:t>
                  </w:r>
                </w:p>
              </w:tc>
              <w:tc>
                <w:tcPr>
                  <w:tcW w:w="1453" w:type="dxa"/>
                  <w:vAlign w:val="center"/>
                </w:tcPr>
                <w:p>
                  <w:pPr>
                    <w:pStyle w:val="42"/>
                    <w:rPr>
                      <w:color w:val="auto"/>
                      <w:szCs w:val="21"/>
                      <w:highlight w:val="none"/>
                      <w:lang w:bidi="ar"/>
                    </w:rPr>
                  </w:pPr>
                  <w:r>
                    <w:rPr>
                      <w:color w:val="auto"/>
                      <w:szCs w:val="21"/>
                      <w:highlight w:val="none"/>
                      <w:lang w:bidi="ar"/>
                    </w:rPr>
                    <w:t>/</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4</w:t>
                  </w:r>
                </w:p>
              </w:tc>
              <w:tc>
                <w:tcPr>
                  <w:tcW w:w="1492" w:type="dxa"/>
                  <w:vAlign w:val="center"/>
                </w:tcPr>
                <w:p>
                  <w:pPr>
                    <w:pStyle w:val="42"/>
                    <w:rPr>
                      <w:color w:val="auto"/>
                      <w:szCs w:val="21"/>
                      <w:highlight w:val="none"/>
                      <w:lang w:bidi="ar"/>
                    </w:rPr>
                  </w:pPr>
                  <w:r>
                    <w:rPr>
                      <w:color w:val="auto"/>
                      <w:szCs w:val="21"/>
                      <w:highlight w:val="none"/>
                      <w:lang w:bidi="ar"/>
                    </w:rPr>
                    <w:t>1</w:t>
                  </w:r>
                </w:p>
              </w:tc>
              <w:tc>
                <w:tcPr>
                  <w:tcW w:w="1832" w:type="dxa"/>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28</w:t>
                  </w:r>
                </w:p>
              </w:tc>
              <w:tc>
                <w:tcPr>
                  <w:tcW w:w="1626" w:type="dxa"/>
                  <w:vAlign w:val="center"/>
                </w:tcPr>
                <w:p>
                  <w:pPr>
                    <w:pStyle w:val="42"/>
                    <w:rPr>
                      <w:color w:val="auto"/>
                      <w:szCs w:val="21"/>
                      <w:highlight w:val="none"/>
                      <w:lang w:bidi="ar"/>
                    </w:rPr>
                  </w:pPr>
                  <w:r>
                    <w:rPr>
                      <w:color w:val="auto"/>
                      <w:szCs w:val="21"/>
                      <w:highlight w:val="none"/>
                      <w:lang w:bidi="ar"/>
                    </w:rPr>
                    <w:t>电热套</w:t>
                  </w:r>
                </w:p>
              </w:tc>
              <w:tc>
                <w:tcPr>
                  <w:tcW w:w="1453" w:type="dxa"/>
                  <w:vAlign w:val="center"/>
                </w:tcPr>
                <w:p>
                  <w:pPr>
                    <w:pStyle w:val="42"/>
                    <w:rPr>
                      <w:color w:val="auto"/>
                      <w:szCs w:val="21"/>
                      <w:highlight w:val="none"/>
                      <w:lang w:bidi="ar"/>
                    </w:rPr>
                  </w:pPr>
                  <w:r>
                    <w:rPr>
                      <w:color w:val="auto"/>
                      <w:szCs w:val="21"/>
                      <w:highlight w:val="none"/>
                      <w:lang w:bidi="ar"/>
                    </w:rPr>
                    <w:t>/</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20</w:t>
                  </w:r>
                </w:p>
              </w:tc>
              <w:tc>
                <w:tcPr>
                  <w:tcW w:w="1492" w:type="dxa"/>
                  <w:vAlign w:val="center"/>
                </w:tcPr>
                <w:p>
                  <w:pPr>
                    <w:pStyle w:val="42"/>
                    <w:rPr>
                      <w:color w:val="auto"/>
                      <w:szCs w:val="21"/>
                      <w:highlight w:val="none"/>
                      <w:lang w:bidi="ar"/>
                    </w:rPr>
                  </w:pPr>
                  <w:r>
                    <w:rPr>
                      <w:color w:val="auto"/>
                      <w:szCs w:val="21"/>
                      <w:highlight w:val="none"/>
                      <w:lang w:bidi="ar"/>
                    </w:rPr>
                    <w:t>4</w:t>
                  </w:r>
                </w:p>
              </w:tc>
              <w:tc>
                <w:tcPr>
                  <w:tcW w:w="1832" w:type="dxa"/>
                  <w:vAlign w:val="center"/>
                </w:tcPr>
                <w:p>
                  <w:pPr>
                    <w:pStyle w:val="42"/>
                    <w:rPr>
                      <w:color w:val="auto"/>
                      <w:szCs w:val="21"/>
                      <w:highlight w:val="none"/>
                      <w:lang w:bidi="ar"/>
                    </w:rPr>
                  </w:pPr>
                  <w:r>
                    <w:rPr>
                      <w:color w:val="auto"/>
                      <w:szCs w:val="21"/>
                      <w:highlight w:val="none"/>
                      <w:lang w:bidi="ar"/>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29</w:t>
                  </w:r>
                </w:p>
              </w:tc>
              <w:tc>
                <w:tcPr>
                  <w:tcW w:w="1626" w:type="dxa"/>
                  <w:vAlign w:val="center"/>
                </w:tcPr>
                <w:p>
                  <w:pPr>
                    <w:pStyle w:val="42"/>
                    <w:rPr>
                      <w:color w:val="auto"/>
                      <w:szCs w:val="21"/>
                      <w:highlight w:val="none"/>
                      <w:lang w:bidi="ar"/>
                    </w:rPr>
                  </w:pPr>
                  <w:r>
                    <w:rPr>
                      <w:color w:val="auto"/>
                      <w:szCs w:val="21"/>
                      <w:highlight w:val="none"/>
                      <w:lang w:bidi="ar"/>
                    </w:rPr>
                    <w:t>空气净化风机</w:t>
                  </w:r>
                </w:p>
              </w:tc>
              <w:tc>
                <w:tcPr>
                  <w:tcW w:w="1453" w:type="dxa"/>
                  <w:vAlign w:val="center"/>
                </w:tcPr>
                <w:p>
                  <w:pPr>
                    <w:pStyle w:val="42"/>
                    <w:rPr>
                      <w:color w:val="auto"/>
                      <w:szCs w:val="21"/>
                      <w:highlight w:val="none"/>
                      <w:lang w:bidi="ar"/>
                    </w:rPr>
                  </w:pPr>
                  <w:r>
                    <w:rPr>
                      <w:color w:val="auto"/>
                      <w:szCs w:val="21"/>
                      <w:highlight w:val="none"/>
                      <w:lang w:bidi="ar"/>
                    </w:rPr>
                    <w:t>/</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2</w:t>
                  </w:r>
                </w:p>
              </w:tc>
              <w:tc>
                <w:tcPr>
                  <w:tcW w:w="1492" w:type="dxa"/>
                  <w:vAlign w:val="center"/>
                </w:tcPr>
                <w:p>
                  <w:pPr>
                    <w:pStyle w:val="42"/>
                    <w:rPr>
                      <w:color w:val="auto"/>
                      <w:szCs w:val="21"/>
                      <w:highlight w:val="none"/>
                      <w:lang w:bidi="ar"/>
                    </w:rPr>
                  </w:pPr>
                  <w:r>
                    <w:rPr>
                      <w:color w:val="auto"/>
                      <w:szCs w:val="21"/>
                      <w:highlight w:val="none"/>
                      <w:lang w:bidi="ar"/>
                    </w:rPr>
                    <w:t>2</w:t>
                  </w:r>
                </w:p>
              </w:tc>
              <w:tc>
                <w:tcPr>
                  <w:tcW w:w="1832" w:type="dxa"/>
                  <w:vAlign w:val="center"/>
                </w:tcPr>
                <w:p>
                  <w:pPr>
                    <w:pStyle w:val="42"/>
                    <w:rPr>
                      <w:color w:val="auto"/>
                      <w:szCs w:val="21"/>
                      <w:highlight w:val="none"/>
                      <w:lang w:bidi="ar"/>
                    </w:rPr>
                  </w:pPr>
                  <w:r>
                    <w:rPr>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2"/>
                    <w:rPr>
                      <w:color w:val="auto"/>
                      <w:szCs w:val="21"/>
                      <w:highlight w:val="none"/>
                    </w:rPr>
                  </w:pPr>
                  <w:r>
                    <w:rPr>
                      <w:rFonts w:hint="eastAsia"/>
                      <w:color w:val="auto"/>
                      <w:szCs w:val="21"/>
                      <w:highlight w:val="none"/>
                    </w:rPr>
                    <w:t>30</w:t>
                  </w:r>
                </w:p>
              </w:tc>
              <w:tc>
                <w:tcPr>
                  <w:tcW w:w="1626" w:type="dxa"/>
                  <w:vAlign w:val="center"/>
                </w:tcPr>
                <w:p>
                  <w:pPr>
                    <w:pStyle w:val="42"/>
                    <w:rPr>
                      <w:color w:val="auto"/>
                      <w:szCs w:val="21"/>
                      <w:highlight w:val="none"/>
                      <w:lang w:bidi="ar"/>
                    </w:rPr>
                  </w:pPr>
                  <w:r>
                    <w:rPr>
                      <w:color w:val="auto"/>
                      <w:szCs w:val="21"/>
                      <w:highlight w:val="none"/>
                      <w:lang w:bidi="ar"/>
                    </w:rPr>
                    <w:t>高低温冷却循环泵</w:t>
                  </w:r>
                </w:p>
              </w:tc>
              <w:tc>
                <w:tcPr>
                  <w:tcW w:w="1453" w:type="dxa"/>
                  <w:vAlign w:val="center"/>
                </w:tcPr>
                <w:p>
                  <w:pPr>
                    <w:pStyle w:val="42"/>
                    <w:rPr>
                      <w:color w:val="auto"/>
                      <w:szCs w:val="21"/>
                      <w:highlight w:val="none"/>
                      <w:lang w:bidi="ar"/>
                    </w:rPr>
                  </w:pPr>
                  <w:r>
                    <w:rPr>
                      <w:color w:val="auto"/>
                      <w:szCs w:val="21"/>
                      <w:highlight w:val="none"/>
                      <w:lang w:bidi="ar"/>
                    </w:rPr>
                    <w:t>/</w:t>
                  </w:r>
                </w:p>
              </w:tc>
              <w:tc>
                <w:tcPr>
                  <w:tcW w:w="812" w:type="dxa"/>
                  <w:vAlign w:val="center"/>
                </w:tcPr>
                <w:p>
                  <w:pPr>
                    <w:pStyle w:val="42"/>
                    <w:rPr>
                      <w:color w:val="auto"/>
                      <w:szCs w:val="21"/>
                      <w:highlight w:val="none"/>
                      <w:lang w:bidi="ar"/>
                    </w:rPr>
                  </w:pPr>
                  <w:r>
                    <w:rPr>
                      <w:color w:val="auto"/>
                      <w:szCs w:val="21"/>
                      <w:highlight w:val="none"/>
                      <w:lang w:bidi="ar"/>
                    </w:rPr>
                    <w:t>台</w:t>
                  </w:r>
                </w:p>
              </w:tc>
              <w:tc>
                <w:tcPr>
                  <w:tcW w:w="1193" w:type="dxa"/>
                  <w:vAlign w:val="center"/>
                </w:tcPr>
                <w:p>
                  <w:pPr>
                    <w:pStyle w:val="42"/>
                    <w:rPr>
                      <w:color w:val="auto"/>
                      <w:szCs w:val="21"/>
                      <w:highlight w:val="none"/>
                      <w:lang w:bidi="ar"/>
                    </w:rPr>
                  </w:pPr>
                  <w:r>
                    <w:rPr>
                      <w:color w:val="auto"/>
                      <w:szCs w:val="21"/>
                      <w:highlight w:val="none"/>
                      <w:lang w:bidi="ar"/>
                    </w:rPr>
                    <w:t>0</w:t>
                  </w:r>
                </w:p>
              </w:tc>
              <w:tc>
                <w:tcPr>
                  <w:tcW w:w="1492" w:type="dxa"/>
                  <w:vAlign w:val="center"/>
                </w:tcPr>
                <w:p>
                  <w:pPr>
                    <w:pStyle w:val="42"/>
                    <w:rPr>
                      <w:color w:val="auto"/>
                      <w:szCs w:val="21"/>
                      <w:highlight w:val="none"/>
                      <w:lang w:bidi="ar"/>
                    </w:rPr>
                  </w:pPr>
                  <w:r>
                    <w:rPr>
                      <w:color w:val="auto"/>
                      <w:szCs w:val="21"/>
                      <w:highlight w:val="none"/>
                      <w:lang w:bidi="ar"/>
                    </w:rPr>
                    <w:t>1</w:t>
                  </w:r>
                </w:p>
              </w:tc>
              <w:tc>
                <w:tcPr>
                  <w:tcW w:w="1832" w:type="dxa"/>
                  <w:vAlign w:val="center"/>
                </w:tcPr>
                <w:p>
                  <w:pPr>
                    <w:pStyle w:val="42"/>
                    <w:rPr>
                      <w:color w:val="auto"/>
                      <w:szCs w:val="21"/>
                      <w:highlight w:val="none"/>
                      <w:lang w:bidi="ar"/>
                    </w:rPr>
                  </w:pPr>
                  <w:r>
                    <w:rPr>
                      <w:rFonts w:hint="eastAsia"/>
                      <w:color w:val="auto"/>
                      <w:szCs w:val="21"/>
                      <w:highlight w:val="none"/>
                      <w:lang w:bidi="ar"/>
                    </w:rPr>
                    <w:t>新增设备</w:t>
                  </w:r>
                </w:p>
              </w:tc>
            </w:tr>
          </w:tbl>
          <w:p>
            <w:pPr>
              <w:ind w:firstLine="482"/>
              <w:jc w:val="center"/>
              <w:rPr>
                <w:b/>
                <w:bCs/>
                <w:color w:val="auto"/>
                <w:highlight w:val="none"/>
              </w:rPr>
            </w:pPr>
            <w:r>
              <w:rPr>
                <w:b/>
                <w:bCs/>
                <w:color w:val="auto"/>
                <w:highlight w:val="none"/>
              </w:rPr>
              <w:t>表2-3  本项目原辅材料使用一览表</w:t>
            </w:r>
          </w:p>
          <w:tbl>
            <w:tblPr>
              <w:tblStyle w:val="26"/>
              <w:tblW w:w="501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93"/>
              <w:gridCol w:w="1683"/>
              <w:gridCol w:w="1224"/>
              <w:gridCol w:w="824"/>
              <w:gridCol w:w="1319"/>
              <w:gridCol w:w="1364"/>
              <w:gridCol w:w="173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b/>
                      <w:bCs/>
                      <w:color w:val="auto"/>
                      <w:szCs w:val="21"/>
                      <w:highlight w:val="none"/>
                    </w:rPr>
                  </w:pPr>
                  <w:r>
                    <w:rPr>
                      <w:b/>
                      <w:bCs/>
                      <w:color w:val="auto"/>
                      <w:szCs w:val="21"/>
                      <w:highlight w:val="none"/>
                    </w:rPr>
                    <w:t>序号</w:t>
                  </w:r>
                </w:p>
              </w:tc>
              <w:tc>
                <w:tcPr>
                  <w:tcW w:w="940" w:type="pct"/>
                  <w:vAlign w:val="center"/>
                </w:tcPr>
                <w:p>
                  <w:pPr>
                    <w:pStyle w:val="42"/>
                    <w:rPr>
                      <w:b/>
                      <w:bCs/>
                      <w:color w:val="auto"/>
                      <w:szCs w:val="21"/>
                      <w:highlight w:val="none"/>
                    </w:rPr>
                  </w:pPr>
                  <w:r>
                    <w:rPr>
                      <w:b/>
                      <w:bCs/>
                      <w:color w:val="auto"/>
                      <w:szCs w:val="21"/>
                      <w:highlight w:val="none"/>
                    </w:rPr>
                    <w:t>名称</w:t>
                  </w:r>
                </w:p>
              </w:tc>
              <w:tc>
                <w:tcPr>
                  <w:tcW w:w="685" w:type="pct"/>
                  <w:tcBorders>
                    <w:right w:val="single" w:color="auto" w:sz="4" w:space="0"/>
                  </w:tcBorders>
                  <w:vAlign w:val="center"/>
                </w:tcPr>
                <w:p>
                  <w:pPr>
                    <w:pStyle w:val="42"/>
                    <w:rPr>
                      <w:b/>
                      <w:bCs/>
                      <w:color w:val="auto"/>
                      <w:szCs w:val="21"/>
                      <w:highlight w:val="none"/>
                    </w:rPr>
                  </w:pPr>
                  <w:r>
                    <w:rPr>
                      <w:rFonts w:hint="eastAsia"/>
                      <w:b/>
                      <w:bCs/>
                      <w:color w:val="auto"/>
                      <w:szCs w:val="21"/>
                      <w:highlight w:val="none"/>
                    </w:rPr>
                    <w:t>包装规格</w:t>
                  </w:r>
                </w:p>
              </w:tc>
              <w:tc>
                <w:tcPr>
                  <w:tcW w:w="461" w:type="pct"/>
                  <w:tcBorders>
                    <w:left w:val="single" w:color="auto" w:sz="4" w:space="0"/>
                  </w:tcBorders>
                  <w:vAlign w:val="center"/>
                </w:tcPr>
                <w:p>
                  <w:pPr>
                    <w:pStyle w:val="42"/>
                    <w:rPr>
                      <w:b/>
                      <w:bCs/>
                      <w:color w:val="auto"/>
                      <w:szCs w:val="21"/>
                      <w:highlight w:val="none"/>
                    </w:rPr>
                  </w:pPr>
                  <w:r>
                    <w:rPr>
                      <w:rFonts w:hint="eastAsia"/>
                      <w:b/>
                      <w:bCs/>
                      <w:color w:val="auto"/>
                      <w:szCs w:val="21"/>
                      <w:highlight w:val="none"/>
                    </w:rPr>
                    <w:t>单位</w:t>
                  </w:r>
                </w:p>
              </w:tc>
              <w:tc>
                <w:tcPr>
                  <w:tcW w:w="738" w:type="pct"/>
                  <w:tcBorders>
                    <w:right w:val="single" w:color="auto" w:sz="4" w:space="0"/>
                  </w:tcBorders>
                  <w:vAlign w:val="center"/>
                </w:tcPr>
                <w:p>
                  <w:pPr>
                    <w:pStyle w:val="42"/>
                    <w:rPr>
                      <w:b/>
                      <w:bCs/>
                      <w:color w:val="auto"/>
                      <w:szCs w:val="21"/>
                      <w:highlight w:val="none"/>
                    </w:rPr>
                  </w:pPr>
                  <w:r>
                    <w:rPr>
                      <w:b/>
                      <w:bCs/>
                      <w:color w:val="auto"/>
                      <w:szCs w:val="21"/>
                      <w:highlight w:val="none"/>
                    </w:rPr>
                    <w:t>环评年用量</w:t>
                  </w:r>
                </w:p>
              </w:tc>
              <w:tc>
                <w:tcPr>
                  <w:tcW w:w="763" w:type="pct"/>
                  <w:tcBorders>
                    <w:left w:val="single" w:color="auto" w:sz="4" w:space="0"/>
                  </w:tcBorders>
                  <w:vAlign w:val="center"/>
                </w:tcPr>
                <w:p>
                  <w:pPr>
                    <w:pStyle w:val="42"/>
                    <w:rPr>
                      <w:b/>
                      <w:bCs/>
                      <w:color w:val="auto"/>
                      <w:szCs w:val="21"/>
                      <w:highlight w:val="none"/>
                    </w:rPr>
                  </w:pPr>
                  <w:r>
                    <w:rPr>
                      <w:b/>
                      <w:bCs/>
                      <w:color w:val="auto"/>
                      <w:szCs w:val="21"/>
                      <w:highlight w:val="none"/>
                    </w:rPr>
                    <w:t>实际年用量</w:t>
                  </w:r>
                </w:p>
              </w:tc>
              <w:tc>
                <w:tcPr>
                  <w:tcW w:w="967" w:type="pct"/>
                  <w:vAlign w:val="center"/>
                </w:tcPr>
                <w:p>
                  <w:pPr>
                    <w:pStyle w:val="42"/>
                    <w:rPr>
                      <w:b/>
                      <w:bCs/>
                      <w:color w:val="auto"/>
                      <w:szCs w:val="21"/>
                      <w:highlight w:val="none"/>
                    </w:rPr>
                  </w:pPr>
                  <w:r>
                    <w:rPr>
                      <w:b/>
                      <w:bCs/>
                      <w:color w:val="auto"/>
                      <w:szCs w:val="21"/>
                      <w:highlight w:val="none"/>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w:t>
                  </w:r>
                </w:p>
              </w:tc>
              <w:tc>
                <w:tcPr>
                  <w:tcW w:w="940" w:type="pct"/>
                  <w:vAlign w:val="center"/>
                </w:tcPr>
                <w:p>
                  <w:pPr>
                    <w:pStyle w:val="42"/>
                    <w:rPr>
                      <w:color w:val="auto"/>
                      <w:szCs w:val="21"/>
                      <w:highlight w:val="none"/>
                      <w:lang w:bidi="ar"/>
                    </w:rPr>
                  </w:pPr>
                  <w:r>
                    <w:rPr>
                      <w:color w:val="auto"/>
                      <w:szCs w:val="21"/>
                      <w:highlight w:val="none"/>
                      <w:lang w:bidi="ar"/>
                    </w:rPr>
                    <w:t>乙酸酐（AR）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967" w:type="pct"/>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w:t>
                  </w:r>
                </w:p>
              </w:tc>
              <w:tc>
                <w:tcPr>
                  <w:tcW w:w="940" w:type="pct"/>
                  <w:vAlign w:val="center"/>
                </w:tcPr>
                <w:p>
                  <w:pPr>
                    <w:pStyle w:val="42"/>
                    <w:rPr>
                      <w:color w:val="auto"/>
                      <w:szCs w:val="21"/>
                      <w:highlight w:val="none"/>
                      <w:lang w:bidi="ar"/>
                    </w:rPr>
                  </w:pPr>
                  <w:r>
                    <w:rPr>
                      <w:color w:val="auto"/>
                      <w:szCs w:val="21"/>
                      <w:highlight w:val="none"/>
                      <w:lang w:bidi="ar"/>
                    </w:rPr>
                    <w:t>无水乙醚（AR）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967" w:type="pct"/>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w:t>
                  </w:r>
                </w:p>
              </w:tc>
              <w:tc>
                <w:tcPr>
                  <w:tcW w:w="940" w:type="pct"/>
                  <w:vAlign w:val="center"/>
                </w:tcPr>
                <w:p>
                  <w:pPr>
                    <w:pStyle w:val="42"/>
                    <w:rPr>
                      <w:color w:val="auto"/>
                      <w:szCs w:val="21"/>
                      <w:highlight w:val="none"/>
                      <w:lang w:bidi="ar"/>
                    </w:rPr>
                  </w:pPr>
                  <w:r>
                    <w:rPr>
                      <w:color w:val="auto"/>
                      <w:szCs w:val="21"/>
                      <w:highlight w:val="none"/>
                      <w:lang w:bidi="ar"/>
                    </w:rPr>
                    <w:t>哌啶（AR）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967" w:type="pct"/>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w:t>
                  </w:r>
                </w:p>
              </w:tc>
              <w:tc>
                <w:tcPr>
                  <w:tcW w:w="940" w:type="pct"/>
                  <w:vAlign w:val="center"/>
                </w:tcPr>
                <w:p>
                  <w:pPr>
                    <w:pStyle w:val="42"/>
                    <w:rPr>
                      <w:color w:val="auto"/>
                      <w:szCs w:val="21"/>
                      <w:highlight w:val="none"/>
                      <w:lang w:bidi="ar"/>
                    </w:rPr>
                  </w:pPr>
                  <w:r>
                    <w:rPr>
                      <w:color w:val="auto"/>
                      <w:szCs w:val="21"/>
                      <w:highlight w:val="none"/>
                      <w:lang w:bidi="ar"/>
                    </w:rPr>
                    <w:t>甲苯（AR）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w:t>
                  </w:r>
                </w:p>
              </w:tc>
              <w:tc>
                <w:tcPr>
                  <w:tcW w:w="763" w:type="pct"/>
                  <w:vAlign w:val="center"/>
                </w:tcPr>
                <w:p>
                  <w:pPr>
                    <w:pStyle w:val="42"/>
                    <w:rPr>
                      <w:color w:val="auto"/>
                      <w:szCs w:val="21"/>
                      <w:highlight w:val="none"/>
                      <w:lang w:bidi="ar"/>
                    </w:rPr>
                  </w:pPr>
                  <w:r>
                    <w:rPr>
                      <w:rFonts w:hint="eastAsia"/>
                      <w:color w:val="auto"/>
                      <w:highlight w:val="none"/>
                    </w:rPr>
                    <w:t>41.5</w:t>
                  </w:r>
                </w:p>
              </w:tc>
              <w:tc>
                <w:tcPr>
                  <w:tcW w:w="967" w:type="pct"/>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w:t>
                  </w:r>
                </w:p>
              </w:tc>
              <w:tc>
                <w:tcPr>
                  <w:tcW w:w="940" w:type="pct"/>
                  <w:vAlign w:val="center"/>
                </w:tcPr>
                <w:p>
                  <w:pPr>
                    <w:pStyle w:val="42"/>
                    <w:rPr>
                      <w:color w:val="auto"/>
                      <w:szCs w:val="21"/>
                      <w:highlight w:val="none"/>
                      <w:lang w:bidi="ar"/>
                    </w:rPr>
                  </w:pPr>
                  <w:r>
                    <w:rPr>
                      <w:color w:val="auto"/>
                      <w:szCs w:val="21"/>
                      <w:highlight w:val="none"/>
                      <w:lang w:bidi="ar"/>
                    </w:rPr>
                    <w:t>丙酮（AR）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w:t>
                  </w:r>
                </w:p>
              </w:tc>
              <w:tc>
                <w:tcPr>
                  <w:tcW w:w="763" w:type="pct"/>
                  <w:vAlign w:val="center"/>
                </w:tcPr>
                <w:p>
                  <w:pPr>
                    <w:pStyle w:val="42"/>
                    <w:rPr>
                      <w:color w:val="auto"/>
                      <w:szCs w:val="21"/>
                      <w:highlight w:val="none"/>
                      <w:lang w:bidi="ar"/>
                    </w:rPr>
                  </w:pPr>
                  <w:r>
                    <w:rPr>
                      <w:rFonts w:hint="eastAsia"/>
                      <w:color w:val="auto"/>
                      <w:highlight w:val="none"/>
                    </w:rPr>
                    <w:t>41.5</w:t>
                  </w:r>
                </w:p>
              </w:tc>
              <w:tc>
                <w:tcPr>
                  <w:tcW w:w="967" w:type="pct"/>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w:t>
                  </w:r>
                </w:p>
              </w:tc>
              <w:tc>
                <w:tcPr>
                  <w:tcW w:w="940" w:type="pct"/>
                  <w:vAlign w:val="center"/>
                </w:tcPr>
                <w:p>
                  <w:pPr>
                    <w:pStyle w:val="42"/>
                    <w:rPr>
                      <w:color w:val="auto"/>
                      <w:szCs w:val="21"/>
                      <w:highlight w:val="none"/>
                      <w:lang w:bidi="ar"/>
                    </w:rPr>
                  </w:pPr>
                  <w:r>
                    <w:rPr>
                      <w:color w:val="auto"/>
                      <w:szCs w:val="21"/>
                      <w:highlight w:val="none"/>
                      <w:lang w:bidi="ar"/>
                    </w:rPr>
                    <w:t>盐酸（37%）</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w:t>
                  </w:r>
                </w:p>
              </w:tc>
              <w:tc>
                <w:tcPr>
                  <w:tcW w:w="763" w:type="pct"/>
                  <w:vAlign w:val="center"/>
                </w:tcPr>
                <w:p>
                  <w:pPr>
                    <w:pStyle w:val="42"/>
                    <w:rPr>
                      <w:color w:val="auto"/>
                      <w:szCs w:val="21"/>
                      <w:highlight w:val="none"/>
                      <w:lang w:bidi="ar"/>
                    </w:rPr>
                  </w:pPr>
                  <w:r>
                    <w:rPr>
                      <w:rFonts w:hint="eastAsia"/>
                      <w:color w:val="auto"/>
                      <w:highlight w:val="none"/>
                    </w:rPr>
                    <w:t>41.5</w:t>
                  </w:r>
                </w:p>
              </w:tc>
              <w:tc>
                <w:tcPr>
                  <w:tcW w:w="967" w:type="pct"/>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w:t>
                  </w:r>
                </w:p>
              </w:tc>
              <w:tc>
                <w:tcPr>
                  <w:tcW w:w="940" w:type="pct"/>
                  <w:vAlign w:val="center"/>
                </w:tcPr>
                <w:p>
                  <w:pPr>
                    <w:pStyle w:val="42"/>
                    <w:rPr>
                      <w:color w:val="auto"/>
                      <w:szCs w:val="21"/>
                      <w:highlight w:val="none"/>
                      <w:lang w:bidi="ar"/>
                    </w:rPr>
                  </w:pPr>
                  <w:r>
                    <w:rPr>
                      <w:color w:val="auto"/>
                      <w:szCs w:val="21"/>
                      <w:highlight w:val="none"/>
                      <w:lang w:bidi="ar"/>
                    </w:rPr>
                    <w:t>浓硫酸（98%）</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967" w:type="pct"/>
                  <w:vAlign w:val="center"/>
                </w:tcPr>
                <w:p>
                  <w:pPr>
                    <w:pStyle w:val="42"/>
                    <w:rPr>
                      <w:color w:val="auto"/>
                      <w:szCs w:val="21"/>
                      <w:highlight w:val="none"/>
                      <w:lang w:bidi="ar"/>
                    </w:rPr>
                  </w:pPr>
                  <w:r>
                    <w:rPr>
                      <w:rFonts w:hint="eastAsia"/>
                      <w:color w:val="auto"/>
                      <w:szCs w:val="21"/>
                      <w:highlight w:val="none"/>
                      <w:lang w:bidi="ar"/>
                    </w:rPr>
                    <w:t>用量减少，试运行验收监测期间，浓硫酸未使用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w:t>
                  </w:r>
                </w:p>
              </w:tc>
              <w:tc>
                <w:tcPr>
                  <w:tcW w:w="940" w:type="pct"/>
                  <w:vAlign w:val="center"/>
                </w:tcPr>
                <w:p>
                  <w:pPr>
                    <w:pStyle w:val="42"/>
                    <w:rPr>
                      <w:color w:val="auto"/>
                      <w:szCs w:val="21"/>
                      <w:highlight w:val="none"/>
                      <w:lang w:bidi="ar"/>
                    </w:rPr>
                  </w:pPr>
                  <w:r>
                    <w:rPr>
                      <w:color w:val="auto"/>
                      <w:szCs w:val="21"/>
                      <w:highlight w:val="none"/>
                      <w:lang w:bidi="ar"/>
                    </w:rPr>
                    <w:t>硝酸（68%）</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w:t>
                  </w:r>
                </w:p>
              </w:tc>
              <w:tc>
                <w:tcPr>
                  <w:tcW w:w="940" w:type="pct"/>
                  <w:vAlign w:val="center"/>
                </w:tcPr>
                <w:p>
                  <w:pPr>
                    <w:pStyle w:val="42"/>
                    <w:rPr>
                      <w:color w:val="auto"/>
                      <w:szCs w:val="21"/>
                      <w:highlight w:val="none"/>
                      <w:lang w:bidi="ar"/>
                    </w:rPr>
                  </w:pPr>
                  <w:r>
                    <w:rPr>
                      <w:color w:val="auto"/>
                      <w:szCs w:val="21"/>
                      <w:highlight w:val="none"/>
                      <w:lang w:bidi="ar"/>
                    </w:rPr>
                    <w:t>高氯酸（50%-72%）</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w:t>
                  </w:r>
                </w:p>
              </w:tc>
              <w:tc>
                <w:tcPr>
                  <w:tcW w:w="940" w:type="pct"/>
                  <w:vAlign w:val="center"/>
                </w:tcPr>
                <w:p>
                  <w:pPr>
                    <w:pStyle w:val="42"/>
                    <w:rPr>
                      <w:color w:val="auto"/>
                      <w:szCs w:val="21"/>
                      <w:highlight w:val="none"/>
                      <w:lang w:bidi="ar"/>
                    </w:rPr>
                  </w:pPr>
                  <w:r>
                    <w:rPr>
                      <w:color w:val="auto"/>
                      <w:szCs w:val="21"/>
                      <w:highlight w:val="none"/>
                      <w:lang w:bidi="ar"/>
                    </w:rPr>
                    <w:t>双氧水（30℅）</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w:t>
                  </w:r>
                </w:p>
              </w:tc>
              <w:tc>
                <w:tcPr>
                  <w:tcW w:w="940" w:type="pct"/>
                  <w:vAlign w:val="center"/>
                </w:tcPr>
                <w:p>
                  <w:pPr>
                    <w:pStyle w:val="42"/>
                    <w:rPr>
                      <w:color w:val="auto"/>
                      <w:szCs w:val="21"/>
                      <w:highlight w:val="none"/>
                      <w:lang w:bidi="ar"/>
                    </w:rPr>
                  </w:pPr>
                  <w:r>
                    <w:rPr>
                      <w:color w:val="auto"/>
                      <w:szCs w:val="21"/>
                      <w:highlight w:val="none"/>
                      <w:lang w:bidi="ar"/>
                    </w:rPr>
                    <w:t>乙二胺（AR）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w:t>
                  </w:r>
                </w:p>
              </w:tc>
              <w:tc>
                <w:tcPr>
                  <w:tcW w:w="940" w:type="pct"/>
                  <w:vAlign w:val="center"/>
                </w:tcPr>
                <w:p>
                  <w:pPr>
                    <w:pStyle w:val="42"/>
                    <w:rPr>
                      <w:color w:val="auto"/>
                      <w:szCs w:val="21"/>
                      <w:highlight w:val="none"/>
                      <w:lang w:bidi="ar"/>
                    </w:rPr>
                  </w:pPr>
                  <w:r>
                    <w:rPr>
                      <w:color w:val="auto"/>
                      <w:szCs w:val="21"/>
                      <w:highlight w:val="none"/>
                      <w:lang w:bidi="ar"/>
                    </w:rPr>
                    <w:t>硝基甲烷（AR）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500ml/瓶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w:t>
                  </w:r>
                </w:p>
              </w:tc>
              <w:tc>
                <w:tcPr>
                  <w:tcW w:w="940" w:type="pct"/>
                  <w:vAlign w:val="center"/>
                </w:tcPr>
                <w:p>
                  <w:pPr>
                    <w:pStyle w:val="42"/>
                    <w:rPr>
                      <w:color w:val="auto"/>
                      <w:szCs w:val="21"/>
                      <w:highlight w:val="none"/>
                      <w:lang w:bidi="ar"/>
                    </w:rPr>
                  </w:pPr>
                  <w:r>
                    <w:rPr>
                      <w:color w:val="auto"/>
                      <w:szCs w:val="21"/>
                      <w:highlight w:val="none"/>
                      <w:lang w:bidi="ar"/>
                    </w:rPr>
                    <w:t>硼氢化钠（AR）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250g/瓶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w:t>
                  </w:r>
                </w:p>
              </w:tc>
              <w:tc>
                <w:tcPr>
                  <w:tcW w:w="940" w:type="pct"/>
                  <w:vAlign w:val="center"/>
                </w:tcPr>
                <w:p>
                  <w:pPr>
                    <w:pStyle w:val="42"/>
                    <w:rPr>
                      <w:color w:val="auto"/>
                      <w:szCs w:val="21"/>
                      <w:highlight w:val="none"/>
                      <w:lang w:bidi="ar"/>
                    </w:rPr>
                  </w:pPr>
                  <w:r>
                    <w:rPr>
                      <w:color w:val="auto"/>
                      <w:szCs w:val="21"/>
                      <w:highlight w:val="none"/>
                      <w:lang w:bidi="ar"/>
                    </w:rPr>
                    <w:t>硝酸钙（AR）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250g/瓶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15</w:t>
                  </w:r>
                </w:p>
              </w:tc>
              <w:tc>
                <w:tcPr>
                  <w:tcW w:w="940" w:type="pct"/>
                  <w:vAlign w:val="center"/>
                </w:tcPr>
                <w:p>
                  <w:pPr>
                    <w:pStyle w:val="42"/>
                    <w:rPr>
                      <w:color w:val="auto"/>
                      <w:szCs w:val="21"/>
                      <w:highlight w:val="none"/>
                      <w:lang w:bidi="ar"/>
                    </w:rPr>
                  </w:pPr>
                  <w:r>
                    <w:rPr>
                      <w:color w:val="auto"/>
                      <w:szCs w:val="21"/>
                      <w:highlight w:val="none"/>
                      <w:lang w:bidi="ar"/>
                    </w:rPr>
                    <w:t>硝酸铅（AR）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250g/瓶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16</w:t>
                  </w:r>
                </w:p>
              </w:tc>
              <w:tc>
                <w:tcPr>
                  <w:tcW w:w="940" w:type="pct"/>
                  <w:vAlign w:val="center"/>
                </w:tcPr>
                <w:p>
                  <w:pPr>
                    <w:pStyle w:val="42"/>
                    <w:rPr>
                      <w:color w:val="auto"/>
                      <w:szCs w:val="21"/>
                      <w:highlight w:val="none"/>
                      <w:lang w:bidi="ar"/>
                    </w:rPr>
                  </w:pPr>
                  <w:r>
                    <w:rPr>
                      <w:color w:val="auto"/>
                      <w:szCs w:val="21"/>
                      <w:highlight w:val="none"/>
                      <w:lang w:bidi="ar"/>
                    </w:rPr>
                    <w:t>高氯酸钠（AR）</w:t>
                  </w:r>
                </w:p>
              </w:tc>
              <w:tc>
                <w:tcPr>
                  <w:tcW w:w="685" w:type="pct"/>
                  <w:tcBorders>
                    <w:right w:val="single" w:color="auto" w:sz="4" w:space="0"/>
                  </w:tcBorders>
                  <w:vAlign w:val="center"/>
                </w:tcPr>
                <w:p>
                  <w:pPr>
                    <w:pStyle w:val="42"/>
                    <w:rPr>
                      <w:color w:val="auto"/>
                      <w:szCs w:val="21"/>
                      <w:highlight w:val="none"/>
                      <w:lang w:bidi="ar"/>
                    </w:rPr>
                  </w:pPr>
                  <w:r>
                    <w:rPr>
                      <w:color w:val="auto"/>
                      <w:szCs w:val="21"/>
                      <w:highlight w:val="none"/>
                      <w:lang w:bidi="ar"/>
                    </w:rPr>
                    <w:t>500g/瓶</w:t>
                  </w:r>
                </w:p>
              </w:tc>
              <w:tc>
                <w:tcPr>
                  <w:tcW w:w="461" w:type="pct"/>
                  <w:tcBorders>
                    <w:left w:val="single" w:color="auto" w:sz="4" w:space="0"/>
                  </w:tcBorders>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30</w:t>
                  </w:r>
                </w:p>
              </w:tc>
              <w:tc>
                <w:tcPr>
                  <w:tcW w:w="763" w:type="pct"/>
                  <w:vAlign w:val="center"/>
                </w:tcPr>
                <w:p>
                  <w:pPr>
                    <w:pStyle w:val="42"/>
                    <w:rPr>
                      <w:color w:val="auto"/>
                      <w:szCs w:val="21"/>
                      <w:highlight w:val="none"/>
                      <w:lang w:bidi="ar"/>
                    </w:rPr>
                  </w:pPr>
                  <w:r>
                    <w:rPr>
                      <w:rFonts w:hint="eastAsia"/>
                      <w:color w:val="auto"/>
                      <w:highlight w:val="none"/>
                    </w:rPr>
                    <w:t>24.9</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17</w:t>
                  </w:r>
                </w:p>
              </w:tc>
              <w:tc>
                <w:tcPr>
                  <w:tcW w:w="940" w:type="pct"/>
                  <w:vAlign w:val="center"/>
                </w:tcPr>
                <w:p>
                  <w:pPr>
                    <w:pStyle w:val="42"/>
                    <w:rPr>
                      <w:color w:val="auto"/>
                      <w:szCs w:val="21"/>
                      <w:highlight w:val="none"/>
                      <w:lang w:bidi="ar"/>
                    </w:rPr>
                  </w:pPr>
                  <w:r>
                    <w:rPr>
                      <w:color w:val="auto"/>
                      <w:szCs w:val="21"/>
                      <w:highlight w:val="none"/>
                      <w:lang w:bidi="ar"/>
                    </w:rPr>
                    <w:t>1,2-丙二醇（AR）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18</w:t>
                  </w:r>
                </w:p>
              </w:tc>
              <w:tc>
                <w:tcPr>
                  <w:tcW w:w="940" w:type="pct"/>
                  <w:vAlign w:val="center"/>
                </w:tcPr>
                <w:p>
                  <w:pPr>
                    <w:pStyle w:val="42"/>
                    <w:rPr>
                      <w:color w:val="auto"/>
                      <w:szCs w:val="21"/>
                      <w:highlight w:val="none"/>
                      <w:lang w:bidi="ar"/>
                    </w:rPr>
                  </w:pPr>
                  <w:r>
                    <w:rPr>
                      <w:color w:val="auto"/>
                      <w:szCs w:val="21"/>
                      <w:highlight w:val="none"/>
                      <w:lang w:bidi="ar"/>
                    </w:rPr>
                    <w:t>3,5-二甲基哌啶（AR）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19</w:t>
                  </w:r>
                </w:p>
              </w:tc>
              <w:tc>
                <w:tcPr>
                  <w:tcW w:w="940" w:type="pct"/>
                  <w:vAlign w:val="center"/>
                </w:tcPr>
                <w:p>
                  <w:pPr>
                    <w:pStyle w:val="42"/>
                    <w:rPr>
                      <w:color w:val="auto"/>
                      <w:szCs w:val="21"/>
                      <w:highlight w:val="none"/>
                      <w:lang w:bidi="ar"/>
                    </w:rPr>
                  </w:pPr>
                  <w:r>
                    <w:rPr>
                      <w:color w:val="auto"/>
                      <w:szCs w:val="21"/>
                      <w:highlight w:val="none"/>
                      <w:lang w:bidi="ar"/>
                    </w:rPr>
                    <w:t>N,N-二甲基甲酰胺（AR）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4</w:t>
                  </w:r>
                </w:p>
              </w:tc>
              <w:tc>
                <w:tcPr>
                  <w:tcW w:w="763" w:type="pct"/>
                  <w:vAlign w:val="center"/>
                </w:tcPr>
                <w:p>
                  <w:pPr>
                    <w:pStyle w:val="42"/>
                    <w:rPr>
                      <w:color w:val="auto"/>
                      <w:szCs w:val="21"/>
                      <w:highlight w:val="none"/>
                      <w:lang w:bidi="ar"/>
                    </w:rPr>
                  </w:pPr>
                  <w:r>
                    <w:rPr>
                      <w:rFonts w:hint="eastAsia"/>
                      <w:color w:val="auto"/>
                      <w:highlight w:val="none"/>
                    </w:rPr>
                    <w:t>3.3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20</w:t>
                  </w:r>
                </w:p>
              </w:tc>
              <w:tc>
                <w:tcPr>
                  <w:tcW w:w="940" w:type="pct"/>
                  <w:vAlign w:val="center"/>
                </w:tcPr>
                <w:p>
                  <w:pPr>
                    <w:pStyle w:val="42"/>
                    <w:rPr>
                      <w:color w:val="auto"/>
                      <w:szCs w:val="21"/>
                      <w:highlight w:val="none"/>
                      <w:lang w:bidi="ar"/>
                    </w:rPr>
                  </w:pPr>
                  <w:r>
                    <w:rPr>
                      <w:color w:val="auto"/>
                      <w:szCs w:val="21"/>
                      <w:highlight w:val="none"/>
                      <w:lang w:bidi="ar"/>
                    </w:rPr>
                    <w:t>N,N-二甲基乙酰胺（AR）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21</w:t>
                  </w:r>
                </w:p>
              </w:tc>
              <w:tc>
                <w:tcPr>
                  <w:tcW w:w="940" w:type="pct"/>
                  <w:vAlign w:val="center"/>
                </w:tcPr>
                <w:p>
                  <w:pPr>
                    <w:pStyle w:val="42"/>
                    <w:rPr>
                      <w:color w:val="auto"/>
                      <w:szCs w:val="21"/>
                      <w:highlight w:val="none"/>
                      <w:lang w:bidi="ar"/>
                    </w:rPr>
                  </w:pPr>
                  <w:r>
                    <w:rPr>
                      <w:color w:val="auto"/>
                      <w:szCs w:val="21"/>
                      <w:highlight w:val="none"/>
                      <w:lang w:bidi="ar"/>
                    </w:rPr>
                    <w:t>N,N-二乙基苯胺（AR）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22</w:t>
                  </w:r>
                </w:p>
              </w:tc>
              <w:tc>
                <w:tcPr>
                  <w:tcW w:w="940" w:type="pct"/>
                  <w:vAlign w:val="center"/>
                </w:tcPr>
                <w:p>
                  <w:pPr>
                    <w:pStyle w:val="42"/>
                    <w:rPr>
                      <w:color w:val="auto"/>
                      <w:szCs w:val="21"/>
                      <w:highlight w:val="none"/>
                      <w:lang w:bidi="ar"/>
                    </w:rPr>
                  </w:pPr>
                  <w:r>
                    <w:rPr>
                      <w:color w:val="auto"/>
                      <w:szCs w:val="21"/>
                      <w:highlight w:val="none"/>
                      <w:lang w:bidi="ar"/>
                    </w:rPr>
                    <w:t>N,N-二异丙基乙胺（AR）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23</w:t>
                  </w:r>
                </w:p>
              </w:tc>
              <w:tc>
                <w:tcPr>
                  <w:tcW w:w="940" w:type="pct"/>
                  <w:vAlign w:val="center"/>
                </w:tcPr>
                <w:p>
                  <w:pPr>
                    <w:pStyle w:val="42"/>
                    <w:rPr>
                      <w:color w:val="auto"/>
                      <w:szCs w:val="21"/>
                      <w:highlight w:val="none"/>
                      <w:lang w:bidi="ar"/>
                    </w:rPr>
                  </w:pPr>
                  <w:r>
                    <w:rPr>
                      <w:color w:val="auto"/>
                      <w:szCs w:val="21"/>
                      <w:highlight w:val="none"/>
                      <w:lang w:bidi="ar"/>
                    </w:rPr>
                    <w:t>N-甲基吗啉（AR）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24</w:t>
                  </w:r>
                </w:p>
              </w:tc>
              <w:tc>
                <w:tcPr>
                  <w:tcW w:w="940" w:type="pct"/>
                  <w:vAlign w:val="center"/>
                </w:tcPr>
                <w:p>
                  <w:pPr>
                    <w:pStyle w:val="42"/>
                    <w:rPr>
                      <w:color w:val="auto"/>
                      <w:szCs w:val="21"/>
                      <w:highlight w:val="none"/>
                      <w:lang w:bidi="ar"/>
                    </w:rPr>
                  </w:pPr>
                  <w:r>
                    <w:rPr>
                      <w:color w:val="auto"/>
                      <w:szCs w:val="21"/>
                      <w:highlight w:val="none"/>
                      <w:lang w:bidi="ar"/>
                    </w:rPr>
                    <w:t>苯（AR）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25</w:t>
                  </w:r>
                </w:p>
              </w:tc>
              <w:tc>
                <w:tcPr>
                  <w:tcW w:w="940" w:type="pct"/>
                  <w:vAlign w:val="center"/>
                </w:tcPr>
                <w:p>
                  <w:pPr>
                    <w:pStyle w:val="42"/>
                    <w:rPr>
                      <w:color w:val="auto"/>
                      <w:szCs w:val="21"/>
                      <w:highlight w:val="none"/>
                      <w:lang w:bidi="ar"/>
                    </w:rPr>
                  </w:pPr>
                  <w:r>
                    <w:rPr>
                      <w:color w:val="auto"/>
                      <w:szCs w:val="21"/>
                      <w:highlight w:val="none"/>
                      <w:lang w:bidi="ar"/>
                    </w:rPr>
                    <w:t>吡啶（AR）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26</w:t>
                  </w:r>
                </w:p>
              </w:tc>
              <w:tc>
                <w:tcPr>
                  <w:tcW w:w="940" w:type="pct"/>
                  <w:vAlign w:val="center"/>
                </w:tcPr>
                <w:p>
                  <w:pPr>
                    <w:pStyle w:val="42"/>
                    <w:rPr>
                      <w:color w:val="auto"/>
                      <w:szCs w:val="21"/>
                      <w:highlight w:val="none"/>
                      <w:lang w:bidi="ar"/>
                    </w:rPr>
                  </w:pPr>
                  <w:r>
                    <w:rPr>
                      <w:color w:val="auto"/>
                      <w:szCs w:val="21"/>
                      <w:highlight w:val="none"/>
                      <w:lang w:bidi="ar"/>
                    </w:rPr>
                    <w:t>冰乙酸（AR）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27</w:t>
                  </w:r>
                </w:p>
              </w:tc>
              <w:tc>
                <w:tcPr>
                  <w:tcW w:w="940" w:type="pct"/>
                  <w:vAlign w:val="center"/>
                </w:tcPr>
                <w:p>
                  <w:pPr>
                    <w:pStyle w:val="42"/>
                    <w:rPr>
                      <w:color w:val="auto"/>
                      <w:szCs w:val="21"/>
                      <w:highlight w:val="none"/>
                      <w:lang w:bidi="ar"/>
                    </w:rPr>
                  </w:pPr>
                  <w:r>
                    <w:rPr>
                      <w:color w:val="auto"/>
                      <w:szCs w:val="21"/>
                      <w:highlight w:val="none"/>
                      <w:lang w:bidi="ar"/>
                    </w:rPr>
                    <w:t>丙醛（AR）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28</w:t>
                  </w:r>
                </w:p>
              </w:tc>
              <w:tc>
                <w:tcPr>
                  <w:tcW w:w="940" w:type="pct"/>
                  <w:vAlign w:val="center"/>
                </w:tcPr>
                <w:p>
                  <w:pPr>
                    <w:pStyle w:val="42"/>
                    <w:rPr>
                      <w:color w:val="auto"/>
                      <w:szCs w:val="21"/>
                      <w:highlight w:val="none"/>
                      <w:lang w:bidi="ar"/>
                    </w:rPr>
                  </w:pPr>
                  <w:r>
                    <w:rPr>
                      <w:color w:val="auto"/>
                      <w:szCs w:val="21"/>
                      <w:highlight w:val="none"/>
                      <w:lang w:bidi="ar"/>
                    </w:rPr>
                    <w:t>丙三醇（AR）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29</w:t>
                  </w:r>
                </w:p>
              </w:tc>
              <w:tc>
                <w:tcPr>
                  <w:tcW w:w="940" w:type="pct"/>
                  <w:vAlign w:val="center"/>
                </w:tcPr>
                <w:p>
                  <w:pPr>
                    <w:pStyle w:val="42"/>
                    <w:rPr>
                      <w:color w:val="auto"/>
                      <w:szCs w:val="21"/>
                      <w:highlight w:val="none"/>
                      <w:lang w:bidi="ar"/>
                    </w:rPr>
                  </w:pPr>
                  <w:r>
                    <w:rPr>
                      <w:color w:val="auto"/>
                      <w:szCs w:val="21"/>
                      <w:highlight w:val="none"/>
                      <w:lang w:bidi="ar"/>
                    </w:rPr>
                    <w:t>丙酸（AR）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30</w:t>
                  </w:r>
                </w:p>
              </w:tc>
              <w:tc>
                <w:tcPr>
                  <w:tcW w:w="940" w:type="pct"/>
                  <w:vAlign w:val="center"/>
                </w:tcPr>
                <w:p>
                  <w:pPr>
                    <w:pStyle w:val="42"/>
                    <w:rPr>
                      <w:color w:val="auto"/>
                      <w:szCs w:val="21"/>
                      <w:highlight w:val="none"/>
                      <w:lang w:bidi="ar"/>
                    </w:rPr>
                  </w:pPr>
                  <w:r>
                    <w:rPr>
                      <w:color w:val="auto"/>
                      <w:szCs w:val="21"/>
                      <w:highlight w:val="none"/>
                      <w:lang w:bidi="ar"/>
                    </w:rPr>
                    <w:t>草酸（AR）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31</w:t>
                  </w:r>
                </w:p>
              </w:tc>
              <w:tc>
                <w:tcPr>
                  <w:tcW w:w="940" w:type="pct"/>
                  <w:vAlign w:val="center"/>
                </w:tcPr>
                <w:p>
                  <w:pPr>
                    <w:pStyle w:val="42"/>
                    <w:rPr>
                      <w:color w:val="auto"/>
                      <w:szCs w:val="21"/>
                      <w:highlight w:val="none"/>
                      <w:lang w:bidi="ar"/>
                    </w:rPr>
                  </w:pPr>
                  <w:r>
                    <w:rPr>
                      <w:color w:val="auto"/>
                      <w:szCs w:val="21"/>
                      <w:highlight w:val="none"/>
                      <w:lang w:bidi="ar"/>
                    </w:rPr>
                    <w:t>丁酮（AR）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32</w:t>
                  </w:r>
                </w:p>
              </w:tc>
              <w:tc>
                <w:tcPr>
                  <w:tcW w:w="940" w:type="pct"/>
                  <w:vAlign w:val="center"/>
                </w:tcPr>
                <w:p>
                  <w:pPr>
                    <w:pStyle w:val="42"/>
                    <w:rPr>
                      <w:color w:val="auto"/>
                      <w:szCs w:val="21"/>
                      <w:highlight w:val="none"/>
                      <w:lang w:bidi="ar"/>
                    </w:rPr>
                  </w:pPr>
                  <w:r>
                    <w:rPr>
                      <w:color w:val="auto"/>
                      <w:szCs w:val="21"/>
                      <w:highlight w:val="none"/>
                      <w:lang w:bidi="ar"/>
                    </w:rPr>
                    <w:t>二氟化硼乙腈终合物</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33</w:t>
                  </w:r>
                </w:p>
              </w:tc>
              <w:tc>
                <w:tcPr>
                  <w:tcW w:w="940" w:type="pct"/>
                  <w:vAlign w:val="center"/>
                </w:tcPr>
                <w:p>
                  <w:pPr>
                    <w:pStyle w:val="42"/>
                    <w:rPr>
                      <w:color w:val="auto"/>
                      <w:szCs w:val="21"/>
                      <w:highlight w:val="none"/>
                      <w:lang w:bidi="ar"/>
                    </w:rPr>
                  </w:pPr>
                  <w:r>
                    <w:rPr>
                      <w:color w:val="auto"/>
                      <w:szCs w:val="21"/>
                      <w:highlight w:val="none"/>
                      <w:lang w:bidi="ar"/>
                    </w:rPr>
                    <w:t>二甲基亚砜（AR）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34</w:t>
                  </w:r>
                </w:p>
              </w:tc>
              <w:tc>
                <w:tcPr>
                  <w:tcW w:w="940" w:type="pct"/>
                  <w:vAlign w:val="center"/>
                </w:tcPr>
                <w:p>
                  <w:pPr>
                    <w:pStyle w:val="42"/>
                    <w:rPr>
                      <w:color w:val="auto"/>
                      <w:szCs w:val="21"/>
                      <w:highlight w:val="none"/>
                      <w:lang w:bidi="ar"/>
                    </w:rPr>
                  </w:pPr>
                  <w:r>
                    <w:rPr>
                      <w:color w:val="auto"/>
                      <w:szCs w:val="21"/>
                      <w:highlight w:val="none"/>
                      <w:lang w:bidi="ar"/>
                    </w:rPr>
                    <w:t>二氯乙烷（AR）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35</w:t>
                  </w:r>
                </w:p>
              </w:tc>
              <w:tc>
                <w:tcPr>
                  <w:tcW w:w="940" w:type="pct"/>
                  <w:vAlign w:val="center"/>
                </w:tcPr>
                <w:p>
                  <w:pPr>
                    <w:pStyle w:val="42"/>
                    <w:rPr>
                      <w:color w:val="auto"/>
                      <w:szCs w:val="21"/>
                      <w:highlight w:val="none"/>
                      <w:lang w:bidi="ar"/>
                    </w:rPr>
                  </w:pPr>
                  <w:r>
                    <w:rPr>
                      <w:color w:val="auto"/>
                      <w:szCs w:val="21"/>
                      <w:highlight w:val="none"/>
                      <w:lang w:bidi="ar"/>
                    </w:rPr>
                    <w:t>二正丁胺（AR）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36</w:t>
                  </w:r>
                </w:p>
              </w:tc>
              <w:tc>
                <w:tcPr>
                  <w:tcW w:w="940" w:type="pct"/>
                  <w:vAlign w:val="center"/>
                </w:tcPr>
                <w:p>
                  <w:pPr>
                    <w:pStyle w:val="42"/>
                    <w:rPr>
                      <w:color w:val="auto"/>
                      <w:szCs w:val="21"/>
                      <w:highlight w:val="none"/>
                      <w:lang w:bidi="ar"/>
                    </w:rPr>
                  </w:pPr>
                  <w:r>
                    <w:rPr>
                      <w:color w:val="auto"/>
                      <w:szCs w:val="21"/>
                      <w:highlight w:val="none"/>
                      <w:lang w:bidi="ar"/>
                    </w:rPr>
                    <w:t>环己烷（AR）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100</w:t>
                  </w:r>
                </w:p>
              </w:tc>
              <w:tc>
                <w:tcPr>
                  <w:tcW w:w="763" w:type="pct"/>
                  <w:vAlign w:val="center"/>
                </w:tcPr>
                <w:p>
                  <w:pPr>
                    <w:pStyle w:val="42"/>
                    <w:rPr>
                      <w:color w:val="auto"/>
                      <w:szCs w:val="21"/>
                      <w:highlight w:val="none"/>
                      <w:lang w:bidi="ar"/>
                    </w:rPr>
                  </w:pPr>
                  <w:r>
                    <w:rPr>
                      <w:rFonts w:hint="eastAsia"/>
                      <w:color w:val="auto"/>
                      <w:highlight w:val="none"/>
                    </w:rPr>
                    <w:t>83.0</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37</w:t>
                  </w:r>
                </w:p>
              </w:tc>
              <w:tc>
                <w:tcPr>
                  <w:tcW w:w="940" w:type="pct"/>
                  <w:vAlign w:val="center"/>
                </w:tcPr>
                <w:p>
                  <w:pPr>
                    <w:pStyle w:val="42"/>
                    <w:rPr>
                      <w:color w:val="auto"/>
                      <w:szCs w:val="21"/>
                      <w:highlight w:val="none"/>
                      <w:lang w:bidi="ar"/>
                    </w:rPr>
                  </w:pPr>
                  <w:r>
                    <w:rPr>
                      <w:color w:val="auto"/>
                      <w:szCs w:val="21"/>
                      <w:highlight w:val="none"/>
                      <w:lang w:bidi="ar"/>
                    </w:rPr>
                    <w:t>甲醇（AR）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100</w:t>
                  </w:r>
                </w:p>
              </w:tc>
              <w:tc>
                <w:tcPr>
                  <w:tcW w:w="763" w:type="pct"/>
                  <w:vAlign w:val="center"/>
                </w:tcPr>
                <w:p>
                  <w:pPr>
                    <w:pStyle w:val="42"/>
                    <w:rPr>
                      <w:color w:val="auto"/>
                      <w:szCs w:val="21"/>
                      <w:highlight w:val="none"/>
                      <w:lang w:bidi="ar"/>
                    </w:rPr>
                  </w:pPr>
                  <w:r>
                    <w:rPr>
                      <w:rFonts w:hint="eastAsia"/>
                      <w:color w:val="auto"/>
                      <w:highlight w:val="none"/>
                    </w:rPr>
                    <w:t>83.0</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38</w:t>
                  </w:r>
                </w:p>
              </w:tc>
              <w:tc>
                <w:tcPr>
                  <w:tcW w:w="940" w:type="pct"/>
                  <w:vAlign w:val="center"/>
                </w:tcPr>
                <w:p>
                  <w:pPr>
                    <w:pStyle w:val="42"/>
                    <w:rPr>
                      <w:color w:val="auto"/>
                      <w:szCs w:val="21"/>
                      <w:highlight w:val="none"/>
                      <w:lang w:bidi="ar"/>
                    </w:rPr>
                  </w:pPr>
                  <w:r>
                    <w:rPr>
                      <w:color w:val="auto"/>
                      <w:szCs w:val="21"/>
                      <w:highlight w:val="none"/>
                      <w:lang w:bidi="ar"/>
                    </w:rPr>
                    <w:t>甲醇（HPLC）</w:t>
                  </w:r>
                </w:p>
              </w:tc>
              <w:tc>
                <w:tcPr>
                  <w:tcW w:w="685" w:type="pct"/>
                  <w:vAlign w:val="center"/>
                </w:tcPr>
                <w:p>
                  <w:pPr>
                    <w:pStyle w:val="42"/>
                    <w:rPr>
                      <w:color w:val="auto"/>
                      <w:szCs w:val="21"/>
                      <w:highlight w:val="none"/>
                      <w:lang w:bidi="ar"/>
                    </w:rPr>
                  </w:pPr>
                  <w:r>
                    <w:rPr>
                      <w:color w:val="auto"/>
                      <w:szCs w:val="21"/>
                      <w:highlight w:val="none"/>
                      <w:lang w:bidi="ar"/>
                    </w:rPr>
                    <w:t>4L/瓶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1000</w:t>
                  </w:r>
                </w:p>
              </w:tc>
              <w:tc>
                <w:tcPr>
                  <w:tcW w:w="763" w:type="pct"/>
                  <w:vAlign w:val="center"/>
                </w:tcPr>
                <w:p>
                  <w:pPr>
                    <w:pStyle w:val="42"/>
                    <w:rPr>
                      <w:color w:val="auto"/>
                      <w:szCs w:val="21"/>
                      <w:highlight w:val="none"/>
                      <w:lang w:bidi="ar"/>
                    </w:rPr>
                  </w:pPr>
                  <w:r>
                    <w:rPr>
                      <w:rFonts w:hint="eastAsia"/>
                      <w:color w:val="auto"/>
                      <w:highlight w:val="none"/>
                    </w:rPr>
                    <w:t>830.0</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39</w:t>
                  </w:r>
                </w:p>
              </w:tc>
              <w:tc>
                <w:tcPr>
                  <w:tcW w:w="940" w:type="pct"/>
                  <w:vAlign w:val="center"/>
                </w:tcPr>
                <w:p>
                  <w:pPr>
                    <w:pStyle w:val="42"/>
                    <w:rPr>
                      <w:color w:val="auto"/>
                      <w:szCs w:val="21"/>
                      <w:highlight w:val="none"/>
                      <w:lang w:bidi="ar"/>
                    </w:rPr>
                  </w:pPr>
                  <w:r>
                    <w:rPr>
                      <w:color w:val="auto"/>
                      <w:szCs w:val="21"/>
                      <w:highlight w:val="none"/>
                      <w:lang w:bidi="ar"/>
                    </w:rPr>
                    <w:t>甲基叔丁基醚（AR）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40</w:t>
                  </w:r>
                </w:p>
              </w:tc>
              <w:tc>
                <w:tcPr>
                  <w:tcW w:w="940" w:type="pct"/>
                  <w:vAlign w:val="center"/>
                </w:tcPr>
                <w:p>
                  <w:pPr>
                    <w:pStyle w:val="42"/>
                    <w:rPr>
                      <w:color w:val="auto"/>
                      <w:szCs w:val="21"/>
                      <w:highlight w:val="none"/>
                      <w:lang w:bidi="ar"/>
                    </w:rPr>
                  </w:pPr>
                  <w:r>
                    <w:rPr>
                      <w:color w:val="auto"/>
                      <w:szCs w:val="21"/>
                      <w:highlight w:val="none"/>
                      <w:lang w:bidi="ar"/>
                    </w:rPr>
                    <w:t>甲基异丁基甲酮（AR）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41</w:t>
                  </w:r>
                </w:p>
              </w:tc>
              <w:tc>
                <w:tcPr>
                  <w:tcW w:w="940" w:type="pct"/>
                  <w:vAlign w:val="center"/>
                </w:tcPr>
                <w:p>
                  <w:pPr>
                    <w:pStyle w:val="42"/>
                    <w:rPr>
                      <w:color w:val="auto"/>
                      <w:szCs w:val="21"/>
                      <w:highlight w:val="none"/>
                      <w:lang w:bidi="ar"/>
                    </w:rPr>
                  </w:pPr>
                  <w:r>
                    <w:rPr>
                      <w:color w:val="auto"/>
                      <w:szCs w:val="21"/>
                      <w:highlight w:val="none"/>
                      <w:lang w:bidi="ar"/>
                    </w:rPr>
                    <w:t>甲酸（AR）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42</w:t>
                  </w:r>
                </w:p>
              </w:tc>
              <w:tc>
                <w:tcPr>
                  <w:tcW w:w="940" w:type="pct"/>
                  <w:vAlign w:val="center"/>
                </w:tcPr>
                <w:p>
                  <w:pPr>
                    <w:pStyle w:val="42"/>
                    <w:rPr>
                      <w:color w:val="auto"/>
                      <w:szCs w:val="21"/>
                      <w:highlight w:val="none"/>
                      <w:lang w:bidi="ar"/>
                    </w:rPr>
                  </w:pPr>
                  <w:r>
                    <w:rPr>
                      <w:color w:val="auto"/>
                      <w:szCs w:val="21"/>
                      <w:highlight w:val="none"/>
                      <w:lang w:bidi="ar"/>
                    </w:rPr>
                    <w:t>甲烷磺酸（AR）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43</w:t>
                  </w:r>
                </w:p>
              </w:tc>
              <w:tc>
                <w:tcPr>
                  <w:tcW w:w="940" w:type="pct"/>
                  <w:vAlign w:val="center"/>
                </w:tcPr>
                <w:p>
                  <w:pPr>
                    <w:pStyle w:val="42"/>
                    <w:rPr>
                      <w:color w:val="auto"/>
                      <w:szCs w:val="21"/>
                      <w:highlight w:val="none"/>
                      <w:lang w:bidi="ar"/>
                    </w:rPr>
                  </w:pPr>
                  <w:r>
                    <w:rPr>
                      <w:color w:val="auto"/>
                      <w:szCs w:val="21"/>
                      <w:highlight w:val="none"/>
                      <w:lang w:bidi="ar"/>
                    </w:rPr>
                    <w:t>甲酰胺（AR）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44</w:t>
                  </w:r>
                </w:p>
              </w:tc>
              <w:tc>
                <w:tcPr>
                  <w:tcW w:w="940" w:type="pct"/>
                  <w:vAlign w:val="center"/>
                </w:tcPr>
                <w:p>
                  <w:pPr>
                    <w:pStyle w:val="42"/>
                    <w:rPr>
                      <w:color w:val="auto"/>
                      <w:szCs w:val="21"/>
                      <w:highlight w:val="none"/>
                      <w:lang w:bidi="ar"/>
                    </w:rPr>
                  </w:pPr>
                  <w:r>
                    <w:rPr>
                      <w:color w:val="auto"/>
                      <w:szCs w:val="21"/>
                      <w:highlight w:val="none"/>
                      <w:lang w:bidi="ar"/>
                    </w:rPr>
                    <w:t>间三氟甲基苯胺（AR）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45</w:t>
                  </w:r>
                </w:p>
              </w:tc>
              <w:tc>
                <w:tcPr>
                  <w:tcW w:w="940" w:type="pct"/>
                  <w:vAlign w:val="center"/>
                </w:tcPr>
                <w:p>
                  <w:pPr>
                    <w:pStyle w:val="42"/>
                    <w:rPr>
                      <w:color w:val="auto"/>
                      <w:szCs w:val="21"/>
                      <w:highlight w:val="none"/>
                      <w:lang w:bidi="ar"/>
                    </w:rPr>
                  </w:pPr>
                  <w:r>
                    <w:rPr>
                      <w:color w:val="auto"/>
                      <w:szCs w:val="21"/>
                      <w:highlight w:val="none"/>
                      <w:lang w:bidi="ar"/>
                    </w:rPr>
                    <w:t>聚乙二醇（AR）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46</w:t>
                  </w:r>
                </w:p>
              </w:tc>
              <w:tc>
                <w:tcPr>
                  <w:tcW w:w="940" w:type="pct"/>
                  <w:vAlign w:val="center"/>
                </w:tcPr>
                <w:p>
                  <w:pPr>
                    <w:pStyle w:val="42"/>
                    <w:rPr>
                      <w:color w:val="auto"/>
                      <w:szCs w:val="21"/>
                      <w:highlight w:val="none"/>
                      <w:lang w:bidi="ar"/>
                    </w:rPr>
                  </w:pPr>
                  <w:r>
                    <w:rPr>
                      <w:color w:val="auto"/>
                      <w:szCs w:val="21"/>
                      <w:highlight w:val="none"/>
                      <w:lang w:bidi="ar"/>
                    </w:rPr>
                    <w:t>喹啉（AR）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47</w:t>
                  </w:r>
                </w:p>
              </w:tc>
              <w:tc>
                <w:tcPr>
                  <w:tcW w:w="940" w:type="pct"/>
                  <w:vAlign w:val="center"/>
                </w:tcPr>
                <w:p>
                  <w:pPr>
                    <w:pStyle w:val="42"/>
                    <w:rPr>
                      <w:color w:val="auto"/>
                      <w:szCs w:val="21"/>
                      <w:highlight w:val="none"/>
                      <w:lang w:bidi="ar"/>
                    </w:rPr>
                  </w:pPr>
                  <w:r>
                    <w:rPr>
                      <w:color w:val="auto"/>
                      <w:szCs w:val="21"/>
                      <w:highlight w:val="none"/>
                      <w:lang w:bidi="ar"/>
                    </w:rPr>
                    <w:t>邻苯二甲酸（AR）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48</w:t>
                  </w:r>
                </w:p>
              </w:tc>
              <w:tc>
                <w:tcPr>
                  <w:tcW w:w="940" w:type="pct"/>
                  <w:vAlign w:val="center"/>
                </w:tcPr>
                <w:p>
                  <w:pPr>
                    <w:pStyle w:val="42"/>
                    <w:rPr>
                      <w:color w:val="auto"/>
                      <w:szCs w:val="21"/>
                      <w:highlight w:val="none"/>
                      <w:lang w:bidi="ar"/>
                    </w:rPr>
                  </w:pPr>
                  <w:r>
                    <w:rPr>
                      <w:color w:val="auto"/>
                      <w:szCs w:val="21"/>
                      <w:highlight w:val="none"/>
                      <w:lang w:bidi="ar"/>
                    </w:rPr>
                    <w:t>磷替异戊酯（AR）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49</w:t>
                  </w:r>
                </w:p>
              </w:tc>
              <w:tc>
                <w:tcPr>
                  <w:tcW w:w="940" w:type="pct"/>
                  <w:vAlign w:val="center"/>
                </w:tcPr>
                <w:p>
                  <w:pPr>
                    <w:pStyle w:val="42"/>
                    <w:rPr>
                      <w:color w:val="auto"/>
                      <w:szCs w:val="21"/>
                      <w:highlight w:val="none"/>
                      <w:lang w:bidi="ar"/>
                    </w:rPr>
                  </w:pPr>
                  <w:r>
                    <w:rPr>
                      <w:color w:val="auto"/>
                      <w:szCs w:val="21"/>
                      <w:highlight w:val="none"/>
                      <w:lang w:bidi="ar"/>
                    </w:rPr>
                    <w:t>六氢吡啶（AR）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50</w:t>
                  </w:r>
                </w:p>
              </w:tc>
              <w:tc>
                <w:tcPr>
                  <w:tcW w:w="940" w:type="pct"/>
                  <w:vAlign w:val="center"/>
                </w:tcPr>
                <w:p>
                  <w:pPr>
                    <w:pStyle w:val="42"/>
                    <w:rPr>
                      <w:color w:val="auto"/>
                      <w:szCs w:val="21"/>
                      <w:highlight w:val="none"/>
                      <w:lang w:bidi="ar"/>
                    </w:rPr>
                  </w:pPr>
                  <w:r>
                    <w:rPr>
                      <w:color w:val="auto"/>
                      <w:szCs w:val="21"/>
                      <w:highlight w:val="none"/>
                      <w:lang w:bidi="ar"/>
                    </w:rPr>
                    <w:t>硼酸（AR）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51</w:t>
                  </w:r>
                </w:p>
              </w:tc>
              <w:tc>
                <w:tcPr>
                  <w:tcW w:w="940" w:type="pct"/>
                  <w:vAlign w:val="center"/>
                </w:tcPr>
                <w:p>
                  <w:pPr>
                    <w:pStyle w:val="42"/>
                    <w:rPr>
                      <w:color w:val="auto"/>
                      <w:szCs w:val="21"/>
                      <w:highlight w:val="none"/>
                      <w:lang w:bidi="ar"/>
                    </w:rPr>
                  </w:pPr>
                  <w:r>
                    <w:rPr>
                      <w:color w:val="auto"/>
                      <w:szCs w:val="21"/>
                      <w:highlight w:val="none"/>
                      <w:lang w:bidi="ar"/>
                    </w:rPr>
                    <w:t>乳酸（AR）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52</w:t>
                  </w:r>
                </w:p>
              </w:tc>
              <w:tc>
                <w:tcPr>
                  <w:tcW w:w="940" w:type="pct"/>
                  <w:vAlign w:val="center"/>
                </w:tcPr>
                <w:p>
                  <w:pPr>
                    <w:pStyle w:val="42"/>
                    <w:rPr>
                      <w:color w:val="auto"/>
                      <w:szCs w:val="21"/>
                      <w:highlight w:val="none"/>
                      <w:lang w:bidi="ar"/>
                    </w:rPr>
                  </w:pPr>
                  <w:r>
                    <w:rPr>
                      <w:color w:val="auto"/>
                      <w:szCs w:val="21"/>
                      <w:highlight w:val="none"/>
                      <w:lang w:bidi="ar"/>
                    </w:rPr>
                    <w:t>噻吩乙酰氯（AR）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53</w:t>
                  </w:r>
                </w:p>
              </w:tc>
              <w:tc>
                <w:tcPr>
                  <w:tcW w:w="940" w:type="pct"/>
                  <w:vAlign w:val="center"/>
                </w:tcPr>
                <w:p>
                  <w:pPr>
                    <w:pStyle w:val="42"/>
                    <w:rPr>
                      <w:color w:val="auto"/>
                      <w:szCs w:val="21"/>
                      <w:highlight w:val="none"/>
                      <w:lang w:bidi="ar"/>
                    </w:rPr>
                  </w:pPr>
                  <w:r>
                    <w:rPr>
                      <w:color w:val="auto"/>
                      <w:szCs w:val="21"/>
                      <w:highlight w:val="none"/>
                      <w:lang w:bidi="ar"/>
                    </w:rPr>
                    <w:t>三乙胺（AR）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54</w:t>
                  </w:r>
                </w:p>
              </w:tc>
              <w:tc>
                <w:tcPr>
                  <w:tcW w:w="940" w:type="pct"/>
                  <w:vAlign w:val="center"/>
                </w:tcPr>
                <w:p>
                  <w:pPr>
                    <w:pStyle w:val="42"/>
                    <w:rPr>
                      <w:color w:val="auto"/>
                      <w:szCs w:val="21"/>
                      <w:highlight w:val="none"/>
                      <w:lang w:bidi="ar"/>
                    </w:rPr>
                  </w:pPr>
                  <w:r>
                    <w:rPr>
                      <w:color w:val="auto"/>
                      <w:szCs w:val="21"/>
                      <w:highlight w:val="none"/>
                      <w:lang w:bidi="ar"/>
                    </w:rPr>
                    <w:t>石油醚（AR）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w:t>
                  </w:r>
                </w:p>
              </w:tc>
              <w:tc>
                <w:tcPr>
                  <w:tcW w:w="763" w:type="pct"/>
                  <w:vAlign w:val="center"/>
                </w:tcPr>
                <w:p>
                  <w:pPr>
                    <w:pStyle w:val="42"/>
                    <w:rPr>
                      <w:color w:val="auto"/>
                      <w:szCs w:val="21"/>
                      <w:highlight w:val="none"/>
                      <w:lang w:bidi="ar"/>
                    </w:rPr>
                  </w:pPr>
                  <w:r>
                    <w:rPr>
                      <w:rFonts w:hint="eastAsia"/>
                      <w:color w:val="auto"/>
                      <w:highlight w:val="none"/>
                    </w:rPr>
                    <w:t>41.5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55</w:t>
                  </w:r>
                </w:p>
              </w:tc>
              <w:tc>
                <w:tcPr>
                  <w:tcW w:w="940" w:type="pct"/>
                  <w:vAlign w:val="center"/>
                </w:tcPr>
                <w:p>
                  <w:pPr>
                    <w:pStyle w:val="42"/>
                    <w:rPr>
                      <w:color w:val="auto"/>
                      <w:szCs w:val="21"/>
                      <w:highlight w:val="none"/>
                      <w:lang w:bidi="ar"/>
                    </w:rPr>
                  </w:pPr>
                  <w:r>
                    <w:rPr>
                      <w:color w:val="auto"/>
                      <w:szCs w:val="21"/>
                      <w:highlight w:val="none"/>
                      <w:lang w:bidi="ar"/>
                    </w:rPr>
                    <w:t>叔丁醇（AR）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56</w:t>
                  </w:r>
                </w:p>
              </w:tc>
              <w:tc>
                <w:tcPr>
                  <w:tcW w:w="940" w:type="pct"/>
                  <w:vAlign w:val="center"/>
                </w:tcPr>
                <w:p>
                  <w:pPr>
                    <w:pStyle w:val="42"/>
                    <w:rPr>
                      <w:color w:val="auto"/>
                      <w:szCs w:val="21"/>
                      <w:highlight w:val="none"/>
                      <w:lang w:bidi="ar"/>
                    </w:rPr>
                  </w:pPr>
                  <w:r>
                    <w:rPr>
                      <w:color w:val="auto"/>
                      <w:szCs w:val="21"/>
                      <w:highlight w:val="none"/>
                      <w:lang w:bidi="ar"/>
                    </w:rPr>
                    <w:t>四氢呋喃（（AR））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57</w:t>
                  </w:r>
                </w:p>
              </w:tc>
              <w:tc>
                <w:tcPr>
                  <w:tcW w:w="940" w:type="pct"/>
                  <w:vAlign w:val="center"/>
                </w:tcPr>
                <w:p>
                  <w:pPr>
                    <w:pStyle w:val="42"/>
                    <w:rPr>
                      <w:color w:val="auto"/>
                      <w:szCs w:val="21"/>
                      <w:highlight w:val="none"/>
                      <w:lang w:bidi="ar"/>
                    </w:rPr>
                  </w:pPr>
                  <w:r>
                    <w:rPr>
                      <w:color w:val="auto"/>
                      <w:szCs w:val="21"/>
                      <w:highlight w:val="none"/>
                      <w:lang w:bidi="ar"/>
                    </w:rPr>
                    <w:t>四氢呋喃（HPLC）</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58</w:t>
                  </w:r>
                </w:p>
              </w:tc>
              <w:tc>
                <w:tcPr>
                  <w:tcW w:w="940" w:type="pct"/>
                  <w:vAlign w:val="center"/>
                </w:tcPr>
                <w:p>
                  <w:pPr>
                    <w:pStyle w:val="42"/>
                    <w:rPr>
                      <w:color w:val="auto"/>
                      <w:szCs w:val="21"/>
                      <w:highlight w:val="none"/>
                      <w:lang w:bidi="ar"/>
                    </w:rPr>
                  </w:pPr>
                  <w:r>
                    <w:rPr>
                      <w:color w:val="auto"/>
                      <w:szCs w:val="21"/>
                      <w:highlight w:val="none"/>
                      <w:lang w:bidi="ar"/>
                    </w:rPr>
                    <w:t>溴代正丙烷（AR）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59</w:t>
                  </w:r>
                </w:p>
              </w:tc>
              <w:tc>
                <w:tcPr>
                  <w:tcW w:w="940" w:type="pct"/>
                  <w:vAlign w:val="center"/>
                </w:tcPr>
                <w:p>
                  <w:pPr>
                    <w:pStyle w:val="42"/>
                    <w:rPr>
                      <w:color w:val="auto"/>
                      <w:szCs w:val="21"/>
                      <w:highlight w:val="none"/>
                      <w:lang w:bidi="ar"/>
                    </w:rPr>
                  </w:pPr>
                  <w:r>
                    <w:rPr>
                      <w:color w:val="auto"/>
                      <w:szCs w:val="21"/>
                      <w:highlight w:val="none"/>
                      <w:lang w:bidi="ar"/>
                    </w:rPr>
                    <w:t>乙醇（AR）</w:t>
                  </w:r>
                </w:p>
              </w:tc>
              <w:tc>
                <w:tcPr>
                  <w:tcW w:w="685" w:type="pct"/>
                  <w:vAlign w:val="center"/>
                </w:tcPr>
                <w:p>
                  <w:pPr>
                    <w:pStyle w:val="42"/>
                    <w:rPr>
                      <w:color w:val="auto"/>
                      <w:szCs w:val="21"/>
                      <w:highlight w:val="none"/>
                      <w:lang w:bidi="ar"/>
                    </w:rPr>
                  </w:pPr>
                  <w:r>
                    <w:rPr>
                      <w:color w:val="auto"/>
                      <w:szCs w:val="21"/>
                      <w:highlight w:val="none"/>
                      <w:lang w:bidi="ar"/>
                    </w:rPr>
                    <w:t>4L/瓶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500</w:t>
                  </w:r>
                </w:p>
              </w:tc>
              <w:tc>
                <w:tcPr>
                  <w:tcW w:w="763" w:type="pct"/>
                  <w:vAlign w:val="center"/>
                </w:tcPr>
                <w:p>
                  <w:pPr>
                    <w:pStyle w:val="42"/>
                    <w:rPr>
                      <w:color w:val="auto"/>
                      <w:szCs w:val="21"/>
                      <w:highlight w:val="none"/>
                      <w:lang w:bidi="ar"/>
                    </w:rPr>
                  </w:pPr>
                  <w:r>
                    <w:rPr>
                      <w:rFonts w:hint="eastAsia"/>
                      <w:color w:val="auto"/>
                      <w:highlight w:val="none"/>
                    </w:rPr>
                    <w:t>415.0</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60</w:t>
                  </w:r>
                </w:p>
              </w:tc>
              <w:tc>
                <w:tcPr>
                  <w:tcW w:w="940" w:type="pct"/>
                  <w:vAlign w:val="center"/>
                </w:tcPr>
                <w:p>
                  <w:pPr>
                    <w:pStyle w:val="42"/>
                    <w:rPr>
                      <w:color w:val="auto"/>
                      <w:szCs w:val="21"/>
                      <w:highlight w:val="none"/>
                      <w:lang w:bidi="ar"/>
                    </w:rPr>
                  </w:pPr>
                  <w:r>
                    <w:rPr>
                      <w:color w:val="auto"/>
                      <w:szCs w:val="21"/>
                      <w:highlight w:val="none"/>
                      <w:lang w:bidi="ar"/>
                    </w:rPr>
                    <w:t>乙腈（AR）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100</w:t>
                  </w:r>
                </w:p>
              </w:tc>
              <w:tc>
                <w:tcPr>
                  <w:tcW w:w="763" w:type="pct"/>
                  <w:vAlign w:val="center"/>
                </w:tcPr>
                <w:p>
                  <w:pPr>
                    <w:pStyle w:val="42"/>
                    <w:rPr>
                      <w:color w:val="auto"/>
                      <w:szCs w:val="21"/>
                      <w:highlight w:val="none"/>
                      <w:lang w:bidi="ar"/>
                    </w:rPr>
                  </w:pPr>
                  <w:r>
                    <w:rPr>
                      <w:rFonts w:hint="eastAsia"/>
                      <w:color w:val="auto"/>
                      <w:highlight w:val="none"/>
                    </w:rPr>
                    <w:t>83.0</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61</w:t>
                  </w:r>
                </w:p>
              </w:tc>
              <w:tc>
                <w:tcPr>
                  <w:tcW w:w="940" w:type="pct"/>
                  <w:vAlign w:val="center"/>
                </w:tcPr>
                <w:p>
                  <w:pPr>
                    <w:pStyle w:val="42"/>
                    <w:rPr>
                      <w:color w:val="auto"/>
                      <w:szCs w:val="21"/>
                      <w:highlight w:val="none"/>
                      <w:lang w:bidi="ar"/>
                    </w:rPr>
                  </w:pPr>
                  <w:r>
                    <w:rPr>
                      <w:color w:val="auto"/>
                      <w:szCs w:val="21"/>
                      <w:highlight w:val="none"/>
                      <w:lang w:bidi="ar"/>
                    </w:rPr>
                    <w:t>乙腈（HPLC）</w:t>
                  </w:r>
                </w:p>
              </w:tc>
              <w:tc>
                <w:tcPr>
                  <w:tcW w:w="685" w:type="pct"/>
                  <w:vAlign w:val="center"/>
                </w:tcPr>
                <w:p>
                  <w:pPr>
                    <w:pStyle w:val="42"/>
                    <w:rPr>
                      <w:color w:val="auto"/>
                      <w:szCs w:val="21"/>
                      <w:highlight w:val="none"/>
                      <w:lang w:bidi="ar"/>
                    </w:rPr>
                  </w:pPr>
                  <w:r>
                    <w:rPr>
                      <w:color w:val="auto"/>
                      <w:szCs w:val="21"/>
                      <w:highlight w:val="none"/>
                      <w:lang w:bidi="ar"/>
                    </w:rPr>
                    <w:t>4L/瓶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1000</w:t>
                  </w:r>
                </w:p>
              </w:tc>
              <w:tc>
                <w:tcPr>
                  <w:tcW w:w="763" w:type="pct"/>
                  <w:vAlign w:val="center"/>
                </w:tcPr>
                <w:p>
                  <w:pPr>
                    <w:pStyle w:val="42"/>
                    <w:rPr>
                      <w:color w:val="auto"/>
                      <w:szCs w:val="21"/>
                      <w:highlight w:val="none"/>
                      <w:lang w:bidi="ar"/>
                    </w:rPr>
                  </w:pPr>
                  <w:r>
                    <w:rPr>
                      <w:rFonts w:hint="eastAsia"/>
                      <w:color w:val="auto"/>
                      <w:highlight w:val="none"/>
                    </w:rPr>
                    <w:t>830.0</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62</w:t>
                  </w:r>
                </w:p>
              </w:tc>
              <w:tc>
                <w:tcPr>
                  <w:tcW w:w="940" w:type="pct"/>
                  <w:vAlign w:val="center"/>
                </w:tcPr>
                <w:p>
                  <w:pPr>
                    <w:pStyle w:val="42"/>
                    <w:rPr>
                      <w:color w:val="auto"/>
                      <w:szCs w:val="21"/>
                      <w:highlight w:val="none"/>
                      <w:lang w:bidi="ar"/>
                    </w:rPr>
                  </w:pPr>
                  <w:r>
                    <w:rPr>
                      <w:color w:val="auto"/>
                      <w:szCs w:val="21"/>
                      <w:highlight w:val="none"/>
                      <w:lang w:bidi="ar"/>
                    </w:rPr>
                    <w:t>乙酸（AR）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63</w:t>
                  </w:r>
                </w:p>
              </w:tc>
              <w:tc>
                <w:tcPr>
                  <w:tcW w:w="940" w:type="pct"/>
                  <w:vAlign w:val="center"/>
                </w:tcPr>
                <w:p>
                  <w:pPr>
                    <w:pStyle w:val="42"/>
                    <w:rPr>
                      <w:color w:val="auto"/>
                      <w:szCs w:val="21"/>
                      <w:highlight w:val="none"/>
                      <w:lang w:bidi="ar"/>
                    </w:rPr>
                  </w:pPr>
                  <w:r>
                    <w:rPr>
                      <w:color w:val="auto"/>
                      <w:szCs w:val="21"/>
                      <w:highlight w:val="none"/>
                      <w:lang w:bidi="ar"/>
                    </w:rPr>
                    <w:t>乙酸丁酯（AR）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64</w:t>
                  </w:r>
                </w:p>
              </w:tc>
              <w:tc>
                <w:tcPr>
                  <w:tcW w:w="940" w:type="pct"/>
                  <w:vAlign w:val="center"/>
                </w:tcPr>
                <w:p>
                  <w:pPr>
                    <w:pStyle w:val="42"/>
                    <w:rPr>
                      <w:color w:val="auto"/>
                      <w:szCs w:val="21"/>
                      <w:highlight w:val="none"/>
                      <w:lang w:bidi="ar"/>
                    </w:rPr>
                  </w:pPr>
                  <w:r>
                    <w:rPr>
                      <w:color w:val="auto"/>
                      <w:szCs w:val="21"/>
                      <w:highlight w:val="none"/>
                      <w:lang w:bidi="ar"/>
                    </w:rPr>
                    <w:t>乙酸乙酯（HPLC）</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100</w:t>
                  </w:r>
                </w:p>
              </w:tc>
              <w:tc>
                <w:tcPr>
                  <w:tcW w:w="763" w:type="pct"/>
                  <w:vAlign w:val="center"/>
                </w:tcPr>
                <w:p>
                  <w:pPr>
                    <w:pStyle w:val="42"/>
                    <w:rPr>
                      <w:color w:val="auto"/>
                      <w:szCs w:val="21"/>
                      <w:highlight w:val="none"/>
                      <w:lang w:bidi="ar"/>
                    </w:rPr>
                  </w:pPr>
                  <w:r>
                    <w:rPr>
                      <w:rFonts w:hint="eastAsia"/>
                      <w:color w:val="auto"/>
                      <w:highlight w:val="none"/>
                    </w:rPr>
                    <w:t>83.0</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65</w:t>
                  </w:r>
                </w:p>
              </w:tc>
              <w:tc>
                <w:tcPr>
                  <w:tcW w:w="940" w:type="pct"/>
                  <w:vAlign w:val="center"/>
                </w:tcPr>
                <w:p>
                  <w:pPr>
                    <w:pStyle w:val="42"/>
                    <w:rPr>
                      <w:color w:val="auto"/>
                      <w:szCs w:val="21"/>
                      <w:highlight w:val="none"/>
                      <w:lang w:bidi="ar"/>
                    </w:rPr>
                  </w:pPr>
                  <w:r>
                    <w:rPr>
                      <w:color w:val="auto"/>
                      <w:szCs w:val="21"/>
                      <w:highlight w:val="none"/>
                      <w:lang w:bidi="ar"/>
                    </w:rPr>
                    <w:t>乙酸异戊酯（AR）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66</w:t>
                  </w:r>
                </w:p>
              </w:tc>
              <w:tc>
                <w:tcPr>
                  <w:tcW w:w="940" w:type="pct"/>
                  <w:vAlign w:val="center"/>
                </w:tcPr>
                <w:p>
                  <w:pPr>
                    <w:pStyle w:val="42"/>
                    <w:rPr>
                      <w:color w:val="auto"/>
                      <w:szCs w:val="21"/>
                      <w:highlight w:val="none"/>
                      <w:lang w:bidi="ar"/>
                    </w:rPr>
                  </w:pPr>
                  <w:r>
                    <w:rPr>
                      <w:color w:val="auto"/>
                      <w:szCs w:val="21"/>
                      <w:highlight w:val="none"/>
                      <w:lang w:bidi="ar"/>
                    </w:rPr>
                    <w:t>乙酰乙酸甲酯（AR）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67</w:t>
                  </w:r>
                </w:p>
              </w:tc>
              <w:tc>
                <w:tcPr>
                  <w:tcW w:w="940" w:type="pct"/>
                  <w:vAlign w:val="center"/>
                </w:tcPr>
                <w:p>
                  <w:pPr>
                    <w:pStyle w:val="42"/>
                    <w:rPr>
                      <w:color w:val="auto"/>
                      <w:szCs w:val="21"/>
                      <w:highlight w:val="none"/>
                      <w:lang w:bidi="ar"/>
                    </w:rPr>
                  </w:pPr>
                  <w:r>
                    <w:rPr>
                      <w:color w:val="auto"/>
                      <w:szCs w:val="21"/>
                      <w:highlight w:val="none"/>
                      <w:lang w:bidi="ar"/>
                    </w:rPr>
                    <w:t>异丙醇（HPLC）</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68</w:t>
                  </w:r>
                </w:p>
              </w:tc>
              <w:tc>
                <w:tcPr>
                  <w:tcW w:w="940" w:type="pct"/>
                  <w:vAlign w:val="center"/>
                </w:tcPr>
                <w:p>
                  <w:pPr>
                    <w:pStyle w:val="42"/>
                    <w:rPr>
                      <w:color w:val="auto"/>
                      <w:szCs w:val="21"/>
                      <w:highlight w:val="none"/>
                      <w:lang w:bidi="ar"/>
                    </w:rPr>
                  </w:pPr>
                  <w:r>
                    <w:rPr>
                      <w:color w:val="auto"/>
                      <w:szCs w:val="21"/>
                      <w:highlight w:val="none"/>
                      <w:lang w:bidi="ar"/>
                    </w:rPr>
                    <w:t>异丙醚（AR）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69</w:t>
                  </w:r>
                </w:p>
              </w:tc>
              <w:tc>
                <w:tcPr>
                  <w:tcW w:w="940" w:type="pct"/>
                  <w:vAlign w:val="center"/>
                </w:tcPr>
                <w:p>
                  <w:pPr>
                    <w:pStyle w:val="42"/>
                    <w:rPr>
                      <w:color w:val="auto"/>
                      <w:szCs w:val="21"/>
                      <w:highlight w:val="none"/>
                      <w:lang w:bidi="ar"/>
                    </w:rPr>
                  </w:pPr>
                  <w:r>
                    <w:rPr>
                      <w:color w:val="auto"/>
                      <w:szCs w:val="21"/>
                      <w:highlight w:val="none"/>
                      <w:lang w:bidi="ar"/>
                    </w:rPr>
                    <w:t>异丁醇（AR）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70</w:t>
                  </w:r>
                </w:p>
              </w:tc>
              <w:tc>
                <w:tcPr>
                  <w:tcW w:w="940" w:type="pct"/>
                  <w:vAlign w:val="center"/>
                </w:tcPr>
                <w:p>
                  <w:pPr>
                    <w:pStyle w:val="42"/>
                    <w:rPr>
                      <w:color w:val="auto"/>
                      <w:szCs w:val="21"/>
                      <w:highlight w:val="none"/>
                      <w:lang w:bidi="ar"/>
                    </w:rPr>
                  </w:pPr>
                  <w:r>
                    <w:rPr>
                      <w:color w:val="auto"/>
                      <w:szCs w:val="21"/>
                      <w:highlight w:val="none"/>
                      <w:lang w:bidi="ar"/>
                    </w:rPr>
                    <w:t>正丙醛（AR）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71</w:t>
                  </w:r>
                </w:p>
              </w:tc>
              <w:tc>
                <w:tcPr>
                  <w:tcW w:w="940" w:type="pct"/>
                  <w:vAlign w:val="center"/>
                </w:tcPr>
                <w:p>
                  <w:pPr>
                    <w:pStyle w:val="42"/>
                    <w:rPr>
                      <w:color w:val="auto"/>
                      <w:szCs w:val="21"/>
                      <w:highlight w:val="none"/>
                      <w:lang w:bidi="ar"/>
                    </w:rPr>
                  </w:pPr>
                  <w:r>
                    <w:rPr>
                      <w:color w:val="auto"/>
                      <w:szCs w:val="21"/>
                      <w:highlight w:val="none"/>
                      <w:lang w:bidi="ar"/>
                    </w:rPr>
                    <w:t>正丁醇（AR）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72</w:t>
                  </w:r>
                </w:p>
              </w:tc>
              <w:tc>
                <w:tcPr>
                  <w:tcW w:w="940" w:type="pct"/>
                  <w:vAlign w:val="center"/>
                </w:tcPr>
                <w:p>
                  <w:pPr>
                    <w:pStyle w:val="42"/>
                    <w:rPr>
                      <w:color w:val="auto"/>
                      <w:szCs w:val="21"/>
                      <w:highlight w:val="none"/>
                      <w:lang w:bidi="ar"/>
                    </w:rPr>
                  </w:pPr>
                  <w:r>
                    <w:rPr>
                      <w:color w:val="auto"/>
                      <w:szCs w:val="21"/>
                      <w:highlight w:val="none"/>
                      <w:lang w:bidi="ar"/>
                    </w:rPr>
                    <w:t>正庚烷（AR）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4</w:t>
                  </w:r>
                </w:p>
              </w:tc>
              <w:tc>
                <w:tcPr>
                  <w:tcW w:w="763" w:type="pct"/>
                  <w:vAlign w:val="center"/>
                </w:tcPr>
                <w:p>
                  <w:pPr>
                    <w:pStyle w:val="42"/>
                    <w:rPr>
                      <w:color w:val="auto"/>
                      <w:szCs w:val="21"/>
                      <w:highlight w:val="none"/>
                      <w:lang w:bidi="ar"/>
                    </w:rPr>
                  </w:pPr>
                  <w:r>
                    <w:rPr>
                      <w:rFonts w:hint="eastAsia"/>
                      <w:color w:val="auto"/>
                      <w:highlight w:val="none"/>
                    </w:rPr>
                    <w:t>3.3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73</w:t>
                  </w:r>
                </w:p>
              </w:tc>
              <w:tc>
                <w:tcPr>
                  <w:tcW w:w="940" w:type="pct"/>
                  <w:vAlign w:val="center"/>
                </w:tcPr>
                <w:p>
                  <w:pPr>
                    <w:pStyle w:val="42"/>
                    <w:rPr>
                      <w:color w:val="auto"/>
                      <w:szCs w:val="21"/>
                      <w:highlight w:val="none"/>
                      <w:lang w:bidi="ar"/>
                    </w:rPr>
                  </w:pPr>
                  <w:r>
                    <w:rPr>
                      <w:color w:val="auto"/>
                      <w:szCs w:val="21"/>
                      <w:highlight w:val="none"/>
                      <w:lang w:bidi="ar"/>
                    </w:rPr>
                    <w:t>正己烷（AR）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74</w:t>
                  </w:r>
                </w:p>
              </w:tc>
              <w:tc>
                <w:tcPr>
                  <w:tcW w:w="940" w:type="pct"/>
                  <w:vAlign w:val="center"/>
                </w:tcPr>
                <w:p>
                  <w:pPr>
                    <w:pStyle w:val="42"/>
                    <w:rPr>
                      <w:color w:val="auto"/>
                      <w:szCs w:val="21"/>
                      <w:highlight w:val="none"/>
                      <w:lang w:bidi="ar"/>
                    </w:rPr>
                  </w:pPr>
                  <w:r>
                    <w:rPr>
                      <w:color w:val="auto"/>
                      <w:szCs w:val="21"/>
                      <w:highlight w:val="none"/>
                      <w:lang w:bidi="ar"/>
                    </w:rPr>
                    <w:t>环己烷（AR）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75</w:t>
                  </w:r>
                </w:p>
              </w:tc>
              <w:tc>
                <w:tcPr>
                  <w:tcW w:w="940" w:type="pct"/>
                  <w:vAlign w:val="center"/>
                </w:tcPr>
                <w:p>
                  <w:pPr>
                    <w:pStyle w:val="42"/>
                    <w:rPr>
                      <w:color w:val="auto"/>
                      <w:szCs w:val="21"/>
                      <w:highlight w:val="none"/>
                      <w:lang w:bidi="ar"/>
                    </w:rPr>
                  </w:pPr>
                  <w:r>
                    <w:rPr>
                      <w:color w:val="auto"/>
                      <w:szCs w:val="21"/>
                      <w:highlight w:val="none"/>
                      <w:lang w:bidi="ar"/>
                    </w:rPr>
                    <w:t>2-呋喃甲酰氯（AR）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76</w:t>
                  </w:r>
                </w:p>
              </w:tc>
              <w:tc>
                <w:tcPr>
                  <w:tcW w:w="940" w:type="pct"/>
                  <w:vAlign w:val="center"/>
                </w:tcPr>
                <w:p>
                  <w:pPr>
                    <w:pStyle w:val="42"/>
                    <w:rPr>
                      <w:color w:val="auto"/>
                      <w:szCs w:val="21"/>
                      <w:highlight w:val="none"/>
                      <w:lang w:bidi="ar"/>
                    </w:rPr>
                  </w:pPr>
                  <w:r>
                    <w:rPr>
                      <w:color w:val="auto"/>
                      <w:szCs w:val="21"/>
                      <w:highlight w:val="none"/>
                      <w:lang w:bidi="ar"/>
                    </w:rPr>
                    <w:t>碳酸二甲酯（AR）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77</w:t>
                  </w:r>
                </w:p>
              </w:tc>
              <w:tc>
                <w:tcPr>
                  <w:tcW w:w="940" w:type="pct"/>
                  <w:vAlign w:val="center"/>
                </w:tcPr>
                <w:p>
                  <w:pPr>
                    <w:pStyle w:val="42"/>
                    <w:rPr>
                      <w:color w:val="auto"/>
                      <w:szCs w:val="21"/>
                      <w:highlight w:val="none"/>
                      <w:lang w:bidi="ar"/>
                    </w:rPr>
                  </w:pPr>
                  <w:r>
                    <w:rPr>
                      <w:color w:val="auto"/>
                      <w:szCs w:val="21"/>
                      <w:highlight w:val="none"/>
                      <w:lang w:bidi="ar"/>
                    </w:rPr>
                    <w:t>三乙胺（AR）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25</w:t>
                  </w:r>
                </w:p>
              </w:tc>
              <w:tc>
                <w:tcPr>
                  <w:tcW w:w="763" w:type="pct"/>
                  <w:vAlign w:val="center"/>
                </w:tcPr>
                <w:p>
                  <w:pPr>
                    <w:pStyle w:val="42"/>
                    <w:rPr>
                      <w:color w:val="auto"/>
                      <w:szCs w:val="21"/>
                      <w:highlight w:val="none"/>
                      <w:lang w:bidi="ar"/>
                    </w:rPr>
                  </w:pPr>
                  <w:r>
                    <w:rPr>
                      <w:rFonts w:hint="eastAsia"/>
                      <w:color w:val="auto"/>
                      <w:highlight w:val="none"/>
                    </w:rPr>
                    <w:t>20.8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78</w:t>
                  </w:r>
                </w:p>
              </w:tc>
              <w:tc>
                <w:tcPr>
                  <w:tcW w:w="940" w:type="pct"/>
                  <w:vAlign w:val="center"/>
                </w:tcPr>
                <w:p>
                  <w:pPr>
                    <w:pStyle w:val="42"/>
                    <w:rPr>
                      <w:color w:val="auto"/>
                      <w:szCs w:val="21"/>
                      <w:highlight w:val="none"/>
                      <w:lang w:bidi="ar"/>
                    </w:rPr>
                  </w:pPr>
                  <w:r>
                    <w:rPr>
                      <w:color w:val="auto"/>
                      <w:szCs w:val="21"/>
                      <w:highlight w:val="none"/>
                      <w:lang w:bidi="ar"/>
                    </w:rPr>
                    <w:t>三丁胺（AR）</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79</w:t>
                  </w:r>
                </w:p>
              </w:tc>
              <w:tc>
                <w:tcPr>
                  <w:tcW w:w="940" w:type="pct"/>
                  <w:vAlign w:val="center"/>
                </w:tcPr>
                <w:p>
                  <w:pPr>
                    <w:pStyle w:val="42"/>
                    <w:rPr>
                      <w:color w:val="auto"/>
                      <w:szCs w:val="21"/>
                      <w:highlight w:val="none"/>
                      <w:lang w:bidi="ar"/>
                    </w:rPr>
                  </w:pPr>
                  <w:r>
                    <w:rPr>
                      <w:color w:val="auto"/>
                      <w:szCs w:val="21"/>
                      <w:highlight w:val="none"/>
                      <w:lang w:bidi="ar"/>
                    </w:rPr>
                    <w:t>β-环糊精（AR）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0.5</w:t>
                  </w:r>
                </w:p>
              </w:tc>
              <w:tc>
                <w:tcPr>
                  <w:tcW w:w="763" w:type="pct"/>
                  <w:vAlign w:val="center"/>
                </w:tcPr>
                <w:p>
                  <w:pPr>
                    <w:pStyle w:val="42"/>
                    <w:rPr>
                      <w:color w:val="auto"/>
                      <w:szCs w:val="21"/>
                      <w:highlight w:val="none"/>
                      <w:lang w:bidi="ar"/>
                    </w:rPr>
                  </w:pPr>
                  <w:r>
                    <w:rPr>
                      <w:rFonts w:hint="eastAsia"/>
                      <w:color w:val="auto"/>
                      <w:highlight w:val="none"/>
                    </w:rPr>
                    <w:t>0.4</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80</w:t>
                  </w:r>
                </w:p>
              </w:tc>
              <w:tc>
                <w:tcPr>
                  <w:tcW w:w="940" w:type="pct"/>
                  <w:vAlign w:val="center"/>
                </w:tcPr>
                <w:p>
                  <w:pPr>
                    <w:pStyle w:val="42"/>
                    <w:rPr>
                      <w:color w:val="auto"/>
                      <w:szCs w:val="21"/>
                      <w:highlight w:val="none"/>
                      <w:lang w:bidi="ar"/>
                    </w:rPr>
                  </w:pPr>
                  <w:r>
                    <w:rPr>
                      <w:color w:val="auto"/>
                      <w:szCs w:val="21"/>
                      <w:highlight w:val="none"/>
                      <w:lang w:bidi="ar"/>
                    </w:rPr>
                    <w:t>苯甲酸铵（AR）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81</w:t>
                  </w:r>
                </w:p>
              </w:tc>
              <w:tc>
                <w:tcPr>
                  <w:tcW w:w="940" w:type="pct"/>
                  <w:vAlign w:val="center"/>
                </w:tcPr>
                <w:p>
                  <w:pPr>
                    <w:pStyle w:val="42"/>
                    <w:rPr>
                      <w:color w:val="auto"/>
                      <w:szCs w:val="21"/>
                      <w:highlight w:val="none"/>
                      <w:lang w:bidi="ar"/>
                    </w:rPr>
                  </w:pPr>
                  <w:r>
                    <w:rPr>
                      <w:color w:val="auto"/>
                      <w:szCs w:val="21"/>
                      <w:highlight w:val="none"/>
                      <w:lang w:bidi="ar"/>
                    </w:rPr>
                    <w:t>苯甲酸钠（AR）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82</w:t>
                  </w:r>
                </w:p>
              </w:tc>
              <w:tc>
                <w:tcPr>
                  <w:tcW w:w="940" w:type="pct"/>
                  <w:vAlign w:val="center"/>
                </w:tcPr>
                <w:p>
                  <w:pPr>
                    <w:pStyle w:val="42"/>
                    <w:rPr>
                      <w:color w:val="auto"/>
                      <w:szCs w:val="21"/>
                      <w:highlight w:val="none"/>
                      <w:lang w:bidi="ar"/>
                    </w:rPr>
                  </w:pPr>
                  <w:r>
                    <w:rPr>
                      <w:color w:val="auto"/>
                      <w:szCs w:val="21"/>
                      <w:highlight w:val="none"/>
                      <w:lang w:bidi="ar"/>
                    </w:rPr>
                    <w:t>丙酸钠（AR）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83</w:t>
                  </w:r>
                </w:p>
              </w:tc>
              <w:tc>
                <w:tcPr>
                  <w:tcW w:w="940" w:type="pct"/>
                  <w:vAlign w:val="center"/>
                </w:tcPr>
                <w:p>
                  <w:pPr>
                    <w:pStyle w:val="42"/>
                    <w:rPr>
                      <w:color w:val="auto"/>
                      <w:szCs w:val="21"/>
                      <w:highlight w:val="none"/>
                      <w:lang w:bidi="ar"/>
                    </w:rPr>
                  </w:pPr>
                  <w:r>
                    <w:rPr>
                      <w:color w:val="auto"/>
                      <w:szCs w:val="21"/>
                      <w:highlight w:val="none"/>
                      <w:lang w:bidi="ar"/>
                    </w:rPr>
                    <w:t>次氯酸钠（AR）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84</w:t>
                  </w:r>
                </w:p>
              </w:tc>
              <w:tc>
                <w:tcPr>
                  <w:tcW w:w="940" w:type="pct"/>
                  <w:vAlign w:val="center"/>
                </w:tcPr>
                <w:p>
                  <w:pPr>
                    <w:pStyle w:val="42"/>
                    <w:rPr>
                      <w:color w:val="auto"/>
                      <w:szCs w:val="21"/>
                      <w:highlight w:val="none"/>
                      <w:lang w:bidi="ar"/>
                    </w:rPr>
                  </w:pPr>
                  <w:r>
                    <w:rPr>
                      <w:color w:val="auto"/>
                      <w:szCs w:val="21"/>
                      <w:highlight w:val="none"/>
                      <w:lang w:bidi="ar"/>
                    </w:rPr>
                    <w:t>醋酸铵（AR）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85</w:t>
                  </w:r>
                </w:p>
              </w:tc>
              <w:tc>
                <w:tcPr>
                  <w:tcW w:w="940" w:type="pct"/>
                  <w:vAlign w:val="center"/>
                </w:tcPr>
                <w:p>
                  <w:pPr>
                    <w:pStyle w:val="42"/>
                    <w:rPr>
                      <w:color w:val="auto"/>
                      <w:szCs w:val="21"/>
                      <w:highlight w:val="none"/>
                      <w:lang w:bidi="ar"/>
                    </w:rPr>
                  </w:pPr>
                  <w:r>
                    <w:rPr>
                      <w:color w:val="auto"/>
                      <w:szCs w:val="21"/>
                      <w:highlight w:val="none"/>
                      <w:lang w:bidi="ar"/>
                    </w:rPr>
                    <w:t>醋酸钠（AR）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86</w:t>
                  </w:r>
                </w:p>
              </w:tc>
              <w:tc>
                <w:tcPr>
                  <w:tcW w:w="940" w:type="pct"/>
                  <w:vAlign w:val="center"/>
                </w:tcPr>
                <w:p>
                  <w:pPr>
                    <w:pStyle w:val="42"/>
                    <w:rPr>
                      <w:color w:val="auto"/>
                      <w:szCs w:val="21"/>
                      <w:highlight w:val="none"/>
                      <w:lang w:bidi="ar"/>
                    </w:rPr>
                  </w:pPr>
                  <w:r>
                    <w:rPr>
                      <w:color w:val="auto"/>
                      <w:szCs w:val="21"/>
                      <w:highlight w:val="none"/>
                      <w:lang w:bidi="ar"/>
                    </w:rPr>
                    <w:t>糊精（AR）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87</w:t>
                  </w:r>
                </w:p>
              </w:tc>
              <w:tc>
                <w:tcPr>
                  <w:tcW w:w="940" w:type="pct"/>
                  <w:vAlign w:val="center"/>
                </w:tcPr>
                <w:p>
                  <w:pPr>
                    <w:pStyle w:val="42"/>
                    <w:rPr>
                      <w:color w:val="auto"/>
                      <w:szCs w:val="21"/>
                      <w:highlight w:val="none"/>
                      <w:lang w:bidi="ar"/>
                    </w:rPr>
                  </w:pPr>
                  <w:r>
                    <w:rPr>
                      <w:color w:val="auto"/>
                      <w:szCs w:val="21"/>
                      <w:highlight w:val="none"/>
                      <w:lang w:bidi="ar"/>
                    </w:rPr>
                    <w:t>甲醇钠（AR）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88</w:t>
                  </w:r>
                </w:p>
              </w:tc>
              <w:tc>
                <w:tcPr>
                  <w:tcW w:w="940" w:type="pct"/>
                  <w:vAlign w:val="center"/>
                </w:tcPr>
                <w:p>
                  <w:pPr>
                    <w:pStyle w:val="42"/>
                    <w:rPr>
                      <w:color w:val="auto"/>
                      <w:szCs w:val="21"/>
                      <w:highlight w:val="none"/>
                      <w:lang w:bidi="ar"/>
                    </w:rPr>
                  </w:pPr>
                  <w:r>
                    <w:rPr>
                      <w:color w:val="auto"/>
                      <w:szCs w:val="21"/>
                      <w:highlight w:val="none"/>
                      <w:lang w:bidi="ar"/>
                    </w:rPr>
                    <w:t>三乙基苄基氯化铵（AR）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89</w:t>
                  </w:r>
                </w:p>
              </w:tc>
              <w:tc>
                <w:tcPr>
                  <w:tcW w:w="940" w:type="pct"/>
                  <w:vAlign w:val="center"/>
                </w:tcPr>
                <w:p>
                  <w:pPr>
                    <w:pStyle w:val="42"/>
                    <w:rPr>
                      <w:color w:val="auto"/>
                      <w:szCs w:val="21"/>
                      <w:highlight w:val="none"/>
                      <w:lang w:bidi="ar"/>
                    </w:rPr>
                  </w:pPr>
                  <w:r>
                    <w:rPr>
                      <w:color w:val="auto"/>
                      <w:szCs w:val="21"/>
                      <w:highlight w:val="none"/>
                      <w:lang w:bidi="ar"/>
                    </w:rPr>
                    <w:t>十二烷基苯磺酸钠（AR）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90</w:t>
                  </w:r>
                </w:p>
              </w:tc>
              <w:tc>
                <w:tcPr>
                  <w:tcW w:w="940" w:type="pct"/>
                  <w:vAlign w:val="center"/>
                </w:tcPr>
                <w:p>
                  <w:pPr>
                    <w:pStyle w:val="42"/>
                    <w:rPr>
                      <w:color w:val="auto"/>
                      <w:szCs w:val="21"/>
                      <w:highlight w:val="none"/>
                      <w:lang w:bidi="ar"/>
                    </w:rPr>
                  </w:pPr>
                  <w:r>
                    <w:rPr>
                      <w:color w:val="auto"/>
                      <w:szCs w:val="21"/>
                      <w:highlight w:val="none"/>
                      <w:lang w:bidi="ar"/>
                    </w:rPr>
                    <w:t>十二烷基磺酸钠（AR）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91</w:t>
                  </w:r>
                </w:p>
              </w:tc>
              <w:tc>
                <w:tcPr>
                  <w:tcW w:w="940" w:type="pct"/>
                  <w:vAlign w:val="center"/>
                </w:tcPr>
                <w:p>
                  <w:pPr>
                    <w:pStyle w:val="42"/>
                    <w:rPr>
                      <w:color w:val="auto"/>
                      <w:szCs w:val="21"/>
                      <w:highlight w:val="none"/>
                      <w:lang w:bidi="ar"/>
                    </w:rPr>
                  </w:pPr>
                  <w:r>
                    <w:rPr>
                      <w:color w:val="auto"/>
                      <w:szCs w:val="21"/>
                      <w:highlight w:val="none"/>
                      <w:lang w:bidi="ar"/>
                    </w:rPr>
                    <w:t>十二烷基硫酸钠（AR）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92</w:t>
                  </w:r>
                </w:p>
              </w:tc>
              <w:tc>
                <w:tcPr>
                  <w:tcW w:w="940" w:type="pct"/>
                  <w:vAlign w:val="center"/>
                </w:tcPr>
                <w:p>
                  <w:pPr>
                    <w:pStyle w:val="42"/>
                    <w:rPr>
                      <w:color w:val="auto"/>
                      <w:szCs w:val="21"/>
                      <w:highlight w:val="none"/>
                      <w:lang w:bidi="ar"/>
                    </w:rPr>
                  </w:pPr>
                  <w:r>
                    <w:rPr>
                      <w:color w:val="auto"/>
                      <w:szCs w:val="21"/>
                      <w:highlight w:val="none"/>
                      <w:lang w:bidi="ar"/>
                    </w:rPr>
                    <w:t>乙醇胺（AR）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93</w:t>
                  </w:r>
                </w:p>
              </w:tc>
              <w:tc>
                <w:tcPr>
                  <w:tcW w:w="940" w:type="pct"/>
                  <w:vAlign w:val="center"/>
                </w:tcPr>
                <w:p>
                  <w:pPr>
                    <w:pStyle w:val="42"/>
                    <w:rPr>
                      <w:color w:val="auto"/>
                      <w:szCs w:val="21"/>
                      <w:highlight w:val="none"/>
                      <w:lang w:bidi="ar"/>
                    </w:rPr>
                  </w:pPr>
                  <w:r>
                    <w:rPr>
                      <w:color w:val="auto"/>
                      <w:szCs w:val="21"/>
                      <w:highlight w:val="none"/>
                      <w:lang w:bidi="ar"/>
                    </w:rPr>
                    <w:t>乙醇钠（AR）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94</w:t>
                  </w:r>
                </w:p>
              </w:tc>
              <w:tc>
                <w:tcPr>
                  <w:tcW w:w="940" w:type="pct"/>
                  <w:vAlign w:val="center"/>
                </w:tcPr>
                <w:p>
                  <w:pPr>
                    <w:pStyle w:val="42"/>
                    <w:rPr>
                      <w:color w:val="auto"/>
                      <w:szCs w:val="21"/>
                      <w:highlight w:val="none"/>
                      <w:lang w:bidi="ar"/>
                    </w:rPr>
                  </w:pPr>
                  <w:r>
                    <w:rPr>
                      <w:color w:val="auto"/>
                      <w:szCs w:val="21"/>
                      <w:highlight w:val="none"/>
                      <w:lang w:bidi="ar"/>
                    </w:rPr>
                    <w:t>乙二胺四乙酸二钠（AR）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95</w:t>
                  </w:r>
                </w:p>
              </w:tc>
              <w:tc>
                <w:tcPr>
                  <w:tcW w:w="940" w:type="pct"/>
                  <w:vAlign w:val="center"/>
                </w:tcPr>
                <w:p>
                  <w:pPr>
                    <w:pStyle w:val="42"/>
                    <w:rPr>
                      <w:color w:val="auto"/>
                      <w:szCs w:val="21"/>
                      <w:highlight w:val="none"/>
                      <w:lang w:bidi="ar"/>
                    </w:rPr>
                  </w:pPr>
                  <w:r>
                    <w:rPr>
                      <w:color w:val="auto"/>
                      <w:szCs w:val="21"/>
                      <w:highlight w:val="none"/>
                      <w:lang w:bidi="ar"/>
                    </w:rPr>
                    <w:t>乙酸铵（AR）</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96</w:t>
                  </w:r>
                </w:p>
              </w:tc>
              <w:tc>
                <w:tcPr>
                  <w:tcW w:w="940" w:type="pct"/>
                  <w:vAlign w:val="center"/>
                </w:tcPr>
                <w:p>
                  <w:pPr>
                    <w:pStyle w:val="42"/>
                    <w:rPr>
                      <w:color w:val="auto"/>
                      <w:szCs w:val="21"/>
                      <w:highlight w:val="none"/>
                      <w:lang w:bidi="ar"/>
                    </w:rPr>
                  </w:pPr>
                  <w:r>
                    <w:rPr>
                      <w:color w:val="auto"/>
                      <w:szCs w:val="21"/>
                      <w:highlight w:val="none"/>
                      <w:lang w:bidi="ar"/>
                    </w:rPr>
                    <w:t>异辛酸钠（AR）</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97</w:t>
                  </w:r>
                </w:p>
              </w:tc>
              <w:tc>
                <w:tcPr>
                  <w:tcW w:w="940" w:type="pct"/>
                  <w:vAlign w:val="center"/>
                </w:tcPr>
                <w:p>
                  <w:pPr>
                    <w:pStyle w:val="42"/>
                    <w:rPr>
                      <w:color w:val="auto"/>
                      <w:szCs w:val="21"/>
                      <w:highlight w:val="none"/>
                      <w:lang w:bidi="ar"/>
                    </w:rPr>
                  </w:pPr>
                  <w:r>
                    <w:rPr>
                      <w:color w:val="auto"/>
                      <w:szCs w:val="21"/>
                      <w:highlight w:val="none"/>
                      <w:lang w:bidi="ar"/>
                    </w:rPr>
                    <w:t>硬脂酸钠（AR）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98</w:t>
                  </w:r>
                </w:p>
              </w:tc>
              <w:tc>
                <w:tcPr>
                  <w:tcW w:w="940" w:type="pct"/>
                  <w:vAlign w:val="center"/>
                </w:tcPr>
                <w:p>
                  <w:pPr>
                    <w:pStyle w:val="42"/>
                    <w:rPr>
                      <w:color w:val="auto"/>
                      <w:szCs w:val="21"/>
                      <w:highlight w:val="none"/>
                      <w:lang w:bidi="ar"/>
                    </w:rPr>
                  </w:pPr>
                  <w:r>
                    <w:rPr>
                      <w:color w:val="auto"/>
                      <w:szCs w:val="21"/>
                      <w:highlight w:val="none"/>
                      <w:lang w:bidi="ar"/>
                    </w:rPr>
                    <w:t>蔗糖（AR）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99</w:t>
                  </w:r>
                </w:p>
              </w:tc>
              <w:tc>
                <w:tcPr>
                  <w:tcW w:w="940" w:type="pct"/>
                  <w:vAlign w:val="center"/>
                </w:tcPr>
                <w:p>
                  <w:pPr>
                    <w:pStyle w:val="42"/>
                    <w:rPr>
                      <w:color w:val="auto"/>
                      <w:szCs w:val="21"/>
                      <w:highlight w:val="none"/>
                      <w:lang w:bidi="ar"/>
                    </w:rPr>
                  </w:pPr>
                  <w:r>
                    <w:rPr>
                      <w:color w:val="auto"/>
                      <w:szCs w:val="21"/>
                      <w:highlight w:val="none"/>
                      <w:lang w:bidi="ar"/>
                    </w:rPr>
                    <w:t>AE活性酯（AR）</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100</w:t>
                  </w:r>
                </w:p>
              </w:tc>
              <w:tc>
                <w:tcPr>
                  <w:tcW w:w="940" w:type="pct"/>
                  <w:vAlign w:val="center"/>
                </w:tcPr>
                <w:p>
                  <w:pPr>
                    <w:pStyle w:val="42"/>
                    <w:rPr>
                      <w:color w:val="auto"/>
                      <w:szCs w:val="21"/>
                      <w:highlight w:val="none"/>
                      <w:lang w:bidi="ar"/>
                    </w:rPr>
                  </w:pPr>
                  <w:r>
                    <w:rPr>
                      <w:color w:val="auto"/>
                      <w:szCs w:val="21"/>
                      <w:highlight w:val="none"/>
                      <w:lang w:bidi="ar"/>
                    </w:rPr>
                    <w:t>异辛酸钠（AR）</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101</w:t>
                  </w:r>
                </w:p>
              </w:tc>
              <w:tc>
                <w:tcPr>
                  <w:tcW w:w="940" w:type="pct"/>
                  <w:vAlign w:val="center"/>
                </w:tcPr>
                <w:p>
                  <w:pPr>
                    <w:pStyle w:val="42"/>
                    <w:rPr>
                      <w:color w:val="auto"/>
                      <w:szCs w:val="21"/>
                      <w:highlight w:val="none"/>
                      <w:lang w:bidi="ar"/>
                    </w:rPr>
                  </w:pPr>
                  <w:r>
                    <w:rPr>
                      <w:color w:val="auto"/>
                      <w:szCs w:val="21"/>
                      <w:highlight w:val="none"/>
                      <w:lang w:bidi="ar"/>
                    </w:rPr>
                    <w:t>对甲苯磺酸（AR）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102</w:t>
                  </w:r>
                </w:p>
              </w:tc>
              <w:tc>
                <w:tcPr>
                  <w:tcW w:w="940" w:type="pct"/>
                  <w:vAlign w:val="center"/>
                </w:tcPr>
                <w:p>
                  <w:pPr>
                    <w:pStyle w:val="42"/>
                    <w:rPr>
                      <w:color w:val="auto"/>
                      <w:szCs w:val="21"/>
                      <w:highlight w:val="none"/>
                      <w:lang w:bidi="ar"/>
                    </w:rPr>
                  </w:pPr>
                  <w:r>
                    <w:rPr>
                      <w:color w:val="auto"/>
                      <w:szCs w:val="21"/>
                      <w:highlight w:val="none"/>
                      <w:lang w:bidi="ar"/>
                    </w:rPr>
                    <w:t>对甲苯磺酰氯（AR）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103</w:t>
                  </w:r>
                </w:p>
              </w:tc>
              <w:tc>
                <w:tcPr>
                  <w:tcW w:w="940" w:type="pct"/>
                  <w:vAlign w:val="center"/>
                </w:tcPr>
                <w:p>
                  <w:pPr>
                    <w:pStyle w:val="42"/>
                    <w:rPr>
                      <w:color w:val="auto"/>
                      <w:szCs w:val="21"/>
                      <w:highlight w:val="none"/>
                      <w:lang w:bidi="ar"/>
                    </w:rPr>
                  </w:pPr>
                  <w:r>
                    <w:rPr>
                      <w:color w:val="auto"/>
                      <w:szCs w:val="21"/>
                      <w:highlight w:val="none"/>
                      <w:lang w:bidi="ar"/>
                    </w:rPr>
                    <w:t>富马酸</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104</w:t>
                  </w:r>
                </w:p>
              </w:tc>
              <w:tc>
                <w:tcPr>
                  <w:tcW w:w="940" w:type="pct"/>
                  <w:vAlign w:val="center"/>
                </w:tcPr>
                <w:p>
                  <w:pPr>
                    <w:pStyle w:val="42"/>
                    <w:rPr>
                      <w:color w:val="auto"/>
                      <w:szCs w:val="21"/>
                      <w:highlight w:val="none"/>
                      <w:lang w:bidi="ar"/>
                    </w:rPr>
                  </w:pPr>
                  <w:r>
                    <w:rPr>
                      <w:color w:val="auto"/>
                      <w:szCs w:val="21"/>
                      <w:highlight w:val="none"/>
                      <w:lang w:bidi="ar"/>
                    </w:rPr>
                    <w:t>酒石酸（AR）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105</w:t>
                  </w:r>
                </w:p>
              </w:tc>
              <w:tc>
                <w:tcPr>
                  <w:tcW w:w="940" w:type="pct"/>
                  <w:vAlign w:val="center"/>
                </w:tcPr>
                <w:p>
                  <w:pPr>
                    <w:pStyle w:val="42"/>
                    <w:rPr>
                      <w:color w:val="auto"/>
                      <w:szCs w:val="21"/>
                      <w:highlight w:val="none"/>
                      <w:lang w:bidi="ar"/>
                    </w:rPr>
                  </w:pPr>
                  <w:r>
                    <w:rPr>
                      <w:color w:val="auto"/>
                      <w:szCs w:val="21"/>
                      <w:highlight w:val="none"/>
                      <w:lang w:bidi="ar"/>
                    </w:rPr>
                    <w:t>聚丙烯酰胺（AR）</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106</w:t>
                  </w:r>
                </w:p>
              </w:tc>
              <w:tc>
                <w:tcPr>
                  <w:tcW w:w="940" w:type="pct"/>
                  <w:vAlign w:val="center"/>
                </w:tcPr>
                <w:p>
                  <w:pPr>
                    <w:pStyle w:val="42"/>
                    <w:rPr>
                      <w:color w:val="auto"/>
                      <w:szCs w:val="21"/>
                      <w:highlight w:val="none"/>
                      <w:lang w:bidi="ar"/>
                    </w:rPr>
                  </w:pPr>
                  <w:r>
                    <w:rPr>
                      <w:color w:val="auto"/>
                      <w:szCs w:val="21"/>
                      <w:highlight w:val="none"/>
                      <w:lang w:bidi="ar"/>
                    </w:rPr>
                    <w:t>葡萄糖（AR）</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107</w:t>
                  </w:r>
                </w:p>
              </w:tc>
              <w:tc>
                <w:tcPr>
                  <w:tcW w:w="940" w:type="pct"/>
                  <w:vAlign w:val="center"/>
                </w:tcPr>
                <w:p>
                  <w:pPr>
                    <w:pStyle w:val="42"/>
                    <w:rPr>
                      <w:color w:val="auto"/>
                      <w:szCs w:val="21"/>
                      <w:highlight w:val="none"/>
                      <w:lang w:bidi="ar"/>
                    </w:rPr>
                  </w:pPr>
                  <w:r>
                    <w:rPr>
                      <w:color w:val="auto"/>
                      <w:szCs w:val="21"/>
                      <w:highlight w:val="none"/>
                      <w:lang w:bidi="ar"/>
                    </w:rPr>
                    <w:t>三苯基膦（AR）</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w:t>
                  </w:r>
                </w:p>
              </w:tc>
              <w:tc>
                <w:tcPr>
                  <w:tcW w:w="763" w:type="pct"/>
                  <w:vAlign w:val="center"/>
                </w:tcPr>
                <w:p>
                  <w:pPr>
                    <w:pStyle w:val="42"/>
                    <w:rPr>
                      <w:color w:val="auto"/>
                      <w:szCs w:val="21"/>
                      <w:highlight w:val="none"/>
                      <w:lang w:bidi="ar"/>
                    </w:rPr>
                  </w:pPr>
                  <w:r>
                    <w:rPr>
                      <w:rFonts w:hint="eastAsia"/>
                      <w:color w:val="auto"/>
                      <w:highlight w:val="none"/>
                    </w:rPr>
                    <w:t>41.5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108</w:t>
                  </w:r>
                </w:p>
              </w:tc>
              <w:tc>
                <w:tcPr>
                  <w:tcW w:w="940" w:type="pct"/>
                  <w:vAlign w:val="center"/>
                </w:tcPr>
                <w:p>
                  <w:pPr>
                    <w:pStyle w:val="42"/>
                    <w:rPr>
                      <w:color w:val="auto"/>
                      <w:szCs w:val="21"/>
                      <w:highlight w:val="none"/>
                      <w:lang w:bidi="ar"/>
                    </w:rPr>
                  </w:pPr>
                  <w:r>
                    <w:rPr>
                      <w:color w:val="auto"/>
                      <w:szCs w:val="21"/>
                      <w:highlight w:val="none"/>
                      <w:lang w:bidi="ar"/>
                    </w:rPr>
                    <w:t>乙二胺四乙酸（AR）</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109</w:t>
                  </w:r>
                </w:p>
              </w:tc>
              <w:tc>
                <w:tcPr>
                  <w:tcW w:w="940" w:type="pct"/>
                  <w:vAlign w:val="center"/>
                </w:tcPr>
                <w:p>
                  <w:pPr>
                    <w:pStyle w:val="42"/>
                    <w:rPr>
                      <w:color w:val="auto"/>
                      <w:szCs w:val="21"/>
                      <w:highlight w:val="none"/>
                      <w:lang w:bidi="ar"/>
                    </w:rPr>
                  </w:pPr>
                  <w:r>
                    <w:rPr>
                      <w:color w:val="auto"/>
                      <w:szCs w:val="21"/>
                      <w:highlight w:val="none"/>
                      <w:lang w:bidi="ar"/>
                    </w:rPr>
                    <w:t>三氟化硼碳酸二甲酯</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110</w:t>
                  </w:r>
                </w:p>
              </w:tc>
              <w:tc>
                <w:tcPr>
                  <w:tcW w:w="940" w:type="pct"/>
                  <w:vAlign w:val="center"/>
                </w:tcPr>
                <w:p>
                  <w:pPr>
                    <w:pStyle w:val="42"/>
                    <w:rPr>
                      <w:color w:val="auto"/>
                      <w:szCs w:val="21"/>
                      <w:highlight w:val="none"/>
                      <w:lang w:bidi="ar"/>
                    </w:rPr>
                  </w:pPr>
                  <w:r>
                    <w:rPr>
                      <w:color w:val="auto"/>
                      <w:szCs w:val="21"/>
                      <w:highlight w:val="none"/>
                      <w:lang w:bidi="ar"/>
                    </w:rPr>
                    <w:t>7-ACA(7-氨基头孢烷酸)</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111</w:t>
                  </w:r>
                </w:p>
              </w:tc>
              <w:tc>
                <w:tcPr>
                  <w:tcW w:w="940" w:type="pct"/>
                  <w:vAlign w:val="center"/>
                </w:tcPr>
                <w:p>
                  <w:pPr>
                    <w:pStyle w:val="42"/>
                    <w:rPr>
                      <w:color w:val="auto"/>
                      <w:szCs w:val="21"/>
                      <w:highlight w:val="none"/>
                      <w:lang w:bidi="ar"/>
                    </w:rPr>
                  </w:pPr>
                  <w:r>
                    <w:rPr>
                      <w:color w:val="auto"/>
                      <w:szCs w:val="21"/>
                      <w:highlight w:val="none"/>
                      <w:lang w:bidi="ar"/>
                    </w:rPr>
                    <w:t>亚硫酸</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112</w:t>
                  </w:r>
                </w:p>
              </w:tc>
              <w:tc>
                <w:tcPr>
                  <w:tcW w:w="940" w:type="pct"/>
                  <w:vAlign w:val="center"/>
                </w:tcPr>
                <w:p>
                  <w:pPr>
                    <w:pStyle w:val="42"/>
                    <w:rPr>
                      <w:color w:val="auto"/>
                      <w:szCs w:val="21"/>
                      <w:highlight w:val="none"/>
                      <w:lang w:bidi="ar"/>
                    </w:rPr>
                  </w:pPr>
                  <w:r>
                    <w:rPr>
                      <w:color w:val="auto"/>
                      <w:szCs w:val="21"/>
                      <w:highlight w:val="none"/>
                      <w:lang w:bidi="ar"/>
                    </w:rPr>
                    <w:t>磷酸</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30</w:t>
                  </w:r>
                </w:p>
              </w:tc>
              <w:tc>
                <w:tcPr>
                  <w:tcW w:w="763" w:type="pct"/>
                  <w:vAlign w:val="center"/>
                </w:tcPr>
                <w:p>
                  <w:pPr>
                    <w:pStyle w:val="42"/>
                    <w:rPr>
                      <w:color w:val="auto"/>
                      <w:szCs w:val="21"/>
                      <w:highlight w:val="none"/>
                      <w:lang w:bidi="ar"/>
                    </w:rPr>
                  </w:pPr>
                  <w:r>
                    <w:rPr>
                      <w:rFonts w:hint="eastAsia"/>
                      <w:color w:val="auto"/>
                      <w:highlight w:val="none"/>
                    </w:rPr>
                    <w:t>24.9</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113</w:t>
                  </w:r>
                </w:p>
              </w:tc>
              <w:tc>
                <w:tcPr>
                  <w:tcW w:w="940" w:type="pct"/>
                  <w:vAlign w:val="center"/>
                </w:tcPr>
                <w:p>
                  <w:pPr>
                    <w:pStyle w:val="42"/>
                    <w:rPr>
                      <w:color w:val="auto"/>
                      <w:szCs w:val="21"/>
                      <w:highlight w:val="none"/>
                      <w:lang w:bidi="ar"/>
                    </w:rPr>
                  </w:pPr>
                  <w:r>
                    <w:rPr>
                      <w:color w:val="auto"/>
                      <w:szCs w:val="21"/>
                      <w:highlight w:val="none"/>
                      <w:lang w:bidi="ar"/>
                    </w:rPr>
                    <w:t>磷酸（85%）</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114</w:t>
                  </w:r>
                </w:p>
              </w:tc>
              <w:tc>
                <w:tcPr>
                  <w:tcW w:w="940" w:type="pct"/>
                  <w:vAlign w:val="center"/>
                </w:tcPr>
                <w:p>
                  <w:pPr>
                    <w:pStyle w:val="42"/>
                    <w:rPr>
                      <w:color w:val="auto"/>
                      <w:szCs w:val="21"/>
                      <w:highlight w:val="none"/>
                      <w:lang w:bidi="ar"/>
                    </w:rPr>
                  </w:pPr>
                  <w:r>
                    <w:rPr>
                      <w:color w:val="auto"/>
                      <w:szCs w:val="21"/>
                      <w:highlight w:val="none"/>
                      <w:lang w:bidi="ar"/>
                    </w:rPr>
                    <w:t>氢溴酸（40%）</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w:t>
                  </w:r>
                </w:p>
              </w:tc>
              <w:tc>
                <w:tcPr>
                  <w:tcW w:w="763" w:type="pct"/>
                  <w:vAlign w:val="center"/>
                </w:tcPr>
                <w:p>
                  <w:pPr>
                    <w:pStyle w:val="42"/>
                    <w:rPr>
                      <w:color w:val="auto"/>
                      <w:szCs w:val="21"/>
                      <w:highlight w:val="none"/>
                      <w:lang w:bidi="ar"/>
                    </w:rPr>
                  </w:pPr>
                  <w:r>
                    <w:rPr>
                      <w:rFonts w:hint="eastAsia"/>
                      <w:color w:val="auto"/>
                      <w:highlight w:val="none"/>
                    </w:rPr>
                    <w:t>41.5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115</w:t>
                  </w:r>
                </w:p>
              </w:tc>
              <w:tc>
                <w:tcPr>
                  <w:tcW w:w="940" w:type="pct"/>
                  <w:vAlign w:val="center"/>
                </w:tcPr>
                <w:p>
                  <w:pPr>
                    <w:pStyle w:val="42"/>
                    <w:rPr>
                      <w:color w:val="auto"/>
                      <w:szCs w:val="21"/>
                      <w:highlight w:val="none"/>
                      <w:lang w:bidi="ar"/>
                    </w:rPr>
                  </w:pPr>
                  <w:r>
                    <w:rPr>
                      <w:color w:val="auto"/>
                      <w:szCs w:val="21"/>
                      <w:highlight w:val="none"/>
                      <w:lang w:bidi="ar"/>
                    </w:rPr>
                    <w:t>氨水（28%）</w:t>
                  </w:r>
                </w:p>
              </w:tc>
              <w:tc>
                <w:tcPr>
                  <w:tcW w:w="685" w:type="pct"/>
                  <w:vAlign w:val="center"/>
                </w:tcPr>
                <w:p>
                  <w:pPr>
                    <w:pStyle w:val="42"/>
                    <w:rPr>
                      <w:color w:val="auto"/>
                      <w:szCs w:val="21"/>
                      <w:highlight w:val="none"/>
                      <w:lang w:bidi="ar"/>
                    </w:rPr>
                  </w:pPr>
                  <w:r>
                    <w:rPr>
                      <w:color w:val="auto"/>
                      <w:szCs w:val="21"/>
                      <w:highlight w:val="none"/>
                      <w:lang w:bidi="ar"/>
                    </w:rPr>
                    <w:t>500ml/瓶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116</w:t>
                  </w:r>
                </w:p>
              </w:tc>
              <w:tc>
                <w:tcPr>
                  <w:tcW w:w="940" w:type="pct"/>
                  <w:vAlign w:val="center"/>
                </w:tcPr>
                <w:p>
                  <w:pPr>
                    <w:pStyle w:val="42"/>
                    <w:rPr>
                      <w:color w:val="auto"/>
                      <w:szCs w:val="21"/>
                      <w:highlight w:val="none"/>
                      <w:lang w:bidi="ar"/>
                    </w:rPr>
                  </w:pPr>
                  <w:r>
                    <w:rPr>
                      <w:color w:val="auto"/>
                      <w:szCs w:val="21"/>
                      <w:highlight w:val="none"/>
                      <w:lang w:bidi="ar"/>
                    </w:rPr>
                    <w:t>碘</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117</w:t>
                  </w:r>
                </w:p>
              </w:tc>
              <w:tc>
                <w:tcPr>
                  <w:tcW w:w="940" w:type="pct"/>
                  <w:vAlign w:val="center"/>
                </w:tcPr>
                <w:p>
                  <w:pPr>
                    <w:pStyle w:val="42"/>
                    <w:rPr>
                      <w:color w:val="auto"/>
                      <w:szCs w:val="21"/>
                      <w:highlight w:val="none"/>
                      <w:lang w:bidi="ar"/>
                    </w:rPr>
                  </w:pPr>
                  <w:r>
                    <w:rPr>
                      <w:color w:val="auto"/>
                      <w:szCs w:val="21"/>
                      <w:highlight w:val="none"/>
                      <w:lang w:bidi="ar"/>
                    </w:rPr>
                    <w:t>碘化钾</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118</w:t>
                  </w:r>
                </w:p>
              </w:tc>
              <w:tc>
                <w:tcPr>
                  <w:tcW w:w="940" w:type="pct"/>
                  <w:vAlign w:val="center"/>
                </w:tcPr>
                <w:p>
                  <w:pPr>
                    <w:pStyle w:val="42"/>
                    <w:rPr>
                      <w:color w:val="auto"/>
                      <w:szCs w:val="21"/>
                      <w:highlight w:val="none"/>
                      <w:lang w:bidi="ar"/>
                    </w:rPr>
                  </w:pPr>
                  <w:r>
                    <w:rPr>
                      <w:color w:val="auto"/>
                      <w:szCs w:val="21"/>
                      <w:highlight w:val="none"/>
                      <w:lang w:bidi="ar"/>
                    </w:rPr>
                    <w:t>还原铁粉</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119</w:t>
                  </w:r>
                </w:p>
              </w:tc>
              <w:tc>
                <w:tcPr>
                  <w:tcW w:w="940" w:type="pct"/>
                  <w:vAlign w:val="center"/>
                </w:tcPr>
                <w:p>
                  <w:pPr>
                    <w:pStyle w:val="42"/>
                    <w:rPr>
                      <w:color w:val="auto"/>
                      <w:szCs w:val="21"/>
                      <w:highlight w:val="none"/>
                      <w:lang w:bidi="ar"/>
                    </w:rPr>
                  </w:pPr>
                  <w:r>
                    <w:rPr>
                      <w:color w:val="auto"/>
                      <w:szCs w:val="21"/>
                      <w:highlight w:val="none"/>
                      <w:lang w:bidi="ar"/>
                    </w:rPr>
                    <w:t>磷酸二氢钾</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120</w:t>
                  </w:r>
                </w:p>
              </w:tc>
              <w:tc>
                <w:tcPr>
                  <w:tcW w:w="940" w:type="pct"/>
                  <w:vAlign w:val="center"/>
                </w:tcPr>
                <w:p>
                  <w:pPr>
                    <w:pStyle w:val="42"/>
                    <w:rPr>
                      <w:color w:val="auto"/>
                      <w:szCs w:val="21"/>
                      <w:highlight w:val="none"/>
                      <w:lang w:bidi="ar"/>
                    </w:rPr>
                  </w:pPr>
                  <w:r>
                    <w:rPr>
                      <w:color w:val="auto"/>
                      <w:szCs w:val="21"/>
                      <w:highlight w:val="none"/>
                      <w:lang w:bidi="ar"/>
                    </w:rPr>
                    <w:t>磷酸二氢钠</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121</w:t>
                  </w:r>
                </w:p>
              </w:tc>
              <w:tc>
                <w:tcPr>
                  <w:tcW w:w="940" w:type="pct"/>
                  <w:vAlign w:val="center"/>
                </w:tcPr>
                <w:p>
                  <w:pPr>
                    <w:pStyle w:val="42"/>
                    <w:rPr>
                      <w:color w:val="auto"/>
                      <w:szCs w:val="21"/>
                      <w:highlight w:val="none"/>
                      <w:lang w:bidi="ar"/>
                    </w:rPr>
                  </w:pPr>
                  <w:r>
                    <w:rPr>
                      <w:color w:val="auto"/>
                      <w:szCs w:val="21"/>
                      <w:highlight w:val="none"/>
                      <w:lang w:bidi="ar"/>
                    </w:rPr>
                    <w:t>磷酸氢二钾</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122</w:t>
                  </w:r>
                </w:p>
              </w:tc>
              <w:tc>
                <w:tcPr>
                  <w:tcW w:w="940" w:type="pct"/>
                  <w:vAlign w:val="center"/>
                </w:tcPr>
                <w:p>
                  <w:pPr>
                    <w:pStyle w:val="42"/>
                    <w:rPr>
                      <w:color w:val="auto"/>
                      <w:szCs w:val="21"/>
                      <w:highlight w:val="none"/>
                      <w:lang w:bidi="ar"/>
                    </w:rPr>
                  </w:pPr>
                  <w:r>
                    <w:rPr>
                      <w:color w:val="auto"/>
                      <w:szCs w:val="21"/>
                      <w:highlight w:val="none"/>
                      <w:lang w:bidi="ar"/>
                    </w:rPr>
                    <w:t>磷酸氢二钾</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123</w:t>
                  </w:r>
                </w:p>
              </w:tc>
              <w:tc>
                <w:tcPr>
                  <w:tcW w:w="940" w:type="pct"/>
                  <w:vAlign w:val="center"/>
                </w:tcPr>
                <w:p>
                  <w:pPr>
                    <w:pStyle w:val="42"/>
                    <w:rPr>
                      <w:color w:val="auto"/>
                      <w:szCs w:val="21"/>
                      <w:highlight w:val="none"/>
                      <w:lang w:bidi="ar"/>
                    </w:rPr>
                  </w:pPr>
                  <w:r>
                    <w:rPr>
                      <w:color w:val="auto"/>
                      <w:szCs w:val="21"/>
                      <w:highlight w:val="none"/>
                      <w:lang w:bidi="ar"/>
                    </w:rPr>
                    <w:t>硫化钠</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124</w:t>
                  </w:r>
                </w:p>
              </w:tc>
              <w:tc>
                <w:tcPr>
                  <w:tcW w:w="940" w:type="pct"/>
                  <w:vAlign w:val="center"/>
                </w:tcPr>
                <w:p>
                  <w:pPr>
                    <w:pStyle w:val="42"/>
                    <w:rPr>
                      <w:color w:val="auto"/>
                      <w:szCs w:val="21"/>
                      <w:highlight w:val="none"/>
                      <w:lang w:bidi="ar"/>
                    </w:rPr>
                  </w:pPr>
                  <w:r>
                    <w:rPr>
                      <w:color w:val="auto"/>
                      <w:szCs w:val="21"/>
                      <w:highlight w:val="none"/>
                      <w:lang w:bidi="ar"/>
                    </w:rPr>
                    <w:t>硫氢酸钠</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125</w:t>
                  </w:r>
                </w:p>
              </w:tc>
              <w:tc>
                <w:tcPr>
                  <w:tcW w:w="940" w:type="pct"/>
                  <w:vAlign w:val="center"/>
                </w:tcPr>
                <w:p>
                  <w:pPr>
                    <w:pStyle w:val="42"/>
                    <w:rPr>
                      <w:color w:val="auto"/>
                      <w:szCs w:val="21"/>
                      <w:highlight w:val="none"/>
                      <w:lang w:bidi="ar"/>
                    </w:rPr>
                  </w:pPr>
                  <w:r>
                    <w:rPr>
                      <w:color w:val="auto"/>
                      <w:szCs w:val="21"/>
                      <w:highlight w:val="none"/>
                      <w:lang w:bidi="ar"/>
                    </w:rPr>
                    <w:t>硫酸铝钾</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126</w:t>
                  </w:r>
                </w:p>
              </w:tc>
              <w:tc>
                <w:tcPr>
                  <w:tcW w:w="940" w:type="pct"/>
                  <w:vAlign w:val="center"/>
                </w:tcPr>
                <w:p>
                  <w:pPr>
                    <w:pStyle w:val="42"/>
                    <w:rPr>
                      <w:color w:val="auto"/>
                      <w:szCs w:val="21"/>
                      <w:highlight w:val="none"/>
                      <w:lang w:bidi="ar"/>
                    </w:rPr>
                  </w:pPr>
                  <w:r>
                    <w:rPr>
                      <w:color w:val="auto"/>
                      <w:szCs w:val="21"/>
                      <w:highlight w:val="none"/>
                      <w:lang w:bidi="ar"/>
                    </w:rPr>
                    <w:t>硫酸铁铵</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127</w:t>
                  </w:r>
                </w:p>
              </w:tc>
              <w:tc>
                <w:tcPr>
                  <w:tcW w:w="940" w:type="pct"/>
                  <w:vAlign w:val="center"/>
                </w:tcPr>
                <w:p>
                  <w:pPr>
                    <w:pStyle w:val="42"/>
                    <w:rPr>
                      <w:color w:val="auto"/>
                      <w:szCs w:val="21"/>
                      <w:highlight w:val="none"/>
                      <w:lang w:bidi="ar"/>
                    </w:rPr>
                  </w:pPr>
                  <w:r>
                    <w:rPr>
                      <w:color w:val="auto"/>
                      <w:szCs w:val="21"/>
                      <w:highlight w:val="none"/>
                      <w:lang w:bidi="ar"/>
                    </w:rPr>
                    <w:t>氯化铵</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128</w:t>
                  </w:r>
                </w:p>
              </w:tc>
              <w:tc>
                <w:tcPr>
                  <w:tcW w:w="940" w:type="pct"/>
                  <w:vAlign w:val="center"/>
                </w:tcPr>
                <w:p>
                  <w:pPr>
                    <w:pStyle w:val="42"/>
                    <w:rPr>
                      <w:color w:val="auto"/>
                      <w:szCs w:val="21"/>
                      <w:highlight w:val="none"/>
                      <w:lang w:bidi="ar"/>
                    </w:rPr>
                  </w:pPr>
                  <w:r>
                    <w:rPr>
                      <w:color w:val="auto"/>
                      <w:szCs w:val="21"/>
                      <w:highlight w:val="none"/>
                      <w:lang w:bidi="ar"/>
                    </w:rPr>
                    <w:t>氯化钾</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129</w:t>
                  </w:r>
                </w:p>
              </w:tc>
              <w:tc>
                <w:tcPr>
                  <w:tcW w:w="940" w:type="pct"/>
                  <w:vAlign w:val="center"/>
                </w:tcPr>
                <w:p>
                  <w:pPr>
                    <w:pStyle w:val="42"/>
                    <w:rPr>
                      <w:color w:val="auto"/>
                      <w:szCs w:val="21"/>
                      <w:highlight w:val="none"/>
                      <w:lang w:bidi="ar"/>
                    </w:rPr>
                  </w:pPr>
                  <w:r>
                    <w:rPr>
                      <w:color w:val="auto"/>
                      <w:szCs w:val="21"/>
                      <w:highlight w:val="none"/>
                      <w:lang w:bidi="ar"/>
                    </w:rPr>
                    <w:t>氯化钠</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w:t>
                  </w:r>
                </w:p>
              </w:tc>
              <w:tc>
                <w:tcPr>
                  <w:tcW w:w="763" w:type="pct"/>
                  <w:vAlign w:val="center"/>
                </w:tcPr>
                <w:p>
                  <w:pPr>
                    <w:pStyle w:val="42"/>
                    <w:rPr>
                      <w:color w:val="auto"/>
                      <w:szCs w:val="21"/>
                      <w:highlight w:val="none"/>
                      <w:lang w:bidi="ar"/>
                    </w:rPr>
                  </w:pPr>
                  <w:r>
                    <w:rPr>
                      <w:rFonts w:hint="eastAsia"/>
                      <w:color w:val="auto"/>
                      <w:highlight w:val="none"/>
                    </w:rPr>
                    <w:t>41.5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130</w:t>
                  </w:r>
                </w:p>
              </w:tc>
              <w:tc>
                <w:tcPr>
                  <w:tcW w:w="940" w:type="pct"/>
                  <w:vAlign w:val="center"/>
                </w:tcPr>
                <w:p>
                  <w:pPr>
                    <w:pStyle w:val="42"/>
                    <w:rPr>
                      <w:color w:val="auto"/>
                      <w:szCs w:val="21"/>
                      <w:highlight w:val="none"/>
                      <w:lang w:bidi="ar"/>
                    </w:rPr>
                  </w:pPr>
                  <w:r>
                    <w:rPr>
                      <w:color w:val="auto"/>
                      <w:szCs w:val="21"/>
                      <w:highlight w:val="none"/>
                      <w:lang w:bidi="ar"/>
                    </w:rPr>
                    <w:t>氯化铁</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131</w:t>
                  </w:r>
                </w:p>
              </w:tc>
              <w:tc>
                <w:tcPr>
                  <w:tcW w:w="940" w:type="pct"/>
                  <w:vAlign w:val="center"/>
                </w:tcPr>
                <w:p>
                  <w:pPr>
                    <w:pStyle w:val="42"/>
                    <w:rPr>
                      <w:color w:val="auto"/>
                      <w:szCs w:val="21"/>
                      <w:highlight w:val="none"/>
                      <w:lang w:bidi="ar"/>
                    </w:rPr>
                  </w:pPr>
                  <w:r>
                    <w:rPr>
                      <w:color w:val="auto"/>
                      <w:szCs w:val="21"/>
                      <w:highlight w:val="none"/>
                      <w:lang w:bidi="ar"/>
                    </w:rPr>
                    <w:t>偏亚硫酸钠</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132</w:t>
                  </w:r>
                </w:p>
              </w:tc>
              <w:tc>
                <w:tcPr>
                  <w:tcW w:w="940" w:type="pct"/>
                  <w:vAlign w:val="center"/>
                </w:tcPr>
                <w:p>
                  <w:pPr>
                    <w:pStyle w:val="42"/>
                    <w:rPr>
                      <w:color w:val="auto"/>
                      <w:szCs w:val="21"/>
                      <w:highlight w:val="none"/>
                      <w:lang w:bidi="ar"/>
                    </w:rPr>
                  </w:pPr>
                  <w:r>
                    <w:rPr>
                      <w:color w:val="auto"/>
                      <w:szCs w:val="21"/>
                      <w:highlight w:val="none"/>
                      <w:lang w:bidi="ar"/>
                    </w:rPr>
                    <w:t>偏重亚硫酸钠</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3</w:t>
                  </w:r>
                </w:p>
              </w:tc>
              <w:tc>
                <w:tcPr>
                  <w:tcW w:w="763" w:type="pct"/>
                  <w:vAlign w:val="center"/>
                </w:tcPr>
                <w:p>
                  <w:pPr>
                    <w:pStyle w:val="42"/>
                    <w:rPr>
                      <w:color w:val="auto"/>
                      <w:szCs w:val="21"/>
                      <w:highlight w:val="none"/>
                      <w:lang w:bidi="ar"/>
                    </w:rPr>
                  </w:pPr>
                  <w:r>
                    <w:rPr>
                      <w:rFonts w:hint="eastAsia"/>
                      <w:color w:val="auto"/>
                      <w:highlight w:val="none"/>
                    </w:rPr>
                    <w:t>2.5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133</w:t>
                  </w:r>
                </w:p>
              </w:tc>
              <w:tc>
                <w:tcPr>
                  <w:tcW w:w="940" w:type="pct"/>
                  <w:vAlign w:val="center"/>
                </w:tcPr>
                <w:p>
                  <w:pPr>
                    <w:pStyle w:val="42"/>
                    <w:rPr>
                      <w:color w:val="auto"/>
                      <w:szCs w:val="21"/>
                      <w:highlight w:val="none"/>
                      <w:lang w:bidi="ar"/>
                    </w:rPr>
                  </w:pPr>
                  <w:r>
                    <w:rPr>
                      <w:color w:val="auto"/>
                      <w:szCs w:val="21"/>
                      <w:highlight w:val="none"/>
                      <w:lang w:bidi="ar"/>
                    </w:rPr>
                    <w:t>氢氧化铵</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134</w:t>
                  </w:r>
                </w:p>
              </w:tc>
              <w:tc>
                <w:tcPr>
                  <w:tcW w:w="940" w:type="pct"/>
                  <w:vAlign w:val="center"/>
                </w:tcPr>
                <w:p>
                  <w:pPr>
                    <w:pStyle w:val="42"/>
                    <w:rPr>
                      <w:color w:val="auto"/>
                      <w:szCs w:val="21"/>
                      <w:highlight w:val="none"/>
                      <w:lang w:bidi="ar"/>
                    </w:rPr>
                  </w:pPr>
                  <w:r>
                    <w:rPr>
                      <w:color w:val="auto"/>
                      <w:szCs w:val="21"/>
                      <w:highlight w:val="none"/>
                      <w:lang w:bidi="ar"/>
                    </w:rPr>
                    <w:t>氢氧化钾</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135</w:t>
                  </w:r>
                </w:p>
              </w:tc>
              <w:tc>
                <w:tcPr>
                  <w:tcW w:w="940" w:type="pct"/>
                  <w:vAlign w:val="center"/>
                </w:tcPr>
                <w:p>
                  <w:pPr>
                    <w:pStyle w:val="42"/>
                    <w:rPr>
                      <w:color w:val="auto"/>
                      <w:szCs w:val="21"/>
                      <w:highlight w:val="none"/>
                      <w:lang w:bidi="ar"/>
                    </w:rPr>
                  </w:pPr>
                  <w:r>
                    <w:rPr>
                      <w:color w:val="auto"/>
                      <w:szCs w:val="21"/>
                      <w:highlight w:val="none"/>
                      <w:lang w:bidi="ar"/>
                    </w:rPr>
                    <w:t>氢氧化锂</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136</w:t>
                  </w:r>
                </w:p>
              </w:tc>
              <w:tc>
                <w:tcPr>
                  <w:tcW w:w="940" w:type="pct"/>
                  <w:vAlign w:val="center"/>
                </w:tcPr>
                <w:p>
                  <w:pPr>
                    <w:pStyle w:val="42"/>
                    <w:rPr>
                      <w:color w:val="auto"/>
                      <w:szCs w:val="21"/>
                      <w:highlight w:val="none"/>
                      <w:lang w:bidi="ar"/>
                    </w:rPr>
                  </w:pPr>
                  <w:r>
                    <w:rPr>
                      <w:color w:val="auto"/>
                      <w:szCs w:val="21"/>
                      <w:highlight w:val="none"/>
                      <w:lang w:bidi="ar"/>
                    </w:rPr>
                    <w:t>氢氧化钠</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50</w:t>
                  </w:r>
                </w:p>
              </w:tc>
              <w:tc>
                <w:tcPr>
                  <w:tcW w:w="763" w:type="pct"/>
                  <w:vAlign w:val="center"/>
                </w:tcPr>
                <w:p>
                  <w:pPr>
                    <w:pStyle w:val="42"/>
                    <w:rPr>
                      <w:color w:val="auto"/>
                      <w:szCs w:val="21"/>
                      <w:highlight w:val="none"/>
                      <w:lang w:bidi="ar"/>
                    </w:rPr>
                  </w:pPr>
                  <w:r>
                    <w:rPr>
                      <w:rFonts w:hint="eastAsia"/>
                      <w:color w:val="auto"/>
                      <w:highlight w:val="none"/>
                    </w:rPr>
                    <w:t>41.5</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137</w:t>
                  </w:r>
                </w:p>
              </w:tc>
              <w:tc>
                <w:tcPr>
                  <w:tcW w:w="940" w:type="pct"/>
                  <w:vAlign w:val="center"/>
                </w:tcPr>
                <w:p>
                  <w:pPr>
                    <w:pStyle w:val="42"/>
                    <w:rPr>
                      <w:color w:val="auto"/>
                      <w:szCs w:val="21"/>
                      <w:highlight w:val="none"/>
                      <w:lang w:bidi="ar"/>
                    </w:rPr>
                  </w:pPr>
                  <w:r>
                    <w:rPr>
                      <w:color w:val="auto"/>
                      <w:szCs w:val="21"/>
                      <w:highlight w:val="none"/>
                      <w:lang w:bidi="ar"/>
                    </w:rPr>
                    <w:t>三氯化铁</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138</w:t>
                  </w:r>
                </w:p>
              </w:tc>
              <w:tc>
                <w:tcPr>
                  <w:tcW w:w="940" w:type="pct"/>
                  <w:vAlign w:val="center"/>
                </w:tcPr>
                <w:p>
                  <w:pPr>
                    <w:pStyle w:val="42"/>
                    <w:rPr>
                      <w:color w:val="auto"/>
                      <w:szCs w:val="21"/>
                      <w:highlight w:val="none"/>
                      <w:lang w:bidi="ar"/>
                    </w:rPr>
                  </w:pPr>
                  <w:r>
                    <w:rPr>
                      <w:color w:val="auto"/>
                      <w:szCs w:val="21"/>
                      <w:highlight w:val="none"/>
                      <w:lang w:bidi="ar"/>
                    </w:rPr>
                    <w:t>碳酸钙</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139</w:t>
                  </w:r>
                </w:p>
              </w:tc>
              <w:tc>
                <w:tcPr>
                  <w:tcW w:w="940" w:type="pct"/>
                  <w:vAlign w:val="center"/>
                </w:tcPr>
                <w:p>
                  <w:pPr>
                    <w:pStyle w:val="42"/>
                    <w:rPr>
                      <w:color w:val="auto"/>
                      <w:szCs w:val="21"/>
                      <w:highlight w:val="none"/>
                      <w:lang w:bidi="ar"/>
                    </w:rPr>
                  </w:pPr>
                  <w:r>
                    <w:rPr>
                      <w:color w:val="auto"/>
                      <w:szCs w:val="21"/>
                      <w:highlight w:val="none"/>
                      <w:lang w:bidi="ar"/>
                    </w:rPr>
                    <w:t>碳酸钾</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140</w:t>
                  </w:r>
                </w:p>
              </w:tc>
              <w:tc>
                <w:tcPr>
                  <w:tcW w:w="940" w:type="pct"/>
                  <w:vAlign w:val="center"/>
                </w:tcPr>
                <w:p>
                  <w:pPr>
                    <w:pStyle w:val="42"/>
                    <w:rPr>
                      <w:color w:val="auto"/>
                      <w:szCs w:val="21"/>
                      <w:highlight w:val="none"/>
                      <w:lang w:bidi="ar"/>
                    </w:rPr>
                  </w:pPr>
                  <w:r>
                    <w:rPr>
                      <w:color w:val="auto"/>
                      <w:szCs w:val="21"/>
                      <w:highlight w:val="none"/>
                      <w:lang w:bidi="ar"/>
                    </w:rPr>
                    <w:t>碳酸钠</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141</w:t>
                  </w:r>
                </w:p>
              </w:tc>
              <w:tc>
                <w:tcPr>
                  <w:tcW w:w="940" w:type="pct"/>
                  <w:vAlign w:val="center"/>
                </w:tcPr>
                <w:p>
                  <w:pPr>
                    <w:pStyle w:val="42"/>
                    <w:rPr>
                      <w:color w:val="auto"/>
                      <w:szCs w:val="21"/>
                      <w:highlight w:val="none"/>
                      <w:lang w:bidi="ar"/>
                    </w:rPr>
                  </w:pPr>
                  <w:r>
                    <w:rPr>
                      <w:color w:val="auto"/>
                      <w:szCs w:val="21"/>
                      <w:highlight w:val="none"/>
                      <w:lang w:bidi="ar"/>
                    </w:rPr>
                    <w:t>碳酸氢钠</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142</w:t>
                  </w:r>
                </w:p>
              </w:tc>
              <w:tc>
                <w:tcPr>
                  <w:tcW w:w="940" w:type="pct"/>
                  <w:vAlign w:val="center"/>
                </w:tcPr>
                <w:p>
                  <w:pPr>
                    <w:pStyle w:val="42"/>
                    <w:rPr>
                      <w:color w:val="auto"/>
                      <w:szCs w:val="21"/>
                      <w:highlight w:val="none"/>
                      <w:lang w:bidi="ar"/>
                    </w:rPr>
                  </w:pPr>
                  <w:r>
                    <w:rPr>
                      <w:color w:val="auto"/>
                      <w:szCs w:val="21"/>
                      <w:highlight w:val="none"/>
                      <w:lang w:bidi="ar"/>
                    </w:rPr>
                    <w:t>无水硫酸镁</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143</w:t>
                  </w:r>
                </w:p>
              </w:tc>
              <w:tc>
                <w:tcPr>
                  <w:tcW w:w="940" w:type="pct"/>
                  <w:vAlign w:val="center"/>
                </w:tcPr>
                <w:p>
                  <w:pPr>
                    <w:pStyle w:val="42"/>
                    <w:rPr>
                      <w:color w:val="auto"/>
                      <w:szCs w:val="21"/>
                      <w:highlight w:val="none"/>
                      <w:lang w:bidi="ar"/>
                    </w:rPr>
                  </w:pPr>
                  <w:r>
                    <w:rPr>
                      <w:color w:val="auto"/>
                      <w:szCs w:val="21"/>
                      <w:highlight w:val="none"/>
                      <w:lang w:bidi="ar"/>
                    </w:rPr>
                    <w:t>无水硫酸钠</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144</w:t>
                  </w:r>
                </w:p>
              </w:tc>
              <w:tc>
                <w:tcPr>
                  <w:tcW w:w="940" w:type="pct"/>
                  <w:vAlign w:val="center"/>
                </w:tcPr>
                <w:p>
                  <w:pPr>
                    <w:pStyle w:val="42"/>
                    <w:rPr>
                      <w:color w:val="auto"/>
                      <w:szCs w:val="21"/>
                      <w:highlight w:val="none"/>
                      <w:lang w:bidi="ar"/>
                    </w:rPr>
                  </w:pPr>
                  <w:r>
                    <w:rPr>
                      <w:color w:val="auto"/>
                      <w:szCs w:val="21"/>
                      <w:highlight w:val="none"/>
                      <w:lang w:bidi="ar"/>
                    </w:rPr>
                    <w:t>无水氯化钙</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145</w:t>
                  </w:r>
                </w:p>
              </w:tc>
              <w:tc>
                <w:tcPr>
                  <w:tcW w:w="940" w:type="pct"/>
                  <w:vAlign w:val="center"/>
                </w:tcPr>
                <w:p>
                  <w:pPr>
                    <w:pStyle w:val="42"/>
                    <w:rPr>
                      <w:color w:val="auto"/>
                      <w:szCs w:val="21"/>
                      <w:highlight w:val="none"/>
                      <w:lang w:bidi="ar"/>
                    </w:rPr>
                  </w:pPr>
                  <w:r>
                    <w:rPr>
                      <w:color w:val="auto"/>
                      <w:szCs w:val="21"/>
                      <w:highlight w:val="none"/>
                      <w:lang w:bidi="ar"/>
                    </w:rPr>
                    <w:t>无水碳酸钾</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146</w:t>
                  </w:r>
                </w:p>
              </w:tc>
              <w:tc>
                <w:tcPr>
                  <w:tcW w:w="940" w:type="pct"/>
                  <w:vAlign w:val="center"/>
                </w:tcPr>
                <w:p>
                  <w:pPr>
                    <w:pStyle w:val="42"/>
                    <w:rPr>
                      <w:color w:val="auto"/>
                      <w:szCs w:val="21"/>
                      <w:highlight w:val="none"/>
                      <w:lang w:bidi="ar"/>
                    </w:rPr>
                  </w:pPr>
                  <w:r>
                    <w:rPr>
                      <w:color w:val="auto"/>
                      <w:szCs w:val="21"/>
                      <w:highlight w:val="none"/>
                      <w:lang w:bidi="ar"/>
                    </w:rPr>
                    <w:t>无水乙酸钠</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147</w:t>
                  </w:r>
                </w:p>
              </w:tc>
              <w:tc>
                <w:tcPr>
                  <w:tcW w:w="940" w:type="pct"/>
                  <w:vAlign w:val="center"/>
                </w:tcPr>
                <w:p>
                  <w:pPr>
                    <w:pStyle w:val="42"/>
                    <w:rPr>
                      <w:color w:val="auto"/>
                      <w:szCs w:val="21"/>
                      <w:highlight w:val="none"/>
                      <w:lang w:bidi="ar"/>
                    </w:rPr>
                  </w:pPr>
                  <w:r>
                    <w:rPr>
                      <w:color w:val="auto"/>
                      <w:szCs w:val="21"/>
                      <w:highlight w:val="none"/>
                      <w:lang w:bidi="ar"/>
                    </w:rPr>
                    <w:t>五氯化磷</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148</w:t>
                  </w:r>
                </w:p>
              </w:tc>
              <w:tc>
                <w:tcPr>
                  <w:tcW w:w="940" w:type="pct"/>
                  <w:vAlign w:val="center"/>
                </w:tcPr>
                <w:p>
                  <w:pPr>
                    <w:pStyle w:val="42"/>
                    <w:rPr>
                      <w:color w:val="auto"/>
                      <w:szCs w:val="21"/>
                      <w:highlight w:val="none"/>
                      <w:lang w:bidi="ar"/>
                    </w:rPr>
                  </w:pPr>
                  <w:r>
                    <w:rPr>
                      <w:color w:val="auto"/>
                      <w:szCs w:val="21"/>
                      <w:highlight w:val="none"/>
                      <w:lang w:bidi="ar"/>
                    </w:rPr>
                    <w:t>五氧化二磷</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149</w:t>
                  </w:r>
                </w:p>
              </w:tc>
              <w:tc>
                <w:tcPr>
                  <w:tcW w:w="940" w:type="pct"/>
                  <w:vAlign w:val="center"/>
                </w:tcPr>
                <w:p>
                  <w:pPr>
                    <w:pStyle w:val="42"/>
                    <w:rPr>
                      <w:color w:val="auto"/>
                      <w:szCs w:val="21"/>
                      <w:highlight w:val="none"/>
                      <w:lang w:bidi="ar"/>
                    </w:rPr>
                  </w:pPr>
                  <w:r>
                    <w:rPr>
                      <w:color w:val="auto"/>
                      <w:szCs w:val="21"/>
                      <w:highlight w:val="none"/>
                      <w:lang w:bidi="ar"/>
                    </w:rPr>
                    <w:t>氧化钙</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w:t>
                  </w:r>
                </w:p>
              </w:tc>
              <w:tc>
                <w:tcPr>
                  <w:tcW w:w="763" w:type="pct"/>
                  <w:vAlign w:val="center"/>
                </w:tcPr>
                <w:p>
                  <w:pPr>
                    <w:pStyle w:val="42"/>
                    <w:rPr>
                      <w:color w:val="auto"/>
                      <w:szCs w:val="21"/>
                      <w:highlight w:val="none"/>
                      <w:lang w:bidi="ar"/>
                    </w:rPr>
                  </w:pPr>
                  <w:r>
                    <w:rPr>
                      <w:rFonts w:hint="eastAsia"/>
                      <w:color w:val="auto"/>
                      <w:highlight w:val="none"/>
                    </w:rPr>
                    <w:t>1.7</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150</w:t>
                  </w:r>
                </w:p>
              </w:tc>
              <w:tc>
                <w:tcPr>
                  <w:tcW w:w="940" w:type="pct"/>
                  <w:vAlign w:val="center"/>
                </w:tcPr>
                <w:p>
                  <w:pPr>
                    <w:pStyle w:val="42"/>
                    <w:rPr>
                      <w:color w:val="auto"/>
                      <w:szCs w:val="21"/>
                      <w:highlight w:val="none"/>
                      <w:lang w:bidi="ar"/>
                    </w:rPr>
                  </w:pPr>
                  <w:r>
                    <w:rPr>
                      <w:color w:val="auto"/>
                      <w:szCs w:val="21"/>
                      <w:highlight w:val="none"/>
                      <w:lang w:bidi="ar"/>
                    </w:rPr>
                    <w:t>氧化铝</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151</w:t>
                  </w:r>
                </w:p>
              </w:tc>
              <w:tc>
                <w:tcPr>
                  <w:tcW w:w="940" w:type="pct"/>
                  <w:vAlign w:val="center"/>
                </w:tcPr>
                <w:p>
                  <w:pPr>
                    <w:pStyle w:val="42"/>
                    <w:rPr>
                      <w:color w:val="auto"/>
                      <w:szCs w:val="21"/>
                      <w:highlight w:val="none"/>
                      <w:lang w:bidi="ar"/>
                    </w:rPr>
                  </w:pPr>
                  <w:r>
                    <w:rPr>
                      <w:color w:val="auto"/>
                      <w:szCs w:val="21"/>
                      <w:highlight w:val="none"/>
                      <w:lang w:bidi="ar"/>
                    </w:rPr>
                    <w:t>氧化铜</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152</w:t>
                  </w:r>
                </w:p>
              </w:tc>
              <w:tc>
                <w:tcPr>
                  <w:tcW w:w="940" w:type="pct"/>
                  <w:vAlign w:val="center"/>
                </w:tcPr>
                <w:p>
                  <w:pPr>
                    <w:pStyle w:val="42"/>
                    <w:rPr>
                      <w:color w:val="auto"/>
                      <w:szCs w:val="21"/>
                      <w:highlight w:val="none"/>
                      <w:lang w:bidi="ar"/>
                    </w:rPr>
                  </w:pPr>
                  <w:r>
                    <w:rPr>
                      <w:color w:val="auto"/>
                      <w:szCs w:val="21"/>
                      <w:highlight w:val="none"/>
                      <w:lang w:bidi="ar"/>
                    </w:rPr>
                    <w:t>九水硫化钠</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153</w:t>
                  </w:r>
                </w:p>
              </w:tc>
              <w:tc>
                <w:tcPr>
                  <w:tcW w:w="940" w:type="pct"/>
                  <w:vAlign w:val="center"/>
                </w:tcPr>
                <w:p>
                  <w:pPr>
                    <w:pStyle w:val="42"/>
                    <w:rPr>
                      <w:color w:val="auto"/>
                      <w:szCs w:val="21"/>
                      <w:highlight w:val="none"/>
                      <w:lang w:bidi="ar"/>
                    </w:rPr>
                  </w:pPr>
                  <w:r>
                    <w:rPr>
                      <w:color w:val="auto"/>
                      <w:szCs w:val="21"/>
                      <w:highlight w:val="none"/>
                      <w:lang w:bidi="ar"/>
                    </w:rPr>
                    <w:t>保险粉(连二亚硫酸钠)</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20</w:t>
                  </w:r>
                </w:p>
              </w:tc>
              <w:tc>
                <w:tcPr>
                  <w:tcW w:w="763" w:type="pct"/>
                  <w:vAlign w:val="center"/>
                </w:tcPr>
                <w:p>
                  <w:pPr>
                    <w:pStyle w:val="42"/>
                    <w:rPr>
                      <w:color w:val="auto"/>
                      <w:szCs w:val="21"/>
                      <w:highlight w:val="none"/>
                      <w:lang w:bidi="ar"/>
                    </w:rPr>
                  </w:pPr>
                  <w:r>
                    <w:rPr>
                      <w:rFonts w:hint="eastAsia"/>
                      <w:color w:val="auto"/>
                      <w:highlight w:val="none"/>
                    </w:rPr>
                    <w:t>16.6</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154</w:t>
                  </w:r>
                </w:p>
              </w:tc>
              <w:tc>
                <w:tcPr>
                  <w:tcW w:w="940" w:type="pct"/>
                  <w:vAlign w:val="center"/>
                </w:tcPr>
                <w:p>
                  <w:pPr>
                    <w:pStyle w:val="42"/>
                    <w:rPr>
                      <w:color w:val="auto"/>
                      <w:szCs w:val="21"/>
                      <w:highlight w:val="none"/>
                      <w:lang w:bidi="ar"/>
                    </w:rPr>
                  </w:pPr>
                  <w:r>
                    <w:rPr>
                      <w:color w:val="auto"/>
                      <w:szCs w:val="21"/>
                      <w:highlight w:val="none"/>
                      <w:lang w:bidi="ar"/>
                    </w:rPr>
                    <w:t>变色硅胶</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5</w:t>
                  </w:r>
                </w:p>
              </w:tc>
              <w:tc>
                <w:tcPr>
                  <w:tcW w:w="763" w:type="pct"/>
                  <w:vAlign w:val="center"/>
                </w:tcPr>
                <w:p>
                  <w:pPr>
                    <w:pStyle w:val="42"/>
                    <w:rPr>
                      <w:color w:val="auto"/>
                      <w:szCs w:val="21"/>
                      <w:highlight w:val="none"/>
                      <w:lang w:bidi="ar"/>
                    </w:rPr>
                  </w:pPr>
                  <w:r>
                    <w:rPr>
                      <w:rFonts w:hint="eastAsia"/>
                      <w:color w:val="auto"/>
                      <w:highlight w:val="none"/>
                    </w:rPr>
                    <w:t>4.2</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155</w:t>
                  </w:r>
                </w:p>
              </w:tc>
              <w:tc>
                <w:tcPr>
                  <w:tcW w:w="940" w:type="pct"/>
                  <w:vAlign w:val="center"/>
                </w:tcPr>
                <w:p>
                  <w:pPr>
                    <w:pStyle w:val="42"/>
                    <w:rPr>
                      <w:color w:val="auto"/>
                      <w:szCs w:val="21"/>
                      <w:highlight w:val="none"/>
                      <w:lang w:bidi="ar"/>
                    </w:rPr>
                  </w:pPr>
                  <w:r>
                    <w:rPr>
                      <w:color w:val="auto"/>
                      <w:szCs w:val="21"/>
                      <w:highlight w:val="none"/>
                      <w:lang w:bidi="ar"/>
                    </w:rPr>
                    <w:t>活性炭</w:t>
                  </w:r>
                </w:p>
              </w:tc>
              <w:tc>
                <w:tcPr>
                  <w:tcW w:w="685" w:type="pct"/>
                  <w:vAlign w:val="center"/>
                </w:tcPr>
                <w:p>
                  <w:pPr>
                    <w:pStyle w:val="42"/>
                    <w:rPr>
                      <w:color w:val="auto"/>
                      <w:szCs w:val="21"/>
                      <w:highlight w:val="none"/>
                      <w:lang w:bidi="ar"/>
                    </w:rPr>
                  </w:pPr>
                  <w:r>
                    <w:rPr>
                      <w:color w:val="auto"/>
                      <w:szCs w:val="21"/>
                      <w:highlight w:val="none"/>
                      <w:lang w:bidi="ar"/>
                    </w:rPr>
                    <w:t>500g/瓶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10</w:t>
                  </w:r>
                </w:p>
              </w:tc>
              <w:tc>
                <w:tcPr>
                  <w:tcW w:w="763" w:type="pct"/>
                  <w:vAlign w:val="center"/>
                </w:tcPr>
                <w:p>
                  <w:pPr>
                    <w:pStyle w:val="42"/>
                    <w:rPr>
                      <w:color w:val="auto"/>
                      <w:szCs w:val="21"/>
                      <w:highlight w:val="none"/>
                      <w:lang w:bidi="ar"/>
                    </w:rPr>
                  </w:pPr>
                  <w:r>
                    <w:rPr>
                      <w:rFonts w:hint="eastAsia"/>
                      <w:color w:val="auto"/>
                      <w:highlight w:val="none"/>
                    </w:rPr>
                    <w:t>8.3</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43" w:type="pct"/>
                  <w:vAlign w:val="center"/>
                </w:tcPr>
                <w:p>
                  <w:pPr>
                    <w:pStyle w:val="42"/>
                    <w:rPr>
                      <w:color w:val="auto"/>
                      <w:szCs w:val="21"/>
                      <w:highlight w:val="none"/>
                      <w:lang w:bidi="ar"/>
                    </w:rPr>
                  </w:pPr>
                  <w:r>
                    <w:rPr>
                      <w:color w:val="auto"/>
                      <w:szCs w:val="21"/>
                      <w:highlight w:val="none"/>
                      <w:lang w:bidi="ar"/>
                    </w:rPr>
                    <w:t>156</w:t>
                  </w:r>
                </w:p>
              </w:tc>
              <w:tc>
                <w:tcPr>
                  <w:tcW w:w="940" w:type="pct"/>
                  <w:vAlign w:val="center"/>
                </w:tcPr>
                <w:p>
                  <w:pPr>
                    <w:pStyle w:val="42"/>
                    <w:rPr>
                      <w:color w:val="auto"/>
                      <w:szCs w:val="21"/>
                      <w:highlight w:val="none"/>
                      <w:lang w:bidi="ar"/>
                    </w:rPr>
                  </w:pPr>
                  <w:r>
                    <w:rPr>
                      <w:color w:val="auto"/>
                      <w:szCs w:val="21"/>
                      <w:highlight w:val="none"/>
                      <w:lang w:bidi="ar"/>
                    </w:rPr>
                    <w:t>人造沸石</w:t>
                  </w:r>
                </w:p>
              </w:tc>
              <w:tc>
                <w:tcPr>
                  <w:tcW w:w="685" w:type="pct"/>
                  <w:vAlign w:val="center"/>
                </w:tcPr>
                <w:p>
                  <w:pPr>
                    <w:pStyle w:val="42"/>
                    <w:rPr>
                      <w:color w:val="auto"/>
                      <w:szCs w:val="21"/>
                      <w:highlight w:val="none"/>
                      <w:lang w:bidi="ar"/>
                    </w:rPr>
                  </w:pPr>
                  <w:r>
                    <w:rPr>
                      <w:color w:val="auto"/>
                      <w:szCs w:val="21"/>
                      <w:highlight w:val="none"/>
                      <w:lang w:bidi="ar"/>
                    </w:rPr>
                    <w:t>250g/瓶</w:t>
                  </w:r>
                </w:p>
              </w:tc>
              <w:tc>
                <w:tcPr>
                  <w:tcW w:w="461" w:type="pct"/>
                  <w:vAlign w:val="center"/>
                </w:tcPr>
                <w:p>
                  <w:pPr>
                    <w:pStyle w:val="42"/>
                    <w:rPr>
                      <w:color w:val="auto"/>
                      <w:szCs w:val="21"/>
                      <w:highlight w:val="none"/>
                      <w:lang w:bidi="ar"/>
                    </w:rPr>
                  </w:pPr>
                  <w:r>
                    <w:rPr>
                      <w:rFonts w:hint="eastAsia"/>
                      <w:color w:val="auto"/>
                      <w:szCs w:val="21"/>
                      <w:highlight w:val="none"/>
                      <w:lang w:bidi="ar"/>
                    </w:rPr>
                    <w:t>kg</w:t>
                  </w:r>
                </w:p>
              </w:tc>
              <w:tc>
                <w:tcPr>
                  <w:tcW w:w="738" w:type="pct"/>
                  <w:vAlign w:val="center"/>
                </w:tcPr>
                <w:p>
                  <w:pPr>
                    <w:pStyle w:val="42"/>
                    <w:rPr>
                      <w:color w:val="auto"/>
                      <w:szCs w:val="21"/>
                      <w:highlight w:val="none"/>
                      <w:lang w:bidi="ar"/>
                    </w:rPr>
                  </w:pPr>
                  <w:r>
                    <w:rPr>
                      <w:color w:val="auto"/>
                      <w:szCs w:val="21"/>
                      <w:highlight w:val="none"/>
                      <w:lang w:bidi="ar"/>
                    </w:rPr>
                    <w:t>1</w:t>
                  </w:r>
                </w:p>
              </w:tc>
              <w:tc>
                <w:tcPr>
                  <w:tcW w:w="763" w:type="pct"/>
                  <w:vAlign w:val="center"/>
                </w:tcPr>
                <w:p>
                  <w:pPr>
                    <w:pStyle w:val="42"/>
                    <w:rPr>
                      <w:color w:val="auto"/>
                      <w:szCs w:val="21"/>
                      <w:highlight w:val="none"/>
                      <w:lang w:bidi="ar"/>
                    </w:rPr>
                  </w:pPr>
                  <w:r>
                    <w:rPr>
                      <w:rFonts w:hint="eastAsia"/>
                      <w:color w:val="auto"/>
                      <w:highlight w:val="none"/>
                    </w:rPr>
                    <w:t>0.8</w:t>
                  </w:r>
                </w:p>
              </w:tc>
              <w:tc>
                <w:tcPr>
                  <w:tcW w:w="1730" w:type="dxa"/>
                  <w:vAlign w:val="center"/>
                </w:tcPr>
                <w:p>
                  <w:pPr>
                    <w:pStyle w:val="42"/>
                    <w:rPr>
                      <w:color w:val="auto"/>
                      <w:szCs w:val="21"/>
                      <w:highlight w:val="none"/>
                      <w:lang w:bidi="ar"/>
                    </w:rPr>
                  </w:pPr>
                  <w:r>
                    <w:rPr>
                      <w:rFonts w:hint="eastAsia"/>
                      <w:color w:val="auto"/>
                      <w:szCs w:val="21"/>
                      <w:highlight w:val="none"/>
                      <w:lang w:bidi="ar"/>
                    </w:rPr>
                    <w:t>用量减少</w:t>
                  </w:r>
                </w:p>
              </w:tc>
            </w:tr>
          </w:tbl>
          <w:p>
            <w:pPr>
              <w:pStyle w:val="34"/>
              <w:ind w:firstLine="482"/>
              <w:rPr>
                <w:rFonts w:cs="Times New Roman"/>
                <w:b/>
                <w:bCs/>
                <w:color w:val="auto"/>
                <w:highlight w:val="none"/>
              </w:rPr>
            </w:pPr>
            <w:r>
              <w:rPr>
                <w:rFonts w:cs="Times New Roman"/>
                <w:b/>
                <w:bCs/>
                <w:color w:val="auto"/>
                <w:highlight w:val="none"/>
              </w:rPr>
              <w:t>2、公用工程</w:t>
            </w:r>
          </w:p>
          <w:p>
            <w:pPr>
              <w:ind w:firstLine="476"/>
              <w:rPr>
                <w:color w:val="auto"/>
                <w:highlight w:val="none"/>
              </w:rPr>
            </w:pPr>
            <w:r>
              <w:rPr>
                <w:color w:val="auto"/>
                <w:spacing w:val="-1"/>
                <w:highlight w:val="none"/>
              </w:rPr>
              <w:t>（1）给水：</w:t>
            </w:r>
            <w:r>
              <w:rPr>
                <w:color w:val="auto"/>
                <w:highlight w:val="none"/>
              </w:rPr>
              <w:t>本项目用水主要是生活用水、</w:t>
            </w:r>
            <w:r>
              <w:rPr>
                <w:rFonts w:hint="eastAsia"/>
                <w:color w:val="auto"/>
                <w:highlight w:val="none"/>
              </w:rPr>
              <w:t>研发实验用水、环保设备用水、地面清洁用水</w:t>
            </w:r>
            <w:r>
              <w:rPr>
                <w:color w:val="auto"/>
                <w:highlight w:val="none"/>
              </w:rPr>
              <w:t>。</w:t>
            </w:r>
          </w:p>
          <w:p>
            <w:pPr>
              <w:ind w:firstLine="480"/>
              <w:rPr>
                <w:color w:val="auto"/>
                <w:highlight w:val="none"/>
              </w:rPr>
            </w:pPr>
            <w:r>
              <w:rPr>
                <w:color w:val="auto"/>
                <w:highlight w:val="none"/>
              </w:rPr>
              <w:t>1）生活用水</w:t>
            </w:r>
            <w:r>
              <w:rPr>
                <w:rFonts w:hint="eastAsia"/>
                <w:color w:val="auto"/>
                <w:highlight w:val="none"/>
              </w:rPr>
              <w:t>：</w:t>
            </w:r>
            <w:r>
              <w:rPr>
                <w:color w:val="auto"/>
                <w:highlight w:val="none"/>
              </w:rPr>
              <w:t>本项目生活用水量约为</w:t>
            </w:r>
            <w:r>
              <w:rPr>
                <w:rFonts w:hint="eastAsia"/>
                <w:color w:val="auto"/>
                <w:highlight w:val="none"/>
              </w:rPr>
              <w:t>375</w:t>
            </w:r>
            <w:r>
              <w:rPr>
                <w:color w:val="auto"/>
                <w:highlight w:val="none"/>
              </w:rPr>
              <w:t>m</w:t>
            </w:r>
            <w:r>
              <w:rPr>
                <w:color w:val="auto"/>
                <w:highlight w:val="none"/>
                <w:vertAlign w:val="superscript"/>
              </w:rPr>
              <w:t>3</w:t>
            </w:r>
            <w:r>
              <w:rPr>
                <w:color w:val="auto"/>
                <w:highlight w:val="none"/>
              </w:rPr>
              <w:t>/a，采用新鲜水。</w:t>
            </w:r>
          </w:p>
          <w:p>
            <w:pPr>
              <w:ind w:firstLine="480" w:firstLineChars="0"/>
              <w:rPr>
                <w:color w:val="auto"/>
                <w:highlight w:val="none"/>
              </w:rPr>
            </w:pPr>
            <w:r>
              <w:rPr>
                <w:color w:val="auto"/>
                <w:highlight w:val="none"/>
              </w:rPr>
              <w:t>2）</w:t>
            </w:r>
            <w:r>
              <w:rPr>
                <w:rFonts w:hint="eastAsia"/>
                <w:color w:val="auto"/>
                <w:highlight w:val="none"/>
              </w:rPr>
              <w:t>研发实验</w:t>
            </w:r>
            <w:r>
              <w:rPr>
                <w:color w:val="auto"/>
                <w:highlight w:val="none"/>
              </w:rPr>
              <w:t>用水</w:t>
            </w:r>
            <w:r>
              <w:rPr>
                <w:rFonts w:hint="eastAsia"/>
                <w:color w:val="auto"/>
                <w:highlight w:val="none"/>
              </w:rPr>
              <w:t>：</w:t>
            </w:r>
            <w:r>
              <w:rPr>
                <w:color w:val="auto"/>
                <w:highlight w:val="none"/>
              </w:rPr>
              <w:t>本项目的</w:t>
            </w:r>
            <w:r>
              <w:rPr>
                <w:rFonts w:hint="eastAsia"/>
                <w:color w:val="auto"/>
                <w:highlight w:val="none"/>
              </w:rPr>
              <w:t>研发实验</w:t>
            </w:r>
            <w:r>
              <w:rPr>
                <w:color w:val="auto"/>
                <w:highlight w:val="none"/>
              </w:rPr>
              <w:t>用水主要包括</w:t>
            </w:r>
            <w:r>
              <w:rPr>
                <w:rFonts w:hint="eastAsia"/>
                <w:color w:val="auto"/>
                <w:highlight w:val="none"/>
              </w:rPr>
              <w:t>实验配制用水、</w:t>
            </w:r>
            <w:r>
              <w:rPr>
                <w:color w:val="auto"/>
                <w:highlight w:val="none"/>
              </w:rPr>
              <w:t>实验器皿清洗用水（</w:t>
            </w:r>
            <w:r>
              <w:rPr>
                <w:rFonts w:hint="eastAsia"/>
                <w:color w:val="auto"/>
                <w:highlight w:val="none"/>
              </w:rPr>
              <w:t>实验后</w:t>
            </w:r>
            <w:r>
              <w:rPr>
                <w:color w:val="auto"/>
                <w:highlight w:val="none"/>
              </w:rPr>
              <w:t>器皿前两次清洗用水、</w:t>
            </w:r>
            <w:r>
              <w:rPr>
                <w:rFonts w:hint="eastAsia"/>
                <w:color w:val="auto"/>
                <w:highlight w:val="none"/>
              </w:rPr>
              <w:t>实验后器皿</w:t>
            </w:r>
            <w:r>
              <w:rPr>
                <w:color w:val="auto"/>
                <w:highlight w:val="none"/>
              </w:rPr>
              <w:t>两次</w:t>
            </w:r>
            <w:r>
              <w:rPr>
                <w:rFonts w:hint="eastAsia"/>
                <w:color w:val="auto"/>
                <w:highlight w:val="none"/>
              </w:rPr>
              <w:t>清洗后</w:t>
            </w:r>
            <w:r>
              <w:rPr>
                <w:color w:val="auto"/>
                <w:highlight w:val="none"/>
              </w:rPr>
              <w:t>清洗用水）</w:t>
            </w:r>
            <w:r>
              <w:rPr>
                <w:rFonts w:hint="eastAsia"/>
                <w:color w:val="auto"/>
                <w:highlight w:val="none"/>
              </w:rPr>
              <w:t>。</w:t>
            </w:r>
          </w:p>
          <w:p>
            <w:pPr>
              <w:widowControl/>
              <w:ind w:firstLine="480"/>
              <w:rPr>
                <w:color w:val="auto"/>
                <w:highlight w:val="none"/>
              </w:rPr>
            </w:pPr>
            <w:r>
              <w:rPr>
                <w:color w:val="auto"/>
                <w:highlight w:val="none"/>
              </w:rPr>
              <w:t>①</w:t>
            </w:r>
            <w:r>
              <w:rPr>
                <w:rFonts w:hint="eastAsia"/>
                <w:color w:val="auto"/>
                <w:highlight w:val="none"/>
              </w:rPr>
              <w:t>实验配制用水：</w:t>
            </w:r>
            <w:r>
              <w:rPr>
                <w:color w:val="auto"/>
                <w:highlight w:val="none"/>
              </w:rPr>
              <w:t>实验过程中试剂或者溶液的配制均使用纯</w:t>
            </w:r>
            <w:r>
              <w:rPr>
                <w:rFonts w:hint="eastAsia"/>
                <w:color w:val="auto"/>
                <w:highlight w:val="none"/>
              </w:rPr>
              <w:t>化</w:t>
            </w:r>
            <w:r>
              <w:rPr>
                <w:color w:val="auto"/>
                <w:highlight w:val="none"/>
              </w:rPr>
              <w:t>水，</w:t>
            </w:r>
            <w:r>
              <w:rPr>
                <w:rFonts w:hint="eastAsia"/>
                <w:color w:val="auto"/>
                <w:highlight w:val="none"/>
              </w:rPr>
              <w:t>实验试剂调配用水量约为1.23</w:t>
            </w:r>
            <w:r>
              <w:rPr>
                <w:color w:val="auto"/>
                <w:highlight w:val="none"/>
              </w:rPr>
              <w:t>m</w:t>
            </w:r>
            <w:r>
              <w:rPr>
                <w:color w:val="auto"/>
                <w:highlight w:val="none"/>
                <w:vertAlign w:val="superscript"/>
              </w:rPr>
              <w:t>3</w:t>
            </w:r>
            <w:r>
              <w:rPr>
                <w:color w:val="auto"/>
                <w:highlight w:val="none"/>
              </w:rPr>
              <w:t>/</w:t>
            </w:r>
            <w:r>
              <w:rPr>
                <w:rFonts w:hint="eastAsia"/>
                <w:color w:val="auto"/>
                <w:highlight w:val="none"/>
              </w:rPr>
              <w:t>a，外购纯净水。</w:t>
            </w:r>
          </w:p>
          <w:p>
            <w:pPr>
              <w:pStyle w:val="34"/>
              <w:rPr>
                <w:rFonts w:cs="Times New Roman"/>
                <w:color w:val="auto"/>
                <w:szCs w:val="24"/>
                <w:highlight w:val="none"/>
              </w:rPr>
            </w:pPr>
            <w:r>
              <w:rPr>
                <w:rFonts w:cs="Times New Roman"/>
                <w:color w:val="auto"/>
                <w:szCs w:val="24"/>
                <w:highlight w:val="none"/>
              </w:rPr>
              <w:t>②实验器皿清洗用水</w:t>
            </w:r>
            <w:r>
              <w:rPr>
                <w:rFonts w:hint="eastAsia" w:cs="Times New Roman"/>
                <w:color w:val="auto"/>
                <w:szCs w:val="24"/>
                <w:highlight w:val="none"/>
              </w:rPr>
              <w:t>：</w:t>
            </w:r>
            <w:r>
              <w:rPr>
                <w:rFonts w:cs="Times New Roman"/>
                <w:color w:val="auto"/>
                <w:szCs w:val="24"/>
                <w:highlight w:val="none"/>
              </w:rPr>
              <w:t>本项目实验器皿清洗用水共包括</w:t>
            </w:r>
            <w:r>
              <w:rPr>
                <w:rFonts w:hint="eastAsia" w:cs="Times New Roman"/>
                <w:color w:val="auto"/>
                <w:szCs w:val="24"/>
                <w:highlight w:val="none"/>
              </w:rPr>
              <w:t>两</w:t>
            </w:r>
            <w:r>
              <w:rPr>
                <w:rFonts w:cs="Times New Roman"/>
                <w:color w:val="auto"/>
                <w:szCs w:val="24"/>
                <w:highlight w:val="none"/>
              </w:rPr>
              <w:t>部分</w:t>
            </w:r>
            <w:r>
              <w:rPr>
                <w:rFonts w:hint="eastAsia" w:cs="Times New Roman"/>
                <w:color w:val="auto"/>
                <w:szCs w:val="24"/>
                <w:highlight w:val="none"/>
              </w:rPr>
              <w:t>。</w:t>
            </w:r>
          </w:p>
          <w:p>
            <w:pPr>
              <w:pStyle w:val="34"/>
              <w:rPr>
                <w:rFonts w:cs="Times New Roman"/>
                <w:color w:val="auto"/>
                <w:szCs w:val="24"/>
                <w:highlight w:val="none"/>
              </w:rPr>
            </w:pPr>
            <w:r>
              <w:rPr>
                <w:rFonts w:cs="Times New Roman"/>
                <w:color w:val="auto"/>
                <w:szCs w:val="24"/>
                <w:highlight w:val="none"/>
              </w:rPr>
              <w:t>第一部分为</w:t>
            </w:r>
            <w:r>
              <w:rPr>
                <w:rFonts w:hint="eastAsia" w:cs="Times New Roman"/>
                <w:color w:val="auto"/>
                <w:szCs w:val="24"/>
                <w:highlight w:val="none"/>
              </w:rPr>
              <w:t>实验后</w:t>
            </w:r>
            <w:r>
              <w:rPr>
                <w:rFonts w:cs="Times New Roman"/>
                <w:color w:val="auto"/>
                <w:szCs w:val="24"/>
                <w:highlight w:val="none"/>
              </w:rPr>
              <w:t>器皿前两次清洗用水</w:t>
            </w:r>
            <w:r>
              <w:rPr>
                <w:rFonts w:hint="eastAsia" w:cs="Times New Roman"/>
                <w:color w:val="auto"/>
                <w:szCs w:val="24"/>
                <w:highlight w:val="none"/>
              </w:rPr>
              <w:t>：实验后</w:t>
            </w:r>
            <w:r>
              <w:rPr>
                <w:rFonts w:cs="Times New Roman"/>
                <w:color w:val="auto"/>
                <w:szCs w:val="24"/>
                <w:highlight w:val="none"/>
              </w:rPr>
              <w:t>器皿前两次</w:t>
            </w:r>
            <w:r>
              <w:rPr>
                <w:rFonts w:hint="eastAsia" w:cs="Times New Roman"/>
                <w:color w:val="auto"/>
                <w:szCs w:val="24"/>
                <w:highlight w:val="none"/>
              </w:rPr>
              <w:t>清洗用水量为</w:t>
            </w:r>
            <w:r>
              <w:rPr>
                <w:rFonts w:hint="eastAsia" w:cs="Times New Roman"/>
                <w:color w:val="auto"/>
                <w:highlight w:val="none"/>
              </w:rPr>
              <w:t>2.46</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w:t>
            </w:r>
            <w:r>
              <w:rPr>
                <w:rFonts w:hint="eastAsia" w:cs="Times New Roman"/>
                <w:color w:val="auto"/>
                <w:highlight w:val="none"/>
              </w:rPr>
              <w:t>a，</w:t>
            </w:r>
            <w:r>
              <w:rPr>
                <w:rFonts w:cs="Times New Roman"/>
                <w:color w:val="auto"/>
                <w:szCs w:val="24"/>
                <w:highlight w:val="none"/>
              </w:rPr>
              <w:t>采用新鲜水；</w:t>
            </w:r>
          </w:p>
          <w:p>
            <w:pPr>
              <w:pStyle w:val="34"/>
              <w:rPr>
                <w:rFonts w:cs="Times New Roman"/>
                <w:color w:val="auto"/>
                <w:szCs w:val="24"/>
                <w:highlight w:val="none"/>
              </w:rPr>
            </w:pPr>
            <w:r>
              <w:rPr>
                <w:rFonts w:cs="Times New Roman"/>
                <w:color w:val="auto"/>
                <w:szCs w:val="24"/>
                <w:highlight w:val="none"/>
              </w:rPr>
              <w:t>第二部分为</w:t>
            </w:r>
            <w:r>
              <w:rPr>
                <w:rFonts w:hint="eastAsia" w:cs="Times New Roman"/>
                <w:color w:val="auto"/>
                <w:szCs w:val="24"/>
                <w:highlight w:val="none"/>
              </w:rPr>
              <w:t>实验后器皿</w:t>
            </w:r>
            <w:r>
              <w:rPr>
                <w:rFonts w:cs="Times New Roman"/>
                <w:color w:val="auto"/>
                <w:szCs w:val="24"/>
                <w:highlight w:val="none"/>
              </w:rPr>
              <w:t>两次</w:t>
            </w:r>
            <w:r>
              <w:rPr>
                <w:rFonts w:hint="eastAsia" w:cs="Times New Roman"/>
                <w:color w:val="auto"/>
                <w:szCs w:val="24"/>
                <w:highlight w:val="none"/>
              </w:rPr>
              <w:t>清洗后</w:t>
            </w:r>
            <w:r>
              <w:rPr>
                <w:rFonts w:cs="Times New Roman"/>
                <w:color w:val="auto"/>
                <w:szCs w:val="24"/>
                <w:highlight w:val="none"/>
              </w:rPr>
              <w:t>清洗用水，</w:t>
            </w:r>
            <w:r>
              <w:rPr>
                <w:rFonts w:hint="eastAsia" w:cs="Times New Roman"/>
                <w:color w:val="auto"/>
                <w:szCs w:val="24"/>
                <w:highlight w:val="none"/>
              </w:rPr>
              <w:t>实验后器皿</w:t>
            </w:r>
            <w:r>
              <w:rPr>
                <w:rFonts w:cs="Times New Roman"/>
                <w:color w:val="auto"/>
                <w:szCs w:val="24"/>
                <w:highlight w:val="none"/>
              </w:rPr>
              <w:t>两次</w:t>
            </w:r>
            <w:r>
              <w:rPr>
                <w:rFonts w:hint="eastAsia" w:cs="Times New Roman"/>
                <w:color w:val="auto"/>
                <w:szCs w:val="24"/>
                <w:highlight w:val="none"/>
              </w:rPr>
              <w:t>清洗后需用纯净水润洗，实验后器皿</w:t>
            </w:r>
            <w:r>
              <w:rPr>
                <w:rFonts w:cs="Times New Roman"/>
                <w:color w:val="auto"/>
                <w:szCs w:val="24"/>
                <w:highlight w:val="none"/>
              </w:rPr>
              <w:t>两次</w:t>
            </w:r>
            <w:r>
              <w:rPr>
                <w:rFonts w:hint="eastAsia" w:cs="Times New Roman"/>
                <w:color w:val="auto"/>
                <w:szCs w:val="24"/>
                <w:highlight w:val="none"/>
              </w:rPr>
              <w:t>清洗后</w:t>
            </w:r>
            <w:r>
              <w:rPr>
                <w:rFonts w:cs="Times New Roman"/>
                <w:color w:val="auto"/>
                <w:szCs w:val="24"/>
                <w:highlight w:val="none"/>
              </w:rPr>
              <w:t>清洗用水</w:t>
            </w:r>
            <w:r>
              <w:rPr>
                <w:rFonts w:hint="eastAsia" w:cs="Times New Roman"/>
                <w:color w:val="auto"/>
                <w:szCs w:val="24"/>
                <w:highlight w:val="none"/>
              </w:rPr>
              <w:t>量为</w:t>
            </w:r>
            <w:r>
              <w:rPr>
                <w:rFonts w:hint="eastAsia" w:cs="Times New Roman"/>
                <w:color w:val="auto"/>
                <w:highlight w:val="none"/>
              </w:rPr>
              <w:t>1.23</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w:t>
            </w:r>
            <w:r>
              <w:rPr>
                <w:rFonts w:hint="eastAsia" w:cs="Times New Roman"/>
                <w:color w:val="auto"/>
                <w:highlight w:val="none"/>
              </w:rPr>
              <w:t>a</w:t>
            </w:r>
            <w:r>
              <w:rPr>
                <w:rFonts w:cs="Times New Roman"/>
                <w:color w:val="auto"/>
                <w:szCs w:val="24"/>
                <w:highlight w:val="none"/>
              </w:rPr>
              <w:t>，</w:t>
            </w:r>
            <w:r>
              <w:rPr>
                <w:rFonts w:hint="eastAsia" w:cs="Times New Roman"/>
                <w:color w:val="auto"/>
                <w:highlight w:val="none"/>
              </w:rPr>
              <w:t>外购纯净水。</w:t>
            </w:r>
          </w:p>
          <w:p>
            <w:pPr>
              <w:ind w:firstLine="480"/>
              <w:rPr>
                <w:color w:val="auto"/>
                <w:highlight w:val="none"/>
              </w:rPr>
            </w:pPr>
            <w:r>
              <w:rPr>
                <w:rFonts w:hint="eastAsia"/>
                <w:color w:val="auto"/>
                <w:highlight w:val="none"/>
              </w:rPr>
              <w:t>3）环保设备用水：本项目设置1台碱喷淋塔处理实验室酸性废气，</w:t>
            </w:r>
            <w:r>
              <w:rPr>
                <w:color w:val="auto"/>
                <w:highlight w:val="none"/>
              </w:rPr>
              <w:t>喷淋塔水循环使用，定期补充及外排。</w:t>
            </w:r>
          </w:p>
          <w:p>
            <w:pPr>
              <w:pStyle w:val="34"/>
              <w:rPr>
                <w:rFonts w:cs="Times New Roman"/>
                <w:color w:val="auto"/>
                <w:highlight w:val="none"/>
              </w:rPr>
            </w:pPr>
            <w:r>
              <w:rPr>
                <w:rFonts w:hint="eastAsia" w:cs="Times New Roman"/>
                <w:color w:val="auto"/>
                <w:highlight w:val="none"/>
              </w:rPr>
              <w:t>在</w:t>
            </w:r>
            <w:r>
              <w:rPr>
                <w:rFonts w:cs="Times New Roman"/>
                <w:color w:val="auto"/>
                <w:highlight w:val="none"/>
              </w:rPr>
              <w:t>使用过程中会有水分蒸发损耗，喷淋塔需及时补充水，每套装置补充水量约为0.1m</w:t>
            </w:r>
            <w:r>
              <w:rPr>
                <w:rFonts w:cs="Times New Roman"/>
                <w:color w:val="auto"/>
                <w:highlight w:val="none"/>
                <w:vertAlign w:val="superscript"/>
              </w:rPr>
              <w:t>3</w:t>
            </w:r>
            <w:r>
              <w:rPr>
                <w:rFonts w:cs="Times New Roman"/>
                <w:color w:val="auto"/>
                <w:highlight w:val="none"/>
              </w:rPr>
              <w:t>/d，项目</w:t>
            </w:r>
            <w:r>
              <w:rPr>
                <w:rFonts w:hint="eastAsia" w:cs="Times New Roman"/>
                <w:color w:val="auto"/>
                <w:highlight w:val="none"/>
              </w:rPr>
              <w:t>喷淋塔</w:t>
            </w:r>
            <w:r>
              <w:rPr>
                <w:rFonts w:cs="Times New Roman"/>
                <w:color w:val="auto"/>
                <w:highlight w:val="none"/>
              </w:rPr>
              <w:t>补充水量约</w:t>
            </w:r>
            <w:r>
              <w:rPr>
                <w:rFonts w:hint="eastAsia" w:cs="Times New Roman"/>
                <w:color w:val="auto"/>
                <w:highlight w:val="none"/>
              </w:rPr>
              <w:t>30</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/a</w:t>
            </w:r>
            <w:r>
              <w:rPr>
                <w:rFonts w:hint="eastAsia" w:cs="Times New Roman"/>
                <w:color w:val="auto"/>
                <w:highlight w:val="none"/>
              </w:rPr>
              <w:t>，来自新鲜水</w:t>
            </w:r>
            <w:r>
              <w:rPr>
                <w:rFonts w:cs="Times New Roman"/>
                <w:color w:val="auto"/>
                <w:highlight w:val="none"/>
              </w:rPr>
              <w:t>。</w:t>
            </w:r>
          </w:p>
          <w:p>
            <w:pPr>
              <w:pStyle w:val="34"/>
              <w:rPr>
                <w:rFonts w:cs="Times New Roman"/>
                <w:color w:val="auto"/>
                <w:highlight w:val="none"/>
              </w:rPr>
            </w:pPr>
            <w:r>
              <w:rPr>
                <w:rFonts w:cs="Times New Roman"/>
                <w:color w:val="auto"/>
                <w:highlight w:val="none"/>
              </w:rPr>
              <w:t>喷淋塔使用一定期限后需进行更换，喷淋塔配置的水池容量约为1.0m</w:t>
            </w:r>
            <w:r>
              <w:rPr>
                <w:rFonts w:cs="Times New Roman"/>
                <w:color w:val="auto"/>
                <w:highlight w:val="none"/>
                <w:vertAlign w:val="superscript"/>
              </w:rPr>
              <w:t>3</w:t>
            </w:r>
            <w:r>
              <w:rPr>
                <w:rFonts w:cs="Times New Roman"/>
                <w:color w:val="auto"/>
                <w:highlight w:val="none"/>
              </w:rPr>
              <w:t>，</w:t>
            </w:r>
            <w:r>
              <w:rPr>
                <w:rFonts w:hint="eastAsia" w:cs="Times New Roman"/>
                <w:color w:val="auto"/>
                <w:highlight w:val="none"/>
              </w:rPr>
              <w:t>为保证喷淋塔的吸收效果，</w:t>
            </w:r>
            <w:r>
              <w:rPr>
                <w:rFonts w:cs="Times New Roman"/>
                <w:color w:val="auto"/>
                <w:highlight w:val="none"/>
              </w:rPr>
              <w:t>每套喷淋装置平均</w:t>
            </w:r>
            <w:r>
              <w:rPr>
                <w:rFonts w:hint="eastAsia" w:cs="Times New Roman"/>
                <w:color w:val="auto"/>
                <w:highlight w:val="none"/>
              </w:rPr>
              <w:t>3个月</w:t>
            </w:r>
            <w:r>
              <w:rPr>
                <w:rFonts w:cs="Times New Roman"/>
                <w:color w:val="auto"/>
                <w:highlight w:val="none"/>
              </w:rPr>
              <w:t>更换一次喷淋水，则喷淋装置总外排水量为</w:t>
            </w:r>
            <w:r>
              <w:rPr>
                <w:rFonts w:hint="eastAsia" w:cs="Times New Roman"/>
                <w:color w:val="auto"/>
                <w:highlight w:val="none"/>
              </w:rPr>
              <w:t>4</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/a。</w:t>
            </w:r>
          </w:p>
          <w:p>
            <w:pPr>
              <w:pStyle w:val="34"/>
              <w:rPr>
                <w:rFonts w:cs="Times New Roman"/>
                <w:color w:val="auto"/>
                <w:szCs w:val="24"/>
                <w:highlight w:val="none"/>
              </w:rPr>
            </w:pPr>
            <w:r>
              <w:rPr>
                <w:rFonts w:hint="eastAsia" w:cs="Times New Roman"/>
                <w:color w:val="auto"/>
                <w:szCs w:val="24"/>
                <w:highlight w:val="none"/>
              </w:rPr>
              <w:t>4）</w:t>
            </w:r>
            <w:r>
              <w:rPr>
                <w:rFonts w:cs="Times New Roman"/>
                <w:color w:val="auto"/>
                <w:szCs w:val="24"/>
                <w:highlight w:val="none"/>
              </w:rPr>
              <w:t>地面清洁用水：项目地面需每天清洁一次。项目采取拖把保洁方式，不直接冲洗车间地面，地面清洁用水量约为</w:t>
            </w:r>
            <w:r>
              <w:rPr>
                <w:rFonts w:hint="eastAsia" w:cs="Times New Roman"/>
                <w:color w:val="auto"/>
                <w:szCs w:val="24"/>
                <w:highlight w:val="none"/>
              </w:rPr>
              <w:t>18</w:t>
            </w:r>
            <w:r>
              <w:rPr>
                <w:rFonts w:cs="Times New Roman"/>
                <w:color w:val="auto"/>
                <w:szCs w:val="24"/>
                <w:highlight w:val="none"/>
              </w:rPr>
              <w:t>m</w:t>
            </w:r>
            <w:r>
              <w:rPr>
                <w:rFonts w:cs="Times New Roman"/>
                <w:color w:val="auto"/>
                <w:szCs w:val="24"/>
                <w:highlight w:val="none"/>
                <w:vertAlign w:val="superscript"/>
              </w:rPr>
              <w:t>3</w:t>
            </w:r>
            <w:r>
              <w:rPr>
                <w:rFonts w:cs="Times New Roman"/>
                <w:color w:val="auto"/>
                <w:szCs w:val="24"/>
                <w:highlight w:val="none"/>
              </w:rPr>
              <w:t>/a，来自新鲜水。</w:t>
            </w:r>
          </w:p>
          <w:p>
            <w:pPr>
              <w:pStyle w:val="34"/>
              <w:rPr>
                <w:rFonts w:cs="Times New Roman"/>
                <w:color w:val="auto"/>
                <w:szCs w:val="24"/>
                <w:highlight w:val="none"/>
              </w:rPr>
            </w:pPr>
            <w:r>
              <w:rPr>
                <w:rFonts w:cs="Times New Roman"/>
                <w:color w:val="auto"/>
                <w:szCs w:val="24"/>
                <w:highlight w:val="none"/>
              </w:rPr>
              <w:t>综上，本项目新鲜水用量</w:t>
            </w:r>
            <w:r>
              <w:rPr>
                <w:rFonts w:hint="eastAsia" w:cs="Times New Roman"/>
                <w:color w:val="auto"/>
                <w:szCs w:val="24"/>
                <w:highlight w:val="none"/>
              </w:rPr>
              <w:t>为</w:t>
            </w:r>
            <w:r>
              <w:rPr>
                <w:rFonts w:hint="eastAsia" w:cs="Times New Roman"/>
                <w:color w:val="auto"/>
                <w:highlight w:val="none"/>
              </w:rPr>
              <w:t>429.46</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w:t>
            </w:r>
            <w:r>
              <w:rPr>
                <w:rFonts w:hint="eastAsia" w:cs="Times New Roman"/>
                <w:color w:val="auto"/>
                <w:highlight w:val="none"/>
              </w:rPr>
              <w:t>a</w:t>
            </w:r>
            <w:r>
              <w:rPr>
                <w:rFonts w:cs="Times New Roman"/>
                <w:color w:val="auto"/>
                <w:szCs w:val="24"/>
                <w:highlight w:val="none"/>
              </w:rPr>
              <w:t>，由当地自来水管网提供</w:t>
            </w:r>
            <w:r>
              <w:rPr>
                <w:rFonts w:hint="eastAsia" w:cs="Times New Roman"/>
                <w:color w:val="auto"/>
                <w:szCs w:val="24"/>
                <w:highlight w:val="none"/>
              </w:rPr>
              <w:t>；外购纯净水用量为2.46</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w:t>
            </w:r>
            <w:r>
              <w:rPr>
                <w:rFonts w:hint="eastAsia" w:cs="Times New Roman"/>
                <w:color w:val="auto"/>
                <w:highlight w:val="none"/>
              </w:rPr>
              <w:t>a</w:t>
            </w:r>
            <w:r>
              <w:rPr>
                <w:rFonts w:hint="eastAsia" w:cs="Times New Roman"/>
                <w:color w:val="auto"/>
                <w:szCs w:val="24"/>
                <w:highlight w:val="none"/>
              </w:rPr>
              <w:t>。</w:t>
            </w:r>
          </w:p>
          <w:p>
            <w:pPr>
              <w:ind w:firstLine="480"/>
              <w:rPr>
                <w:color w:val="auto"/>
                <w:highlight w:val="none"/>
              </w:rPr>
            </w:pPr>
            <w:r>
              <w:rPr>
                <w:rFonts w:hint="eastAsia"/>
                <w:color w:val="auto"/>
                <w:highlight w:val="none"/>
              </w:rPr>
              <w:t>（2）</w:t>
            </w:r>
            <w:r>
              <w:rPr>
                <w:color w:val="auto"/>
                <w:highlight w:val="none"/>
              </w:rPr>
              <w:t>排水</w:t>
            </w:r>
            <w:r>
              <w:rPr>
                <w:rFonts w:hint="eastAsia"/>
                <w:color w:val="auto"/>
                <w:highlight w:val="none"/>
              </w:rPr>
              <w:t>：本项目产生的废水主要为生活污水、实验废水（实验后</w:t>
            </w:r>
            <w:r>
              <w:rPr>
                <w:color w:val="auto"/>
                <w:highlight w:val="none"/>
              </w:rPr>
              <w:t>器皿前两次清洗</w:t>
            </w:r>
            <w:r>
              <w:rPr>
                <w:rFonts w:hint="eastAsia"/>
                <w:color w:val="auto"/>
                <w:highlight w:val="none"/>
              </w:rPr>
              <w:t>废</w:t>
            </w:r>
            <w:r>
              <w:rPr>
                <w:color w:val="auto"/>
                <w:highlight w:val="none"/>
              </w:rPr>
              <w:t>水</w:t>
            </w:r>
            <w:r>
              <w:rPr>
                <w:rFonts w:hint="eastAsia"/>
                <w:color w:val="auto"/>
                <w:highlight w:val="none"/>
              </w:rPr>
              <w:t>、实验后器皿</w:t>
            </w:r>
            <w:r>
              <w:rPr>
                <w:color w:val="auto"/>
                <w:highlight w:val="none"/>
              </w:rPr>
              <w:t>两次</w:t>
            </w:r>
            <w:r>
              <w:rPr>
                <w:rFonts w:hint="eastAsia"/>
                <w:color w:val="auto"/>
                <w:highlight w:val="none"/>
              </w:rPr>
              <w:t>清洗后</w:t>
            </w:r>
            <w:r>
              <w:rPr>
                <w:color w:val="auto"/>
                <w:highlight w:val="none"/>
              </w:rPr>
              <w:t>清洗</w:t>
            </w:r>
            <w:r>
              <w:rPr>
                <w:rFonts w:hint="eastAsia"/>
                <w:color w:val="auto"/>
                <w:highlight w:val="none"/>
              </w:rPr>
              <w:t>废水、实验废液）、环保设备排污水、地面清洁废水。</w:t>
            </w:r>
          </w:p>
          <w:p>
            <w:pPr>
              <w:ind w:firstLine="480"/>
              <w:rPr>
                <w:color w:val="auto"/>
                <w:highlight w:val="none"/>
              </w:rPr>
            </w:pPr>
            <w:r>
              <w:rPr>
                <w:rFonts w:hint="eastAsia"/>
                <w:color w:val="auto"/>
                <w:highlight w:val="none"/>
              </w:rPr>
              <w:t>1）生活污水：主要为员工盥洗和冲厕废水，</w:t>
            </w:r>
            <w:r>
              <w:rPr>
                <w:color w:val="auto"/>
                <w:highlight w:val="none"/>
              </w:rPr>
              <w:t>生活污水产生量为</w:t>
            </w:r>
            <w:r>
              <w:rPr>
                <w:rFonts w:hint="eastAsia"/>
                <w:color w:val="auto"/>
                <w:highlight w:val="none"/>
              </w:rPr>
              <w:t>300</w:t>
            </w:r>
            <w:r>
              <w:rPr>
                <w:color w:val="auto"/>
                <w:highlight w:val="none"/>
              </w:rPr>
              <w:t>m</w:t>
            </w:r>
            <w:r>
              <w:rPr>
                <w:color w:val="auto"/>
                <w:highlight w:val="none"/>
                <w:vertAlign w:val="superscript"/>
              </w:rPr>
              <w:t>3</w:t>
            </w:r>
            <w:r>
              <w:rPr>
                <w:color w:val="auto"/>
                <w:highlight w:val="none"/>
              </w:rPr>
              <w:t>/a。</w:t>
            </w:r>
          </w:p>
          <w:p>
            <w:pPr>
              <w:pStyle w:val="34"/>
              <w:rPr>
                <w:rFonts w:cs="Times New Roman"/>
                <w:color w:val="auto"/>
                <w:szCs w:val="24"/>
                <w:highlight w:val="none"/>
              </w:rPr>
            </w:pPr>
            <w:r>
              <w:rPr>
                <w:rFonts w:hint="eastAsia" w:cs="Times New Roman"/>
                <w:color w:val="auto"/>
                <w:szCs w:val="24"/>
                <w:highlight w:val="none"/>
              </w:rPr>
              <w:t>2）实验废水：</w:t>
            </w:r>
          </w:p>
          <w:p>
            <w:pPr>
              <w:pStyle w:val="34"/>
              <w:rPr>
                <w:rFonts w:cs="Times New Roman"/>
                <w:color w:val="auto"/>
                <w:szCs w:val="24"/>
                <w:highlight w:val="none"/>
              </w:rPr>
            </w:pPr>
            <w:r>
              <w:rPr>
                <w:rFonts w:hint="eastAsia" w:cs="Times New Roman"/>
                <w:color w:val="auto"/>
                <w:szCs w:val="24"/>
                <w:highlight w:val="none"/>
              </w:rPr>
              <w:t>①实验后</w:t>
            </w:r>
            <w:r>
              <w:rPr>
                <w:rFonts w:cs="Times New Roman"/>
                <w:color w:val="auto"/>
                <w:szCs w:val="24"/>
                <w:highlight w:val="none"/>
              </w:rPr>
              <w:t>器皿前两次清洗</w:t>
            </w:r>
            <w:r>
              <w:rPr>
                <w:rFonts w:hint="eastAsia" w:cs="Times New Roman"/>
                <w:color w:val="auto"/>
                <w:szCs w:val="24"/>
                <w:highlight w:val="none"/>
              </w:rPr>
              <w:t>废</w:t>
            </w:r>
            <w:r>
              <w:rPr>
                <w:rFonts w:cs="Times New Roman"/>
                <w:color w:val="auto"/>
                <w:szCs w:val="24"/>
                <w:highlight w:val="none"/>
              </w:rPr>
              <w:t>水</w:t>
            </w:r>
            <w:r>
              <w:rPr>
                <w:rFonts w:hint="eastAsia" w:cs="Times New Roman"/>
                <w:color w:val="auto"/>
                <w:szCs w:val="24"/>
                <w:highlight w:val="none"/>
              </w:rPr>
              <w:t>：由于器皿等前两次清洗过程中含高浓度试剂，产生量为</w:t>
            </w:r>
            <w:r>
              <w:rPr>
                <w:rFonts w:hint="eastAsia" w:cs="Times New Roman"/>
                <w:color w:val="auto"/>
                <w:highlight w:val="none"/>
              </w:rPr>
              <w:t>2.21</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w:t>
            </w:r>
            <w:r>
              <w:rPr>
                <w:rFonts w:hint="eastAsia" w:cs="Times New Roman"/>
                <w:color w:val="auto"/>
                <w:highlight w:val="none"/>
              </w:rPr>
              <w:t>a，属于危险废物，收集后</w:t>
            </w:r>
            <w:r>
              <w:rPr>
                <w:rFonts w:hint="eastAsia" w:cs="Times New Roman"/>
                <w:color w:val="auto"/>
                <w:szCs w:val="24"/>
                <w:highlight w:val="none"/>
              </w:rPr>
              <w:t>暂存于危废间，委托山东朋光环保科技有限公司处理。</w:t>
            </w:r>
          </w:p>
          <w:p>
            <w:pPr>
              <w:pStyle w:val="34"/>
              <w:rPr>
                <w:rFonts w:cs="Times New Roman"/>
                <w:color w:val="auto"/>
                <w:szCs w:val="24"/>
                <w:highlight w:val="none"/>
              </w:rPr>
            </w:pPr>
            <w:r>
              <w:rPr>
                <w:rFonts w:hint="eastAsia" w:cs="Times New Roman"/>
                <w:color w:val="auto"/>
                <w:szCs w:val="24"/>
                <w:highlight w:val="none"/>
              </w:rPr>
              <w:t>②实验后器皿</w:t>
            </w:r>
            <w:r>
              <w:rPr>
                <w:rFonts w:cs="Times New Roman"/>
                <w:color w:val="auto"/>
                <w:szCs w:val="24"/>
                <w:highlight w:val="none"/>
              </w:rPr>
              <w:t>两次</w:t>
            </w:r>
            <w:r>
              <w:rPr>
                <w:rFonts w:hint="eastAsia" w:cs="Times New Roman"/>
                <w:color w:val="auto"/>
                <w:szCs w:val="24"/>
                <w:highlight w:val="none"/>
              </w:rPr>
              <w:t>清洗后</w:t>
            </w:r>
            <w:r>
              <w:rPr>
                <w:rFonts w:cs="Times New Roman"/>
                <w:color w:val="auto"/>
                <w:szCs w:val="24"/>
                <w:highlight w:val="none"/>
              </w:rPr>
              <w:t>清洗</w:t>
            </w:r>
            <w:r>
              <w:rPr>
                <w:rFonts w:hint="eastAsia" w:cs="Times New Roman"/>
                <w:color w:val="auto"/>
                <w:szCs w:val="24"/>
                <w:highlight w:val="none"/>
              </w:rPr>
              <w:t>废水：主要含低浓度的试剂，</w:t>
            </w:r>
            <w:r>
              <w:rPr>
                <w:rFonts w:cs="Times New Roman"/>
                <w:color w:val="auto"/>
                <w:szCs w:val="24"/>
                <w:highlight w:val="none"/>
              </w:rPr>
              <w:t>产生量为</w:t>
            </w:r>
            <w:r>
              <w:rPr>
                <w:rFonts w:hint="eastAsia" w:cs="Times New Roman"/>
                <w:color w:val="auto"/>
                <w:highlight w:val="none"/>
              </w:rPr>
              <w:t>1.11</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w:t>
            </w:r>
            <w:r>
              <w:rPr>
                <w:rFonts w:hint="eastAsia" w:cs="Times New Roman"/>
                <w:color w:val="auto"/>
                <w:highlight w:val="none"/>
              </w:rPr>
              <w:t>a</w:t>
            </w:r>
            <w:r>
              <w:rPr>
                <w:rFonts w:hint="eastAsia" w:cs="Times New Roman"/>
                <w:color w:val="auto"/>
                <w:szCs w:val="24"/>
                <w:highlight w:val="none"/>
              </w:rPr>
              <w:t>。</w:t>
            </w:r>
          </w:p>
          <w:p>
            <w:pPr>
              <w:pStyle w:val="34"/>
              <w:rPr>
                <w:rFonts w:cs="Times New Roman"/>
                <w:color w:val="auto"/>
                <w:szCs w:val="24"/>
                <w:highlight w:val="none"/>
              </w:rPr>
            </w:pPr>
            <w:r>
              <w:rPr>
                <w:rFonts w:hint="eastAsia" w:cs="Times New Roman"/>
                <w:color w:val="auto"/>
                <w:szCs w:val="24"/>
                <w:highlight w:val="none"/>
              </w:rPr>
              <w:t>③实验配制废水：实验废液产生量约为</w:t>
            </w:r>
            <w:r>
              <w:rPr>
                <w:rFonts w:hint="eastAsia" w:cs="Times New Roman"/>
                <w:color w:val="auto"/>
                <w:highlight w:val="none"/>
              </w:rPr>
              <w:t>1.23</w:t>
            </w:r>
            <w:r>
              <w:rPr>
                <w:rFonts w:cs="Times New Roman"/>
                <w:color w:val="auto"/>
                <w:highlight w:val="none"/>
              </w:rPr>
              <w:t>m</w:t>
            </w:r>
            <w:r>
              <w:rPr>
                <w:rFonts w:cs="Times New Roman"/>
                <w:color w:val="auto"/>
                <w:highlight w:val="none"/>
                <w:vertAlign w:val="superscript"/>
              </w:rPr>
              <w:t>3</w:t>
            </w:r>
            <w:r>
              <w:rPr>
                <w:rFonts w:cs="Times New Roman"/>
                <w:color w:val="auto"/>
                <w:highlight w:val="none"/>
              </w:rPr>
              <w:t>/</w:t>
            </w:r>
            <w:r>
              <w:rPr>
                <w:rFonts w:hint="eastAsia" w:cs="Times New Roman"/>
                <w:color w:val="auto"/>
                <w:highlight w:val="none"/>
              </w:rPr>
              <w:t>a</w:t>
            </w:r>
            <w:r>
              <w:rPr>
                <w:rFonts w:hint="eastAsia" w:cs="Times New Roman"/>
                <w:color w:val="auto"/>
                <w:szCs w:val="24"/>
                <w:highlight w:val="none"/>
              </w:rPr>
              <w:t>，</w:t>
            </w:r>
            <w:r>
              <w:rPr>
                <w:rFonts w:hint="eastAsia" w:cs="Times New Roman"/>
                <w:color w:val="auto"/>
                <w:highlight w:val="none"/>
              </w:rPr>
              <w:t>属于危险废物，收集后</w:t>
            </w:r>
            <w:r>
              <w:rPr>
                <w:rFonts w:hint="eastAsia" w:cs="Times New Roman"/>
                <w:color w:val="auto"/>
                <w:szCs w:val="24"/>
                <w:highlight w:val="none"/>
              </w:rPr>
              <w:t>暂存于危废间，委托山东朋光环保科技有限公司处理。</w:t>
            </w:r>
          </w:p>
          <w:p>
            <w:pPr>
              <w:pStyle w:val="34"/>
              <w:rPr>
                <w:rFonts w:cs="Times New Roman"/>
                <w:color w:val="auto"/>
                <w:szCs w:val="24"/>
                <w:highlight w:val="none"/>
              </w:rPr>
            </w:pPr>
            <w:r>
              <w:rPr>
                <w:rFonts w:hint="eastAsia" w:cs="Times New Roman"/>
                <w:color w:val="auto"/>
                <w:szCs w:val="24"/>
                <w:highlight w:val="none"/>
              </w:rPr>
              <w:t>3）环保设备排污水：项目废气处理装置碱</w:t>
            </w:r>
            <w:r>
              <w:rPr>
                <w:rFonts w:cs="Times New Roman"/>
                <w:color w:val="auto"/>
                <w:szCs w:val="24"/>
                <w:highlight w:val="none"/>
              </w:rPr>
              <w:t>喷淋塔使用一定期限后需进行更换，喷淋塔配置的水池容量约为1.0m</w:t>
            </w:r>
            <w:r>
              <w:rPr>
                <w:rFonts w:cs="Times New Roman"/>
                <w:color w:val="auto"/>
                <w:szCs w:val="24"/>
                <w:highlight w:val="none"/>
                <w:vertAlign w:val="superscript"/>
              </w:rPr>
              <w:t>3</w:t>
            </w:r>
            <w:r>
              <w:rPr>
                <w:rFonts w:cs="Times New Roman"/>
                <w:color w:val="auto"/>
                <w:szCs w:val="24"/>
                <w:highlight w:val="none"/>
              </w:rPr>
              <w:t>，</w:t>
            </w:r>
            <w:r>
              <w:rPr>
                <w:rFonts w:cs="Times New Roman"/>
                <w:color w:val="auto"/>
                <w:highlight w:val="none"/>
              </w:rPr>
              <w:t>每套喷淋装置平均</w:t>
            </w:r>
            <w:r>
              <w:rPr>
                <w:rFonts w:hint="eastAsia" w:cs="Times New Roman"/>
                <w:color w:val="auto"/>
                <w:highlight w:val="none"/>
              </w:rPr>
              <w:t>3个月</w:t>
            </w:r>
            <w:r>
              <w:rPr>
                <w:rFonts w:cs="Times New Roman"/>
                <w:color w:val="auto"/>
                <w:highlight w:val="none"/>
              </w:rPr>
              <w:t>更换一次喷淋水</w:t>
            </w:r>
            <w:r>
              <w:rPr>
                <w:rFonts w:cs="Times New Roman"/>
                <w:color w:val="auto"/>
                <w:szCs w:val="24"/>
                <w:highlight w:val="none"/>
              </w:rPr>
              <w:t>，则喷淋装置总</w:t>
            </w:r>
            <w:r>
              <w:rPr>
                <w:rFonts w:hint="eastAsia" w:cs="Times New Roman"/>
                <w:color w:val="auto"/>
                <w:szCs w:val="24"/>
                <w:highlight w:val="none"/>
              </w:rPr>
              <w:t>排污</w:t>
            </w:r>
            <w:r>
              <w:rPr>
                <w:rFonts w:cs="Times New Roman"/>
                <w:color w:val="auto"/>
                <w:szCs w:val="24"/>
                <w:highlight w:val="none"/>
              </w:rPr>
              <w:t>水量为</w:t>
            </w:r>
            <w:r>
              <w:rPr>
                <w:rFonts w:hint="eastAsia" w:cs="Times New Roman"/>
                <w:color w:val="auto"/>
                <w:szCs w:val="24"/>
                <w:highlight w:val="none"/>
              </w:rPr>
              <w:t>4</w:t>
            </w:r>
            <w:r>
              <w:rPr>
                <w:rFonts w:cs="Times New Roman"/>
                <w:color w:val="auto"/>
                <w:szCs w:val="24"/>
                <w:highlight w:val="none"/>
              </w:rPr>
              <w:t>m</w:t>
            </w:r>
            <w:r>
              <w:rPr>
                <w:rFonts w:cs="Times New Roman"/>
                <w:color w:val="auto"/>
                <w:szCs w:val="24"/>
                <w:highlight w:val="none"/>
                <w:vertAlign w:val="superscript"/>
              </w:rPr>
              <w:t>3</w:t>
            </w:r>
            <w:r>
              <w:rPr>
                <w:rFonts w:cs="Times New Roman"/>
                <w:color w:val="auto"/>
                <w:szCs w:val="24"/>
                <w:highlight w:val="none"/>
              </w:rPr>
              <w:t>/a</w:t>
            </w:r>
            <w:r>
              <w:rPr>
                <w:rFonts w:hint="eastAsia" w:cs="Times New Roman"/>
                <w:color w:val="auto"/>
                <w:highlight w:val="none"/>
              </w:rPr>
              <w:t>。</w:t>
            </w:r>
          </w:p>
          <w:p>
            <w:pPr>
              <w:pStyle w:val="34"/>
              <w:rPr>
                <w:rFonts w:cs="Times New Roman"/>
                <w:color w:val="auto"/>
                <w:szCs w:val="24"/>
                <w:highlight w:val="none"/>
              </w:rPr>
            </w:pPr>
            <w:r>
              <w:rPr>
                <w:rFonts w:hint="eastAsia" w:cs="Times New Roman"/>
                <w:color w:val="auto"/>
                <w:szCs w:val="24"/>
                <w:highlight w:val="none"/>
              </w:rPr>
              <w:t>4）地面清洁废水：</w:t>
            </w:r>
            <w:r>
              <w:rPr>
                <w:rFonts w:cs="Times New Roman"/>
                <w:color w:val="auto"/>
                <w:szCs w:val="24"/>
                <w:highlight w:val="none"/>
              </w:rPr>
              <w:t>地面清洁废水产生量约为</w:t>
            </w:r>
            <w:r>
              <w:rPr>
                <w:rFonts w:hint="eastAsia" w:cs="Times New Roman"/>
                <w:color w:val="auto"/>
                <w:szCs w:val="24"/>
                <w:highlight w:val="none"/>
              </w:rPr>
              <w:t>14.4</w:t>
            </w:r>
            <w:r>
              <w:rPr>
                <w:rFonts w:cs="Times New Roman"/>
                <w:color w:val="auto"/>
                <w:szCs w:val="24"/>
                <w:highlight w:val="none"/>
              </w:rPr>
              <w:t>m</w:t>
            </w:r>
            <w:r>
              <w:rPr>
                <w:rFonts w:cs="Times New Roman"/>
                <w:color w:val="auto"/>
                <w:szCs w:val="24"/>
                <w:highlight w:val="none"/>
                <w:vertAlign w:val="superscript"/>
              </w:rPr>
              <w:t>3</w:t>
            </w:r>
            <w:r>
              <w:rPr>
                <w:rFonts w:cs="Times New Roman"/>
                <w:color w:val="auto"/>
                <w:szCs w:val="24"/>
                <w:highlight w:val="none"/>
              </w:rPr>
              <w:t>/a。</w:t>
            </w:r>
          </w:p>
          <w:p>
            <w:pPr>
              <w:ind w:firstLine="480"/>
              <w:rPr>
                <w:color w:val="auto"/>
                <w:highlight w:val="none"/>
              </w:rPr>
            </w:pPr>
            <w:r>
              <w:rPr>
                <w:rFonts w:hint="eastAsia"/>
                <w:color w:val="auto"/>
                <w:highlight w:val="none"/>
              </w:rPr>
              <w:t>综上，项目产生的生活污水、实验后器皿</w:t>
            </w:r>
            <w:r>
              <w:rPr>
                <w:color w:val="auto"/>
                <w:highlight w:val="none"/>
              </w:rPr>
              <w:t>两次</w:t>
            </w:r>
            <w:r>
              <w:rPr>
                <w:rFonts w:hint="eastAsia"/>
                <w:color w:val="auto"/>
                <w:highlight w:val="none"/>
              </w:rPr>
              <w:t>清洗后</w:t>
            </w:r>
            <w:r>
              <w:rPr>
                <w:color w:val="auto"/>
                <w:highlight w:val="none"/>
              </w:rPr>
              <w:t>清洗</w:t>
            </w:r>
            <w:r>
              <w:rPr>
                <w:rFonts w:hint="eastAsia"/>
                <w:color w:val="auto"/>
                <w:highlight w:val="none"/>
              </w:rPr>
              <w:t>废水、</w:t>
            </w:r>
            <w:r>
              <w:rPr>
                <w:rFonts w:hint="eastAsia"/>
                <w:color w:val="auto"/>
                <w:highlight w:val="none"/>
                <w:lang w:eastAsia="zh-CN"/>
              </w:rPr>
              <w:t>环保设备排污水、地面清洁废水，均经收集池收集后满足银丰国际生物城污水处理站进水水质标准后，排入银丰国际生物城污水处理站处理</w:t>
            </w:r>
            <w:r>
              <w:rPr>
                <w:color w:val="auto"/>
                <w:highlight w:val="none"/>
              </w:rPr>
              <w:t>，满足《污水排入城镇下水道水质标准》（GB/T31962-2015）</w:t>
            </w:r>
            <w:r>
              <w:rPr>
                <w:rFonts w:hint="eastAsia"/>
                <w:color w:val="auto"/>
                <w:highlight w:val="none"/>
                <w:lang w:eastAsia="zh-CN"/>
              </w:rPr>
              <w:t>A级</w:t>
            </w:r>
            <w:r>
              <w:rPr>
                <w:color w:val="auto"/>
                <w:highlight w:val="none"/>
              </w:rPr>
              <w:t>标准后</w:t>
            </w:r>
            <w:r>
              <w:rPr>
                <w:rFonts w:hint="eastAsia"/>
                <w:color w:val="auto"/>
                <w:highlight w:val="none"/>
              </w:rPr>
              <w:t>通过</w:t>
            </w:r>
            <w:r>
              <w:rPr>
                <w:color w:val="auto"/>
                <w:highlight w:val="none"/>
              </w:rPr>
              <w:t>市政管网</w:t>
            </w:r>
            <w:r>
              <w:rPr>
                <w:rFonts w:hint="eastAsia"/>
                <w:color w:val="auto"/>
                <w:highlight w:val="none"/>
              </w:rPr>
              <w:t>排入</w:t>
            </w:r>
            <w:r>
              <w:rPr>
                <w:color w:val="auto"/>
                <w:highlight w:val="none"/>
              </w:rPr>
              <w:t>巨野河污水处理厂</w:t>
            </w:r>
            <w:r>
              <w:rPr>
                <w:rFonts w:hint="eastAsia"/>
                <w:color w:val="auto"/>
                <w:highlight w:val="none"/>
              </w:rPr>
              <w:t>处理达标后</w:t>
            </w:r>
            <w:r>
              <w:rPr>
                <w:bCs/>
                <w:color w:val="auto"/>
                <w:highlight w:val="none"/>
              </w:rPr>
              <w:t>，经</w:t>
            </w:r>
            <w:r>
              <w:rPr>
                <w:rFonts w:hint="eastAsia"/>
                <w:bCs/>
                <w:color w:val="auto"/>
                <w:highlight w:val="none"/>
              </w:rPr>
              <w:t>西</w:t>
            </w:r>
            <w:r>
              <w:rPr>
                <w:bCs/>
                <w:color w:val="auto"/>
                <w:highlight w:val="none"/>
              </w:rPr>
              <w:t>巨野河排入小清河</w:t>
            </w:r>
            <w:r>
              <w:rPr>
                <w:rFonts w:hint="eastAsia"/>
                <w:color w:val="auto"/>
                <w:highlight w:val="none"/>
              </w:rPr>
              <w:t>。</w:t>
            </w:r>
          </w:p>
          <w:p>
            <w:pPr>
              <w:pStyle w:val="34"/>
              <w:ind w:firstLine="476"/>
              <w:rPr>
                <w:rFonts w:cs="Times New Roman"/>
                <w:color w:val="auto"/>
                <w:spacing w:val="-1"/>
                <w:highlight w:val="none"/>
              </w:rPr>
            </w:pPr>
            <w:r>
              <w:rPr>
                <w:rFonts w:cs="Times New Roman"/>
                <w:color w:val="auto"/>
                <w:spacing w:val="-1"/>
                <w:highlight w:val="none"/>
              </w:rPr>
              <w:t>项目水平衡图见图 2-1。</w:t>
            </w:r>
          </w:p>
          <w:p>
            <w:pPr>
              <w:pStyle w:val="34"/>
              <w:ind w:firstLine="0" w:firstLineChars="0"/>
              <w:jc w:val="center"/>
              <w:rPr>
                <w:color w:val="auto"/>
                <w:highlight w:val="none"/>
              </w:rPr>
            </w:pPr>
            <w:r>
              <w:rPr>
                <w:color w:val="auto"/>
                <w:highlight w:val="none"/>
              </w:rPr>
              <w:pict>
                <v:shape id="_x0000_i1025" o:spt="75" alt="未命名文件(45)(1)" type="#_x0000_t75" style="height:371.5pt;width:446pt;" filled="f" o:preferrelative="t" stroked="f" coordsize="21600,21600">
                  <v:path/>
                  <v:fill on="f" focussize="0,0"/>
                  <v:stroke on="f" joinstyle="miter"/>
                  <v:imagedata r:id="rId8" o:title="未命名文件(45)(1)"/>
                  <o:lock v:ext="edit" aspectratio="t"/>
                  <w10:wrap type="none"/>
                  <w10:anchorlock/>
                </v:shape>
              </w:pict>
            </w:r>
          </w:p>
          <w:p>
            <w:pPr>
              <w:pStyle w:val="34"/>
              <w:ind w:firstLine="0" w:firstLineChars="0"/>
              <w:jc w:val="center"/>
              <w:rPr>
                <w:rFonts w:cs="Times New Roman"/>
                <w:b/>
                <w:bCs/>
                <w:color w:val="auto"/>
                <w:spacing w:val="-1"/>
                <w:highlight w:val="none"/>
              </w:rPr>
            </w:pPr>
            <w:r>
              <w:rPr>
                <w:rFonts w:cs="Times New Roman"/>
                <w:b/>
                <w:bCs/>
                <w:color w:val="auto"/>
                <w:spacing w:val="-1"/>
                <w:highlight w:val="none"/>
              </w:rPr>
              <w:t>图2-1  项目水平衡图（单位：m</w:t>
            </w:r>
            <w:r>
              <w:rPr>
                <w:rFonts w:cs="Times New Roman"/>
                <w:b/>
                <w:bCs/>
                <w:color w:val="auto"/>
                <w:spacing w:val="-1"/>
                <w:highlight w:val="none"/>
                <w:vertAlign w:val="superscript"/>
              </w:rPr>
              <w:t>3/</w:t>
            </w:r>
            <w:r>
              <w:rPr>
                <w:rFonts w:cs="Times New Roman"/>
                <w:b/>
                <w:bCs/>
                <w:color w:val="auto"/>
                <w:spacing w:val="-1"/>
                <w:highlight w:val="none"/>
              </w:rPr>
              <w:t>a）</w:t>
            </w:r>
          </w:p>
          <w:p>
            <w:pPr>
              <w:ind w:firstLine="480"/>
              <w:jc w:val="left"/>
              <w:rPr>
                <w:color w:val="auto"/>
                <w:highlight w:val="none"/>
              </w:rPr>
            </w:pPr>
            <w:r>
              <w:rPr>
                <w:color w:val="auto"/>
                <w:highlight w:val="none"/>
              </w:rPr>
              <w:t>（3）供电：本项目由济南市高新区电网提供。</w:t>
            </w:r>
          </w:p>
          <w:p>
            <w:pPr>
              <w:adjustRightInd w:val="0"/>
              <w:snapToGrid w:val="0"/>
              <w:ind w:firstLine="480"/>
              <w:rPr>
                <w:color w:val="auto"/>
                <w:highlight w:val="none"/>
              </w:rPr>
            </w:pPr>
            <w:r>
              <w:rPr>
                <w:color w:val="auto"/>
                <w:highlight w:val="none"/>
              </w:rPr>
              <w:t>（4）供热：本项目冬天采用电空调采暖，夏天采用电风扇、电空调制冷。</w:t>
            </w:r>
          </w:p>
          <w:p>
            <w:pPr>
              <w:pStyle w:val="34"/>
              <w:spacing w:line="240" w:lineRule="auto"/>
              <w:ind w:firstLine="476" w:firstLineChars="0"/>
              <w:rPr>
                <w:rFonts w:cs="Times New Roman"/>
                <w:b/>
                <w:bCs/>
                <w:color w:val="auto"/>
                <w:spacing w:val="-1"/>
                <w:highlight w:val="none"/>
              </w:rPr>
            </w:pPr>
            <w:r>
              <w:rPr>
                <w:rFonts w:cs="Times New Roman"/>
                <w:b/>
                <w:bCs/>
                <w:color w:val="auto"/>
                <w:spacing w:val="-1"/>
                <w:highlight w:val="none"/>
              </w:rPr>
              <w:t>3、劳动定员及工作制度</w:t>
            </w:r>
          </w:p>
          <w:p>
            <w:pPr>
              <w:pStyle w:val="34"/>
              <w:rPr>
                <w:rFonts w:cs="Times New Roman"/>
                <w:color w:val="auto"/>
                <w:szCs w:val="24"/>
                <w:highlight w:val="none"/>
              </w:rPr>
            </w:pPr>
            <w:r>
              <w:rPr>
                <w:rFonts w:cs="Times New Roman"/>
                <w:color w:val="auto"/>
                <w:szCs w:val="24"/>
                <w:highlight w:val="none"/>
              </w:rPr>
              <w:t>本项目职工定员</w:t>
            </w:r>
            <w:r>
              <w:rPr>
                <w:rFonts w:hint="eastAsia" w:cs="Times New Roman"/>
                <w:color w:val="auto"/>
                <w:szCs w:val="24"/>
                <w:highlight w:val="none"/>
              </w:rPr>
              <w:t>25</w:t>
            </w:r>
            <w:r>
              <w:rPr>
                <w:rFonts w:cs="Times New Roman"/>
                <w:color w:val="auto"/>
                <w:szCs w:val="24"/>
                <w:highlight w:val="none"/>
              </w:rPr>
              <w:t>人，每天工作8小时，年工作300天，年工作时间2400小时，夜间不生产。</w:t>
            </w:r>
          </w:p>
          <w:p>
            <w:pPr>
              <w:pStyle w:val="34"/>
              <w:ind w:firstLine="476" w:firstLineChars="0"/>
              <w:rPr>
                <w:rFonts w:cs="Times New Roman"/>
                <w:b/>
                <w:bCs/>
                <w:color w:val="auto"/>
                <w:spacing w:val="-1"/>
                <w:highlight w:val="none"/>
              </w:rPr>
            </w:pPr>
            <w:r>
              <w:rPr>
                <w:rFonts w:cs="Times New Roman"/>
                <w:b/>
                <w:bCs/>
                <w:color w:val="auto"/>
                <w:spacing w:val="-1"/>
                <w:highlight w:val="none"/>
              </w:rPr>
              <w:t>4、工程投资</w:t>
            </w:r>
          </w:p>
          <w:p>
            <w:pPr>
              <w:pStyle w:val="34"/>
              <w:ind w:firstLine="476"/>
              <w:rPr>
                <w:rFonts w:cs="Times New Roman"/>
                <w:color w:val="auto"/>
                <w:spacing w:val="-1"/>
                <w:highlight w:val="none"/>
              </w:rPr>
            </w:pPr>
            <w:r>
              <w:rPr>
                <w:rFonts w:cs="Times New Roman"/>
                <w:color w:val="auto"/>
                <w:spacing w:val="-1"/>
                <w:highlight w:val="none"/>
              </w:rPr>
              <w:t>本项目总投资</w:t>
            </w:r>
            <w:r>
              <w:rPr>
                <w:rFonts w:hint="eastAsia" w:cs="Times New Roman"/>
                <w:color w:val="auto"/>
                <w:spacing w:val="-1"/>
                <w:highlight w:val="none"/>
              </w:rPr>
              <w:t>1300</w:t>
            </w:r>
            <w:r>
              <w:rPr>
                <w:rFonts w:cs="Times New Roman"/>
                <w:color w:val="auto"/>
                <w:spacing w:val="-1"/>
                <w:highlight w:val="none"/>
              </w:rPr>
              <w:t>万元，其中环保投资</w:t>
            </w:r>
            <w:r>
              <w:rPr>
                <w:rFonts w:hint="eastAsia" w:cs="Times New Roman"/>
                <w:color w:val="auto"/>
                <w:spacing w:val="-1"/>
                <w:highlight w:val="none"/>
              </w:rPr>
              <w:t>20</w:t>
            </w:r>
            <w:r>
              <w:rPr>
                <w:rFonts w:cs="Times New Roman"/>
                <w:color w:val="auto"/>
                <w:spacing w:val="-1"/>
                <w:highlight w:val="none"/>
              </w:rPr>
              <w:t>万元，占总投资的</w:t>
            </w:r>
            <w:r>
              <w:rPr>
                <w:rFonts w:hint="eastAsia" w:cs="Times New Roman"/>
                <w:color w:val="auto"/>
                <w:spacing w:val="-1"/>
                <w:highlight w:val="none"/>
              </w:rPr>
              <w:t>1.5</w:t>
            </w:r>
            <w:r>
              <w:rPr>
                <w:rFonts w:cs="Times New Roman"/>
                <w:color w:val="auto"/>
                <w:spacing w:val="-1"/>
                <w:highlight w:val="none"/>
              </w:rPr>
              <w:t>%。</w:t>
            </w:r>
          </w:p>
          <w:p>
            <w:pPr>
              <w:pStyle w:val="34"/>
              <w:ind w:firstLine="476" w:firstLineChars="0"/>
              <w:rPr>
                <w:rFonts w:cs="Times New Roman"/>
                <w:b/>
                <w:bCs/>
                <w:color w:val="auto"/>
                <w:spacing w:val="-1"/>
                <w:highlight w:val="none"/>
              </w:rPr>
            </w:pPr>
            <w:r>
              <w:rPr>
                <w:rFonts w:cs="Times New Roman"/>
                <w:b/>
                <w:bCs/>
                <w:color w:val="auto"/>
                <w:spacing w:val="-1"/>
                <w:highlight w:val="none"/>
              </w:rPr>
              <w:t>5、项目平面布置及环境保护目标</w:t>
            </w:r>
          </w:p>
          <w:p>
            <w:pPr>
              <w:pStyle w:val="34"/>
              <w:ind w:firstLine="476"/>
              <w:jc w:val="both"/>
              <w:rPr>
                <w:rFonts w:cs="Times New Roman"/>
                <w:color w:val="auto"/>
                <w:spacing w:val="-1"/>
                <w:highlight w:val="none"/>
              </w:rPr>
            </w:pPr>
            <w:r>
              <w:rPr>
                <w:rFonts w:cs="Times New Roman"/>
                <w:color w:val="auto"/>
                <w:spacing w:val="-1"/>
                <w:highlight w:val="none"/>
              </w:rPr>
              <w:t>本</w:t>
            </w:r>
            <w:r>
              <w:rPr>
                <w:rFonts w:cs="Times New Roman"/>
                <w:color w:val="auto"/>
                <w:szCs w:val="24"/>
                <w:highlight w:val="none"/>
              </w:rPr>
              <w:t>项目位于</w:t>
            </w:r>
            <w:r>
              <w:rPr>
                <w:rFonts w:hint="eastAsia" w:cs="Times New Roman"/>
                <w:color w:val="auto"/>
                <w:szCs w:val="24"/>
                <w:highlight w:val="none"/>
              </w:rPr>
              <w:t>济南市高新区春兰路1177号银丰国际生物城B7-02楼</w:t>
            </w:r>
            <w:r>
              <w:rPr>
                <w:rFonts w:cs="Times New Roman"/>
                <w:color w:val="auto"/>
                <w:szCs w:val="24"/>
                <w:highlight w:val="none"/>
              </w:rPr>
              <w:t>。</w:t>
            </w:r>
            <w:r>
              <w:rPr>
                <w:rFonts w:hint="eastAsia" w:cs="Times New Roman"/>
                <w:color w:val="auto"/>
                <w:szCs w:val="24"/>
                <w:highlight w:val="none"/>
              </w:rPr>
              <w:t>本</w:t>
            </w:r>
            <w:r>
              <w:rPr>
                <w:rFonts w:cs="Times New Roman"/>
                <w:color w:val="auto"/>
                <w:szCs w:val="24"/>
                <w:highlight w:val="none"/>
              </w:rPr>
              <w:t>项目</w:t>
            </w:r>
            <w:r>
              <w:rPr>
                <w:rFonts w:cs="Times New Roman"/>
                <w:color w:val="auto"/>
                <w:highlight w:val="none"/>
              </w:rPr>
              <w:t>占地面积</w:t>
            </w:r>
            <w:r>
              <w:rPr>
                <w:rFonts w:hint="eastAsia" w:cs="Times New Roman"/>
                <w:color w:val="auto"/>
                <w:highlight w:val="none"/>
              </w:rPr>
              <w:t>482</w:t>
            </w:r>
            <w:r>
              <w:rPr>
                <w:rFonts w:cs="Times New Roman"/>
                <w:color w:val="auto"/>
                <w:highlight w:val="none"/>
              </w:rPr>
              <w:t>平方米，总建筑面积</w:t>
            </w:r>
            <w:r>
              <w:rPr>
                <w:rFonts w:hint="eastAsia" w:cs="Times New Roman"/>
                <w:color w:val="auto"/>
                <w:highlight w:val="none"/>
              </w:rPr>
              <w:t>742</w:t>
            </w:r>
            <w:r>
              <w:rPr>
                <w:rFonts w:cs="Times New Roman"/>
                <w:color w:val="auto"/>
                <w:highlight w:val="none"/>
              </w:rPr>
              <w:t>平方米。</w:t>
            </w:r>
            <w:r>
              <w:rPr>
                <w:rFonts w:hint="eastAsia" w:cs="Times New Roman"/>
                <w:color w:val="auto"/>
                <w:highlight w:val="none"/>
              </w:rPr>
              <w:t>三</w:t>
            </w:r>
            <w:r>
              <w:rPr>
                <w:rFonts w:cs="Times New Roman"/>
                <w:color w:val="auto"/>
                <w:highlight w:val="none"/>
              </w:rPr>
              <w:t>楼为</w:t>
            </w:r>
            <w:r>
              <w:rPr>
                <w:rFonts w:hint="eastAsia" w:cs="Times New Roman"/>
                <w:color w:val="auto"/>
                <w:highlight w:val="none"/>
              </w:rPr>
              <w:t>实验区，主要包括理化室、称量室、液相室、气相室、高温室、试剂室、留样室、合成室、危废暂存间等；四楼为办公区，主要包括办公室、技术讨论室、档案室、开放办公区等。</w:t>
            </w:r>
            <w:r>
              <w:rPr>
                <w:rFonts w:cs="Times New Roman"/>
                <w:color w:val="auto"/>
                <w:szCs w:val="24"/>
                <w:highlight w:val="none"/>
              </w:rPr>
              <w:t>项目分区明确，总平面布置较好的满足了人员流动的顺畅性，方便实验活动。</w:t>
            </w:r>
            <w:r>
              <w:rPr>
                <w:rFonts w:cs="Times New Roman"/>
                <w:bCs/>
                <w:color w:val="auto"/>
                <w:szCs w:val="21"/>
                <w:highlight w:val="none"/>
              </w:rPr>
              <w:t>项目所在区域范围内</w:t>
            </w:r>
            <w:r>
              <w:rPr>
                <w:rFonts w:cs="Times New Roman"/>
                <w:color w:val="auto"/>
                <w:szCs w:val="24"/>
                <w:highlight w:val="none"/>
              </w:rPr>
              <w:t>无自然保护区、风景名胜区、国家重点保护文物或历史文化保护地，也无社会关注的具有历史、科学、民族、文化意义的保护地</w:t>
            </w:r>
            <w:r>
              <w:rPr>
                <w:rFonts w:cs="Times New Roman"/>
                <w:color w:val="auto"/>
                <w:highlight w:val="none"/>
              </w:rPr>
              <w:t>。</w:t>
            </w:r>
          </w:p>
          <w:p>
            <w:pPr>
              <w:pStyle w:val="34"/>
              <w:ind w:firstLine="476"/>
              <w:rPr>
                <w:rFonts w:cs="Times New Roman"/>
                <w:color w:val="auto"/>
                <w:spacing w:val="-1"/>
                <w:highlight w:val="none"/>
              </w:rPr>
            </w:pPr>
            <w:r>
              <w:rPr>
                <w:rFonts w:cs="Times New Roman"/>
                <w:color w:val="auto"/>
                <w:spacing w:val="-1"/>
                <w:highlight w:val="none"/>
              </w:rPr>
              <w:t>项目地理位置见附图1，本项目周边敏感目标分布图见附图2，厂区总平面布置图见附图3。</w:t>
            </w:r>
          </w:p>
          <w:p>
            <w:pPr>
              <w:pStyle w:val="34"/>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rPr>
              <w:t>4</w:t>
            </w:r>
            <w:r>
              <w:rPr>
                <w:rFonts w:cs="Times New Roman"/>
                <w:b/>
                <w:bCs/>
                <w:color w:val="auto"/>
                <w:highlight w:val="none"/>
              </w:rPr>
              <w:t xml:space="preserve">  本项目主要环境保护目标一览表</w:t>
            </w:r>
          </w:p>
          <w:tbl>
            <w:tblPr>
              <w:tblStyle w:val="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2279"/>
              <w:gridCol w:w="1164"/>
              <w:gridCol w:w="1161"/>
              <w:gridCol w:w="3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8" w:type="pct"/>
                  <w:vMerge w:val="restart"/>
                  <w:vAlign w:val="center"/>
                </w:tcPr>
                <w:p>
                  <w:pPr>
                    <w:pStyle w:val="52"/>
                    <w:adjustRightInd w:val="0"/>
                    <w:spacing w:line="240" w:lineRule="auto"/>
                    <w:ind w:firstLine="0" w:firstLineChars="0"/>
                    <w:jc w:val="center"/>
                    <w:rPr>
                      <w:rFonts w:ascii="Times New Roman" w:hAnsi="Times New Roman" w:cs="Times New Roman"/>
                      <w:b/>
                      <w:color w:val="auto"/>
                      <w:spacing w:val="0"/>
                      <w:kern w:val="2"/>
                      <w:sz w:val="21"/>
                      <w:szCs w:val="21"/>
                      <w:highlight w:val="none"/>
                    </w:rPr>
                  </w:pPr>
                  <w:r>
                    <w:rPr>
                      <w:rFonts w:ascii="Times New Roman" w:hAnsi="Times New Roman" w:cs="Times New Roman"/>
                      <w:b/>
                      <w:color w:val="auto"/>
                      <w:spacing w:val="0"/>
                      <w:kern w:val="2"/>
                      <w:sz w:val="21"/>
                      <w:szCs w:val="21"/>
                      <w:highlight w:val="none"/>
                    </w:rPr>
                    <w:t>环境</w:t>
                  </w:r>
                </w:p>
                <w:p>
                  <w:pPr>
                    <w:pStyle w:val="52"/>
                    <w:adjustRightInd w:val="0"/>
                    <w:spacing w:line="240" w:lineRule="auto"/>
                    <w:ind w:firstLine="0" w:firstLineChars="0"/>
                    <w:jc w:val="center"/>
                    <w:rPr>
                      <w:rFonts w:ascii="Times New Roman" w:hAnsi="Times New Roman" w:cs="Times New Roman"/>
                      <w:b/>
                      <w:color w:val="auto"/>
                      <w:spacing w:val="0"/>
                      <w:kern w:val="2"/>
                      <w:sz w:val="21"/>
                      <w:szCs w:val="21"/>
                      <w:highlight w:val="none"/>
                    </w:rPr>
                  </w:pPr>
                  <w:r>
                    <w:rPr>
                      <w:rFonts w:ascii="Times New Roman" w:hAnsi="Times New Roman" w:cs="Times New Roman"/>
                      <w:b/>
                      <w:color w:val="auto"/>
                      <w:spacing w:val="0"/>
                      <w:kern w:val="2"/>
                      <w:sz w:val="21"/>
                      <w:szCs w:val="21"/>
                      <w:highlight w:val="none"/>
                    </w:rPr>
                    <w:t>要素</w:t>
                  </w:r>
                </w:p>
              </w:tc>
              <w:tc>
                <w:tcPr>
                  <w:tcW w:w="1279" w:type="pct"/>
                  <w:vMerge w:val="restart"/>
                  <w:vAlign w:val="center"/>
                </w:tcPr>
                <w:p>
                  <w:pPr>
                    <w:pStyle w:val="52"/>
                    <w:adjustRightInd w:val="0"/>
                    <w:spacing w:line="240" w:lineRule="auto"/>
                    <w:ind w:firstLine="0" w:firstLineChars="0"/>
                    <w:jc w:val="center"/>
                    <w:rPr>
                      <w:rFonts w:ascii="Times New Roman" w:hAnsi="Times New Roman" w:cs="Times New Roman"/>
                      <w:b/>
                      <w:color w:val="auto"/>
                      <w:spacing w:val="0"/>
                      <w:kern w:val="2"/>
                      <w:sz w:val="21"/>
                      <w:szCs w:val="21"/>
                      <w:highlight w:val="none"/>
                    </w:rPr>
                  </w:pPr>
                  <w:r>
                    <w:rPr>
                      <w:rFonts w:ascii="Times New Roman" w:hAnsi="Times New Roman" w:cs="Times New Roman"/>
                      <w:b/>
                      <w:color w:val="auto"/>
                      <w:spacing w:val="0"/>
                      <w:kern w:val="2"/>
                      <w:sz w:val="21"/>
                      <w:szCs w:val="21"/>
                      <w:highlight w:val="none"/>
                    </w:rPr>
                    <w:t>保护目标</w:t>
                  </w:r>
                </w:p>
              </w:tc>
              <w:tc>
                <w:tcPr>
                  <w:tcW w:w="1305" w:type="pct"/>
                  <w:gridSpan w:val="2"/>
                  <w:vAlign w:val="center"/>
                </w:tcPr>
                <w:p>
                  <w:pPr>
                    <w:pStyle w:val="52"/>
                    <w:adjustRightInd w:val="0"/>
                    <w:spacing w:line="240" w:lineRule="auto"/>
                    <w:ind w:firstLine="0" w:firstLineChars="0"/>
                    <w:jc w:val="center"/>
                    <w:rPr>
                      <w:rFonts w:ascii="Times New Roman" w:hAnsi="Times New Roman" w:cs="Times New Roman"/>
                      <w:b/>
                      <w:color w:val="auto"/>
                      <w:spacing w:val="0"/>
                      <w:kern w:val="2"/>
                      <w:sz w:val="21"/>
                      <w:szCs w:val="21"/>
                      <w:highlight w:val="none"/>
                    </w:rPr>
                  </w:pPr>
                  <w:r>
                    <w:rPr>
                      <w:rFonts w:ascii="Times New Roman" w:hAnsi="Times New Roman" w:cs="Times New Roman"/>
                      <w:b/>
                      <w:color w:val="auto"/>
                      <w:spacing w:val="0"/>
                      <w:kern w:val="2"/>
                      <w:sz w:val="21"/>
                      <w:szCs w:val="21"/>
                      <w:highlight w:val="none"/>
                    </w:rPr>
                    <w:t>距项目的方位和</w:t>
                  </w:r>
                </w:p>
                <w:p>
                  <w:pPr>
                    <w:pStyle w:val="52"/>
                    <w:adjustRightInd w:val="0"/>
                    <w:spacing w:line="240" w:lineRule="auto"/>
                    <w:ind w:firstLine="0" w:firstLineChars="0"/>
                    <w:jc w:val="center"/>
                    <w:rPr>
                      <w:rFonts w:ascii="Times New Roman" w:hAnsi="Times New Roman" w:cs="Times New Roman"/>
                      <w:b/>
                      <w:color w:val="auto"/>
                      <w:spacing w:val="0"/>
                      <w:kern w:val="2"/>
                      <w:sz w:val="21"/>
                      <w:szCs w:val="21"/>
                      <w:highlight w:val="none"/>
                    </w:rPr>
                  </w:pPr>
                  <w:r>
                    <w:rPr>
                      <w:rFonts w:ascii="Times New Roman" w:hAnsi="Times New Roman" w:cs="Times New Roman"/>
                      <w:b/>
                      <w:color w:val="auto"/>
                      <w:spacing w:val="0"/>
                      <w:kern w:val="2"/>
                      <w:sz w:val="21"/>
                      <w:szCs w:val="21"/>
                      <w:highlight w:val="none"/>
                    </w:rPr>
                    <w:t>距离</w:t>
                  </w:r>
                </w:p>
              </w:tc>
              <w:tc>
                <w:tcPr>
                  <w:tcW w:w="1767" w:type="pct"/>
                  <w:vMerge w:val="restart"/>
                  <w:vAlign w:val="center"/>
                </w:tcPr>
                <w:p>
                  <w:pPr>
                    <w:pStyle w:val="52"/>
                    <w:adjustRightInd w:val="0"/>
                    <w:spacing w:line="240" w:lineRule="auto"/>
                    <w:ind w:firstLine="0" w:firstLineChars="0"/>
                    <w:jc w:val="center"/>
                    <w:rPr>
                      <w:rFonts w:ascii="Times New Roman" w:hAnsi="Times New Roman" w:cs="Times New Roman"/>
                      <w:b/>
                      <w:color w:val="auto"/>
                      <w:spacing w:val="0"/>
                      <w:kern w:val="2"/>
                      <w:sz w:val="21"/>
                      <w:szCs w:val="21"/>
                      <w:highlight w:val="none"/>
                    </w:rPr>
                  </w:pPr>
                  <w:r>
                    <w:rPr>
                      <w:rFonts w:ascii="Times New Roman" w:hAnsi="Times New Roman" w:cs="Times New Roman"/>
                      <w:b/>
                      <w:color w:val="auto"/>
                      <w:spacing w:val="0"/>
                      <w:kern w:val="2"/>
                      <w:sz w:val="21"/>
                      <w:szCs w:val="21"/>
                      <w:highlight w:val="none"/>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8" w:type="pct"/>
                  <w:vMerge w:val="continue"/>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p>
              </w:tc>
              <w:tc>
                <w:tcPr>
                  <w:tcW w:w="1279" w:type="pct"/>
                  <w:vMerge w:val="continue"/>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p>
              </w:tc>
              <w:tc>
                <w:tcPr>
                  <w:tcW w:w="653" w:type="pct"/>
                  <w:vAlign w:val="center"/>
                </w:tcPr>
                <w:p>
                  <w:pPr>
                    <w:pStyle w:val="52"/>
                    <w:adjustRightInd w:val="0"/>
                    <w:spacing w:line="240" w:lineRule="auto"/>
                    <w:ind w:firstLine="0" w:firstLineChars="0"/>
                    <w:jc w:val="center"/>
                    <w:rPr>
                      <w:rFonts w:ascii="Times New Roman" w:hAnsi="Times New Roman" w:cs="Times New Roman"/>
                      <w:b/>
                      <w:color w:val="auto"/>
                      <w:spacing w:val="0"/>
                      <w:kern w:val="2"/>
                      <w:sz w:val="21"/>
                      <w:szCs w:val="21"/>
                      <w:highlight w:val="none"/>
                    </w:rPr>
                  </w:pPr>
                  <w:r>
                    <w:rPr>
                      <w:rFonts w:ascii="Times New Roman" w:hAnsi="Times New Roman" w:cs="Times New Roman"/>
                      <w:b/>
                      <w:color w:val="auto"/>
                      <w:spacing w:val="0"/>
                      <w:kern w:val="2"/>
                      <w:sz w:val="21"/>
                      <w:szCs w:val="21"/>
                      <w:highlight w:val="none"/>
                    </w:rPr>
                    <w:t>方位</w:t>
                  </w:r>
                </w:p>
              </w:tc>
              <w:tc>
                <w:tcPr>
                  <w:tcW w:w="651" w:type="pct"/>
                  <w:vAlign w:val="center"/>
                </w:tcPr>
                <w:p>
                  <w:pPr>
                    <w:pStyle w:val="52"/>
                    <w:adjustRightInd w:val="0"/>
                    <w:spacing w:line="240" w:lineRule="auto"/>
                    <w:ind w:firstLine="0" w:firstLineChars="0"/>
                    <w:jc w:val="center"/>
                    <w:rPr>
                      <w:rFonts w:ascii="Times New Roman" w:hAnsi="Times New Roman" w:cs="Times New Roman"/>
                      <w:b/>
                      <w:color w:val="auto"/>
                      <w:spacing w:val="0"/>
                      <w:kern w:val="2"/>
                      <w:sz w:val="21"/>
                      <w:szCs w:val="21"/>
                      <w:highlight w:val="none"/>
                    </w:rPr>
                  </w:pPr>
                  <w:r>
                    <w:rPr>
                      <w:rFonts w:ascii="Times New Roman" w:hAnsi="Times New Roman" w:cs="Times New Roman"/>
                      <w:b/>
                      <w:color w:val="auto"/>
                      <w:spacing w:val="0"/>
                      <w:kern w:val="2"/>
                      <w:sz w:val="21"/>
                      <w:szCs w:val="21"/>
                      <w:highlight w:val="none"/>
                    </w:rPr>
                    <w:t>距离（m）</w:t>
                  </w:r>
                </w:p>
              </w:tc>
              <w:tc>
                <w:tcPr>
                  <w:tcW w:w="1767" w:type="pct"/>
                  <w:vMerge w:val="continue"/>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8" w:type="pct"/>
                  <w:vMerge w:val="restart"/>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ascii="Times New Roman" w:hAnsi="Times New Roman" w:cs="Times New Roman"/>
                      <w:bCs/>
                      <w:color w:val="auto"/>
                      <w:spacing w:val="0"/>
                      <w:kern w:val="2"/>
                      <w:sz w:val="21"/>
                      <w:szCs w:val="21"/>
                      <w:highlight w:val="none"/>
                    </w:rPr>
                    <w:t>环境空气</w:t>
                  </w:r>
                </w:p>
              </w:tc>
              <w:tc>
                <w:tcPr>
                  <w:tcW w:w="1279" w:type="pct"/>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ascii="Times New Roman" w:hAnsi="Times New Roman" w:cs="Times New Roman"/>
                      <w:bCs/>
                      <w:color w:val="auto"/>
                      <w:spacing w:val="0"/>
                      <w:kern w:val="2"/>
                      <w:sz w:val="21"/>
                      <w:szCs w:val="21"/>
                      <w:highlight w:val="none"/>
                    </w:rPr>
                    <w:t>山东省女子监狱</w:t>
                  </w:r>
                </w:p>
              </w:tc>
              <w:tc>
                <w:tcPr>
                  <w:tcW w:w="653" w:type="pct"/>
                  <w:vAlign w:val="center"/>
                </w:tcPr>
                <w:p>
                  <w:pPr>
                    <w:pStyle w:val="52"/>
                    <w:adjustRightInd w:val="0"/>
                    <w:spacing w:line="240" w:lineRule="auto"/>
                    <w:ind w:firstLine="0" w:firstLineChars="0"/>
                    <w:jc w:val="center"/>
                    <w:rPr>
                      <w:rFonts w:hint="eastAsia" w:ascii="Times New Roman" w:hAnsi="Times New Roman" w:cs="Times New Roman"/>
                      <w:bCs/>
                      <w:color w:val="auto"/>
                      <w:spacing w:val="0"/>
                      <w:kern w:val="2"/>
                      <w:sz w:val="21"/>
                      <w:szCs w:val="21"/>
                      <w:highlight w:val="none"/>
                    </w:rPr>
                  </w:pPr>
                  <w:r>
                    <w:rPr>
                      <w:rFonts w:hint="eastAsia" w:ascii="Times New Roman" w:hAnsi="Times New Roman" w:cs="Times New Roman"/>
                      <w:bCs/>
                      <w:color w:val="auto"/>
                      <w:spacing w:val="0"/>
                      <w:kern w:val="2"/>
                      <w:sz w:val="21"/>
                      <w:szCs w:val="21"/>
                      <w:highlight w:val="none"/>
                      <w:lang w:eastAsia="zh-CN"/>
                    </w:rPr>
                    <w:t>南</w:t>
                  </w:r>
                </w:p>
              </w:tc>
              <w:tc>
                <w:tcPr>
                  <w:tcW w:w="651" w:type="pct"/>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hint="eastAsia" w:ascii="Times New Roman" w:hAnsi="Times New Roman" w:cs="Times New Roman"/>
                      <w:bCs/>
                      <w:color w:val="auto"/>
                      <w:spacing w:val="0"/>
                      <w:kern w:val="2"/>
                      <w:sz w:val="21"/>
                      <w:szCs w:val="21"/>
                      <w:highlight w:val="none"/>
                    </w:rPr>
                    <w:t>280</w:t>
                  </w:r>
                </w:p>
              </w:tc>
              <w:tc>
                <w:tcPr>
                  <w:tcW w:w="1767" w:type="pct"/>
                  <w:vMerge w:val="restart"/>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ascii="Times New Roman" w:hAnsi="Times New Roman" w:cs="Times New Roman"/>
                      <w:bCs/>
                      <w:color w:val="auto"/>
                      <w:spacing w:val="0"/>
                      <w:kern w:val="2"/>
                      <w:sz w:val="21"/>
                      <w:szCs w:val="21"/>
                      <w:highlight w:val="none"/>
                    </w:rPr>
                    <w:t>《环境空气质量标准》（GB3095-2012）中二级标准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8" w:type="pct"/>
                  <w:vMerge w:val="continue"/>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p>
              </w:tc>
              <w:tc>
                <w:tcPr>
                  <w:tcW w:w="1279" w:type="pct"/>
                  <w:vAlign w:val="center"/>
                </w:tcPr>
                <w:p>
                  <w:pPr>
                    <w:pStyle w:val="52"/>
                    <w:adjustRightInd w:val="0"/>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cs="Times New Roman"/>
                      <w:bCs/>
                      <w:color w:val="auto"/>
                      <w:spacing w:val="0"/>
                      <w:kern w:val="2"/>
                      <w:sz w:val="21"/>
                      <w:szCs w:val="21"/>
                      <w:highlight w:val="none"/>
                      <w:lang w:eastAsia="zh-CN"/>
                    </w:rPr>
                    <w:t>东枣园村</w:t>
                  </w:r>
                </w:p>
              </w:tc>
              <w:tc>
                <w:tcPr>
                  <w:tcW w:w="653" w:type="pct"/>
                  <w:vAlign w:val="center"/>
                </w:tcPr>
                <w:p>
                  <w:pPr>
                    <w:pStyle w:val="52"/>
                    <w:adjustRightInd w:val="0"/>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cs="Times New Roman"/>
                      <w:bCs/>
                      <w:color w:val="auto"/>
                      <w:spacing w:val="0"/>
                      <w:kern w:val="2"/>
                      <w:sz w:val="21"/>
                      <w:szCs w:val="21"/>
                      <w:highlight w:val="none"/>
                      <w:lang w:eastAsia="zh-CN"/>
                    </w:rPr>
                    <w:t>东南</w:t>
                  </w:r>
                </w:p>
              </w:tc>
              <w:tc>
                <w:tcPr>
                  <w:tcW w:w="651" w:type="pct"/>
                  <w:vAlign w:val="center"/>
                </w:tcPr>
                <w:p>
                  <w:pPr>
                    <w:pStyle w:val="52"/>
                    <w:adjustRightInd w:val="0"/>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1010</w:t>
                  </w:r>
                </w:p>
              </w:tc>
              <w:tc>
                <w:tcPr>
                  <w:tcW w:w="1767" w:type="pct"/>
                  <w:vMerge w:val="continue"/>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8" w:type="pct"/>
                  <w:vMerge w:val="continue"/>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p>
              </w:tc>
              <w:tc>
                <w:tcPr>
                  <w:tcW w:w="1279" w:type="pct"/>
                  <w:vAlign w:val="center"/>
                </w:tcPr>
                <w:p>
                  <w:pPr>
                    <w:pStyle w:val="52"/>
                    <w:adjustRightInd w:val="0"/>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cs="Times New Roman"/>
                      <w:bCs/>
                      <w:color w:val="auto"/>
                      <w:spacing w:val="0"/>
                      <w:kern w:val="2"/>
                      <w:sz w:val="21"/>
                      <w:szCs w:val="21"/>
                      <w:highlight w:val="none"/>
                      <w:lang w:eastAsia="zh-CN"/>
                    </w:rPr>
                    <w:t>新东佳苑</w:t>
                  </w:r>
                </w:p>
              </w:tc>
              <w:tc>
                <w:tcPr>
                  <w:tcW w:w="653" w:type="pct"/>
                  <w:vAlign w:val="center"/>
                </w:tcPr>
                <w:p>
                  <w:pPr>
                    <w:pStyle w:val="52"/>
                    <w:adjustRightInd w:val="0"/>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cs="Times New Roman"/>
                      <w:bCs/>
                      <w:color w:val="auto"/>
                      <w:spacing w:val="0"/>
                      <w:kern w:val="2"/>
                      <w:sz w:val="21"/>
                      <w:szCs w:val="21"/>
                      <w:highlight w:val="none"/>
                      <w:lang w:eastAsia="zh-CN"/>
                    </w:rPr>
                    <w:t>西南</w:t>
                  </w:r>
                </w:p>
              </w:tc>
              <w:tc>
                <w:tcPr>
                  <w:tcW w:w="651" w:type="pct"/>
                  <w:vAlign w:val="center"/>
                </w:tcPr>
                <w:p>
                  <w:pPr>
                    <w:pStyle w:val="52"/>
                    <w:adjustRightInd w:val="0"/>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1080</w:t>
                  </w:r>
                </w:p>
              </w:tc>
              <w:tc>
                <w:tcPr>
                  <w:tcW w:w="1767" w:type="pct"/>
                  <w:vMerge w:val="continue"/>
                  <w:vAlign w:val="center"/>
                </w:tcPr>
                <w:p>
                  <w:pPr>
                    <w:pStyle w:val="52"/>
                    <w:adjustRightInd w:val="0"/>
                    <w:spacing w:line="240" w:lineRule="auto"/>
                    <w:ind w:firstLine="0" w:firstLineChars="0"/>
                    <w:jc w:val="center"/>
                    <w:rPr>
                      <w:rFonts w:ascii="Times New Roman" w:hAnsi="Times New Roman" w:cs="Times New Roman"/>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8" w:type="pct"/>
                  <w:vAlign w:val="center"/>
                </w:tcPr>
                <w:p>
                  <w:pPr>
                    <w:pStyle w:val="52"/>
                    <w:adjustRightInd w:val="0"/>
                    <w:snapToGri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hint="eastAsia" w:ascii="Times New Roman" w:hAnsi="Times New Roman"/>
                      <w:bCs/>
                      <w:color w:val="auto"/>
                      <w:spacing w:val="0"/>
                      <w:kern w:val="2"/>
                      <w:sz w:val="21"/>
                      <w:szCs w:val="21"/>
                      <w:highlight w:val="none"/>
                    </w:rPr>
                    <w:t>地下水</w:t>
                  </w:r>
                </w:p>
              </w:tc>
              <w:tc>
                <w:tcPr>
                  <w:tcW w:w="4351" w:type="pct"/>
                  <w:gridSpan w:val="4"/>
                  <w:vAlign w:val="center"/>
                </w:tcPr>
                <w:p>
                  <w:pPr>
                    <w:pStyle w:val="52"/>
                    <w:adjustRightInd w:val="0"/>
                    <w:snapToGri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ascii="Times New Roman" w:hAnsi="Times New Roman"/>
                      <w:bCs/>
                      <w:color w:val="auto"/>
                      <w:spacing w:val="0"/>
                      <w:kern w:val="2"/>
                      <w:sz w:val="21"/>
                      <w:szCs w:val="21"/>
                      <w:highlight w:val="none"/>
                    </w:rPr>
                    <w:t>项目厂址周围</w:t>
                  </w:r>
                  <w:r>
                    <w:rPr>
                      <w:rFonts w:hint="eastAsia" w:ascii="Times New Roman" w:hAnsi="Times New Roman"/>
                      <w:bCs/>
                      <w:color w:val="auto"/>
                      <w:spacing w:val="0"/>
                      <w:kern w:val="2"/>
                      <w:sz w:val="21"/>
                      <w:szCs w:val="21"/>
                      <w:highlight w:val="none"/>
                    </w:rPr>
                    <w:t>浅层地下水，周边500</w:t>
                  </w:r>
                  <w:r>
                    <w:rPr>
                      <w:rFonts w:ascii="Times New Roman" w:hAnsi="Times New Roman"/>
                      <w:bCs/>
                      <w:color w:val="auto"/>
                      <w:spacing w:val="0"/>
                      <w:kern w:val="2"/>
                      <w:sz w:val="21"/>
                      <w:szCs w:val="21"/>
                      <w:highlight w:val="none"/>
                    </w:rPr>
                    <w:t>m范围内</w:t>
                  </w:r>
                  <w:r>
                    <w:rPr>
                      <w:rFonts w:hint="eastAsia"/>
                      <w:color w:val="auto"/>
                      <w:sz w:val="21"/>
                      <w:szCs w:val="21"/>
                      <w:highlight w:val="none"/>
                    </w:rPr>
                    <w:t>无环境保护目标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8" w:type="pct"/>
                  <w:vAlign w:val="center"/>
                </w:tcPr>
                <w:p>
                  <w:pPr>
                    <w:pStyle w:val="52"/>
                    <w:adjustRightInd w:val="0"/>
                    <w:snapToGri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ascii="Times New Roman" w:hAnsi="Times New Roman"/>
                      <w:bCs/>
                      <w:color w:val="auto"/>
                      <w:spacing w:val="0"/>
                      <w:kern w:val="2"/>
                      <w:sz w:val="21"/>
                      <w:szCs w:val="21"/>
                      <w:highlight w:val="none"/>
                    </w:rPr>
                    <w:t>声环境</w:t>
                  </w:r>
                </w:p>
              </w:tc>
              <w:tc>
                <w:tcPr>
                  <w:tcW w:w="4351" w:type="pct"/>
                  <w:gridSpan w:val="4"/>
                  <w:vAlign w:val="center"/>
                </w:tcPr>
                <w:p>
                  <w:pPr>
                    <w:pStyle w:val="52"/>
                    <w:adjustRightInd w:val="0"/>
                    <w:snapToGri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ascii="Times New Roman" w:hAnsi="Times New Roman"/>
                      <w:bCs/>
                      <w:color w:val="auto"/>
                      <w:spacing w:val="0"/>
                      <w:kern w:val="2"/>
                      <w:sz w:val="21"/>
                      <w:szCs w:val="21"/>
                      <w:highlight w:val="none"/>
                    </w:rPr>
                    <w:t>项目周边</w:t>
                  </w:r>
                  <w:r>
                    <w:rPr>
                      <w:rFonts w:hint="eastAsia" w:ascii="Times New Roman" w:hAnsi="Times New Roman"/>
                      <w:bCs/>
                      <w:color w:val="auto"/>
                      <w:spacing w:val="0"/>
                      <w:kern w:val="2"/>
                      <w:sz w:val="21"/>
                      <w:szCs w:val="21"/>
                      <w:highlight w:val="none"/>
                    </w:rPr>
                    <w:t>50</w:t>
                  </w:r>
                  <w:r>
                    <w:rPr>
                      <w:rFonts w:ascii="Times New Roman" w:hAnsi="Times New Roman"/>
                      <w:bCs/>
                      <w:color w:val="auto"/>
                      <w:spacing w:val="0"/>
                      <w:kern w:val="2"/>
                      <w:sz w:val="21"/>
                      <w:szCs w:val="21"/>
                      <w:highlight w:val="none"/>
                    </w:rPr>
                    <w:t>m范围内</w:t>
                  </w:r>
                  <w:r>
                    <w:rPr>
                      <w:rFonts w:hint="eastAsia"/>
                      <w:color w:val="auto"/>
                      <w:sz w:val="21"/>
                      <w:szCs w:val="21"/>
                      <w:highlight w:val="none"/>
                    </w:rPr>
                    <w:t>无环境保护目标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8" w:type="pct"/>
                  <w:vAlign w:val="center"/>
                </w:tcPr>
                <w:p>
                  <w:pPr>
                    <w:pStyle w:val="52"/>
                    <w:adjustRightInd w:val="0"/>
                    <w:snapToGri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hint="eastAsia" w:ascii="Times New Roman" w:hAnsi="Times New Roman"/>
                      <w:bCs/>
                      <w:color w:val="auto"/>
                      <w:spacing w:val="0"/>
                      <w:kern w:val="2"/>
                      <w:sz w:val="21"/>
                      <w:szCs w:val="21"/>
                      <w:highlight w:val="none"/>
                    </w:rPr>
                    <w:t>生态环境</w:t>
                  </w:r>
                </w:p>
              </w:tc>
              <w:tc>
                <w:tcPr>
                  <w:tcW w:w="4351" w:type="pct"/>
                  <w:gridSpan w:val="4"/>
                  <w:vAlign w:val="center"/>
                </w:tcPr>
                <w:p>
                  <w:pPr>
                    <w:pStyle w:val="52"/>
                    <w:adjustRightInd w:val="0"/>
                    <w:snapToGrid w:val="0"/>
                    <w:spacing w:line="240" w:lineRule="auto"/>
                    <w:ind w:firstLine="0" w:firstLineChars="0"/>
                    <w:jc w:val="center"/>
                    <w:rPr>
                      <w:rFonts w:ascii="Times New Roman" w:hAnsi="Times New Roman" w:cs="Times New Roman"/>
                      <w:bCs/>
                      <w:color w:val="auto"/>
                      <w:spacing w:val="0"/>
                      <w:kern w:val="2"/>
                      <w:sz w:val="21"/>
                      <w:szCs w:val="21"/>
                      <w:highlight w:val="none"/>
                    </w:rPr>
                  </w:pPr>
                  <w:r>
                    <w:rPr>
                      <w:rFonts w:ascii="Times New Roman" w:hAnsi="Times New Roman" w:cs="Times New Roman"/>
                      <w:bCs/>
                      <w:color w:val="auto"/>
                      <w:spacing w:val="0"/>
                      <w:kern w:val="2"/>
                      <w:sz w:val="21"/>
                      <w:szCs w:val="21"/>
                      <w:highlight w:val="none"/>
                    </w:rPr>
                    <w:t>本项目用地范围内无生态环境保护目标</w:t>
                  </w:r>
                </w:p>
              </w:tc>
            </w:tr>
          </w:tbl>
          <w:p>
            <w:pPr>
              <w:pStyle w:val="34"/>
              <w:ind w:firstLine="482"/>
              <w:rPr>
                <w:rFonts w:cs="Times New Roman"/>
                <w:color w:val="auto"/>
                <w:highlight w:val="none"/>
              </w:rPr>
            </w:pPr>
            <w:r>
              <w:rPr>
                <w:rFonts w:cs="Times New Roman"/>
                <w:b/>
                <w:bCs/>
                <w:color w:val="auto"/>
                <w:highlight w:val="none"/>
              </w:rPr>
              <w:t>6、本项目实际建设情况与环评内容的变更情况</w:t>
            </w:r>
          </w:p>
          <w:p>
            <w:pPr>
              <w:pStyle w:val="34"/>
              <w:rPr>
                <w:rFonts w:cs="Times New Roman"/>
                <w:b/>
                <w:bCs/>
                <w:color w:val="auto"/>
                <w:highlight w:val="none"/>
              </w:rPr>
            </w:pPr>
            <w:r>
              <w:rPr>
                <w:rFonts w:cs="Times New Roman"/>
                <w:color w:val="auto"/>
                <w:szCs w:val="24"/>
                <w:highlight w:val="none"/>
              </w:rPr>
              <w:t>根据</w:t>
            </w:r>
            <w:r>
              <w:rPr>
                <w:rFonts w:cs="Times New Roman"/>
                <w:color w:val="auto"/>
                <w:highlight w:val="none"/>
              </w:rPr>
              <w:t>《中华人民共和国环境影响评价法》、《建设项目环境保护管理条例》（国务院令第682号）和关于印发《污染影响类建设项目重大变动清单（试行）》的通知（环办环评函[2020]688号）</w:t>
            </w:r>
            <w:r>
              <w:rPr>
                <w:rFonts w:cs="Times New Roman"/>
                <w:color w:val="auto"/>
                <w:szCs w:val="24"/>
                <w:highlight w:val="none"/>
              </w:rPr>
              <w:t>等有关规定，“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4"/>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rPr>
              <w:t>5</w:t>
            </w:r>
            <w:r>
              <w:rPr>
                <w:rFonts w:cs="Times New Roman"/>
                <w:b/>
                <w:bCs/>
                <w:color w:val="auto"/>
                <w:highlight w:val="none"/>
              </w:rPr>
              <w:t xml:space="preserve">  本项目与环评相比变动情况一览表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序号</w:t>
                  </w:r>
                </w:p>
              </w:tc>
              <w:tc>
                <w:tcPr>
                  <w:tcW w:w="1070" w:type="dxa"/>
                  <w:shd w:val="clear" w:color="auto" w:fill="auto"/>
                  <w:vAlign w:val="center"/>
                </w:tcPr>
                <w:p>
                  <w:pPr>
                    <w:pStyle w:val="34"/>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变化类别</w:t>
                  </w:r>
                </w:p>
              </w:tc>
              <w:tc>
                <w:tcPr>
                  <w:tcW w:w="2472" w:type="dxa"/>
                  <w:shd w:val="clear" w:color="auto" w:fill="auto"/>
                  <w:vAlign w:val="center"/>
                </w:tcPr>
                <w:p>
                  <w:pPr>
                    <w:pStyle w:val="34"/>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原环评</w:t>
                  </w:r>
                </w:p>
              </w:tc>
              <w:tc>
                <w:tcPr>
                  <w:tcW w:w="2430" w:type="dxa"/>
                  <w:shd w:val="clear" w:color="auto" w:fill="auto"/>
                  <w:vAlign w:val="center"/>
                </w:tcPr>
                <w:p>
                  <w:pPr>
                    <w:pStyle w:val="34"/>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目前实际</w:t>
                  </w:r>
                </w:p>
              </w:tc>
              <w:tc>
                <w:tcPr>
                  <w:tcW w:w="2274" w:type="dxa"/>
                  <w:shd w:val="clear" w:color="auto" w:fill="auto"/>
                  <w:vAlign w:val="center"/>
                </w:tcPr>
                <w:p>
                  <w:pPr>
                    <w:pStyle w:val="34"/>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1</w:t>
                  </w:r>
                </w:p>
              </w:tc>
              <w:tc>
                <w:tcPr>
                  <w:tcW w:w="107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性质</w:t>
                  </w:r>
                </w:p>
              </w:tc>
              <w:tc>
                <w:tcPr>
                  <w:tcW w:w="2472"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新建</w:t>
                  </w:r>
                </w:p>
              </w:tc>
              <w:tc>
                <w:tcPr>
                  <w:tcW w:w="243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新建</w:t>
                  </w:r>
                </w:p>
              </w:tc>
              <w:tc>
                <w:tcPr>
                  <w:tcW w:w="2274"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2</w:t>
                  </w:r>
                </w:p>
              </w:tc>
              <w:tc>
                <w:tcPr>
                  <w:tcW w:w="107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规模</w:t>
                  </w:r>
                </w:p>
              </w:tc>
              <w:tc>
                <w:tcPr>
                  <w:tcW w:w="2472" w:type="dxa"/>
                  <w:shd w:val="clear" w:color="auto" w:fill="auto"/>
                  <w:vAlign w:val="center"/>
                </w:tcPr>
                <w:p>
                  <w:pPr>
                    <w:pStyle w:val="34"/>
                    <w:spacing w:line="240" w:lineRule="auto"/>
                    <w:ind w:firstLine="0" w:firstLineChars="0"/>
                    <w:jc w:val="center"/>
                    <w:rPr>
                      <w:rFonts w:cs="Times New Roman"/>
                      <w:color w:val="auto"/>
                      <w:sz w:val="21"/>
                      <w:szCs w:val="21"/>
                      <w:highlight w:val="none"/>
                      <w:lang w:bidi="ar"/>
                    </w:rPr>
                  </w:pPr>
                  <w:r>
                    <w:rPr>
                      <w:rFonts w:cs="Times New Roman"/>
                      <w:color w:val="auto"/>
                      <w:sz w:val="21"/>
                      <w:szCs w:val="21"/>
                      <w:highlight w:val="none"/>
                      <w:lang w:bidi="ar"/>
                    </w:rPr>
                    <w:t>化学药品研发（包括合成、分析实验）</w:t>
                  </w:r>
                </w:p>
              </w:tc>
              <w:tc>
                <w:tcPr>
                  <w:tcW w:w="2430" w:type="dxa"/>
                  <w:shd w:val="clear" w:color="auto" w:fill="auto"/>
                  <w:vAlign w:val="center"/>
                </w:tcPr>
                <w:p>
                  <w:pPr>
                    <w:pStyle w:val="34"/>
                    <w:spacing w:line="240" w:lineRule="auto"/>
                    <w:ind w:firstLine="0" w:firstLineChars="0"/>
                    <w:jc w:val="center"/>
                    <w:rPr>
                      <w:rFonts w:cs="Times New Roman"/>
                      <w:color w:val="auto"/>
                      <w:sz w:val="21"/>
                      <w:szCs w:val="21"/>
                      <w:highlight w:val="none"/>
                      <w:lang w:bidi="ar"/>
                    </w:rPr>
                  </w:pPr>
                  <w:r>
                    <w:rPr>
                      <w:rFonts w:cs="Times New Roman"/>
                      <w:color w:val="auto"/>
                      <w:sz w:val="21"/>
                      <w:szCs w:val="21"/>
                      <w:highlight w:val="none"/>
                      <w:lang w:bidi="ar"/>
                    </w:rPr>
                    <w:t>化学药品研发（包括合成、分析实验）</w:t>
                  </w:r>
                </w:p>
              </w:tc>
              <w:tc>
                <w:tcPr>
                  <w:tcW w:w="2274"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3</w:t>
                  </w:r>
                </w:p>
              </w:tc>
              <w:tc>
                <w:tcPr>
                  <w:tcW w:w="107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建设地点</w:t>
                  </w:r>
                </w:p>
              </w:tc>
              <w:tc>
                <w:tcPr>
                  <w:tcW w:w="2472" w:type="dxa"/>
                  <w:shd w:val="clear" w:color="auto" w:fill="auto"/>
                  <w:vAlign w:val="center"/>
                </w:tcPr>
                <w:p>
                  <w:pPr>
                    <w:pStyle w:val="34"/>
                    <w:spacing w:line="240" w:lineRule="auto"/>
                    <w:ind w:firstLine="0" w:firstLineChars="0"/>
                    <w:jc w:val="center"/>
                    <w:rPr>
                      <w:rFonts w:cs="Times New Roman"/>
                      <w:color w:val="auto"/>
                      <w:sz w:val="21"/>
                      <w:szCs w:val="21"/>
                      <w:highlight w:val="none"/>
                      <w:lang w:bidi="ar"/>
                    </w:rPr>
                  </w:pPr>
                  <w:r>
                    <w:rPr>
                      <w:rFonts w:hint="eastAsia" w:cs="Times New Roman"/>
                      <w:color w:val="auto"/>
                      <w:sz w:val="21"/>
                      <w:szCs w:val="21"/>
                      <w:highlight w:val="none"/>
                      <w:lang w:bidi="ar"/>
                    </w:rPr>
                    <w:t>济南市高新区春兰路1177号银丰国际生物城B7-02楼</w:t>
                  </w:r>
                </w:p>
              </w:tc>
              <w:tc>
                <w:tcPr>
                  <w:tcW w:w="2430" w:type="dxa"/>
                  <w:shd w:val="clear" w:color="auto" w:fill="auto"/>
                  <w:vAlign w:val="center"/>
                </w:tcPr>
                <w:p>
                  <w:pPr>
                    <w:pStyle w:val="34"/>
                    <w:spacing w:line="240" w:lineRule="auto"/>
                    <w:ind w:firstLine="0" w:firstLineChars="0"/>
                    <w:jc w:val="center"/>
                    <w:rPr>
                      <w:rFonts w:cs="Times New Roman"/>
                      <w:color w:val="auto"/>
                      <w:sz w:val="21"/>
                      <w:szCs w:val="21"/>
                      <w:highlight w:val="none"/>
                      <w:lang w:bidi="ar"/>
                    </w:rPr>
                  </w:pPr>
                  <w:r>
                    <w:rPr>
                      <w:rFonts w:hint="eastAsia" w:cs="Times New Roman"/>
                      <w:color w:val="auto"/>
                      <w:sz w:val="21"/>
                      <w:szCs w:val="21"/>
                      <w:highlight w:val="none"/>
                      <w:lang w:bidi="ar"/>
                    </w:rPr>
                    <w:t>济南市高新区春兰路1177号银丰国际生物城B7-02楼</w:t>
                  </w:r>
                </w:p>
              </w:tc>
              <w:tc>
                <w:tcPr>
                  <w:tcW w:w="2274"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4</w:t>
                  </w:r>
                </w:p>
              </w:tc>
              <w:tc>
                <w:tcPr>
                  <w:tcW w:w="107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运营工艺</w:t>
                  </w:r>
                </w:p>
              </w:tc>
              <w:tc>
                <w:tcPr>
                  <w:tcW w:w="4902" w:type="dxa"/>
                  <w:gridSpan w:val="2"/>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见图2-2</w:t>
                  </w:r>
                  <w:r>
                    <w:rPr>
                      <w:rFonts w:hint="eastAsia" w:cs="Times New Roman"/>
                      <w:color w:val="auto"/>
                      <w:sz w:val="21"/>
                      <w:szCs w:val="21"/>
                      <w:highlight w:val="none"/>
                    </w:rPr>
                    <w:t>、2-3</w:t>
                  </w:r>
                </w:p>
              </w:tc>
              <w:tc>
                <w:tcPr>
                  <w:tcW w:w="2274"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5</w:t>
                  </w:r>
                </w:p>
              </w:tc>
              <w:tc>
                <w:tcPr>
                  <w:tcW w:w="107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平面布置</w:t>
                  </w:r>
                </w:p>
              </w:tc>
              <w:tc>
                <w:tcPr>
                  <w:tcW w:w="4902" w:type="dxa"/>
                  <w:gridSpan w:val="2"/>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见附图3、4</w:t>
                  </w:r>
                </w:p>
              </w:tc>
              <w:tc>
                <w:tcPr>
                  <w:tcW w:w="2274"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6</w:t>
                  </w:r>
                </w:p>
              </w:tc>
              <w:tc>
                <w:tcPr>
                  <w:tcW w:w="107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生产设备</w:t>
                  </w:r>
                </w:p>
              </w:tc>
              <w:tc>
                <w:tcPr>
                  <w:tcW w:w="4902" w:type="dxa"/>
                  <w:gridSpan w:val="2"/>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见表2-</w:t>
                  </w:r>
                  <w:r>
                    <w:rPr>
                      <w:rFonts w:hint="eastAsia" w:cs="Times New Roman"/>
                      <w:color w:val="auto"/>
                      <w:sz w:val="21"/>
                      <w:szCs w:val="21"/>
                      <w:highlight w:val="none"/>
                    </w:rPr>
                    <w:t>2</w:t>
                  </w:r>
                </w:p>
              </w:tc>
              <w:tc>
                <w:tcPr>
                  <w:tcW w:w="2274"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根据实际工作需要，配置的实验仪器设备较环评阶段有适当调整，部分设备不再建设，增加部分辅助设备，原辅料</w:t>
                  </w:r>
                  <w:r>
                    <w:rPr>
                      <w:rFonts w:hint="eastAsia" w:cs="Times New Roman"/>
                      <w:color w:val="auto"/>
                      <w:sz w:val="21"/>
                      <w:szCs w:val="21"/>
                      <w:highlight w:val="none"/>
                    </w:rPr>
                    <w:t>用量减少</w:t>
                  </w:r>
                  <w:r>
                    <w:rPr>
                      <w:rFonts w:cs="Times New Roman"/>
                      <w:color w:val="auto"/>
                      <w:sz w:val="21"/>
                      <w:szCs w:val="21"/>
                      <w:highlight w:val="none"/>
                    </w:rPr>
                    <w:t>，因此未增加排污，项目性质不变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7</w:t>
                  </w:r>
                </w:p>
              </w:tc>
              <w:tc>
                <w:tcPr>
                  <w:tcW w:w="107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环境保护措施</w:t>
                  </w:r>
                </w:p>
              </w:tc>
              <w:tc>
                <w:tcPr>
                  <w:tcW w:w="2472" w:type="dxa"/>
                  <w:shd w:val="clear" w:color="auto" w:fill="auto"/>
                  <w:vAlign w:val="center"/>
                </w:tcPr>
                <w:p>
                  <w:pPr>
                    <w:spacing w:line="240" w:lineRule="auto"/>
                    <w:ind w:firstLine="420"/>
                    <w:rPr>
                      <w:color w:val="auto"/>
                      <w:sz w:val="21"/>
                      <w:szCs w:val="21"/>
                      <w:highlight w:val="none"/>
                    </w:rPr>
                  </w:pPr>
                  <w:r>
                    <w:rPr>
                      <w:color w:val="auto"/>
                      <w:sz w:val="21"/>
                      <w:szCs w:val="21"/>
                      <w:highlight w:val="none"/>
                    </w:rPr>
                    <w:t>废气：项目废气主要为实验过程中产生的有机废气（VOCs、甲苯、苯、甲醇）、酸碱废气（硫酸雾、氯化氢、氨）和臭气（臭气浓度）。</w:t>
                  </w:r>
                </w:p>
                <w:p>
                  <w:pPr>
                    <w:spacing w:line="240" w:lineRule="auto"/>
                    <w:ind w:firstLine="420"/>
                    <w:rPr>
                      <w:color w:val="auto"/>
                      <w:sz w:val="21"/>
                      <w:szCs w:val="21"/>
                      <w:highlight w:val="none"/>
                    </w:rPr>
                  </w:pPr>
                  <w:r>
                    <w:rPr>
                      <w:color w:val="auto"/>
                      <w:sz w:val="21"/>
                      <w:szCs w:val="21"/>
                      <w:highlight w:val="none"/>
                    </w:rPr>
                    <w:t>项目北侧合成实验室1及南侧理化室、液相室、气相室等运行过程中产生的上述废气由通风柜或万向吸风罩收集后经一套“碱喷淋+活性炭”装置处理后，通过1根25m高的排气筒（DA001）排放；</w:t>
                  </w:r>
                </w:p>
                <w:p>
                  <w:pPr>
                    <w:spacing w:line="240" w:lineRule="auto"/>
                    <w:ind w:firstLine="420"/>
                    <w:rPr>
                      <w:color w:val="auto"/>
                      <w:sz w:val="21"/>
                      <w:szCs w:val="21"/>
                      <w:highlight w:val="none"/>
                    </w:rPr>
                  </w:pPr>
                  <w:r>
                    <w:rPr>
                      <w:color w:val="auto"/>
                      <w:sz w:val="21"/>
                      <w:szCs w:val="21"/>
                      <w:highlight w:val="none"/>
                    </w:rPr>
                    <w:t>项目北侧合成实验室2、合成实验室3、氢化室等运行过程中产生的上述废气由通风柜收集后经一套“碱喷淋+活性炭”装置处理后，通过1根25m高的排气筒（DA002）排放。</w:t>
                  </w:r>
                </w:p>
                <w:p>
                  <w:pPr>
                    <w:spacing w:line="240" w:lineRule="auto"/>
                    <w:ind w:firstLine="420"/>
                    <w:rPr>
                      <w:color w:val="auto"/>
                      <w:sz w:val="21"/>
                      <w:szCs w:val="21"/>
                      <w:highlight w:val="none"/>
                    </w:rPr>
                  </w:pPr>
                  <w:r>
                    <w:rPr>
                      <w:color w:val="auto"/>
                      <w:sz w:val="21"/>
                      <w:szCs w:val="21"/>
                      <w:highlight w:val="none"/>
                    </w:rPr>
                    <w:t>未收集的有机废气，通过加强实验室通风，无组织排放</w:t>
                  </w:r>
                  <w:r>
                    <w:rPr>
                      <w:rFonts w:hint="eastAsia"/>
                      <w:color w:val="auto"/>
                      <w:sz w:val="21"/>
                      <w:szCs w:val="21"/>
                      <w:highlight w:val="none"/>
                    </w:rPr>
                    <w:t>。</w:t>
                  </w:r>
                </w:p>
                <w:p>
                  <w:pPr>
                    <w:spacing w:line="240" w:lineRule="auto"/>
                    <w:ind w:firstLine="420"/>
                    <w:rPr>
                      <w:color w:val="auto"/>
                      <w:sz w:val="21"/>
                      <w:szCs w:val="21"/>
                      <w:highlight w:val="none"/>
                    </w:rPr>
                  </w:pPr>
                  <w:r>
                    <w:rPr>
                      <w:color w:val="auto"/>
                      <w:sz w:val="21"/>
                      <w:szCs w:val="21"/>
                      <w:highlight w:val="none"/>
                    </w:rPr>
                    <w:t>废水：项目产生的生活污水、实验后器皿两次清洗后清洗废水、环保设备排污水、地面清洁废水均经银丰国际生物城污水处理站处理，处理达标后通过市政管网排入巨野河污水处理厂进行深度处理，达标后经西巨野河排入小清河。</w:t>
                  </w:r>
                </w:p>
              </w:tc>
              <w:tc>
                <w:tcPr>
                  <w:tcW w:w="2430" w:type="dxa"/>
                  <w:shd w:val="clear" w:color="auto" w:fill="auto"/>
                  <w:vAlign w:val="center"/>
                </w:tcPr>
                <w:p>
                  <w:pPr>
                    <w:spacing w:line="240" w:lineRule="auto"/>
                    <w:ind w:firstLine="420"/>
                    <w:rPr>
                      <w:color w:val="auto"/>
                      <w:sz w:val="21"/>
                      <w:szCs w:val="21"/>
                      <w:highlight w:val="none"/>
                    </w:rPr>
                  </w:pPr>
                  <w:r>
                    <w:rPr>
                      <w:color w:val="auto"/>
                      <w:sz w:val="21"/>
                      <w:szCs w:val="21"/>
                      <w:highlight w:val="none"/>
                    </w:rPr>
                    <w:t>废气：项目废气主要为实验过程中产生的有机废气（VOCs、甲苯、苯、甲醇）、酸碱废气（硫酸雾、氯化氢、氨）和臭气（臭气浓度）。</w:t>
                  </w:r>
                </w:p>
                <w:p>
                  <w:pPr>
                    <w:spacing w:line="240" w:lineRule="auto"/>
                    <w:ind w:firstLine="420"/>
                    <w:rPr>
                      <w:color w:val="auto"/>
                      <w:sz w:val="21"/>
                      <w:szCs w:val="21"/>
                      <w:highlight w:val="none"/>
                    </w:rPr>
                  </w:pPr>
                  <w:r>
                    <w:rPr>
                      <w:color w:val="auto"/>
                      <w:sz w:val="21"/>
                      <w:szCs w:val="21"/>
                      <w:highlight w:val="none"/>
                    </w:rPr>
                    <w:t>项目北侧合成实验室1及南侧理化室、液相室、气相室等运行过程中产生的上述废气由通风柜或万向吸风罩收集后经一套“碱喷淋+活性炭”装置处理后，通过1根25m高的排气筒（DA001）排放；</w:t>
                  </w:r>
                </w:p>
                <w:p>
                  <w:pPr>
                    <w:spacing w:line="240" w:lineRule="auto"/>
                    <w:ind w:firstLine="420"/>
                    <w:rPr>
                      <w:color w:val="auto"/>
                      <w:sz w:val="21"/>
                      <w:szCs w:val="21"/>
                      <w:highlight w:val="none"/>
                    </w:rPr>
                  </w:pPr>
                  <w:r>
                    <w:rPr>
                      <w:color w:val="auto"/>
                      <w:sz w:val="21"/>
                      <w:szCs w:val="21"/>
                      <w:highlight w:val="none"/>
                    </w:rPr>
                    <w:t>项目北侧合成实验室2、合成实验室3、氢化室等运行过程中产生的上述废气由通风柜收集后经一套“碱喷淋+活性炭”装置处理后，通过1根25m高的排气筒（DA002）排放。</w:t>
                  </w:r>
                </w:p>
                <w:p>
                  <w:pPr>
                    <w:spacing w:line="240" w:lineRule="auto"/>
                    <w:ind w:firstLine="420"/>
                    <w:rPr>
                      <w:color w:val="auto"/>
                      <w:sz w:val="21"/>
                      <w:szCs w:val="21"/>
                      <w:highlight w:val="none"/>
                    </w:rPr>
                  </w:pPr>
                  <w:r>
                    <w:rPr>
                      <w:color w:val="auto"/>
                      <w:sz w:val="21"/>
                      <w:szCs w:val="21"/>
                      <w:highlight w:val="none"/>
                    </w:rPr>
                    <w:t>未收集的有机废气，通过加强实验室通风，无组织排放。</w:t>
                  </w:r>
                </w:p>
                <w:p>
                  <w:pPr>
                    <w:spacing w:line="240" w:lineRule="auto"/>
                    <w:ind w:firstLine="420"/>
                    <w:rPr>
                      <w:color w:val="auto"/>
                      <w:sz w:val="21"/>
                      <w:szCs w:val="21"/>
                      <w:highlight w:val="none"/>
                    </w:rPr>
                  </w:pPr>
                  <w:r>
                    <w:rPr>
                      <w:color w:val="auto"/>
                      <w:sz w:val="21"/>
                      <w:szCs w:val="21"/>
                      <w:highlight w:val="none"/>
                    </w:rPr>
                    <w:t>废水：项目产生的生活污水、实验后器皿两次清洗后清洗废水、环保设备排污水、地面清洁废水均经银丰国际生物城污水处理站处理，处理达标后通过市政管网排入巨野河污水处理厂进行深度处理，达标后经西巨野河排入小清河。</w:t>
                  </w:r>
                </w:p>
                <w:p>
                  <w:pPr>
                    <w:spacing w:line="240" w:lineRule="auto"/>
                    <w:ind w:firstLine="420"/>
                    <w:rPr>
                      <w:color w:val="auto"/>
                      <w:sz w:val="21"/>
                      <w:szCs w:val="21"/>
                      <w:highlight w:val="none"/>
                    </w:rPr>
                  </w:pPr>
                </w:p>
              </w:tc>
              <w:tc>
                <w:tcPr>
                  <w:tcW w:w="2274" w:type="dxa"/>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68"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8</w:t>
                  </w:r>
                </w:p>
              </w:tc>
              <w:tc>
                <w:tcPr>
                  <w:tcW w:w="1070" w:type="dxa"/>
                  <w:shd w:val="clear" w:color="auto" w:fill="auto"/>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固体废物</w:t>
                  </w:r>
                </w:p>
              </w:tc>
              <w:tc>
                <w:tcPr>
                  <w:tcW w:w="2472" w:type="dxa"/>
                  <w:shd w:val="clear" w:color="auto" w:fill="auto"/>
                  <w:vAlign w:val="center"/>
                </w:tcPr>
                <w:p>
                  <w:pPr>
                    <w:spacing w:line="240" w:lineRule="auto"/>
                    <w:ind w:firstLine="420"/>
                    <w:rPr>
                      <w:color w:val="auto"/>
                      <w:sz w:val="21"/>
                      <w:szCs w:val="21"/>
                      <w:highlight w:val="none"/>
                    </w:rPr>
                  </w:pPr>
                  <w:r>
                    <w:rPr>
                      <w:color w:val="auto"/>
                      <w:sz w:val="21"/>
                      <w:szCs w:val="21"/>
                      <w:highlight w:val="none"/>
                    </w:rPr>
                    <w:t>生活垃圾由环卫部门定期清运；未沾染药品废包装物外售资源回收单位。实验废物（沾染试剂的废包装物、废试剂瓶、废手套等）、实验废液（废流动相、实验后器皿前两次清洗废水、实验配制废水等）及废活性炭，均属于危险废物，经收集后暂存危废间，委托有资质单位处理。</w:t>
                  </w:r>
                </w:p>
              </w:tc>
              <w:tc>
                <w:tcPr>
                  <w:tcW w:w="2430" w:type="dxa"/>
                  <w:shd w:val="clear" w:color="auto" w:fill="auto"/>
                  <w:vAlign w:val="center"/>
                </w:tcPr>
                <w:p>
                  <w:pPr>
                    <w:spacing w:line="240" w:lineRule="auto"/>
                    <w:ind w:firstLine="420"/>
                    <w:rPr>
                      <w:color w:val="auto"/>
                      <w:sz w:val="21"/>
                      <w:szCs w:val="21"/>
                      <w:highlight w:val="none"/>
                    </w:rPr>
                  </w:pPr>
                  <w:r>
                    <w:rPr>
                      <w:color w:val="auto"/>
                      <w:sz w:val="21"/>
                      <w:szCs w:val="21"/>
                      <w:highlight w:val="none"/>
                    </w:rPr>
                    <w:t>生活垃圾由环卫部门定期清运；未沾染药品废包装物外售资源回收单位。实验废物（沾染试剂的废包装物、废试剂瓶、废手套等）、实验废液（废流动相、实验后器皿前两次清洗废水、实验配制废水等）及废活性炭，均属于危险废物，经收集后暂存危废间，委托</w:t>
                  </w:r>
                  <w:r>
                    <w:rPr>
                      <w:rFonts w:hint="eastAsia"/>
                      <w:color w:val="auto"/>
                      <w:sz w:val="21"/>
                      <w:szCs w:val="21"/>
                      <w:highlight w:val="none"/>
                    </w:rPr>
                    <w:t>山东朋光环保科技有限公司</w:t>
                  </w:r>
                  <w:r>
                    <w:rPr>
                      <w:color w:val="auto"/>
                      <w:sz w:val="21"/>
                      <w:szCs w:val="21"/>
                      <w:highlight w:val="none"/>
                    </w:rPr>
                    <w:t>处理。</w:t>
                  </w:r>
                </w:p>
              </w:tc>
              <w:tc>
                <w:tcPr>
                  <w:tcW w:w="2274" w:type="dxa"/>
                  <w:shd w:val="clear" w:color="auto" w:fill="auto"/>
                  <w:vAlign w:val="center"/>
                </w:tcPr>
                <w:p>
                  <w:pPr>
                    <w:ind w:firstLine="420"/>
                    <w:rPr>
                      <w:color w:val="auto"/>
                      <w:sz w:val="21"/>
                      <w:szCs w:val="21"/>
                      <w:highlight w:val="none"/>
                    </w:rPr>
                  </w:pPr>
                  <w:r>
                    <w:rPr>
                      <w:color w:val="auto"/>
                      <w:sz w:val="21"/>
                      <w:szCs w:val="21"/>
                      <w:highlight w:val="none"/>
                    </w:rPr>
                    <w:t>与环评一致</w:t>
                  </w:r>
                </w:p>
              </w:tc>
            </w:tr>
          </w:tbl>
          <w:p>
            <w:pPr>
              <w:pStyle w:val="34"/>
              <w:rPr>
                <w:rFonts w:cs="Times New Roman"/>
                <w:color w:val="auto"/>
                <w:szCs w:val="24"/>
                <w:highlight w:val="none"/>
              </w:rPr>
            </w:pPr>
            <w:r>
              <w:rPr>
                <w:rFonts w:cs="Times New Roman"/>
                <w:color w:val="auto"/>
                <w:szCs w:val="24"/>
                <w:highlight w:val="none"/>
              </w:rPr>
              <w:t>由上表可知，与环评相较，根据实际工作需要，配置的实验仪器设备较环评阶段有适当调整，部分设备不再建设，增加部分辅助设备，原辅料用量减少，因此未增加排污，项目性质不变</w:t>
            </w:r>
            <w:r>
              <w:rPr>
                <w:rFonts w:hint="eastAsia" w:cs="Times New Roman"/>
                <w:color w:val="auto"/>
                <w:szCs w:val="24"/>
                <w:highlight w:val="none"/>
              </w:rPr>
              <w:t>。</w:t>
            </w:r>
          </w:p>
          <w:p>
            <w:pPr>
              <w:pStyle w:val="34"/>
              <w:rPr>
                <w:rFonts w:cs="Times New Roman"/>
                <w:color w:val="auto"/>
                <w:szCs w:val="24"/>
                <w:highlight w:val="none"/>
              </w:rPr>
            </w:pPr>
            <w:r>
              <w:rPr>
                <w:rFonts w:cs="Times New Roman"/>
                <w:color w:val="auto"/>
                <w:szCs w:val="24"/>
                <w:highlight w:val="none"/>
              </w:rPr>
              <w:t>本项目实际建设过程中项目的性质、规模、地点、生产工艺等其他内容未发生重大变动，应纳入竣工环境保护验收管理。</w:t>
            </w:r>
          </w:p>
          <w:p>
            <w:pPr>
              <w:pStyle w:val="34"/>
              <w:rPr>
                <w:rFonts w:cs="Times New Roman"/>
                <w:color w:val="auto"/>
                <w:szCs w:val="24"/>
                <w:highlight w:val="none"/>
              </w:rPr>
            </w:pPr>
            <w:r>
              <w:rPr>
                <w:rFonts w:cs="Times New Roman"/>
                <w:color w:val="auto"/>
                <w:szCs w:val="24"/>
                <w:highlight w:val="none"/>
              </w:rPr>
              <w:t>根据《中华人民共和国环境影响评价法》、《建设项目环境保护管理条例》（国务院令第682号）和关于印发《污染影响类建设项目重大变动清单（试行）》的通知（环办环评函[2020]688号）等的有关规定，不属于重大变更，应纳入竣工环境保护验收管理。</w:t>
            </w:r>
          </w:p>
          <w:p>
            <w:pPr>
              <w:numPr>
                <w:ilvl w:val="0"/>
                <w:numId w:val="2"/>
              </w:numPr>
              <w:ind w:firstLine="482"/>
              <w:rPr>
                <w:b/>
                <w:bCs/>
                <w:color w:val="auto"/>
                <w:highlight w:val="none"/>
              </w:rPr>
            </w:pPr>
            <w:r>
              <w:rPr>
                <w:b/>
                <w:bCs/>
                <w:color w:val="auto"/>
                <w:highlight w:val="none"/>
              </w:rPr>
              <w:t>工艺流程</w:t>
            </w:r>
          </w:p>
          <w:p>
            <w:pPr>
              <w:ind w:firstLine="482"/>
              <w:rPr>
                <w:b/>
                <w:bCs/>
                <w:color w:val="auto"/>
                <w:highlight w:val="none"/>
              </w:rPr>
            </w:pPr>
            <w:r>
              <w:rPr>
                <w:b/>
                <w:bCs/>
                <w:color w:val="auto"/>
                <w:highlight w:val="none"/>
              </w:rPr>
              <w:t>（一）施工期</w:t>
            </w:r>
          </w:p>
          <w:p>
            <w:pPr>
              <w:pStyle w:val="55"/>
              <w:widowControl/>
              <w:rPr>
                <w:color w:val="auto"/>
                <w:highlight w:val="none"/>
              </w:rPr>
            </w:pPr>
            <w:r>
              <w:rPr>
                <w:color w:val="auto"/>
                <w:highlight w:val="none"/>
              </w:rPr>
              <w:t>本项目施工期不做分析。</w:t>
            </w:r>
          </w:p>
          <w:p>
            <w:pPr>
              <w:adjustRightInd w:val="0"/>
              <w:snapToGrid w:val="0"/>
              <w:ind w:firstLine="482"/>
              <w:jc w:val="left"/>
              <w:rPr>
                <w:b/>
                <w:bCs/>
                <w:color w:val="auto"/>
                <w:highlight w:val="none"/>
              </w:rPr>
            </w:pPr>
            <w:r>
              <w:rPr>
                <w:b/>
                <w:bCs/>
                <w:color w:val="auto"/>
                <w:highlight w:val="none"/>
              </w:rPr>
              <w:t>（二）运营期</w:t>
            </w:r>
          </w:p>
          <w:p>
            <w:pPr>
              <w:widowControl/>
              <w:adjustRightInd w:val="0"/>
              <w:snapToGrid w:val="0"/>
              <w:ind w:firstLine="480"/>
              <w:rPr>
                <w:color w:val="auto"/>
                <w:highlight w:val="none"/>
              </w:rPr>
            </w:pPr>
            <w:r>
              <w:rPr>
                <w:rFonts w:hint="eastAsia"/>
                <w:color w:val="auto"/>
                <w:highlight w:val="none"/>
              </w:rPr>
              <w:t>本项目主要进行化学药品研发，主要包括合成实验、分析实验，其运行</w:t>
            </w:r>
            <w:r>
              <w:rPr>
                <w:color w:val="auto"/>
                <w:highlight w:val="none"/>
              </w:rPr>
              <w:t>工艺流程图及产污环节分析见图</w:t>
            </w:r>
            <w:r>
              <w:rPr>
                <w:rFonts w:hint="eastAsia"/>
                <w:color w:val="auto"/>
                <w:highlight w:val="none"/>
              </w:rPr>
              <w:t>2-2、</w:t>
            </w:r>
            <w:r>
              <w:rPr>
                <w:color w:val="auto"/>
                <w:highlight w:val="none"/>
              </w:rPr>
              <w:t>图</w:t>
            </w:r>
            <w:r>
              <w:rPr>
                <w:rFonts w:hint="eastAsia"/>
                <w:color w:val="auto"/>
                <w:highlight w:val="none"/>
              </w:rPr>
              <w:t>2-3。</w:t>
            </w:r>
          </w:p>
          <w:p>
            <w:pPr>
              <w:ind w:firstLine="480"/>
              <w:rPr>
                <w:color w:val="auto"/>
                <w:highlight w:val="none"/>
              </w:rPr>
            </w:pPr>
            <w:r>
              <w:rPr>
                <w:rFonts w:hint="eastAsia"/>
                <w:color w:val="auto"/>
                <w:highlight w:val="none"/>
              </w:rPr>
              <w:t>（1）</w:t>
            </w:r>
            <w:r>
              <w:rPr>
                <w:color w:val="auto"/>
                <w:highlight w:val="none"/>
              </w:rPr>
              <w:t>合成实验</w:t>
            </w:r>
          </w:p>
          <w:p>
            <w:pPr>
              <w:pStyle w:val="15"/>
              <w:ind w:firstLine="0" w:firstLineChars="0"/>
              <w:jc w:val="center"/>
              <w:rPr>
                <w:rFonts w:ascii="Times New Roman"/>
                <w:color w:val="auto"/>
                <w:highlight w:val="none"/>
              </w:rPr>
            </w:pPr>
            <w:r>
              <w:rPr>
                <w:rFonts w:ascii="Times New Roman"/>
                <w:color w:val="auto"/>
                <w:highlight w:val="none"/>
              </w:rPr>
              <w:pict>
                <v:group id="_x0000_s1090" o:spid="_x0000_s1090" o:spt="203" style="height:80.2pt;width:390.15pt;" coordsize="49549,10185" editas="canvas">
                  <o:lock v:ext="edit"/>
                  <v:shape id="_x0000_s1091" o:spid="_x0000_s1091" o:spt="75" type="#_x0000_t75" style="position:absolute;left:0;top:0;height:10185;width:49549;" filled="f" o:preferrelative="t" stroked="f" coordsize="21600,21600">
                    <v:path/>
                    <v:fill on="f" focussize="0,0"/>
                    <v:stroke on="f" joinstyle="miter"/>
                    <v:imagedata o:title=""/>
                    <o:lock v:ext="edit" aspectratio="f"/>
                  </v:shape>
                  <v:shape id="_x0000_s1092" o:spid="_x0000_s1092" o:spt="75" type="#_x0000_t75" style="position:absolute;left:0;top:0;height:10185;width:48660;" filled="f" o:preferrelative="t" stroked="f" coordsize="21600,21600">
                    <v:path/>
                    <v:fill on="f" focussize="0,0"/>
                    <v:stroke on="f" joinstyle="miter"/>
                    <v:imagedata r:id="rId9" o:title=""/>
                    <o:lock v:ext="edit" aspectratio="t"/>
                  </v:shape>
                  <w10:wrap type="none"/>
                  <w10:anchorlock/>
                </v:group>
              </w:pict>
            </w:r>
          </w:p>
          <w:p>
            <w:pPr>
              <w:adjustRightInd w:val="0"/>
              <w:snapToGrid w:val="0"/>
              <w:ind w:firstLine="482"/>
              <w:jc w:val="center"/>
              <w:rPr>
                <w:b/>
                <w:bCs/>
                <w:color w:val="auto"/>
                <w:highlight w:val="none"/>
              </w:rPr>
            </w:pPr>
            <w:r>
              <w:rPr>
                <w:b/>
                <w:bCs/>
                <w:color w:val="auto"/>
                <w:highlight w:val="none"/>
              </w:rPr>
              <w:t>图</w:t>
            </w:r>
            <w:r>
              <w:rPr>
                <w:rFonts w:hint="eastAsia"/>
                <w:b/>
                <w:bCs/>
                <w:color w:val="auto"/>
                <w:highlight w:val="none"/>
              </w:rPr>
              <w:t>2</w:t>
            </w:r>
            <w:r>
              <w:rPr>
                <w:b/>
                <w:bCs/>
                <w:color w:val="auto"/>
                <w:highlight w:val="none"/>
              </w:rPr>
              <w:t>-</w:t>
            </w:r>
            <w:r>
              <w:rPr>
                <w:rFonts w:hint="eastAsia"/>
                <w:b/>
                <w:bCs/>
                <w:color w:val="auto"/>
                <w:highlight w:val="none"/>
              </w:rPr>
              <w:t xml:space="preserve">2 </w:t>
            </w:r>
            <w:r>
              <w:rPr>
                <w:b/>
                <w:bCs/>
                <w:color w:val="auto"/>
                <w:highlight w:val="none"/>
              </w:rPr>
              <w:t>合成实验工艺流程及产污环节图</w:t>
            </w:r>
          </w:p>
          <w:p>
            <w:pPr>
              <w:pStyle w:val="34"/>
              <w:jc w:val="both"/>
              <w:rPr>
                <w:rFonts w:cs="Times New Roman"/>
                <w:color w:val="auto"/>
                <w:highlight w:val="none"/>
              </w:rPr>
            </w:pPr>
            <w:r>
              <w:rPr>
                <w:rFonts w:cs="Times New Roman"/>
                <w:color w:val="auto"/>
                <w:highlight w:val="none"/>
              </w:rPr>
              <w:t>工艺流程描述：</w:t>
            </w:r>
          </w:p>
          <w:p>
            <w:pPr>
              <w:pStyle w:val="34"/>
              <w:jc w:val="both"/>
              <w:rPr>
                <w:rFonts w:cs="Times New Roman"/>
                <w:color w:val="auto"/>
                <w:highlight w:val="none"/>
              </w:rPr>
            </w:pPr>
            <w:r>
              <w:rPr>
                <w:rFonts w:cs="Times New Roman"/>
                <w:color w:val="auto"/>
                <w:highlight w:val="none"/>
              </w:rPr>
              <w:t>首先进行合成实验准备工作，组装仪器、称量试剂，将反应所需的原料按照一定比例投加到反应装置中，调节反应条件后进行反应；其次进行合成实验，反应过程中及时检测反应物的转化程度，确定反应程度至实验结束；最后进行提取检测，将反应液通过萃取或离心进行固液分离，湿料产品在烘箱中进行烘干，对干燥后的产品进行分析化验，合格产品包装入库。</w:t>
            </w:r>
          </w:p>
          <w:p>
            <w:pPr>
              <w:pStyle w:val="34"/>
              <w:jc w:val="both"/>
              <w:rPr>
                <w:rFonts w:cs="Times New Roman"/>
                <w:color w:val="auto"/>
                <w:highlight w:val="none"/>
              </w:rPr>
            </w:pPr>
            <w:r>
              <w:rPr>
                <w:rFonts w:hint="eastAsia" w:cs="Times New Roman"/>
                <w:color w:val="auto"/>
                <w:highlight w:val="none"/>
              </w:rPr>
              <w:t>项目合成出的产品经检验不合格后，再返回合成部门重新进行分离提纯至合格为止。</w:t>
            </w:r>
          </w:p>
          <w:p>
            <w:pPr>
              <w:ind w:firstLine="480"/>
              <w:rPr>
                <w:color w:val="auto"/>
                <w:highlight w:val="none"/>
              </w:rPr>
            </w:pPr>
            <w:r>
              <w:rPr>
                <w:rFonts w:hint="eastAsia"/>
                <w:color w:val="auto"/>
                <w:highlight w:val="none"/>
              </w:rPr>
              <w:t>（2）</w:t>
            </w:r>
            <w:r>
              <w:rPr>
                <w:color w:val="auto"/>
                <w:highlight w:val="none"/>
              </w:rPr>
              <w:t>分析实验</w:t>
            </w:r>
          </w:p>
          <w:p>
            <w:pPr>
              <w:pStyle w:val="16"/>
              <w:ind w:firstLine="480"/>
              <w:jc w:val="center"/>
              <w:rPr>
                <w:color w:val="auto"/>
                <w:highlight w:val="none"/>
              </w:rPr>
            </w:pPr>
            <w:r>
              <w:rPr>
                <w:color w:val="auto"/>
                <w:highlight w:val="none"/>
              </w:rPr>
              <w:pict>
                <v:group id="_x0000_s1093" o:spid="_x0000_s1093" o:spt="203" style="height:104.1pt;width:385.9pt;" coordsize="49009,13220" editas="canvas">
                  <o:lock v:ext="edit"/>
                  <v:shape id="_x0000_s1094" o:spid="_x0000_s1094" o:spt="75" type="#_x0000_t75" style="position:absolute;left:0;top:0;height:13220;width:49009;" filled="f" o:preferrelative="t" stroked="f" coordsize="21600,21600">
                    <v:path/>
                    <v:fill on="f" focussize="0,0"/>
                    <v:stroke on="f" joinstyle="miter"/>
                    <v:imagedata o:title=""/>
                    <o:lock v:ext="edit" aspectratio="f"/>
                  </v:shape>
                  <v:shape id="_x0000_s1095" o:spid="_x0000_s1095" o:spt="75" type="#_x0000_t75" style="position:absolute;left:0;top:0;height:12960;width:47186;" filled="f" o:preferrelative="t" stroked="f" coordsize="21600,21600">
                    <v:path/>
                    <v:fill on="f" focussize="0,0"/>
                    <v:stroke on="f" joinstyle="miter"/>
                    <v:imagedata r:id="rId10" o:title=""/>
                    <o:lock v:ext="edit" aspectratio="t"/>
                  </v:shape>
                  <w10:wrap type="none"/>
                  <w10:anchorlock/>
                </v:group>
              </w:pict>
            </w:r>
          </w:p>
          <w:p>
            <w:pPr>
              <w:widowControl/>
              <w:ind w:firstLine="482"/>
              <w:jc w:val="center"/>
              <w:rPr>
                <w:b/>
                <w:bCs/>
                <w:color w:val="auto"/>
                <w:highlight w:val="none"/>
              </w:rPr>
            </w:pPr>
            <w:r>
              <w:rPr>
                <w:b/>
                <w:bCs/>
                <w:color w:val="auto"/>
                <w:highlight w:val="none"/>
              </w:rPr>
              <w:t>图</w:t>
            </w:r>
            <w:r>
              <w:rPr>
                <w:rFonts w:hint="eastAsia"/>
                <w:b/>
                <w:bCs/>
                <w:color w:val="auto"/>
                <w:highlight w:val="none"/>
              </w:rPr>
              <w:t>2</w:t>
            </w:r>
            <w:r>
              <w:rPr>
                <w:b/>
                <w:bCs/>
                <w:color w:val="auto"/>
                <w:highlight w:val="none"/>
              </w:rPr>
              <w:t>-</w:t>
            </w:r>
            <w:r>
              <w:rPr>
                <w:rFonts w:hint="eastAsia"/>
                <w:b/>
                <w:bCs/>
                <w:color w:val="auto"/>
                <w:highlight w:val="none"/>
              </w:rPr>
              <w:t xml:space="preserve">3 </w:t>
            </w:r>
            <w:r>
              <w:rPr>
                <w:b/>
                <w:bCs/>
                <w:color w:val="auto"/>
                <w:highlight w:val="none"/>
              </w:rPr>
              <w:t>分析实验工艺流程及产污环节图</w:t>
            </w:r>
          </w:p>
          <w:p>
            <w:pPr>
              <w:widowControl/>
              <w:ind w:firstLine="480"/>
              <w:rPr>
                <w:color w:val="auto"/>
                <w:highlight w:val="none"/>
              </w:rPr>
            </w:pPr>
            <w:r>
              <w:rPr>
                <w:color w:val="auto"/>
                <w:highlight w:val="none"/>
              </w:rPr>
              <w:t>工艺流程简述：</w:t>
            </w:r>
          </w:p>
          <w:p>
            <w:pPr>
              <w:widowControl/>
              <w:ind w:firstLine="480"/>
              <w:rPr>
                <w:color w:val="auto"/>
                <w:highlight w:val="none"/>
              </w:rPr>
            </w:pPr>
            <w:r>
              <w:rPr>
                <w:color w:val="auto"/>
                <w:highlight w:val="none"/>
              </w:rPr>
              <w:t>首先进行来样登记，填写来样登记表，写明具体检测项目待检区；其次处理样品，根据样品的性质选择合适的处理方式，比如用合适的试剂溶解等；然后开机运行仪器，根据样品选择合适的分析方法、分析仪器，分析后对数据进行处理；最后出具报告，把检测结果以报告形式呈现。</w:t>
            </w:r>
          </w:p>
          <w:p>
            <w:pPr>
              <w:pStyle w:val="34"/>
              <w:ind w:firstLine="0" w:firstLineChars="0"/>
              <w:rPr>
                <w:rFonts w:cs="Times New Roman"/>
                <w:b/>
                <w:bCs/>
                <w:color w:val="auto"/>
                <w:szCs w:val="24"/>
                <w:highlight w:val="none"/>
              </w:rPr>
            </w:pPr>
          </w:p>
        </w:tc>
      </w:tr>
    </w:tbl>
    <w:p>
      <w:pPr>
        <w:snapToGrid w:val="0"/>
        <w:spacing w:line="240" w:lineRule="auto"/>
        <w:ind w:firstLine="0" w:firstLineChars="0"/>
        <w:outlineLvl w:val="0"/>
        <w:rPr>
          <w:b/>
          <w:bCs/>
          <w:color w:val="auto"/>
          <w:sz w:val="30"/>
          <w:szCs w:val="30"/>
          <w:highlight w:val="none"/>
        </w:rPr>
      </w:pPr>
      <w:bookmarkStart w:id="52" w:name="_Toc25077"/>
      <w:r>
        <w:rPr>
          <w:b/>
          <w:bCs/>
          <w:color w:val="auto"/>
          <w:sz w:val="30"/>
          <w:szCs w:val="30"/>
          <w:highlight w:val="none"/>
        </w:rPr>
        <w:br w:type="page"/>
      </w:r>
      <w:bookmarkStart w:id="53" w:name="_Toc30645"/>
      <w:bookmarkStart w:id="54" w:name="_Toc17651"/>
      <w:bookmarkStart w:id="55" w:name="_Toc30991"/>
      <w:bookmarkStart w:id="56" w:name="_Toc26155"/>
      <w:bookmarkStart w:id="57" w:name="_Toc21803"/>
      <w:bookmarkStart w:id="58" w:name="_Toc23534"/>
      <w:bookmarkStart w:id="59" w:name="_Toc17270"/>
      <w:bookmarkStart w:id="60" w:name="_Toc229"/>
      <w:bookmarkStart w:id="61" w:name="_Toc16372"/>
      <w:bookmarkStart w:id="62" w:name="_Toc21179"/>
      <w:bookmarkStart w:id="63" w:name="_Toc30922"/>
      <w:bookmarkStart w:id="64" w:name="_Toc3549"/>
      <w:bookmarkStart w:id="65" w:name="_Toc24561"/>
      <w:bookmarkStart w:id="66" w:name="_Toc27294"/>
      <w:bookmarkStart w:id="67" w:name="_Toc30786"/>
      <w:bookmarkStart w:id="68" w:name="_Toc1891"/>
      <w:bookmarkStart w:id="69" w:name="_Toc20410"/>
      <w:bookmarkStart w:id="70" w:name="_Toc9265"/>
      <w:bookmarkStart w:id="71" w:name="_Toc26196"/>
      <w:bookmarkStart w:id="72" w:name="_Toc23661"/>
      <w:bookmarkStart w:id="73" w:name="_Toc31388"/>
      <w:bookmarkStart w:id="74" w:name="_Toc30675"/>
      <w:bookmarkStart w:id="75" w:name="_Toc25327"/>
      <w:r>
        <w:rPr>
          <w:b/>
          <w:bCs/>
          <w:color w:val="auto"/>
          <w:sz w:val="30"/>
          <w:szCs w:val="30"/>
          <w:highlight w:val="none"/>
        </w:rPr>
        <w:t>表3  主要污染源、污染物处理和排放情况</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tbl>
      <w:tblPr>
        <w:tblStyle w:val="26"/>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4"/>
              <w:ind w:firstLine="482"/>
              <w:rPr>
                <w:rFonts w:cs="Times New Roman"/>
                <w:b/>
                <w:bCs/>
                <w:color w:val="auto"/>
                <w:szCs w:val="24"/>
                <w:highlight w:val="none"/>
              </w:rPr>
            </w:pPr>
            <w:r>
              <w:rPr>
                <w:rFonts w:cs="Times New Roman"/>
                <w:b/>
                <w:bCs/>
                <w:color w:val="auto"/>
                <w:szCs w:val="24"/>
                <w:highlight w:val="none"/>
              </w:rPr>
              <w:t>一、主要污染源的产生</w:t>
            </w:r>
          </w:p>
          <w:p>
            <w:pPr>
              <w:pStyle w:val="34"/>
              <w:ind w:firstLine="482"/>
              <w:rPr>
                <w:rFonts w:cs="Times New Roman"/>
                <w:b/>
                <w:bCs/>
                <w:color w:val="auto"/>
                <w:szCs w:val="24"/>
                <w:highlight w:val="none"/>
              </w:rPr>
            </w:pPr>
            <w:r>
              <w:rPr>
                <w:rFonts w:cs="Times New Roman"/>
                <w:b/>
                <w:bCs/>
                <w:color w:val="auto"/>
                <w:szCs w:val="24"/>
                <w:highlight w:val="none"/>
              </w:rPr>
              <w:t>1、废气</w:t>
            </w:r>
          </w:p>
          <w:p>
            <w:pPr>
              <w:pStyle w:val="34"/>
              <w:jc w:val="both"/>
              <w:rPr>
                <w:rFonts w:cs="Times New Roman"/>
                <w:color w:val="auto"/>
                <w:kern w:val="0"/>
                <w:szCs w:val="24"/>
                <w:highlight w:val="none"/>
                <w:lang w:bidi="ar"/>
              </w:rPr>
            </w:pPr>
            <w:r>
              <w:rPr>
                <w:rFonts w:hint="eastAsia" w:cs="Times New Roman"/>
                <w:color w:val="auto"/>
                <w:highlight w:val="none"/>
              </w:rPr>
              <w:t>本项目运营期产生的废气主要为实验过程中产生的有机废气（VOCs、甲苯、苯、甲醇）、臭气（臭气浓度）和酸碱废气（硫酸雾、氯化氢、氨）</w:t>
            </w:r>
            <w:r>
              <w:rPr>
                <w:rFonts w:hint="eastAsia" w:cs="Times New Roman"/>
                <w:color w:val="auto"/>
                <w:kern w:val="0"/>
                <w:szCs w:val="24"/>
                <w:highlight w:val="none"/>
                <w:lang w:bidi="ar"/>
              </w:rPr>
              <w:t>。</w:t>
            </w:r>
          </w:p>
          <w:p>
            <w:pPr>
              <w:ind w:firstLine="482"/>
              <w:rPr>
                <w:b/>
                <w:bCs/>
                <w:color w:val="auto"/>
                <w:highlight w:val="none"/>
              </w:rPr>
            </w:pPr>
            <w:r>
              <w:rPr>
                <w:b/>
                <w:bCs/>
                <w:color w:val="auto"/>
                <w:highlight w:val="none"/>
              </w:rPr>
              <w:t>2、废水</w:t>
            </w:r>
          </w:p>
          <w:p>
            <w:pPr>
              <w:pStyle w:val="34"/>
              <w:rPr>
                <w:rFonts w:cs="Times New Roman"/>
                <w:color w:val="auto"/>
                <w:szCs w:val="24"/>
                <w:highlight w:val="none"/>
              </w:rPr>
            </w:pPr>
            <w:r>
              <w:rPr>
                <w:rFonts w:hint="eastAsia" w:cs="Times New Roman"/>
                <w:color w:val="auto"/>
                <w:szCs w:val="24"/>
                <w:highlight w:val="none"/>
              </w:rPr>
              <w:t>本项目废水主要为生活污水、实验后器皿两次清洗后清洗废水、环保设备排污水、地面清洁废水。</w:t>
            </w:r>
          </w:p>
          <w:p>
            <w:pPr>
              <w:pStyle w:val="34"/>
              <w:ind w:firstLine="482"/>
              <w:rPr>
                <w:rFonts w:cs="Times New Roman"/>
                <w:b/>
                <w:bCs/>
                <w:color w:val="auto"/>
                <w:szCs w:val="24"/>
                <w:highlight w:val="none"/>
              </w:rPr>
            </w:pPr>
            <w:r>
              <w:rPr>
                <w:rFonts w:cs="Times New Roman"/>
                <w:b/>
                <w:bCs/>
                <w:color w:val="auto"/>
                <w:szCs w:val="24"/>
                <w:highlight w:val="none"/>
              </w:rPr>
              <w:t>3、噪声</w:t>
            </w:r>
          </w:p>
          <w:p>
            <w:pPr>
              <w:pStyle w:val="34"/>
              <w:rPr>
                <w:rFonts w:cs="Times New Roman"/>
                <w:color w:val="auto"/>
                <w:szCs w:val="24"/>
                <w:highlight w:val="none"/>
              </w:rPr>
            </w:pPr>
            <w:r>
              <w:rPr>
                <w:rFonts w:hint="eastAsia" w:cs="Times New Roman"/>
                <w:color w:val="auto"/>
                <w:szCs w:val="24"/>
                <w:highlight w:val="none"/>
              </w:rPr>
              <w:t>本项目噪声源主要为研发实验设备运转产生的噪声。</w:t>
            </w:r>
          </w:p>
          <w:p>
            <w:pPr>
              <w:pStyle w:val="34"/>
              <w:ind w:firstLine="482"/>
              <w:rPr>
                <w:rFonts w:cs="Times New Roman"/>
                <w:b/>
                <w:bCs/>
                <w:color w:val="auto"/>
                <w:szCs w:val="24"/>
                <w:highlight w:val="none"/>
              </w:rPr>
            </w:pPr>
            <w:r>
              <w:rPr>
                <w:rFonts w:cs="Times New Roman"/>
                <w:b/>
                <w:bCs/>
                <w:color w:val="auto"/>
                <w:szCs w:val="24"/>
                <w:highlight w:val="none"/>
              </w:rPr>
              <w:t>4、固体废物</w:t>
            </w:r>
          </w:p>
          <w:p>
            <w:pPr>
              <w:pStyle w:val="34"/>
              <w:widowControl/>
              <w:adjustRightInd/>
              <w:rPr>
                <w:rFonts w:cs="Times New Roman"/>
                <w:color w:val="auto"/>
                <w:szCs w:val="24"/>
                <w:highlight w:val="none"/>
              </w:rPr>
            </w:pPr>
            <w:r>
              <w:rPr>
                <w:rFonts w:hint="eastAsia" w:cs="Times New Roman"/>
                <w:color w:val="auto"/>
                <w:szCs w:val="24"/>
                <w:highlight w:val="none"/>
              </w:rPr>
              <w:t>本</w:t>
            </w:r>
            <w:r>
              <w:rPr>
                <w:rFonts w:cs="Times New Roman"/>
                <w:color w:val="auto"/>
                <w:szCs w:val="24"/>
                <w:highlight w:val="none"/>
              </w:rPr>
              <w:t>项目运营期产生的固体废物包括危险废物和一般固废。危险废物主要包括：</w:t>
            </w:r>
            <w:r>
              <w:rPr>
                <w:rFonts w:hint="eastAsia" w:cs="Times New Roman"/>
                <w:color w:val="auto"/>
                <w:highlight w:val="none"/>
              </w:rPr>
              <w:t>实验废物（</w:t>
            </w:r>
            <w:r>
              <w:rPr>
                <w:rFonts w:hint="eastAsia" w:cs="Times New Roman"/>
                <w:color w:val="auto"/>
                <w:szCs w:val="24"/>
                <w:highlight w:val="none"/>
              </w:rPr>
              <w:t>沾染试剂的废包装物、废试剂瓶、废手套等</w:t>
            </w:r>
            <w:r>
              <w:rPr>
                <w:rFonts w:hint="eastAsia" w:cs="Times New Roman"/>
                <w:color w:val="auto"/>
                <w:highlight w:val="none"/>
              </w:rPr>
              <w:t>）、实验废液（废流动相、实验后器皿前两次清洗废水等）</w:t>
            </w:r>
            <w:r>
              <w:rPr>
                <w:rFonts w:hint="eastAsia" w:cs="Times New Roman"/>
                <w:color w:val="auto"/>
                <w:szCs w:val="24"/>
                <w:highlight w:val="none"/>
              </w:rPr>
              <w:t>、废活性炭；</w:t>
            </w:r>
            <w:r>
              <w:rPr>
                <w:rFonts w:cs="Times New Roman"/>
                <w:color w:val="auto"/>
                <w:szCs w:val="24"/>
                <w:highlight w:val="none"/>
              </w:rPr>
              <w:t>一般固废主要包括：</w:t>
            </w:r>
            <w:r>
              <w:rPr>
                <w:rFonts w:hint="eastAsia" w:cs="Times New Roman"/>
                <w:color w:val="auto"/>
                <w:szCs w:val="24"/>
                <w:highlight w:val="none"/>
              </w:rPr>
              <w:t>生活垃圾、</w:t>
            </w:r>
            <w:r>
              <w:rPr>
                <w:rFonts w:cs="Times New Roman"/>
                <w:color w:val="auto"/>
                <w:szCs w:val="24"/>
                <w:highlight w:val="none"/>
              </w:rPr>
              <w:t>未沾染药品废包装物。</w:t>
            </w:r>
          </w:p>
          <w:p>
            <w:pPr>
              <w:pStyle w:val="34"/>
              <w:ind w:firstLine="482"/>
              <w:rPr>
                <w:rFonts w:cs="Times New Roman"/>
                <w:b/>
                <w:bCs/>
                <w:color w:val="auto"/>
                <w:szCs w:val="24"/>
                <w:highlight w:val="none"/>
              </w:rPr>
            </w:pPr>
            <w:r>
              <w:rPr>
                <w:rFonts w:cs="Times New Roman"/>
                <w:b/>
                <w:bCs/>
                <w:color w:val="auto"/>
                <w:szCs w:val="24"/>
                <w:highlight w:val="none"/>
              </w:rPr>
              <w:t>二、主要污染源处理和排放情况（附示意图、标出废气、废水监测点位）：</w:t>
            </w:r>
          </w:p>
          <w:p>
            <w:pPr>
              <w:pStyle w:val="34"/>
              <w:ind w:firstLine="482"/>
              <w:rPr>
                <w:rFonts w:cs="Times New Roman"/>
                <w:b/>
                <w:bCs/>
                <w:color w:val="auto"/>
                <w:szCs w:val="24"/>
                <w:highlight w:val="none"/>
              </w:rPr>
            </w:pPr>
            <w:r>
              <w:rPr>
                <w:rFonts w:cs="Times New Roman"/>
                <w:b/>
                <w:bCs/>
                <w:color w:val="auto"/>
                <w:szCs w:val="24"/>
                <w:highlight w:val="none"/>
              </w:rPr>
              <w:t>1、废气</w:t>
            </w:r>
          </w:p>
          <w:p>
            <w:pPr>
              <w:pStyle w:val="34"/>
              <w:jc w:val="both"/>
              <w:rPr>
                <w:rFonts w:cs="Times New Roman"/>
                <w:color w:val="auto"/>
                <w:szCs w:val="24"/>
                <w:highlight w:val="none"/>
              </w:rPr>
            </w:pPr>
            <w:r>
              <w:rPr>
                <w:rFonts w:cs="Times New Roman"/>
                <w:color w:val="auto"/>
                <w:szCs w:val="24"/>
                <w:highlight w:val="none"/>
              </w:rPr>
              <w:t>本项目运营期产生的废气主要为实验过程中产生的有机废气（VOCs、甲苯、苯、甲醇）、臭气（臭气浓度）和酸碱废气（硫酸雾、氯化氢、氨）。</w:t>
            </w:r>
          </w:p>
          <w:p>
            <w:pPr>
              <w:pStyle w:val="34"/>
              <w:jc w:val="both"/>
              <w:rPr>
                <w:rFonts w:cs="Times New Roman"/>
                <w:color w:val="auto"/>
                <w:szCs w:val="24"/>
                <w:highlight w:val="none"/>
              </w:rPr>
            </w:pPr>
            <w:r>
              <w:rPr>
                <w:rFonts w:ascii="Calibri" w:hAnsi="Calibri" w:cs="Calibri"/>
                <w:color w:val="auto"/>
                <w:szCs w:val="24"/>
                <w:highlight w:val="none"/>
              </w:rPr>
              <w:t>①</w:t>
            </w:r>
            <w:r>
              <w:rPr>
                <w:rFonts w:cs="Times New Roman"/>
                <w:color w:val="auto"/>
                <w:szCs w:val="24"/>
                <w:highlight w:val="none"/>
              </w:rPr>
              <w:t>有组织废气</w:t>
            </w:r>
          </w:p>
          <w:p>
            <w:pPr>
              <w:pStyle w:val="34"/>
              <w:jc w:val="both"/>
              <w:rPr>
                <w:rFonts w:cs="Times New Roman"/>
                <w:color w:val="auto"/>
                <w:szCs w:val="24"/>
                <w:highlight w:val="none"/>
              </w:rPr>
            </w:pPr>
            <w:r>
              <w:rPr>
                <w:rFonts w:cs="Times New Roman"/>
                <w:color w:val="auto"/>
                <w:szCs w:val="24"/>
                <w:highlight w:val="none"/>
              </w:rPr>
              <w:t>项目北侧合成实验室1及南侧理化室、液相室、气相室等运行过程中产生的有机废气、酸碱废气、臭气均由通风柜或万向吸风罩收集后，再经一套碱喷淋+活性炭吸附装置处理，处理后通过1根高于楼顶3m（距地面25m）的排气筒DA001排放；</w:t>
            </w:r>
          </w:p>
          <w:p>
            <w:pPr>
              <w:pStyle w:val="34"/>
              <w:jc w:val="both"/>
              <w:rPr>
                <w:rFonts w:cs="Times New Roman"/>
                <w:color w:val="auto"/>
                <w:szCs w:val="24"/>
                <w:highlight w:val="none"/>
              </w:rPr>
            </w:pPr>
            <w:r>
              <w:rPr>
                <w:rFonts w:cs="Times New Roman"/>
                <w:color w:val="auto"/>
                <w:szCs w:val="24"/>
                <w:highlight w:val="none"/>
              </w:rPr>
              <w:t>项目北侧合成实验室2、合成实验室3、氢化室等运行过程中产生的有机废气、酸碱废气、臭气均由通风柜收集后，再经一套碱喷淋+活性炭吸附装置处理，处理后通过1根高于楼顶3m（距地面25m）的排气筒DA002排放。</w:t>
            </w:r>
          </w:p>
          <w:p>
            <w:pPr>
              <w:pStyle w:val="34"/>
              <w:jc w:val="both"/>
              <w:rPr>
                <w:rFonts w:cs="Times New Roman"/>
                <w:color w:val="auto"/>
                <w:szCs w:val="24"/>
                <w:highlight w:val="none"/>
              </w:rPr>
            </w:pPr>
            <w:r>
              <w:rPr>
                <w:rFonts w:ascii="Calibri" w:hAnsi="Calibri" w:cs="Calibri"/>
                <w:color w:val="auto"/>
                <w:szCs w:val="24"/>
                <w:highlight w:val="none"/>
              </w:rPr>
              <w:t>②</w:t>
            </w:r>
            <w:r>
              <w:rPr>
                <w:rFonts w:cs="Times New Roman"/>
                <w:color w:val="auto"/>
                <w:szCs w:val="24"/>
                <w:highlight w:val="none"/>
              </w:rPr>
              <w:t>无组织废气</w:t>
            </w:r>
          </w:p>
          <w:p>
            <w:pPr>
              <w:pStyle w:val="34"/>
              <w:jc w:val="both"/>
              <w:rPr>
                <w:rFonts w:cs="Times New Roman"/>
                <w:color w:val="auto"/>
                <w:szCs w:val="21"/>
                <w:highlight w:val="none"/>
              </w:rPr>
            </w:pPr>
            <w:r>
              <w:rPr>
                <w:rFonts w:cs="Times New Roman"/>
                <w:color w:val="auto"/>
                <w:szCs w:val="24"/>
                <w:highlight w:val="none"/>
              </w:rPr>
              <w:t>未被收集的实验室废气等实验室通风后无组织排放。</w:t>
            </w:r>
          </w:p>
          <w:p>
            <w:pPr>
              <w:pStyle w:val="34"/>
              <w:rPr>
                <w:rFonts w:cs="Times New Roman"/>
                <w:color w:val="auto"/>
                <w:szCs w:val="24"/>
                <w:highlight w:val="none"/>
              </w:rPr>
            </w:pPr>
            <w:r>
              <w:rPr>
                <w:rFonts w:cs="Times New Roman"/>
                <w:color w:val="auto"/>
                <w:szCs w:val="24"/>
                <w:highlight w:val="none"/>
              </w:rPr>
              <w:t>项目设置</w:t>
            </w:r>
            <w:r>
              <w:rPr>
                <w:rFonts w:hint="eastAsia" w:cs="Times New Roman"/>
                <w:color w:val="auto"/>
                <w:szCs w:val="24"/>
                <w:highlight w:val="none"/>
              </w:rPr>
              <w:t>2</w:t>
            </w:r>
            <w:r>
              <w:rPr>
                <w:rFonts w:cs="Times New Roman"/>
                <w:color w:val="auto"/>
                <w:szCs w:val="24"/>
                <w:highlight w:val="none"/>
              </w:rPr>
              <w:t>根排气筒，此次验收共对</w:t>
            </w:r>
            <w:r>
              <w:rPr>
                <w:rFonts w:hint="eastAsia" w:cs="Times New Roman"/>
                <w:color w:val="auto"/>
                <w:szCs w:val="24"/>
                <w:highlight w:val="none"/>
              </w:rPr>
              <w:t>2</w:t>
            </w:r>
            <w:r>
              <w:rPr>
                <w:rFonts w:cs="Times New Roman"/>
                <w:color w:val="auto"/>
                <w:szCs w:val="24"/>
                <w:highlight w:val="none"/>
              </w:rPr>
              <w:t>根排气筒的废气排放情况进行了监测。</w:t>
            </w:r>
          </w:p>
          <w:p>
            <w:pPr>
              <w:pStyle w:val="34"/>
              <w:rPr>
                <w:rFonts w:cs="Times New Roman"/>
                <w:color w:val="auto"/>
                <w:szCs w:val="24"/>
                <w:highlight w:val="none"/>
              </w:rPr>
            </w:pPr>
            <w:r>
              <w:rPr>
                <w:rFonts w:cs="Times New Roman"/>
                <w:color w:val="auto"/>
                <w:highlight w:val="none"/>
              </w:rPr>
              <w:pict>
                <v:shape id="_x0000_s1089" o:spid="_x0000_s1089" o:spt="100" style="position:absolute;left:0pt;margin-left:238.65pt;margin-top:126.4pt;height:10.5pt;width:10.5pt;z-index:251660288;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1078" o:spid="_x0000_s1078" o:spt="100" style="position:absolute;left:0pt;margin-left:240.9pt;margin-top:46.15pt;height:10.5pt;width:10.5pt;z-index:251660288;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ECB019B1-382A-4266-B25C-5B523AA43C14-1" o:spid="ECB019B1-382A-4266-B25C-5B523AA43C14-1" o:spt="75" type="#_x0000_t75" style="height:176pt;width:331.5pt;" filled="f" o:preferrelative="t" stroked="f" coordsize="21600,21600">
                  <v:path/>
                  <v:fill on="f" focussize="0,0"/>
                  <v:stroke on="f" joinstyle="miter"/>
                  <v:imagedata r:id="rId11" o:title="wps"/>
                  <o:lock v:ext="edit" aspectratio="t"/>
                  <w10:wrap type="none"/>
                  <w10:anchorlock/>
                </v:shape>
              </w:pict>
            </w:r>
          </w:p>
          <w:p>
            <w:pPr>
              <w:pStyle w:val="34"/>
              <w:ind w:firstLine="0" w:firstLineChars="0"/>
              <w:jc w:val="center"/>
              <w:rPr>
                <w:rFonts w:cs="Times New Roman"/>
                <w:color w:val="auto"/>
                <w:szCs w:val="24"/>
                <w:highlight w:val="none"/>
              </w:rPr>
            </w:pPr>
            <w:r>
              <w:rPr>
                <w:rFonts w:cs="Times New Roman"/>
                <w:color w:val="auto"/>
                <w:highlight w:val="none"/>
              </w:rPr>
              <w:pict>
                <v:shape id="自选图形 317" o:spid="_x0000_s1074" o:spt="100" style="position:absolute;left:0pt;margin-left:286.65pt;margin-top:5.05pt;height:10.5pt;width:10.5pt;z-index:251660288;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color w:val="auto"/>
                <w:szCs w:val="24"/>
                <w:highlight w:val="none"/>
              </w:rPr>
              <w:t>图3-1 废气处理和排放示意图      监测点位</w:t>
            </w:r>
          </w:p>
          <w:p>
            <w:pPr>
              <w:pStyle w:val="34"/>
              <w:ind w:firstLine="482"/>
              <w:rPr>
                <w:rFonts w:cs="Times New Roman"/>
                <w:b/>
                <w:bCs/>
                <w:color w:val="auto"/>
                <w:szCs w:val="24"/>
                <w:highlight w:val="none"/>
              </w:rPr>
            </w:pPr>
            <w:r>
              <w:rPr>
                <w:rFonts w:cs="Times New Roman"/>
                <w:b/>
                <w:bCs/>
                <w:color w:val="auto"/>
                <w:szCs w:val="24"/>
                <w:highlight w:val="none"/>
              </w:rPr>
              <w:t>2、废水</w:t>
            </w:r>
          </w:p>
          <w:p>
            <w:pPr>
              <w:ind w:firstLine="480"/>
              <w:rPr>
                <w:color w:val="auto"/>
                <w:highlight w:val="none"/>
              </w:rPr>
            </w:pPr>
            <w:r>
              <w:rPr>
                <w:rFonts w:hint="eastAsia"/>
                <w:color w:val="auto"/>
                <w:highlight w:val="none"/>
              </w:rPr>
              <w:t>本项目产生的生活污水、实验后器皿</w:t>
            </w:r>
            <w:r>
              <w:rPr>
                <w:color w:val="auto"/>
                <w:highlight w:val="none"/>
              </w:rPr>
              <w:t>两次</w:t>
            </w:r>
            <w:r>
              <w:rPr>
                <w:rFonts w:hint="eastAsia"/>
                <w:color w:val="auto"/>
                <w:highlight w:val="none"/>
              </w:rPr>
              <w:t>清洗后</w:t>
            </w:r>
            <w:r>
              <w:rPr>
                <w:color w:val="auto"/>
                <w:highlight w:val="none"/>
              </w:rPr>
              <w:t>清洗</w:t>
            </w:r>
            <w:r>
              <w:rPr>
                <w:rFonts w:hint="eastAsia"/>
                <w:color w:val="auto"/>
                <w:highlight w:val="none"/>
              </w:rPr>
              <w:t>废水、</w:t>
            </w:r>
            <w:r>
              <w:rPr>
                <w:rFonts w:hint="eastAsia"/>
                <w:color w:val="auto"/>
                <w:highlight w:val="none"/>
                <w:lang w:eastAsia="zh-CN"/>
              </w:rPr>
              <w:t>环保设备排污水、地面清洁废水，均经收集池收集后满足银丰国际生物城污水处理站进水水质标准后，排入银丰国际生物城污水处理站处理</w:t>
            </w:r>
            <w:r>
              <w:rPr>
                <w:color w:val="auto"/>
                <w:highlight w:val="none"/>
              </w:rPr>
              <w:t>，满足《污水排入城镇下水道水质标准》（GB/T31962-2015）</w:t>
            </w:r>
            <w:r>
              <w:rPr>
                <w:rFonts w:hint="eastAsia"/>
                <w:color w:val="auto"/>
                <w:highlight w:val="none"/>
                <w:lang w:eastAsia="zh-CN"/>
              </w:rPr>
              <w:t>A级</w:t>
            </w:r>
            <w:r>
              <w:rPr>
                <w:color w:val="auto"/>
                <w:highlight w:val="none"/>
              </w:rPr>
              <w:t>标准后</w:t>
            </w:r>
            <w:r>
              <w:rPr>
                <w:rFonts w:hint="eastAsia"/>
                <w:color w:val="auto"/>
                <w:highlight w:val="none"/>
              </w:rPr>
              <w:t>通过</w:t>
            </w:r>
            <w:r>
              <w:rPr>
                <w:color w:val="auto"/>
                <w:highlight w:val="none"/>
              </w:rPr>
              <w:t>市政管网</w:t>
            </w:r>
            <w:r>
              <w:rPr>
                <w:rFonts w:hint="eastAsia"/>
                <w:color w:val="auto"/>
                <w:highlight w:val="none"/>
              </w:rPr>
              <w:t>排入</w:t>
            </w:r>
            <w:r>
              <w:rPr>
                <w:color w:val="auto"/>
                <w:highlight w:val="none"/>
              </w:rPr>
              <w:t>巨野河污水处理厂</w:t>
            </w:r>
            <w:r>
              <w:rPr>
                <w:rFonts w:hint="eastAsia"/>
                <w:color w:val="auto"/>
                <w:highlight w:val="none"/>
              </w:rPr>
              <w:t>处理达标后</w:t>
            </w:r>
            <w:r>
              <w:rPr>
                <w:bCs/>
                <w:color w:val="auto"/>
                <w:highlight w:val="none"/>
              </w:rPr>
              <w:t>，经</w:t>
            </w:r>
            <w:r>
              <w:rPr>
                <w:rFonts w:hint="eastAsia"/>
                <w:bCs/>
                <w:color w:val="auto"/>
                <w:highlight w:val="none"/>
              </w:rPr>
              <w:t>西</w:t>
            </w:r>
            <w:r>
              <w:rPr>
                <w:bCs/>
                <w:color w:val="auto"/>
                <w:highlight w:val="none"/>
              </w:rPr>
              <w:t>巨野河排入小清河</w:t>
            </w:r>
            <w:r>
              <w:rPr>
                <w:rFonts w:hint="eastAsia"/>
                <w:color w:val="auto"/>
                <w:highlight w:val="none"/>
              </w:rPr>
              <w:t>。</w:t>
            </w:r>
          </w:p>
          <w:p>
            <w:pPr>
              <w:pStyle w:val="2"/>
              <w:ind w:firstLine="0" w:firstLineChars="0"/>
              <w:rPr>
                <w:color w:val="auto"/>
                <w:highlight w:val="none"/>
              </w:rPr>
            </w:pPr>
            <w:r>
              <w:rPr>
                <w:color w:val="auto"/>
                <w:sz w:val="24"/>
                <w:highlight w:val="none"/>
              </w:rPr>
              <w:pict>
                <v:shape id="_x0000_s1097" o:spid="_x0000_s1097" o:spt="12" type="#_x0000_t12" style="position:absolute;left:0pt;margin-left:345.45pt;margin-top:93.35pt;height:10.5pt;width:11.25pt;z-index:251660288;mso-width-relative:page;mso-height-relative:page;" fillcolor="#000000" filled="t" coordsize="21600,21600">
                  <v:path/>
                  <v:fill on="t" focussize="0,0"/>
                  <v:stroke joinstyle="miter"/>
                  <v:imagedata o:title=""/>
                  <o:lock v:ext="edit"/>
                </v:shape>
              </w:pict>
            </w:r>
            <w:r>
              <w:rPr>
                <w:color w:val="auto"/>
                <w:sz w:val="24"/>
                <w:highlight w:val="none"/>
              </w:rPr>
              <w:pict>
                <v:shape id="_x0000_s1098" o:spid="_x0000_s1098" o:spt="12" type="#_x0000_t12" style="position:absolute;left:0pt;margin-left:400.95pt;margin-top:116.6pt;height:10.5pt;width:11.25pt;z-index:251660288;mso-width-relative:page;mso-height-relative:page;" fillcolor="#000000" filled="t" coordsize="21600,21600">
                  <v:path/>
                  <v:fill on="t" focussize="0,0"/>
                  <v:stroke joinstyle="miter"/>
                  <v:imagedata o:title=""/>
                  <o:lock v:ext="edit"/>
                </v:shape>
              </w:pict>
            </w:r>
            <w:r>
              <w:rPr>
                <w:color w:val="auto"/>
                <w:highlight w:val="none"/>
              </w:rPr>
              <w:pict>
                <v:shape id="_x0000_i1027" o:spt="75" alt="未命名文件(45)(1)" type="#_x0000_t75" style="height:371.5pt;width:446pt;" filled="f" o:preferrelative="t" stroked="f" coordsize="21600,21600">
                  <v:path/>
                  <v:fill on="f" focussize="0,0"/>
                  <v:stroke on="f" joinstyle="miter"/>
                  <v:imagedata r:id="rId8" o:title="未命名文件(45)(1)"/>
                  <o:lock v:ext="edit" aspectratio="t"/>
                  <w10:wrap type="none"/>
                  <w10:anchorlock/>
                </v:shape>
              </w:pict>
            </w:r>
          </w:p>
          <w:p>
            <w:pPr>
              <w:pStyle w:val="34"/>
              <w:adjustRightInd/>
              <w:jc w:val="center"/>
              <w:rPr>
                <w:rFonts w:cs="Times New Roman"/>
                <w:b/>
                <w:bCs/>
                <w:color w:val="auto"/>
                <w:szCs w:val="24"/>
                <w:highlight w:val="none"/>
              </w:rPr>
            </w:pPr>
            <w:r>
              <w:rPr>
                <w:color w:val="auto"/>
                <w:highlight w:val="none"/>
              </w:rPr>
              <w:pict>
                <v:shape id="_x0000_s1096" o:spid="_x0000_s1096" o:spt="12" type="#_x0000_t12" style="position:absolute;left:0pt;margin-left:298.2pt;margin-top:5.6pt;height:10.5pt;width:11.25pt;z-index:251660288;mso-width-relative:page;mso-height-relative:page;" fillcolor="#000000" filled="t" coordsize="21600,21600">
                  <v:path/>
                  <v:fill on="t" focussize="0,0"/>
                  <v:stroke joinstyle="miter"/>
                  <v:imagedata o:title=""/>
                  <o:lock v:ext="edit"/>
                </v:shape>
              </w:pict>
            </w:r>
            <w:r>
              <w:rPr>
                <w:rFonts w:cs="Times New Roman"/>
                <w:b/>
                <w:bCs/>
                <w:color w:val="auto"/>
                <w:szCs w:val="24"/>
                <w:highlight w:val="none"/>
              </w:rPr>
              <w:t>图3-</w:t>
            </w:r>
            <w:r>
              <w:rPr>
                <w:rFonts w:hint="eastAsia" w:cs="Times New Roman"/>
                <w:b/>
                <w:bCs/>
                <w:color w:val="auto"/>
                <w:szCs w:val="24"/>
                <w:highlight w:val="none"/>
              </w:rPr>
              <w:t xml:space="preserve">2 </w:t>
            </w:r>
            <w:r>
              <w:rPr>
                <w:rFonts w:cs="Times New Roman"/>
                <w:b/>
                <w:bCs/>
                <w:color w:val="auto"/>
                <w:szCs w:val="24"/>
                <w:highlight w:val="none"/>
              </w:rPr>
              <w:t xml:space="preserve"> 废</w:t>
            </w:r>
            <w:r>
              <w:rPr>
                <w:rFonts w:hint="eastAsia" w:cs="Times New Roman"/>
                <w:b/>
                <w:bCs/>
                <w:color w:val="auto"/>
                <w:szCs w:val="24"/>
                <w:highlight w:val="none"/>
              </w:rPr>
              <w:t>水</w:t>
            </w:r>
            <w:r>
              <w:rPr>
                <w:rFonts w:cs="Times New Roman"/>
                <w:b/>
                <w:bCs/>
                <w:color w:val="auto"/>
                <w:szCs w:val="24"/>
                <w:highlight w:val="none"/>
              </w:rPr>
              <w:t>处理和排放示意图      监测点位</w:t>
            </w:r>
          </w:p>
          <w:p>
            <w:pPr>
              <w:pStyle w:val="34"/>
              <w:ind w:firstLine="482"/>
              <w:rPr>
                <w:rFonts w:cs="Times New Roman"/>
                <w:b/>
                <w:bCs/>
                <w:color w:val="auto"/>
                <w:szCs w:val="24"/>
                <w:highlight w:val="none"/>
              </w:rPr>
            </w:pPr>
            <w:r>
              <w:rPr>
                <w:rFonts w:cs="Times New Roman"/>
                <w:b/>
                <w:bCs/>
                <w:color w:val="auto"/>
                <w:szCs w:val="24"/>
                <w:highlight w:val="none"/>
              </w:rPr>
              <w:t>3、噪声</w:t>
            </w:r>
          </w:p>
          <w:p>
            <w:pPr>
              <w:pStyle w:val="34"/>
              <w:jc w:val="both"/>
              <w:rPr>
                <w:rFonts w:cs="Times New Roman"/>
                <w:color w:val="auto"/>
                <w:highlight w:val="none"/>
              </w:rPr>
            </w:pPr>
            <w:r>
              <w:rPr>
                <w:rFonts w:hint="eastAsia" w:cs="Times New Roman"/>
                <w:color w:val="auto"/>
                <w:highlight w:val="none"/>
              </w:rPr>
              <w:t>本</w:t>
            </w:r>
            <w:r>
              <w:rPr>
                <w:rFonts w:cs="Times New Roman"/>
                <w:color w:val="auto"/>
                <w:highlight w:val="none"/>
              </w:rPr>
              <w:t>项目实验设备均布置于室内，采取门窗、墙体隔声，全部设备均选用低噪声设备并采取减振措施。加强管理，经常保养和维护机械设备避免设备在不良状态下运行。</w:t>
            </w:r>
          </w:p>
          <w:p>
            <w:pPr>
              <w:pStyle w:val="34"/>
              <w:rPr>
                <w:rFonts w:cs="Times New Roman"/>
                <w:color w:val="auto"/>
                <w:szCs w:val="24"/>
                <w:highlight w:val="none"/>
              </w:rPr>
            </w:pPr>
            <w:r>
              <w:rPr>
                <w:rFonts w:cs="Times New Roman"/>
                <w:color w:val="auto"/>
                <w:szCs w:val="24"/>
                <w:highlight w:val="none"/>
              </w:rPr>
              <w:t>噪声处理及</w:t>
            </w:r>
            <w:r>
              <w:rPr>
                <w:rFonts w:cs="Times New Roman"/>
                <w:color w:val="auto"/>
                <w:highlight w:val="none"/>
              </w:rPr>
              <w:t>排放</w:t>
            </w:r>
            <w:r>
              <w:rPr>
                <w:rFonts w:cs="Times New Roman"/>
                <w:color w:val="auto"/>
                <w:szCs w:val="24"/>
                <w:highlight w:val="none"/>
              </w:rPr>
              <w:t>方式见图3-2。</w:t>
            </w:r>
          </w:p>
          <w:p>
            <w:pPr>
              <w:pStyle w:val="34"/>
              <w:jc w:val="center"/>
              <w:rPr>
                <w:rFonts w:cs="Times New Roman"/>
                <w:color w:val="auto"/>
                <w:highlight w:val="none"/>
              </w:rPr>
            </w:pPr>
            <w:r>
              <w:rPr>
                <w:rFonts w:cs="Times New Roman"/>
                <w:color w:val="auto"/>
                <w:highlight w:val="none"/>
              </w:rPr>
              <w:pict>
                <v:shape id="自选图形 327" o:spid="_x0000_s1075" o:spt="5" type="#_x0000_t5" style="position:absolute;left:0pt;margin-left:398.5pt;margin-top:35.3pt;height:9.8pt;width:12pt;z-index:251660288;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color w:val="auto"/>
                <w:highlight w:val="none"/>
              </w:rPr>
              <w:pict>
                <v:shape id="_x0000_i1028" o:spt="75" type="#_x0000_t75" style="height:72.5pt;width:329.5pt;" filled="f" o:preferrelative="t" stroked="f" coordsize="21600,21600">
                  <v:path/>
                  <v:fill on="f" focussize="0,0"/>
                  <v:stroke on="f" joinstyle="miter"/>
                  <v:imagedata r:id="rId12" o:title=""/>
                  <o:lock v:ext="edit" aspectratio="t"/>
                  <w10:wrap type="none"/>
                  <w10:anchorlock/>
                </v:shape>
              </w:pict>
            </w:r>
          </w:p>
          <w:p>
            <w:pPr>
              <w:pStyle w:val="34"/>
              <w:ind w:firstLine="0" w:firstLineChars="0"/>
              <w:jc w:val="center"/>
              <w:rPr>
                <w:rFonts w:cs="Times New Roman"/>
                <w:b/>
                <w:bCs/>
                <w:color w:val="auto"/>
                <w:szCs w:val="24"/>
                <w:highlight w:val="none"/>
              </w:rPr>
            </w:pPr>
            <w:r>
              <w:rPr>
                <w:rFonts w:cs="Times New Roman"/>
                <w:color w:val="auto"/>
                <w:highlight w:val="none"/>
              </w:rPr>
              <w:pict>
                <v:shape id="自选图形 95" o:spid="_x0000_s1076" o:spt="5" type="#_x0000_t5" style="position:absolute;left:0pt;margin-left:310pt;margin-top:6.05pt;height:9.8pt;width:12pt;z-index:251660288;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color w:val="auto"/>
                <w:szCs w:val="24"/>
                <w:highlight w:val="none"/>
              </w:rPr>
              <w:t>图3-</w:t>
            </w:r>
            <w:r>
              <w:rPr>
                <w:rFonts w:hint="eastAsia" w:cs="Times New Roman"/>
                <w:b/>
                <w:bCs/>
                <w:color w:val="auto"/>
                <w:szCs w:val="24"/>
                <w:highlight w:val="none"/>
              </w:rPr>
              <w:t>3</w:t>
            </w:r>
            <w:r>
              <w:rPr>
                <w:rFonts w:cs="Times New Roman"/>
                <w:b/>
                <w:bCs/>
                <w:color w:val="auto"/>
                <w:szCs w:val="24"/>
                <w:highlight w:val="none"/>
              </w:rPr>
              <w:t xml:space="preserve">  本项目噪声处理和排放示意图       监测点位</w:t>
            </w:r>
          </w:p>
          <w:p>
            <w:pPr>
              <w:pStyle w:val="34"/>
              <w:ind w:firstLine="482"/>
              <w:rPr>
                <w:rFonts w:cs="Times New Roman"/>
                <w:b/>
                <w:bCs/>
                <w:color w:val="auto"/>
                <w:szCs w:val="24"/>
                <w:highlight w:val="none"/>
              </w:rPr>
            </w:pPr>
            <w:r>
              <w:rPr>
                <w:rFonts w:cs="Times New Roman"/>
                <w:b/>
                <w:bCs/>
                <w:color w:val="auto"/>
                <w:szCs w:val="24"/>
                <w:highlight w:val="none"/>
              </w:rPr>
              <w:t>4、固体废物</w:t>
            </w:r>
          </w:p>
          <w:p>
            <w:pPr>
              <w:pStyle w:val="34"/>
              <w:widowControl/>
              <w:adjustRightInd/>
              <w:rPr>
                <w:rFonts w:cs="Times New Roman"/>
                <w:color w:val="auto"/>
                <w:szCs w:val="24"/>
                <w:highlight w:val="none"/>
              </w:rPr>
            </w:pPr>
            <w:r>
              <w:rPr>
                <w:rFonts w:hint="eastAsia" w:cs="Times New Roman"/>
                <w:color w:val="auto"/>
                <w:szCs w:val="24"/>
                <w:highlight w:val="none"/>
              </w:rPr>
              <w:t>本</w:t>
            </w:r>
            <w:r>
              <w:rPr>
                <w:rFonts w:cs="Times New Roman"/>
                <w:color w:val="auto"/>
                <w:szCs w:val="24"/>
                <w:highlight w:val="none"/>
              </w:rPr>
              <w:t>项目运营期产生的固体废物包括危险废物和一般固废。危险废物主要包括：</w:t>
            </w:r>
            <w:r>
              <w:rPr>
                <w:rFonts w:hint="eastAsia" w:cs="Times New Roman"/>
                <w:color w:val="auto"/>
                <w:highlight w:val="none"/>
              </w:rPr>
              <w:t>实验废物（</w:t>
            </w:r>
            <w:r>
              <w:rPr>
                <w:rFonts w:hint="eastAsia" w:cs="Times New Roman"/>
                <w:color w:val="auto"/>
                <w:szCs w:val="24"/>
                <w:highlight w:val="none"/>
              </w:rPr>
              <w:t>沾染试剂的废包装物、废试剂瓶、废手套等</w:t>
            </w:r>
            <w:r>
              <w:rPr>
                <w:rFonts w:hint="eastAsia" w:cs="Times New Roman"/>
                <w:color w:val="auto"/>
                <w:highlight w:val="none"/>
              </w:rPr>
              <w:t>）、实验废液（废流动相、实验后器皿前两次清洗废水等）</w:t>
            </w:r>
            <w:r>
              <w:rPr>
                <w:rFonts w:hint="eastAsia" w:cs="Times New Roman"/>
                <w:color w:val="auto"/>
                <w:szCs w:val="24"/>
                <w:highlight w:val="none"/>
              </w:rPr>
              <w:t>、废活性炭；</w:t>
            </w:r>
            <w:r>
              <w:rPr>
                <w:rFonts w:cs="Times New Roman"/>
                <w:color w:val="auto"/>
                <w:szCs w:val="24"/>
                <w:highlight w:val="none"/>
              </w:rPr>
              <w:t>一般固废主要包括：</w:t>
            </w:r>
            <w:r>
              <w:rPr>
                <w:rFonts w:hint="eastAsia" w:cs="Times New Roman"/>
                <w:color w:val="auto"/>
                <w:szCs w:val="24"/>
                <w:highlight w:val="none"/>
              </w:rPr>
              <w:t>生活垃圾、</w:t>
            </w:r>
            <w:r>
              <w:rPr>
                <w:rFonts w:cs="Times New Roman"/>
                <w:color w:val="auto"/>
                <w:szCs w:val="24"/>
                <w:highlight w:val="none"/>
              </w:rPr>
              <w:t>未沾染药品废包装物。</w:t>
            </w:r>
          </w:p>
          <w:p>
            <w:pPr>
              <w:pStyle w:val="34"/>
              <w:widowControl/>
              <w:adjustRightInd/>
              <w:rPr>
                <w:rFonts w:cs="Times New Roman"/>
                <w:color w:val="auto"/>
                <w:highlight w:val="none"/>
              </w:rPr>
            </w:pPr>
            <w:r>
              <w:rPr>
                <w:rFonts w:cs="Times New Roman"/>
                <w:color w:val="auto"/>
                <w:szCs w:val="24"/>
                <w:highlight w:val="none"/>
              </w:rPr>
              <w:t>未沾染药品废包装物</w:t>
            </w:r>
            <w:r>
              <w:rPr>
                <w:rFonts w:hint="eastAsia" w:cs="Times New Roman"/>
                <w:color w:val="auto"/>
                <w:highlight w:val="none"/>
              </w:rPr>
              <w:t>收集后</w:t>
            </w:r>
            <w:r>
              <w:rPr>
                <w:rFonts w:cs="Times New Roman"/>
                <w:color w:val="auto"/>
                <w:szCs w:val="24"/>
                <w:highlight w:val="none"/>
              </w:rPr>
              <w:t>外售物资回收单位</w:t>
            </w:r>
            <w:r>
              <w:rPr>
                <w:rFonts w:hint="eastAsia" w:cs="Times New Roman"/>
                <w:color w:val="auto"/>
                <w:szCs w:val="24"/>
                <w:highlight w:val="none"/>
              </w:rPr>
              <w:t>，生活垃圾</w:t>
            </w:r>
            <w:r>
              <w:rPr>
                <w:rFonts w:cs="Times New Roman"/>
                <w:color w:val="auto"/>
                <w:szCs w:val="24"/>
                <w:highlight w:val="none"/>
              </w:rPr>
              <w:t>由环卫部门定期清运处理</w:t>
            </w:r>
            <w:r>
              <w:rPr>
                <w:rFonts w:hint="eastAsia" w:cs="Times New Roman"/>
                <w:color w:val="auto"/>
                <w:szCs w:val="24"/>
                <w:highlight w:val="none"/>
              </w:rPr>
              <w:t>；</w:t>
            </w:r>
            <w:r>
              <w:rPr>
                <w:rFonts w:hint="eastAsia" w:cs="Times New Roman"/>
                <w:color w:val="auto"/>
                <w:highlight w:val="none"/>
              </w:rPr>
              <w:t>实验废物（</w:t>
            </w:r>
            <w:r>
              <w:rPr>
                <w:rFonts w:hint="eastAsia" w:cs="Times New Roman"/>
                <w:color w:val="auto"/>
                <w:szCs w:val="24"/>
                <w:highlight w:val="none"/>
              </w:rPr>
              <w:t>沾染试剂的废包装物、废试剂瓶、废手套等</w:t>
            </w:r>
            <w:r>
              <w:rPr>
                <w:rFonts w:hint="eastAsia" w:cs="Times New Roman"/>
                <w:color w:val="auto"/>
                <w:highlight w:val="none"/>
              </w:rPr>
              <w:t>）、实验废液（废流动相、实验后器皿前两次清洗废水等）</w:t>
            </w:r>
            <w:r>
              <w:rPr>
                <w:rFonts w:hint="eastAsia" w:cs="Times New Roman"/>
                <w:color w:val="auto"/>
                <w:szCs w:val="24"/>
                <w:highlight w:val="none"/>
              </w:rPr>
              <w:t>、废活性炭收集后暂存于危废间，委托山东朋光环保科技有限公司处置。</w:t>
            </w:r>
          </w:p>
          <w:p>
            <w:pPr>
              <w:pStyle w:val="34"/>
              <w:snapToGrid w:val="0"/>
              <w:ind w:firstLine="0" w:firstLineChars="0"/>
              <w:rPr>
                <w:rFonts w:cs="Times New Roman"/>
                <w:color w:val="auto"/>
                <w:szCs w:val="24"/>
                <w:highlight w:val="none"/>
              </w:rPr>
            </w:pPr>
          </w:p>
        </w:tc>
      </w:tr>
    </w:tbl>
    <w:p>
      <w:pPr>
        <w:snapToGrid w:val="0"/>
        <w:spacing w:line="240" w:lineRule="auto"/>
        <w:ind w:firstLine="0" w:firstLineChars="0"/>
        <w:outlineLvl w:val="0"/>
        <w:rPr>
          <w:b/>
          <w:bCs/>
          <w:color w:val="auto"/>
          <w:sz w:val="30"/>
          <w:szCs w:val="30"/>
          <w:highlight w:val="none"/>
        </w:rPr>
      </w:pPr>
      <w:bookmarkStart w:id="76" w:name="_Toc5948"/>
      <w:r>
        <w:rPr>
          <w:b/>
          <w:bCs/>
          <w:color w:val="auto"/>
          <w:sz w:val="30"/>
          <w:szCs w:val="30"/>
          <w:highlight w:val="none"/>
        </w:rPr>
        <w:br w:type="page"/>
      </w:r>
      <w:bookmarkStart w:id="77" w:name="_Toc930"/>
      <w:bookmarkStart w:id="78" w:name="_Toc5861"/>
      <w:bookmarkStart w:id="79" w:name="_Toc24074"/>
      <w:bookmarkStart w:id="80" w:name="_Toc23963"/>
      <w:bookmarkStart w:id="81" w:name="_Toc23018"/>
      <w:bookmarkStart w:id="82" w:name="_Toc19570"/>
      <w:bookmarkStart w:id="83" w:name="_Toc28377"/>
      <w:bookmarkStart w:id="84" w:name="_Toc30755"/>
      <w:bookmarkStart w:id="85" w:name="_Toc6560"/>
      <w:bookmarkStart w:id="86" w:name="_Toc26043"/>
      <w:bookmarkStart w:id="87" w:name="_Toc28525"/>
      <w:bookmarkStart w:id="88" w:name="_Toc21706"/>
      <w:bookmarkStart w:id="89" w:name="_Toc4396"/>
      <w:bookmarkStart w:id="90" w:name="_Toc7022"/>
      <w:bookmarkStart w:id="91" w:name="_Toc28132"/>
      <w:bookmarkStart w:id="92" w:name="_Toc24923"/>
      <w:bookmarkStart w:id="93" w:name="_Toc23840"/>
      <w:bookmarkStart w:id="94" w:name="_Toc1214"/>
      <w:bookmarkStart w:id="95" w:name="_Toc28751"/>
      <w:bookmarkStart w:id="96" w:name="_Toc27173"/>
      <w:bookmarkStart w:id="97" w:name="_Toc20068"/>
      <w:bookmarkStart w:id="98" w:name="_Toc18700"/>
      <w:bookmarkStart w:id="99" w:name="_Toc9507"/>
      <w:r>
        <w:rPr>
          <w:b/>
          <w:bCs/>
          <w:color w:val="auto"/>
          <w:sz w:val="30"/>
          <w:szCs w:val="30"/>
          <w:highlight w:val="none"/>
        </w:rPr>
        <w:t>表4  环评主要结论、审批部门审批决定及批复落实情况</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2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311" w:hRule="atLeast"/>
        </w:trPr>
        <w:tc>
          <w:tcPr>
            <w:tcW w:w="5000" w:type="pct"/>
            <w:tcBorders>
              <w:top w:val="single" w:color="000000" w:sz="12" w:space="0"/>
              <w:bottom w:val="single" w:color="000000" w:sz="12" w:space="0"/>
            </w:tcBorders>
          </w:tcPr>
          <w:p>
            <w:pPr>
              <w:pStyle w:val="34"/>
              <w:adjustRightInd/>
              <w:ind w:firstLine="482"/>
              <w:rPr>
                <w:rFonts w:cs="Times New Roman"/>
                <w:b/>
                <w:bCs/>
                <w:color w:val="auto"/>
                <w:highlight w:val="none"/>
              </w:rPr>
            </w:pPr>
            <w:r>
              <w:rPr>
                <w:rFonts w:cs="Times New Roman"/>
                <w:b/>
                <w:bCs/>
                <w:color w:val="auto"/>
                <w:highlight w:val="none"/>
              </w:rPr>
              <w:t>一、环评主要结论及建议</w:t>
            </w:r>
          </w:p>
          <w:p>
            <w:pPr>
              <w:pStyle w:val="34"/>
              <w:adjustRightInd/>
              <w:ind w:firstLine="482"/>
              <w:rPr>
                <w:rFonts w:cs="Times New Roman"/>
                <w:b/>
                <w:bCs/>
                <w:color w:val="auto"/>
                <w:highlight w:val="none"/>
              </w:rPr>
            </w:pPr>
            <w:r>
              <w:rPr>
                <w:rFonts w:cs="Times New Roman"/>
                <w:b/>
                <w:bCs/>
                <w:color w:val="auto"/>
                <w:highlight w:val="none"/>
              </w:rPr>
              <w:t>1、结论</w:t>
            </w:r>
          </w:p>
          <w:p>
            <w:pPr>
              <w:tabs>
                <w:tab w:val="left" w:pos="339"/>
              </w:tabs>
              <w:ind w:firstLine="480"/>
              <w:jc w:val="left"/>
              <w:rPr>
                <w:color w:val="auto"/>
                <w:highlight w:val="none"/>
              </w:rPr>
            </w:pPr>
            <w:r>
              <w:rPr>
                <w:color w:val="auto"/>
                <w:highlight w:val="none"/>
              </w:rPr>
              <w:t>（1）大气环境影响分析</w:t>
            </w:r>
          </w:p>
          <w:p>
            <w:pPr>
              <w:adjustRightInd w:val="0"/>
              <w:snapToGrid w:val="0"/>
              <w:ind w:firstLine="480"/>
              <w:rPr>
                <w:color w:val="auto"/>
                <w:highlight w:val="none"/>
              </w:rPr>
            </w:pPr>
            <w:r>
              <w:rPr>
                <w:rFonts w:hint="eastAsia"/>
                <w:color w:val="auto"/>
                <w:highlight w:val="none"/>
              </w:rPr>
              <w:t>拟建项目位于济南市高新区春兰路1177号银丰国际生物城B7-02楼，所在区域环境空气属于不达标区。</w:t>
            </w:r>
          </w:p>
          <w:p>
            <w:pPr>
              <w:adjustRightInd w:val="0"/>
              <w:snapToGrid w:val="0"/>
              <w:ind w:firstLine="480"/>
              <w:rPr>
                <w:color w:val="auto"/>
                <w:highlight w:val="none"/>
              </w:rPr>
            </w:pPr>
            <w:r>
              <w:rPr>
                <w:rFonts w:hint="eastAsia"/>
                <w:color w:val="auto"/>
                <w:highlight w:val="none"/>
              </w:rPr>
              <w:t>拟建项目北侧合成实验室1及南侧理化室、液相室、气相室等运行过程中</w:t>
            </w:r>
            <w:r>
              <w:rPr>
                <w:rFonts w:hint="eastAsia"/>
                <w:bCs/>
                <w:color w:val="auto"/>
                <w:szCs w:val="22"/>
                <w:highlight w:val="none"/>
              </w:rPr>
              <w:t>产生的有机废气（VOCs、甲苯、苯、甲醇）、酸碱废气（硫酸雾、氯化氢、氨）和臭气（臭气浓度）经一套“碱喷淋+活性炭吸附（高效活性炭，碘值≥800mg/g）”装置处理后通过1根25m高的排气筒（DA001）达标排放；北侧合成实验室2、合成实验室3、氢化室等运行过程中产生的有机废气（VOCs、甲苯、苯、甲醇）、酸碱废气（硫酸雾、氯化氢、氨）和臭气（臭气浓度）经一套“碱喷淋+活性炭吸附（高效活性炭，碘值≥800mg/g）”装置处理后通过1根25m高的排气筒（DA002）达标排放。最近的敏感点位于拟建项目南侧280m处的山东省女子监狱，运营期产生的废气经处理后达标排放，</w:t>
            </w:r>
            <w:r>
              <w:rPr>
                <w:rFonts w:hint="eastAsia"/>
                <w:color w:val="auto"/>
                <w:highlight w:val="none"/>
              </w:rPr>
              <w:t>对周围环境影响较小。</w:t>
            </w:r>
          </w:p>
          <w:p>
            <w:pPr>
              <w:widowControl/>
              <w:ind w:firstLine="480"/>
              <w:jc w:val="left"/>
              <w:rPr>
                <w:color w:val="auto"/>
                <w:kern w:val="0"/>
                <w:highlight w:val="none"/>
                <w:lang w:bidi="ar"/>
              </w:rPr>
            </w:pPr>
            <w:r>
              <w:rPr>
                <w:color w:val="auto"/>
                <w:kern w:val="0"/>
                <w:highlight w:val="none"/>
                <w:lang w:bidi="ar"/>
              </w:rPr>
              <w:t xml:space="preserve">（2）水环境影响分析 </w:t>
            </w:r>
          </w:p>
          <w:p>
            <w:pPr>
              <w:adjustRightInd w:val="0"/>
              <w:ind w:firstLine="480"/>
              <w:rPr>
                <w:color w:val="auto"/>
                <w:highlight w:val="none"/>
              </w:rPr>
            </w:pPr>
            <w:r>
              <w:rPr>
                <w:rFonts w:hint="eastAsia"/>
                <w:color w:val="auto"/>
                <w:highlight w:val="none"/>
              </w:rPr>
              <w:t>拟建项目废水主要为生活污水、实验后器皿</w:t>
            </w:r>
            <w:r>
              <w:rPr>
                <w:color w:val="auto"/>
                <w:highlight w:val="none"/>
              </w:rPr>
              <w:t>两次</w:t>
            </w:r>
            <w:r>
              <w:rPr>
                <w:rFonts w:hint="eastAsia"/>
                <w:color w:val="auto"/>
                <w:highlight w:val="none"/>
              </w:rPr>
              <w:t>清洗后</w:t>
            </w:r>
            <w:r>
              <w:rPr>
                <w:color w:val="auto"/>
                <w:highlight w:val="none"/>
              </w:rPr>
              <w:t>清洗</w:t>
            </w:r>
            <w:r>
              <w:rPr>
                <w:rFonts w:hint="eastAsia"/>
                <w:color w:val="auto"/>
                <w:highlight w:val="none"/>
              </w:rPr>
              <w:t>废水、环保设备排污水、地面清洁废水，均经银丰国际生物城污水处理站（处理规模：1000m</w:t>
            </w:r>
            <w:r>
              <w:rPr>
                <w:rFonts w:hint="eastAsia"/>
                <w:color w:val="auto"/>
                <w:highlight w:val="none"/>
                <w:vertAlign w:val="superscript"/>
              </w:rPr>
              <w:t>3</w:t>
            </w:r>
            <w:r>
              <w:rPr>
                <w:rFonts w:hint="eastAsia"/>
                <w:color w:val="auto"/>
                <w:highlight w:val="none"/>
              </w:rPr>
              <w:t>/d）处理，满足《污水排入城镇下水道水质标准》（GB/T31962-2015）</w:t>
            </w:r>
            <w:r>
              <w:rPr>
                <w:rFonts w:hint="eastAsia"/>
                <w:color w:val="auto"/>
                <w:highlight w:val="none"/>
                <w:lang w:eastAsia="zh-CN"/>
              </w:rPr>
              <w:t>A级</w:t>
            </w:r>
            <w:r>
              <w:rPr>
                <w:rFonts w:hint="eastAsia"/>
                <w:color w:val="auto"/>
                <w:highlight w:val="none"/>
              </w:rPr>
              <w:t>标准后通过市政管网排入巨野河污水处理厂处理达标后，经西巨野河排入小清河。对周围水环境影响较小。</w:t>
            </w:r>
          </w:p>
          <w:p>
            <w:pPr>
              <w:widowControl/>
              <w:ind w:firstLine="480"/>
              <w:jc w:val="left"/>
              <w:rPr>
                <w:color w:val="auto"/>
                <w:kern w:val="0"/>
                <w:highlight w:val="none"/>
                <w:lang w:bidi="ar"/>
              </w:rPr>
            </w:pPr>
            <w:r>
              <w:rPr>
                <w:color w:val="auto"/>
                <w:kern w:val="0"/>
                <w:highlight w:val="none"/>
                <w:lang w:bidi="ar"/>
              </w:rPr>
              <w:t xml:space="preserve">（3）噪声环境影响分析 </w:t>
            </w:r>
          </w:p>
          <w:p>
            <w:pPr>
              <w:ind w:firstLine="480"/>
              <w:rPr>
                <w:color w:val="auto"/>
                <w:highlight w:val="none"/>
              </w:rPr>
            </w:pPr>
            <w:r>
              <w:rPr>
                <w:rFonts w:hint="eastAsia"/>
                <w:color w:val="auto"/>
                <w:highlight w:val="none"/>
              </w:rPr>
              <w:t>拟建项目</w:t>
            </w:r>
            <w:r>
              <w:rPr>
                <w:color w:val="auto"/>
                <w:highlight w:val="none"/>
              </w:rPr>
              <w:t>营运期主要噪声源为</w:t>
            </w:r>
            <w:r>
              <w:rPr>
                <w:rFonts w:hint="eastAsia"/>
                <w:color w:val="auto"/>
                <w:highlight w:val="none"/>
              </w:rPr>
              <w:t>研发实验</w:t>
            </w:r>
            <w:r>
              <w:rPr>
                <w:color w:val="auto"/>
                <w:highlight w:val="none"/>
              </w:rPr>
              <w:t>设备运转产生的噪声，噪声值在60~</w:t>
            </w:r>
            <w:r>
              <w:rPr>
                <w:rFonts w:hint="eastAsia"/>
                <w:color w:val="auto"/>
                <w:highlight w:val="none"/>
              </w:rPr>
              <w:t>80</w:t>
            </w:r>
            <w:r>
              <w:rPr>
                <w:color w:val="auto"/>
                <w:highlight w:val="none"/>
              </w:rPr>
              <w:t>dB（A）之间。采取选用低噪声设备、墙体隔声、设备减振、距离衰减等措施，拟建项目噪声源在采取了一系列的隔声、消声和减振等噪声防治措施后，设备噪声源厂界</w:t>
            </w:r>
            <w:r>
              <w:rPr>
                <w:rFonts w:hint="eastAsia"/>
                <w:color w:val="auto"/>
                <w:highlight w:val="none"/>
              </w:rPr>
              <w:t>昼间</w:t>
            </w:r>
            <w:r>
              <w:rPr>
                <w:color w:val="auto"/>
                <w:highlight w:val="none"/>
              </w:rPr>
              <w:t>噪声贡献值在</w:t>
            </w:r>
            <w:r>
              <w:rPr>
                <w:rFonts w:hint="eastAsia"/>
                <w:color w:val="auto"/>
                <w:highlight w:val="none"/>
              </w:rPr>
              <w:t>42.5~52.7</w:t>
            </w:r>
            <w:r>
              <w:rPr>
                <w:color w:val="auto"/>
                <w:highlight w:val="none"/>
              </w:rPr>
              <w:t>dB(A)之间，</w:t>
            </w:r>
            <w:r>
              <w:rPr>
                <w:rFonts w:hint="eastAsia"/>
                <w:color w:val="auto"/>
                <w:highlight w:val="none"/>
              </w:rPr>
              <w:t>企业夜间不运行，故</w:t>
            </w:r>
            <w:r>
              <w:rPr>
                <w:color w:val="auto"/>
                <w:highlight w:val="none"/>
              </w:rPr>
              <w:t>厂界噪声值</w:t>
            </w:r>
            <w:r>
              <w:rPr>
                <w:rFonts w:hint="eastAsia"/>
                <w:color w:val="auto"/>
                <w:highlight w:val="none"/>
              </w:rPr>
              <w:t>满足</w:t>
            </w:r>
            <w:r>
              <w:rPr>
                <w:color w:val="auto"/>
                <w:highlight w:val="none"/>
              </w:rPr>
              <w:t>《工业企业厂界环境噪声排放标准》（GB12348-2008）2类标准要求。</w:t>
            </w:r>
          </w:p>
          <w:p>
            <w:pPr>
              <w:widowControl/>
              <w:ind w:firstLine="480"/>
              <w:jc w:val="left"/>
              <w:rPr>
                <w:color w:val="auto"/>
                <w:kern w:val="0"/>
                <w:highlight w:val="none"/>
                <w:lang w:bidi="ar"/>
              </w:rPr>
            </w:pPr>
            <w:r>
              <w:rPr>
                <w:color w:val="auto"/>
                <w:kern w:val="0"/>
                <w:highlight w:val="none"/>
                <w:lang w:bidi="ar"/>
              </w:rPr>
              <w:t xml:space="preserve">（4）固体废物的处置分析 </w:t>
            </w:r>
          </w:p>
          <w:p>
            <w:pPr>
              <w:pStyle w:val="34"/>
              <w:jc w:val="both"/>
              <w:rPr>
                <w:rFonts w:cs="Times New Roman"/>
                <w:b/>
                <w:bCs/>
                <w:color w:val="auto"/>
                <w:szCs w:val="24"/>
                <w:highlight w:val="none"/>
              </w:rPr>
            </w:pPr>
            <w:r>
              <w:rPr>
                <w:rFonts w:cs="Times New Roman"/>
                <w:color w:val="auto"/>
                <w:szCs w:val="24"/>
                <w:highlight w:val="none"/>
              </w:rPr>
              <w:t>拟建项目产生的一般固体废物，应严格按照</w:t>
            </w:r>
            <w:r>
              <w:rPr>
                <w:rFonts w:hint="eastAsia" w:cs="Times New Roman"/>
                <w:color w:val="auto"/>
                <w:szCs w:val="24"/>
                <w:highlight w:val="none"/>
              </w:rPr>
              <w:t>《一般工业固体废物贮存和填埋污染控制标准》（GB18599-2020）要求</w:t>
            </w:r>
            <w:r>
              <w:rPr>
                <w:rFonts w:cs="Times New Roman"/>
                <w:color w:val="auto"/>
                <w:szCs w:val="24"/>
                <w:highlight w:val="none"/>
              </w:rPr>
              <w:t>建设和维护厂区内的固体废物临时堆放场，必须做好该堆放场防雨、防风、防渗、防漏等措施，并制定好固体废物转移运输途中的污染防治。拟建项目危险固废经集中收集后分类分区存放于危废间，危废间应满足贮存需要，同时危废间应满足《危险废物贮存污染控制标准》（GB18597-2001）及控制标准修改单要求。</w:t>
            </w:r>
          </w:p>
          <w:p>
            <w:pPr>
              <w:ind w:firstLine="482"/>
              <w:rPr>
                <w:b/>
                <w:bCs/>
                <w:color w:val="auto"/>
                <w:highlight w:val="none"/>
              </w:rPr>
            </w:pPr>
            <w:r>
              <w:rPr>
                <w:b/>
                <w:bCs/>
                <w:color w:val="auto"/>
                <w:highlight w:val="none"/>
              </w:rPr>
              <w:t>2、建议</w:t>
            </w:r>
          </w:p>
          <w:p>
            <w:pPr>
              <w:pStyle w:val="34"/>
              <w:adjustRightInd/>
              <w:rPr>
                <w:rFonts w:cs="Times New Roman"/>
                <w:color w:val="auto"/>
                <w:highlight w:val="none"/>
              </w:rPr>
            </w:pPr>
            <w:r>
              <w:rPr>
                <w:rFonts w:hint="eastAsia" w:cs="Times New Roman"/>
                <w:color w:val="auto"/>
                <w:highlight w:val="none"/>
              </w:rPr>
              <w:t>（1）建成后按规定程序进行竣工环境保护验收；</w:t>
            </w:r>
          </w:p>
          <w:p>
            <w:pPr>
              <w:pStyle w:val="34"/>
              <w:adjustRightInd/>
              <w:rPr>
                <w:rFonts w:cs="Times New Roman"/>
                <w:color w:val="auto"/>
                <w:highlight w:val="none"/>
              </w:rPr>
            </w:pPr>
            <w:r>
              <w:rPr>
                <w:rFonts w:hint="eastAsia" w:cs="Times New Roman"/>
                <w:color w:val="auto"/>
                <w:highlight w:val="none"/>
              </w:rPr>
              <w:t>（2）按要求申领排污许可；</w:t>
            </w:r>
          </w:p>
          <w:p>
            <w:pPr>
              <w:pStyle w:val="34"/>
              <w:adjustRightInd/>
              <w:rPr>
                <w:rFonts w:cs="Times New Roman"/>
                <w:color w:val="auto"/>
                <w:highlight w:val="none"/>
              </w:rPr>
            </w:pPr>
            <w:r>
              <w:rPr>
                <w:rFonts w:hint="eastAsia" w:cs="Times New Roman"/>
                <w:color w:val="auto"/>
                <w:highlight w:val="none"/>
              </w:rPr>
              <w:t>（3）落实监测计划；</w:t>
            </w:r>
          </w:p>
          <w:p>
            <w:pPr>
              <w:pStyle w:val="34"/>
              <w:adjustRightInd/>
              <w:rPr>
                <w:rFonts w:cs="Times New Roman"/>
                <w:color w:val="auto"/>
                <w:highlight w:val="none"/>
              </w:rPr>
            </w:pPr>
            <w:r>
              <w:rPr>
                <w:rFonts w:hint="eastAsia" w:cs="Times New Roman"/>
                <w:color w:val="auto"/>
                <w:highlight w:val="none"/>
              </w:rPr>
              <w:t>（4）排污口根据《固定污染源废气监测点位设置技术规范》（DB37/T3535-2019）、《环境保护图形标志》（15562.1-1995）、《排污口规范化整治技术要求（试行）》等规范管理。</w:t>
            </w: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r>
              <w:rPr>
                <w:rFonts w:cs="Times New Roman"/>
                <w:b/>
                <w:bCs/>
                <w:color w:val="auto"/>
                <w:highlight w:val="none"/>
              </w:rPr>
              <w:t>二、环评批复</w:t>
            </w:r>
          </w:p>
          <w:p>
            <w:pPr>
              <w:widowControl/>
              <w:ind w:firstLine="480"/>
              <w:jc w:val="right"/>
              <w:rPr>
                <w:color w:val="auto"/>
                <w:highlight w:val="none"/>
              </w:rPr>
            </w:pPr>
            <w:bookmarkStart w:id="100" w:name="bookmark4"/>
            <w:bookmarkStart w:id="101" w:name="bookmark5"/>
            <w:bookmarkStart w:id="102" w:name="bookmark3"/>
            <w:r>
              <w:rPr>
                <w:color w:val="auto"/>
                <w:highlight w:val="none"/>
              </w:rPr>
              <w:t>济环报告表[2021]G130号</w:t>
            </w:r>
          </w:p>
          <w:p>
            <w:pPr>
              <w:widowControl/>
              <w:ind w:firstLine="0" w:firstLineChars="0"/>
              <w:jc w:val="center"/>
              <w:rPr>
                <w:color w:val="auto"/>
                <w:highlight w:val="none"/>
              </w:rPr>
            </w:pPr>
            <w:r>
              <w:rPr>
                <w:color w:val="auto"/>
                <w:highlight w:val="none"/>
              </w:rPr>
              <w:t>济南市生态环境局关于济南久隆医药科技有限公司实验室建设项目</w:t>
            </w:r>
          </w:p>
          <w:p>
            <w:pPr>
              <w:widowControl/>
              <w:ind w:firstLine="0" w:firstLineChars="0"/>
              <w:jc w:val="center"/>
              <w:rPr>
                <w:color w:val="auto"/>
                <w:highlight w:val="none"/>
              </w:rPr>
            </w:pPr>
            <w:r>
              <w:rPr>
                <w:color w:val="auto"/>
                <w:highlight w:val="none"/>
              </w:rPr>
              <w:t>环境影响报告表的批复</w:t>
            </w:r>
          </w:p>
          <w:p>
            <w:pPr>
              <w:widowControl/>
              <w:ind w:firstLine="0" w:firstLineChars="0"/>
              <w:jc w:val="left"/>
              <w:rPr>
                <w:color w:val="auto"/>
                <w:highlight w:val="none"/>
              </w:rPr>
            </w:pPr>
            <w:r>
              <w:rPr>
                <w:color w:val="auto"/>
                <w:highlight w:val="none"/>
              </w:rPr>
              <w:t>济南久隆医药科技有限公司</w:t>
            </w:r>
            <w:r>
              <w:rPr>
                <w:rFonts w:hint="eastAsia"/>
                <w:color w:val="auto"/>
                <w:highlight w:val="none"/>
              </w:rPr>
              <w:t>：</w:t>
            </w:r>
          </w:p>
          <w:p>
            <w:pPr>
              <w:widowControl/>
              <w:ind w:firstLine="480"/>
              <w:jc w:val="left"/>
              <w:rPr>
                <w:color w:val="auto"/>
                <w:highlight w:val="none"/>
              </w:rPr>
            </w:pPr>
            <w:r>
              <w:rPr>
                <w:color w:val="auto"/>
                <w:highlight w:val="none"/>
              </w:rPr>
              <w:t>一、济南久隆医药科技有限公司实验室建设项目位于济南高新区春兰路1177号银丰国际生物城B7栋02号。项目总投资3000万元。占地面积482m</w:t>
            </w:r>
            <w:r>
              <w:rPr>
                <w:rFonts w:hint="eastAsia"/>
                <w:color w:val="auto"/>
                <w:highlight w:val="none"/>
                <w:vertAlign w:val="superscript"/>
              </w:rPr>
              <w:t>2</w:t>
            </w:r>
            <w:r>
              <w:rPr>
                <w:color w:val="auto"/>
                <w:highlight w:val="none"/>
              </w:rPr>
              <w:t>。项目主要进行化学药品研发。我局受理该项目并在济南市生态环境局网站进行了公示。在落实报告表提出的环境保护措施和我局审批意见要求的前提下，同意该项目建设。</w:t>
            </w:r>
          </w:p>
          <w:p>
            <w:pPr>
              <w:widowControl/>
              <w:ind w:firstLine="480"/>
              <w:jc w:val="left"/>
              <w:rPr>
                <w:color w:val="auto"/>
                <w:highlight w:val="none"/>
              </w:rPr>
            </w:pPr>
            <w:r>
              <w:rPr>
                <w:color w:val="auto"/>
                <w:highlight w:val="none"/>
              </w:rPr>
              <w:t>二、项目建设应重点做好以下工作</w:t>
            </w:r>
            <w:r>
              <w:rPr>
                <w:rFonts w:hint="eastAsia"/>
                <w:color w:val="auto"/>
                <w:highlight w:val="none"/>
              </w:rPr>
              <w:t>：</w:t>
            </w:r>
          </w:p>
          <w:p>
            <w:pPr>
              <w:widowControl/>
              <w:ind w:firstLine="480"/>
              <w:jc w:val="left"/>
              <w:rPr>
                <w:color w:val="auto"/>
                <w:highlight w:val="none"/>
              </w:rPr>
            </w:pPr>
            <w:r>
              <w:rPr>
                <w:color w:val="auto"/>
                <w:highlight w:val="none"/>
              </w:rPr>
              <w:t>(一)项目生活垃圾由环卫部门定期清运。未沾染药品废包装物综合利用。建设危险废物贮存场所，实验废物、实验废液和废活性炭等危险废物委托有资质的单位处置。</w:t>
            </w:r>
          </w:p>
          <w:p>
            <w:pPr>
              <w:widowControl/>
              <w:ind w:firstLine="480"/>
              <w:rPr>
                <w:color w:val="auto"/>
                <w:highlight w:val="none"/>
              </w:rPr>
            </w:pPr>
            <w:r>
              <w:rPr>
                <w:color w:val="auto"/>
                <w:highlight w:val="none"/>
              </w:rPr>
              <w:t>(二)项目生活污水、实验后器</w:t>
            </w:r>
            <w:r>
              <w:rPr>
                <w:rFonts w:hint="eastAsia"/>
                <w:color w:val="auto"/>
                <w:highlight w:val="none"/>
              </w:rPr>
              <w:t>皿</w:t>
            </w:r>
            <w:r>
              <w:rPr>
                <w:color w:val="auto"/>
                <w:highlight w:val="none"/>
              </w:rPr>
              <w:t>两次清洗后清洗废水、环保设备排污水、地面清洁废水经银丰国际生物城污水处理站处理，满足《污水排入城镇下水道水质标准》(GB/T31962-2015)标准后，通过管网送入巨野河污水处理厂。</w:t>
            </w:r>
          </w:p>
          <w:p>
            <w:pPr>
              <w:widowControl/>
              <w:ind w:firstLine="480"/>
              <w:jc w:val="left"/>
              <w:rPr>
                <w:color w:val="auto"/>
                <w:highlight w:val="none"/>
              </w:rPr>
            </w:pPr>
            <w:r>
              <w:rPr>
                <w:color w:val="auto"/>
                <w:highlight w:val="none"/>
              </w:rPr>
              <w:t>(三)项目北侧合成实验室1及南侧理化室、液相室、气相室等运行过程中产生的实验废气经一套“碱喷淋+活性炭”装置处理后，通过1根25m高的排气</w:t>
            </w:r>
            <w:r>
              <w:rPr>
                <w:rFonts w:hint="eastAsia"/>
                <w:color w:val="auto"/>
                <w:highlight w:val="none"/>
              </w:rPr>
              <w:t>筒</w:t>
            </w:r>
            <w:r>
              <w:rPr>
                <w:color w:val="auto"/>
                <w:highlight w:val="none"/>
              </w:rPr>
              <w:t>排放。北侧合成实验室2、合成实验室3</w:t>
            </w:r>
            <w:r>
              <w:rPr>
                <w:rFonts w:hint="eastAsia"/>
                <w:color w:val="auto"/>
                <w:highlight w:val="none"/>
              </w:rPr>
              <w:t>、</w:t>
            </w:r>
            <w:r>
              <w:rPr>
                <w:color w:val="auto"/>
                <w:highlight w:val="none"/>
              </w:rPr>
              <w:t>氢化室等运行过程中产生的实验废气经一套“碱喷淋+活性炭”装置处理后，通过1根25m高的排气筒排放。</w:t>
            </w:r>
          </w:p>
          <w:p>
            <w:pPr>
              <w:widowControl/>
              <w:ind w:firstLine="480"/>
              <w:rPr>
                <w:color w:val="auto"/>
                <w:highlight w:val="none"/>
              </w:rPr>
            </w:pPr>
            <w:r>
              <w:rPr>
                <w:color w:val="auto"/>
                <w:highlight w:val="none"/>
              </w:rPr>
              <w:t>项目有组织VOCs排放满足《挥发性有机物排放标准第7部分:其他行业》(DB37/2801.7-2019)表1“非重点行业”Ⅱ时段最高允许排放限值要求。有组织甲苯、苯排放满足《制药工业大气污染物排放标准》(GB37823-2019)表2大气污染物特别排放限值要求。有组织硫酸雾、甲醇排放满足《大气污染物综合排放标准》(GB16297-1996)表2二级标准要求。有组织</w:t>
            </w:r>
            <w:r>
              <w:rPr>
                <w:rFonts w:hint="eastAsia"/>
                <w:color w:val="auto"/>
                <w:highlight w:val="none"/>
              </w:rPr>
              <w:t>氯</w:t>
            </w:r>
            <w:r>
              <w:rPr>
                <w:color w:val="auto"/>
                <w:highlight w:val="none"/>
              </w:rPr>
              <w:t>化氢排放满足《制药工业大气污染物排放标准》(GB37823-2019)表2大气污染物特别排放限值要求及《大气污染物综合排放标准》(GB16297-1996)表2限值要求。有组织氨排放满足《制药工业大气污染物排放标准》(GB37823-2019)表2大气污染物特别排放限值要求。有组织臭气浓度满足《恶臭污染物排放标准》(G B14554-93)表2排放标准限值要求。</w:t>
            </w:r>
          </w:p>
          <w:p>
            <w:pPr>
              <w:widowControl/>
              <w:ind w:firstLine="480"/>
              <w:rPr>
                <w:color w:val="auto"/>
                <w:highlight w:val="none"/>
              </w:rPr>
            </w:pPr>
            <w:r>
              <w:rPr>
                <w:color w:val="auto"/>
                <w:highlight w:val="none"/>
              </w:rPr>
              <w:t>项目无组织VOCs排放满足山东省《挥发性有机物排放标准第7部分:其他行业》(DB37/28017-2019)表2厂界监控点浓度限值及《挥发性有机物无组织排放控制标准》(GB37822-2019)要求。无组织甲苯、苯排放满足《挥发性有机物排放标准第7部分:其他行业》(DB37/28017-2019)表3厂界监控点浓度限值要求。无组织氯化氢排放满足《制药工业大气污染物排放标准》(GB37823-2019)表4浓度限值要求。无组织氨排放满足《恶臭污染物排放标准》(GB14554-93)表1二级新改扩建浓度限值。无组织硫酸雾、甲醇排放满足《大气污染物综合排放标准》(GB16297-1996)表2无组织排放监控浓度限值要求。无组织</w:t>
            </w:r>
            <w:r>
              <w:rPr>
                <w:rFonts w:hint="eastAsia"/>
                <w:color w:val="auto"/>
                <w:highlight w:val="none"/>
              </w:rPr>
              <w:t>臭</w:t>
            </w:r>
            <w:r>
              <w:rPr>
                <w:color w:val="auto"/>
                <w:highlight w:val="none"/>
              </w:rPr>
              <w:t>气排放满足《挥发性有机物排放标准第7部分:其他行业》(</w:t>
            </w:r>
            <w:r>
              <w:rPr>
                <w:rFonts w:hint="eastAsia"/>
                <w:color w:val="auto"/>
                <w:highlight w:val="none"/>
              </w:rPr>
              <w:t>D</w:t>
            </w:r>
            <w:r>
              <w:rPr>
                <w:color w:val="auto"/>
                <w:highlight w:val="none"/>
              </w:rPr>
              <w:t>B37/2801.7-2019)表2厂界监控点浓度限值要求。</w:t>
            </w:r>
          </w:p>
          <w:p>
            <w:pPr>
              <w:widowControl/>
              <w:ind w:firstLine="480"/>
              <w:jc w:val="left"/>
              <w:rPr>
                <w:color w:val="auto"/>
                <w:highlight w:val="none"/>
              </w:rPr>
            </w:pPr>
            <w:r>
              <w:rPr>
                <w:color w:val="auto"/>
                <w:highlight w:val="none"/>
              </w:rPr>
              <w:t>(四)合理布置各类噪声源，并采取消音、隔声、减震等降噪措施，确保厂界噪声达到《工业企业厂界环境噪声排放标准》(GB12348-2008)2类标准要求。</w:t>
            </w:r>
          </w:p>
          <w:p>
            <w:pPr>
              <w:widowControl/>
              <w:ind w:firstLine="480"/>
              <w:jc w:val="left"/>
              <w:rPr>
                <w:color w:val="auto"/>
                <w:highlight w:val="none"/>
              </w:rPr>
            </w:pPr>
            <w:r>
              <w:rPr>
                <w:color w:val="auto"/>
                <w:highlight w:val="none"/>
              </w:rPr>
              <w:t>三、该项目建成后，要按《建设项目竣工环境保护验收暂行办法》的规定程序进行建设项目竣工环境保护验收。并按国家有关规定申请排污许可证。</w:t>
            </w:r>
          </w:p>
          <w:p>
            <w:pPr>
              <w:widowControl/>
              <w:ind w:firstLine="480"/>
              <w:jc w:val="left"/>
              <w:rPr>
                <w:color w:val="auto"/>
                <w:highlight w:val="none"/>
              </w:rPr>
            </w:pPr>
          </w:p>
          <w:p>
            <w:pPr>
              <w:widowControl/>
              <w:ind w:firstLine="480"/>
              <w:jc w:val="right"/>
              <w:rPr>
                <w:color w:val="auto"/>
                <w:highlight w:val="none"/>
              </w:rPr>
            </w:pPr>
            <w:r>
              <w:rPr>
                <w:color w:val="auto"/>
                <w:highlight w:val="none"/>
              </w:rPr>
              <w:t>2021年12月30日</w:t>
            </w:r>
          </w:p>
          <w:bookmarkEnd w:id="100"/>
          <w:bookmarkEnd w:id="101"/>
          <w:bookmarkEnd w:id="102"/>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p>
          <w:p>
            <w:pPr>
              <w:pStyle w:val="34"/>
              <w:adjustRightInd/>
              <w:ind w:firstLine="482"/>
              <w:rPr>
                <w:rFonts w:cs="Times New Roman"/>
                <w:b/>
                <w:bCs/>
                <w:color w:val="auto"/>
                <w:highlight w:val="none"/>
              </w:rPr>
            </w:pPr>
            <w:r>
              <w:rPr>
                <w:rFonts w:cs="Times New Roman"/>
                <w:b/>
                <w:bCs/>
                <w:color w:val="auto"/>
                <w:highlight w:val="none"/>
              </w:rPr>
              <w:t>三、环评批复落实情况</w:t>
            </w:r>
          </w:p>
          <w:tbl>
            <w:tblPr>
              <w:tblStyle w:val="26"/>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3"/>
              <w:gridCol w:w="3251"/>
              <w:gridCol w:w="3287"/>
              <w:gridCol w:w="137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03" w:hRule="atLeast"/>
              </w:trPr>
              <w:tc>
                <w:tcPr>
                  <w:tcW w:w="371"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项目</w:t>
                  </w:r>
                </w:p>
              </w:tc>
              <w:tc>
                <w:tcPr>
                  <w:tcW w:w="1902"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环评批复要求</w:t>
                  </w:r>
                </w:p>
              </w:tc>
              <w:tc>
                <w:tcPr>
                  <w:tcW w:w="1923"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实际落实情况</w:t>
                  </w:r>
                </w:p>
              </w:tc>
              <w:tc>
                <w:tcPr>
                  <w:tcW w:w="802"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工程内容</w:t>
                  </w:r>
                </w:p>
              </w:tc>
              <w:tc>
                <w:tcPr>
                  <w:tcW w:w="1902" w:type="pct"/>
                  <w:tcBorders>
                    <w:tl2br w:val="nil"/>
                    <w:tr2bl w:val="nil"/>
                  </w:tcBorders>
                  <w:shd w:val="clear" w:color="auto" w:fill="auto"/>
                  <w:vAlign w:val="center"/>
                </w:tcPr>
                <w:p>
                  <w:pPr>
                    <w:spacing w:line="240" w:lineRule="auto"/>
                    <w:ind w:firstLine="420"/>
                    <w:rPr>
                      <w:color w:val="auto"/>
                      <w:sz w:val="21"/>
                      <w:szCs w:val="21"/>
                      <w:highlight w:val="none"/>
                    </w:rPr>
                  </w:pPr>
                  <w:r>
                    <w:rPr>
                      <w:color w:val="auto"/>
                      <w:sz w:val="21"/>
                      <w:szCs w:val="21"/>
                      <w:highlight w:val="none"/>
                    </w:rPr>
                    <w:t>济南久隆医药科技有限公司实验室建设项目位于济南高新区春兰路1177号银丰国际生物城B7栋02号。项目总投资3000万元。占地面积482m</w:t>
                  </w:r>
                  <w:r>
                    <w:rPr>
                      <w:color w:val="auto"/>
                      <w:sz w:val="21"/>
                      <w:szCs w:val="21"/>
                      <w:highlight w:val="none"/>
                      <w:vertAlign w:val="superscript"/>
                    </w:rPr>
                    <w:t>2</w:t>
                  </w:r>
                  <w:r>
                    <w:rPr>
                      <w:color w:val="auto"/>
                      <w:sz w:val="21"/>
                      <w:szCs w:val="21"/>
                      <w:highlight w:val="none"/>
                    </w:rPr>
                    <w:t>。</w:t>
                  </w:r>
                </w:p>
              </w:tc>
              <w:tc>
                <w:tcPr>
                  <w:tcW w:w="1923" w:type="pct"/>
                  <w:tcBorders>
                    <w:tl2br w:val="nil"/>
                    <w:tr2bl w:val="nil"/>
                  </w:tcBorders>
                  <w:shd w:val="clear" w:color="auto" w:fill="auto"/>
                  <w:vAlign w:val="center"/>
                </w:tcPr>
                <w:p>
                  <w:pPr>
                    <w:spacing w:line="240" w:lineRule="auto"/>
                    <w:ind w:firstLine="420"/>
                    <w:rPr>
                      <w:color w:val="auto"/>
                      <w:sz w:val="21"/>
                      <w:szCs w:val="21"/>
                      <w:highlight w:val="none"/>
                    </w:rPr>
                  </w:pPr>
                  <w:r>
                    <w:rPr>
                      <w:color w:val="auto"/>
                      <w:sz w:val="21"/>
                      <w:szCs w:val="21"/>
                      <w:highlight w:val="none"/>
                    </w:rPr>
                    <w:t>济南久隆医药科技有限公司实验室建设项目位于济南高新区春兰路1177号银丰国际生物城B7栋02号。项目总投资</w:t>
                  </w:r>
                  <w:r>
                    <w:rPr>
                      <w:rFonts w:hint="eastAsia"/>
                      <w:color w:val="auto"/>
                      <w:sz w:val="21"/>
                      <w:szCs w:val="21"/>
                      <w:highlight w:val="none"/>
                    </w:rPr>
                    <w:t>1300</w:t>
                  </w:r>
                  <w:r>
                    <w:rPr>
                      <w:color w:val="auto"/>
                      <w:sz w:val="21"/>
                      <w:szCs w:val="21"/>
                      <w:highlight w:val="none"/>
                    </w:rPr>
                    <w:t>万元。占地面积482m</w:t>
                  </w:r>
                  <w:r>
                    <w:rPr>
                      <w:color w:val="auto"/>
                      <w:sz w:val="21"/>
                      <w:szCs w:val="21"/>
                      <w:highlight w:val="none"/>
                      <w:vertAlign w:val="superscript"/>
                    </w:rPr>
                    <w:t>2</w:t>
                  </w:r>
                  <w:r>
                    <w:rPr>
                      <w:color w:val="auto"/>
                      <w:sz w:val="21"/>
                      <w:szCs w:val="21"/>
                      <w:highlight w:val="none"/>
                    </w:rPr>
                    <w:t>。</w:t>
                  </w:r>
                </w:p>
              </w:tc>
              <w:tc>
                <w:tcPr>
                  <w:tcW w:w="802"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w:t>
                  </w:r>
                  <w:r>
                    <w:rPr>
                      <w:rFonts w:hint="eastAsia" w:ascii="Times New Roman" w:hAnsi="Times New Roman"/>
                      <w:color w:val="auto"/>
                      <w:sz w:val="21"/>
                      <w:szCs w:val="21"/>
                      <w:highlight w:val="none"/>
                    </w:rPr>
                    <w:t>项目总投资1300万元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06" w:hRule="atLeast"/>
              </w:trPr>
              <w:tc>
                <w:tcPr>
                  <w:tcW w:w="371"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废气</w:t>
                  </w:r>
                </w:p>
              </w:tc>
              <w:tc>
                <w:tcPr>
                  <w:tcW w:w="1902" w:type="pct"/>
                  <w:tcBorders>
                    <w:tl2br w:val="nil"/>
                    <w:tr2bl w:val="nil"/>
                  </w:tcBorders>
                  <w:shd w:val="clear" w:color="auto" w:fill="auto"/>
                  <w:vAlign w:val="center"/>
                </w:tcPr>
                <w:p>
                  <w:pPr>
                    <w:spacing w:line="240" w:lineRule="auto"/>
                    <w:ind w:firstLine="420"/>
                    <w:rPr>
                      <w:color w:val="auto"/>
                      <w:sz w:val="21"/>
                      <w:szCs w:val="21"/>
                      <w:highlight w:val="none"/>
                    </w:rPr>
                  </w:pPr>
                  <w:r>
                    <w:rPr>
                      <w:color w:val="auto"/>
                      <w:sz w:val="21"/>
                      <w:szCs w:val="21"/>
                      <w:highlight w:val="none"/>
                    </w:rPr>
                    <w:t>项目北侧合成实验室1及南侧理化室、液相室、气相室等运行过程中产生的实验废气经一套“碱喷淋+活性炭”装置处理后，通过1根25m高的排气筒排放。北侧合成实验室2、合成实验室3、氢化室等运行过程中产生的实验废气经一套“碱喷淋+活性炭”装置处理后，通过1根25m高的排气筒排放。</w:t>
                  </w:r>
                </w:p>
                <w:p>
                  <w:pPr>
                    <w:spacing w:line="240" w:lineRule="auto"/>
                    <w:ind w:firstLine="420"/>
                    <w:rPr>
                      <w:color w:val="auto"/>
                      <w:sz w:val="21"/>
                      <w:szCs w:val="21"/>
                      <w:highlight w:val="none"/>
                    </w:rPr>
                  </w:pPr>
                  <w:r>
                    <w:rPr>
                      <w:color w:val="auto"/>
                      <w:sz w:val="21"/>
                      <w:szCs w:val="21"/>
                      <w:highlight w:val="none"/>
                    </w:rPr>
                    <w:t>项目有组织VOCs排放满足《挥发性有机物排放标准第7部分:其他行业》(DB37/2801.7-2019)表1“非重点行业”Ⅱ时段最高允许排放限值要求。有组织甲苯、苯排放满足《制药工业大气污染物排放标准》(GB37823-2019)表2大气污染物特别排放限值要求。有组织硫酸雾、甲醇排放满足《大气污染物综合排放标准》(GB16297-1996)表2二级标准要求。有组织氯化氢排放满足《制药工业大气污染物排放标准》(GB37823-2019)表2大气污染物特别排放限值要求及《大气污染物综合排放标准》(GB16297-1996)表2限值要求。有组织氨排放满足《制药工业大气污染物排放标准》(GB37823-2019)表2大气污染物特别排放限值要求。有组织臭气浓度满足《恶臭污染物排放标准》(G B14554-93)表2排放标准限值要求。</w:t>
                  </w:r>
                </w:p>
                <w:p>
                  <w:pPr>
                    <w:spacing w:line="240" w:lineRule="auto"/>
                    <w:ind w:firstLine="420"/>
                    <w:rPr>
                      <w:color w:val="auto"/>
                      <w:sz w:val="21"/>
                      <w:szCs w:val="21"/>
                      <w:highlight w:val="none"/>
                    </w:rPr>
                  </w:pPr>
                  <w:r>
                    <w:rPr>
                      <w:color w:val="auto"/>
                      <w:sz w:val="21"/>
                      <w:szCs w:val="21"/>
                      <w:highlight w:val="none"/>
                    </w:rPr>
                    <w:t>项目无组织VOCs排放满足山东省《挥发性有机物排放标准第7部分:其他行业》(DB37/28017-2019)表2厂界监控点浓度限值及《挥发性有机物无组织排放控制标准》(GB37822-2019)要求。无组织甲苯、苯排放满足《挥发性有机物排放标准第7部分:其他行业》(DB37/28017-2019)表3厂界监控点浓度限值要求。无组织氯化氢排放满足《制药工业大气污染物排放标准》(GB37823-2019)表4浓度限值要求。无组织氨排放满足《恶臭污染物排放标准》(GB14554-93)表1二级新改扩建浓度限值。无组织硫酸雾、甲醇排放满足《大气污染物综合排放标准》(GB16297-1996)表2无组织排放监控浓度限值要求。无组织臭气排放满足《挥发性有机物排放标准第7部分:其他行业》(DB37/2801.7-2019)表2厂界监控点浓度限值要求。</w:t>
                  </w:r>
                </w:p>
              </w:tc>
              <w:tc>
                <w:tcPr>
                  <w:tcW w:w="1923" w:type="pct"/>
                  <w:tcBorders>
                    <w:tl2br w:val="nil"/>
                    <w:tr2bl w:val="nil"/>
                  </w:tcBorders>
                  <w:shd w:val="clear" w:color="auto" w:fill="auto"/>
                  <w:vAlign w:val="center"/>
                </w:tcPr>
                <w:p>
                  <w:pPr>
                    <w:spacing w:line="240" w:lineRule="auto"/>
                    <w:ind w:firstLine="420"/>
                    <w:rPr>
                      <w:color w:val="auto"/>
                      <w:sz w:val="21"/>
                      <w:szCs w:val="21"/>
                      <w:highlight w:val="none"/>
                    </w:rPr>
                  </w:pPr>
                  <w:r>
                    <w:rPr>
                      <w:color w:val="auto"/>
                      <w:sz w:val="21"/>
                      <w:szCs w:val="21"/>
                      <w:highlight w:val="none"/>
                    </w:rPr>
                    <w:t>本项目运营期产生的废气主要为实验过程中产生的有机废气（VOCs、甲苯、苯、甲醇）、臭气（臭气浓度）和酸碱废气（硫酸雾、氯化氢、氨）。</w:t>
                  </w:r>
                </w:p>
                <w:p>
                  <w:pPr>
                    <w:spacing w:line="240" w:lineRule="auto"/>
                    <w:ind w:firstLine="420"/>
                    <w:rPr>
                      <w:color w:val="auto"/>
                      <w:sz w:val="21"/>
                      <w:szCs w:val="21"/>
                      <w:highlight w:val="none"/>
                    </w:rPr>
                  </w:pPr>
                  <w:r>
                    <w:rPr>
                      <w:rFonts w:ascii="Calibri" w:hAnsi="Calibri" w:cs="Calibri"/>
                      <w:color w:val="auto"/>
                      <w:sz w:val="21"/>
                      <w:szCs w:val="21"/>
                      <w:highlight w:val="none"/>
                    </w:rPr>
                    <w:t>①</w:t>
                  </w:r>
                  <w:r>
                    <w:rPr>
                      <w:color w:val="auto"/>
                      <w:sz w:val="21"/>
                      <w:szCs w:val="21"/>
                      <w:highlight w:val="none"/>
                    </w:rPr>
                    <w:t>有组织废气</w:t>
                  </w:r>
                </w:p>
                <w:p>
                  <w:pPr>
                    <w:spacing w:line="240" w:lineRule="auto"/>
                    <w:ind w:firstLine="420"/>
                    <w:rPr>
                      <w:color w:val="auto"/>
                      <w:sz w:val="21"/>
                      <w:szCs w:val="21"/>
                      <w:highlight w:val="none"/>
                    </w:rPr>
                  </w:pPr>
                  <w:r>
                    <w:rPr>
                      <w:color w:val="auto"/>
                      <w:sz w:val="21"/>
                      <w:szCs w:val="21"/>
                      <w:highlight w:val="none"/>
                    </w:rPr>
                    <w:t>项目北侧合成实验室1及南侧理化室、液相室、气相室等运行过程中产生的有机废气、酸碱废气、臭气均由通风柜或万向吸风罩收集后，再经一套碱喷淋+活性炭吸附装置处理，处理后通过1根高于楼顶3m（距地面25m）的排气筒DA001排放；</w:t>
                  </w:r>
                </w:p>
                <w:p>
                  <w:pPr>
                    <w:spacing w:line="240" w:lineRule="auto"/>
                    <w:ind w:firstLine="420"/>
                    <w:rPr>
                      <w:color w:val="auto"/>
                      <w:sz w:val="21"/>
                      <w:szCs w:val="21"/>
                      <w:highlight w:val="none"/>
                    </w:rPr>
                  </w:pPr>
                  <w:r>
                    <w:rPr>
                      <w:color w:val="auto"/>
                      <w:sz w:val="21"/>
                      <w:szCs w:val="21"/>
                      <w:highlight w:val="none"/>
                    </w:rPr>
                    <w:t>项目北侧合成实验室2、合成实验室3、氢化室等运行过程中产生的有机废气、酸碱废气、臭气均由通风柜收集后，再经一套碱喷淋+活性炭吸附装置处理，处理后通过1根高于楼顶3m（距地面25m）的排气筒DA002排放。</w:t>
                  </w:r>
                </w:p>
                <w:p>
                  <w:pPr>
                    <w:spacing w:line="240" w:lineRule="auto"/>
                    <w:ind w:firstLine="420"/>
                    <w:rPr>
                      <w:color w:val="auto"/>
                      <w:sz w:val="21"/>
                      <w:szCs w:val="21"/>
                      <w:highlight w:val="none"/>
                    </w:rPr>
                  </w:pPr>
                  <w:r>
                    <w:rPr>
                      <w:rFonts w:ascii="Calibri" w:hAnsi="Calibri" w:cs="Calibri"/>
                      <w:color w:val="auto"/>
                      <w:sz w:val="21"/>
                      <w:szCs w:val="21"/>
                      <w:highlight w:val="none"/>
                    </w:rPr>
                    <w:t>②</w:t>
                  </w:r>
                  <w:r>
                    <w:rPr>
                      <w:color w:val="auto"/>
                      <w:sz w:val="21"/>
                      <w:szCs w:val="21"/>
                      <w:highlight w:val="none"/>
                    </w:rPr>
                    <w:t>无组织废气</w:t>
                  </w:r>
                </w:p>
                <w:p>
                  <w:pPr>
                    <w:spacing w:line="240" w:lineRule="auto"/>
                    <w:ind w:firstLine="420"/>
                    <w:rPr>
                      <w:color w:val="auto"/>
                      <w:sz w:val="21"/>
                      <w:szCs w:val="21"/>
                      <w:highlight w:val="none"/>
                    </w:rPr>
                  </w:pPr>
                  <w:r>
                    <w:rPr>
                      <w:color w:val="auto"/>
                      <w:sz w:val="21"/>
                      <w:szCs w:val="21"/>
                      <w:highlight w:val="none"/>
                    </w:rPr>
                    <w:t>未被收集的实验室废气等实验室通风后无组织排放。</w:t>
                  </w:r>
                </w:p>
                <w:p>
                  <w:pPr>
                    <w:spacing w:line="240" w:lineRule="auto"/>
                    <w:ind w:firstLine="420"/>
                    <w:rPr>
                      <w:color w:val="auto"/>
                      <w:sz w:val="21"/>
                      <w:szCs w:val="21"/>
                      <w:highlight w:val="none"/>
                    </w:rPr>
                  </w:pPr>
                  <w:r>
                    <w:rPr>
                      <w:rFonts w:hint="eastAsia"/>
                      <w:color w:val="auto"/>
                      <w:sz w:val="21"/>
                      <w:szCs w:val="21"/>
                      <w:highlight w:val="none"/>
                    </w:rPr>
                    <w:t>验收</w:t>
                  </w:r>
                  <w:r>
                    <w:rPr>
                      <w:color w:val="auto"/>
                      <w:sz w:val="21"/>
                      <w:szCs w:val="21"/>
                      <w:highlight w:val="none"/>
                    </w:rPr>
                    <w:t>监测期间，有组织VOCs排放浓度和排放速率满足《挥发性有机物排放标准 第7部分：其他行业》（DB37/2801.7-2019）表1中“非重点行业”II时段排放限值要求；有组织甲苯、苯的排放浓度均满足《制药工业大气污染物排放标准》（GB37823-2019）表2大气污染物特别排放限值要求，排放速率满足《大气污染物综合排放标准》（GB16297-1996）表2二级标准的限值要求；有组织氯化氢排放浓度及排放速率满足《制药工业大气污染物排放标准》（GB37823-2019）表2大气污染物特别排放限值要求及《大气污染物综合排放标准》（GB16297-1996）表2限值要求；有组织氨排放浓度满足《制药工业大气污染物排放标准》（GB37823-2019）表2大气污染物特别排放限值要求，排放速率满足《恶臭污染物排放标准》(GB14554-93)表2排放限值要求；有组织甲醇的排放浓度、排放速率均满足《大气污染物综合排放标准》（GB16297-1996）表2二级标准的限值要求；有组织臭气浓度满足《恶臭污染物排放标准》（GB14554-93）表2排放标准限值。</w:t>
                  </w:r>
                </w:p>
                <w:p>
                  <w:pPr>
                    <w:pStyle w:val="9"/>
                    <w:spacing w:line="240" w:lineRule="auto"/>
                    <w:rPr>
                      <w:color w:val="auto"/>
                      <w:sz w:val="21"/>
                      <w:szCs w:val="21"/>
                      <w:highlight w:val="none"/>
                    </w:rPr>
                  </w:pPr>
                  <w:r>
                    <w:rPr>
                      <w:rFonts w:hint="eastAsia"/>
                      <w:color w:val="auto"/>
                      <w:sz w:val="21"/>
                      <w:szCs w:val="21"/>
                      <w:highlight w:val="none"/>
                    </w:rPr>
                    <w:t>验收</w:t>
                  </w:r>
                  <w:r>
                    <w:rPr>
                      <w:color w:val="auto"/>
                      <w:sz w:val="21"/>
                      <w:szCs w:val="21"/>
                      <w:highlight w:val="none"/>
                    </w:rPr>
                    <w:t>监测期间，无组织VOCs满足山东省《挥发性有机物排放标准第7部分：其他行业》（DB37/2801.7-2019）表2厂界监控点浓度限值及《挥发性有机物无组织排放控制标准》（GB37822-2019）要求；无组织甲苯、苯满足《挥发性有机物排放标准第7部分：其他行业》（DB37/2801.7-2019）表3厂界监控点浓度限值要求；无组织氯化氢满足《制药工业大气污染物排放标准》（GB37823-2019）表4浓度限值要求；无组织氨满足《恶臭污染物排放标准》(GB14554-93)表1二级新改扩建浓度限值；无组织甲醇满足《大气污染物综合排放标准》（GB16297-1996）表2无组织排放监控浓度限值要求；无组织臭气浓度满足《挥发性有机物排放标准第7部分：其他行业》（DB37/2801.7-2019）表2厂界监控点浓度限值要求。</w:t>
                  </w:r>
                </w:p>
              </w:tc>
              <w:tc>
                <w:tcPr>
                  <w:tcW w:w="802" w:type="pct"/>
                  <w:tcBorders>
                    <w:tl2br w:val="nil"/>
                    <w:tr2bl w:val="nil"/>
                  </w:tcBorders>
                  <w:shd w:val="clear" w:color="auto" w:fill="auto"/>
                  <w:vAlign w:val="center"/>
                </w:tcPr>
                <w:p>
                  <w:pPr>
                    <w:pStyle w:val="31"/>
                    <w:jc w:val="center"/>
                    <w:rPr>
                      <w:rFonts w:hint="eastAsia" w:ascii="Times New Roman" w:hAnsi="Times New Roman" w:eastAsia="宋体"/>
                      <w:color w:val="auto"/>
                      <w:sz w:val="21"/>
                      <w:szCs w:val="21"/>
                      <w:highlight w:val="none"/>
                      <w:lang w:eastAsia="zh-CN"/>
                    </w:rPr>
                  </w:pPr>
                  <w:r>
                    <w:rPr>
                      <w:rFonts w:ascii="Times New Roman" w:hAnsi="Times New Roman"/>
                      <w:color w:val="auto"/>
                      <w:sz w:val="21"/>
                      <w:szCs w:val="21"/>
                      <w:highlight w:val="none"/>
                    </w:rPr>
                    <w:t>已落实，</w:t>
                  </w:r>
                  <w:r>
                    <w:rPr>
                      <w:rFonts w:hint="eastAsia"/>
                      <w:color w:val="auto"/>
                      <w:sz w:val="21"/>
                      <w:szCs w:val="21"/>
                      <w:highlight w:val="none"/>
                      <w:lang w:eastAsia="zh-CN" w:bidi="ar"/>
                    </w:rPr>
                    <w:t>试运行验收期间，浓硫酸暂时使用不到，故未对其检测。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8" w:hRule="atLeast"/>
              </w:trPr>
              <w:tc>
                <w:tcPr>
                  <w:tcW w:w="371"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废水</w:t>
                  </w:r>
                </w:p>
              </w:tc>
              <w:tc>
                <w:tcPr>
                  <w:tcW w:w="1902" w:type="pct"/>
                  <w:tcBorders>
                    <w:tl2br w:val="nil"/>
                    <w:tr2bl w:val="nil"/>
                  </w:tcBorders>
                  <w:shd w:val="clear" w:color="auto" w:fill="auto"/>
                  <w:vAlign w:val="center"/>
                </w:tcPr>
                <w:p>
                  <w:pPr>
                    <w:spacing w:line="240" w:lineRule="auto"/>
                    <w:ind w:firstLine="420"/>
                    <w:rPr>
                      <w:color w:val="auto"/>
                      <w:sz w:val="21"/>
                      <w:szCs w:val="21"/>
                      <w:highlight w:val="none"/>
                    </w:rPr>
                  </w:pPr>
                  <w:r>
                    <w:rPr>
                      <w:color w:val="auto"/>
                      <w:sz w:val="21"/>
                      <w:szCs w:val="21"/>
                      <w:highlight w:val="none"/>
                    </w:rPr>
                    <w:t>项目生活污水、实验后器皿两次清洗后清洗废水、环保设备排污水、地面清洁废水经银丰国际生物城污水处理站处理，满足《污水排入城镇下水道水质标准》(GB/T31962-2015)标准后，通过管网送入巨野河污水处理厂。</w:t>
                  </w:r>
                </w:p>
              </w:tc>
              <w:tc>
                <w:tcPr>
                  <w:tcW w:w="1923" w:type="pct"/>
                  <w:tcBorders>
                    <w:tl2br w:val="nil"/>
                    <w:tr2bl w:val="nil"/>
                  </w:tcBorders>
                  <w:shd w:val="clear" w:color="auto" w:fill="auto"/>
                  <w:vAlign w:val="center"/>
                </w:tcPr>
                <w:p>
                  <w:pPr>
                    <w:spacing w:line="240" w:lineRule="auto"/>
                    <w:ind w:firstLine="420"/>
                    <w:rPr>
                      <w:color w:val="auto"/>
                      <w:sz w:val="21"/>
                      <w:szCs w:val="21"/>
                      <w:highlight w:val="none"/>
                    </w:rPr>
                  </w:pPr>
                  <w:r>
                    <w:rPr>
                      <w:color w:val="auto"/>
                      <w:sz w:val="21"/>
                      <w:szCs w:val="21"/>
                      <w:highlight w:val="none"/>
                    </w:rPr>
                    <w:t>本项目产生的生活污水、实验后器皿两次清洗后清洗废水、</w:t>
                  </w:r>
                  <w:r>
                    <w:rPr>
                      <w:rFonts w:hint="eastAsia"/>
                      <w:color w:val="auto"/>
                      <w:sz w:val="21"/>
                      <w:szCs w:val="21"/>
                      <w:highlight w:val="none"/>
                      <w:lang w:eastAsia="zh-CN"/>
                    </w:rPr>
                    <w:t>环保设备排污水、地面清洁废水，均经收集池收集后满足银丰国际生物城污水处理站进水水质标准后，排入银丰国际生物城污水处理站处理</w:t>
                  </w:r>
                  <w:r>
                    <w:rPr>
                      <w:color w:val="auto"/>
                      <w:sz w:val="21"/>
                      <w:szCs w:val="21"/>
                      <w:highlight w:val="none"/>
                    </w:rPr>
                    <w:t>，满足《污水排入城镇下水道水质标准》（GB/T31962-2015）</w:t>
                  </w:r>
                  <w:r>
                    <w:rPr>
                      <w:rFonts w:hint="eastAsia"/>
                      <w:color w:val="auto"/>
                      <w:sz w:val="21"/>
                      <w:szCs w:val="21"/>
                      <w:highlight w:val="none"/>
                      <w:lang w:eastAsia="zh-CN"/>
                    </w:rPr>
                    <w:t>A级</w:t>
                  </w:r>
                  <w:r>
                    <w:rPr>
                      <w:color w:val="auto"/>
                      <w:sz w:val="21"/>
                      <w:szCs w:val="21"/>
                      <w:highlight w:val="none"/>
                    </w:rPr>
                    <w:t>标准后通过市政管网排入巨野河污水处理厂处理达标后，经西巨野河排入小清河。</w:t>
                  </w:r>
                </w:p>
                <w:p>
                  <w:pPr>
                    <w:spacing w:line="240" w:lineRule="auto"/>
                    <w:ind w:firstLine="420"/>
                    <w:rPr>
                      <w:color w:val="auto"/>
                      <w:sz w:val="21"/>
                      <w:szCs w:val="21"/>
                      <w:highlight w:val="none"/>
                    </w:rPr>
                  </w:pPr>
                  <w:r>
                    <w:rPr>
                      <w:rFonts w:hint="eastAsia"/>
                      <w:color w:val="auto"/>
                      <w:sz w:val="21"/>
                      <w:szCs w:val="21"/>
                      <w:highlight w:val="none"/>
                    </w:rPr>
                    <w:t>验收</w:t>
                  </w:r>
                  <w:r>
                    <w:rPr>
                      <w:color w:val="auto"/>
                      <w:sz w:val="21"/>
                      <w:szCs w:val="21"/>
                      <w:highlight w:val="none"/>
                    </w:rPr>
                    <w:t>监测期间，厂区污水经银丰国际生物城污水处理站处理后，出水水质满足《污水排入城镇下水道水质标准》（GB/T 31962-2015）中</w:t>
                  </w:r>
                  <w:r>
                    <w:rPr>
                      <w:rFonts w:hint="eastAsia"/>
                      <w:color w:val="auto"/>
                      <w:sz w:val="21"/>
                      <w:szCs w:val="21"/>
                      <w:highlight w:val="none"/>
                      <w:lang w:eastAsia="zh-CN"/>
                    </w:rPr>
                    <w:t>表1的A等</w:t>
                  </w:r>
                  <w:r>
                    <w:rPr>
                      <w:color w:val="auto"/>
                      <w:sz w:val="21"/>
                      <w:szCs w:val="21"/>
                      <w:highlight w:val="none"/>
                    </w:rPr>
                    <w:t>级标准要求。</w:t>
                  </w:r>
                </w:p>
              </w:tc>
              <w:tc>
                <w:tcPr>
                  <w:tcW w:w="802"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90" w:hRule="atLeast"/>
              </w:trPr>
              <w:tc>
                <w:tcPr>
                  <w:tcW w:w="371"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噪声</w:t>
                  </w:r>
                </w:p>
              </w:tc>
              <w:tc>
                <w:tcPr>
                  <w:tcW w:w="1902" w:type="pct"/>
                  <w:tcBorders>
                    <w:tl2br w:val="nil"/>
                    <w:tr2bl w:val="nil"/>
                  </w:tcBorders>
                  <w:shd w:val="clear" w:color="auto" w:fill="auto"/>
                  <w:vAlign w:val="center"/>
                </w:tcPr>
                <w:p>
                  <w:pPr>
                    <w:spacing w:line="240" w:lineRule="auto"/>
                    <w:ind w:firstLine="420"/>
                    <w:rPr>
                      <w:color w:val="auto"/>
                      <w:sz w:val="21"/>
                      <w:szCs w:val="21"/>
                      <w:highlight w:val="none"/>
                    </w:rPr>
                  </w:pPr>
                  <w:r>
                    <w:rPr>
                      <w:color w:val="auto"/>
                      <w:sz w:val="21"/>
                      <w:szCs w:val="21"/>
                      <w:highlight w:val="none"/>
                    </w:rPr>
                    <w:t>合理布置各类噪声源，并采取消音、隔声、减震等降噪措施，确保厂界噪声达到《工业企业厂界环境噪声排放标准》(GB12348-2008)2类标准要求。</w:t>
                  </w:r>
                </w:p>
              </w:tc>
              <w:tc>
                <w:tcPr>
                  <w:tcW w:w="1923" w:type="pct"/>
                  <w:tcBorders>
                    <w:tl2br w:val="nil"/>
                    <w:tr2bl w:val="nil"/>
                  </w:tcBorders>
                  <w:shd w:val="clear" w:color="auto" w:fill="auto"/>
                  <w:vAlign w:val="center"/>
                </w:tcPr>
                <w:p>
                  <w:pPr>
                    <w:numPr>
                      <w:ilvl w:val="255"/>
                      <w:numId w:val="0"/>
                    </w:numPr>
                    <w:spacing w:line="240" w:lineRule="auto"/>
                    <w:ind w:firstLine="420" w:firstLineChars="200"/>
                    <w:rPr>
                      <w:color w:val="auto"/>
                      <w:sz w:val="21"/>
                      <w:szCs w:val="21"/>
                      <w:highlight w:val="none"/>
                    </w:rPr>
                  </w:pPr>
                  <w:r>
                    <w:rPr>
                      <w:color w:val="auto"/>
                      <w:sz w:val="21"/>
                      <w:szCs w:val="21"/>
                      <w:highlight w:val="none"/>
                    </w:rPr>
                    <w:t>本项目实验设备均布置于室内，采取门窗、墙体隔声，全部设备均选用低噪声设备并采取减振措施。加强管理，经常保养和维护机械设备避免设备在不良状态下运行。</w:t>
                  </w:r>
                </w:p>
                <w:p>
                  <w:pPr>
                    <w:numPr>
                      <w:ilvl w:val="255"/>
                      <w:numId w:val="0"/>
                    </w:numPr>
                    <w:spacing w:line="240" w:lineRule="auto"/>
                    <w:ind w:firstLine="420" w:firstLineChars="200"/>
                    <w:rPr>
                      <w:color w:val="auto"/>
                      <w:sz w:val="21"/>
                      <w:szCs w:val="21"/>
                      <w:highlight w:val="none"/>
                    </w:rPr>
                  </w:pPr>
                  <w:r>
                    <w:rPr>
                      <w:color w:val="auto"/>
                      <w:sz w:val="21"/>
                      <w:szCs w:val="21"/>
                      <w:highlight w:val="none"/>
                    </w:rPr>
                    <w:t>验收监测期间，项目1#南厂界、2#西厂界、3#北厂界，监测点厂界的昼间噪声均满足《工业企业厂界环境噪声排放标准》(GB12348-2008)2类标准（厂区东侧为其他企业，与之共用一堵墙，无法进行检测）。</w:t>
                  </w:r>
                </w:p>
              </w:tc>
              <w:tc>
                <w:tcPr>
                  <w:tcW w:w="802"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w:t>
                  </w:r>
                  <w:r>
                    <w:rPr>
                      <w:rFonts w:hint="eastAsia" w:ascii="Times New Roman" w:hAnsi="Times New Roman"/>
                      <w:color w:val="auto"/>
                      <w:sz w:val="21"/>
                      <w:szCs w:val="21"/>
                      <w:highlight w:val="none"/>
                    </w:rPr>
                    <w:t>厂区东侧为其他企业，与之共用一堵墙，无法进行检测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固废</w:t>
                  </w:r>
                </w:p>
              </w:tc>
              <w:tc>
                <w:tcPr>
                  <w:tcW w:w="1902" w:type="pct"/>
                  <w:tcBorders>
                    <w:tl2br w:val="nil"/>
                    <w:tr2bl w:val="nil"/>
                  </w:tcBorders>
                  <w:shd w:val="clear" w:color="auto" w:fill="auto"/>
                  <w:vAlign w:val="center"/>
                </w:tcPr>
                <w:p>
                  <w:pPr>
                    <w:spacing w:line="240" w:lineRule="auto"/>
                    <w:ind w:firstLine="420"/>
                    <w:jc w:val="left"/>
                    <w:rPr>
                      <w:color w:val="auto"/>
                      <w:sz w:val="21"/>
                      <w:szCs w:val="21"/>
                      <w:highlight w:val="none"/>
                    </w:rPr>
                  </w:pPr>
                  <w:r>
                    <w:rPr>
                      <w:color w:val="auto"/>
                      <w:sz w:val="21"/>
                      <w:szCs w:val="21"/>
                      <w:highlight w:val="none"/>
                    </w:rPr>
                    <w:t>项目生活垃圾由环卫部门定期清运。未沾染药品废包装物综合利用。建设危险废物贮存场所，实验废物、实验废液和废活性炭等危险废物委托有资质的单位处置。</w:t>
                  </w:r>
                </w:p>
              </w:tc>
              <w:tc>
                <w:tcPr>
                  <w:tcW w:w="1923" w:type="pct"/>
                  <w:tcBorders>
                    <w:tl2br w:val="nil"/>
                    <w:tr2bl w:val="nil"/>
                  </w:tcBorders>
                  <w:shd w:val="clear" w:color="auto" w:fill="auto"/>
                  <w:vAlign w:val="center"/>
                </w:tcPr>
                <w:p>
                  <w:pPr>
                    <w:spacing w:line="240" w:lineRule="auto"/>
                    <w:ind w:firstLine="420"/>
                    <w:jc w:val="left"/>
                    <w:rPr>
                      <w:color w:val="auto"/>
                      <w:sz w:val="21"/>
                      <w:szCs w:val="21"/>
                      <w:highlight w:val="none"/>
                    </w:rPr>
                  </w:pPr>
                  <w:r>
                    <w:rPr>
                      <w:color w:val="auto"/>
                      <w:sz w:val="21"/>
                      <w:szCs w:val="21"/>
                      <w:highlight w:val="none"/>
                    </w:rPr>
                    <w:t>本项目产生的未沾染药品废包装物收集后外售物资回收单位，生活垃圾由环卫部门定期清运处理；实验废物（沾染试剂的废包装物、废试剂瓶、废手套等）、实验废液（废流动相、实验后器皿前两次清洗废水等）、废活性炭收集后暂存于危废间，委托山东朋光环保科技有限公司处置。</w:t>
                  </w:r>
                </w:p>
                <w:p>
                  <w:pPr>
                    <w:spacing w:line="240" w:lineRule="auto"/>
                    <w:ind w:firstLine="420"/>
                    <w:jc w:val="left"/>
                    <w:rPr>
                      <w:color w:val="auto"/>
                      <w:sz w:val="21"/>
                      <w:szCs w:val="21"/>
                      <w:highlight w:val="none"/>
                    </w:rPr>
                  </w:pPr>
                  <w:r>
                    <w:rPr>
                      <w:color w:val="auto"/>
                      <w:sz w:val="21"/>
                      <w:szCs w:val="21"/>
                      <w:highlight w:val="none"/>
                    </w:rPr>
                    <w:t>建设单位已与山东朋光环保科技有限公司签订危废委托处理协议。</w:t>
                  </w:r>
                </w:p>
                <w:p>
                  <w:pPr>
                    <w:spacing w:line="240" w:lineRule="auto"/>
                    <w:ind w:firstLine="420"/>
                    <w:jc w:val="left"/>
                    <w:rPr>
                      <w:color w:val="auto"/>
                      <w:sz w:val="21"/>
                      <w:szCs w:val="21"/>
                      <w:highlight w:val="none"/>
                    </w:rPr>
                  </w:pPr>
                  <w:r>
                    <w:rPr>
                      <w:color w:val="auto"/>
                      <w:sz w:val="21"/>
                      <w:szCs w:val="21"/>
                      <w:highlight w:val="none"/>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73" w:hRule="atLeast"/>
              </w:trPr>
              <w:tc>
                <w:tcPr>
                  <w:tcW w:w="371" w:type="pct"/>
                  <w:tcBorders>
                    <w:tl2br w:val="nil"/>
                    <w:tr2bl w:val="nil"/>
                  </w:tcBorders>
                  <w:shd w:val="clear" w:color="auto" w:fill="auto"/>
                  <w:vAlign w:val="center"/>
                </w:tcPr>
                <w:p>
                  <w:pPr>
                    <w:pStyle w:val="3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排污许可</w:t>
                  </w:r>
                </w:p>
              </w:tc>
              <w:tc>
                <w:tcPr>
                  <w:tcW w:w="1902"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按国家有关规定申领排污许可证</w:t>
                  </w:r>
                </w:p>
              </w:tc>
              <w:tc>
                <w:tcPr>
                  <w:tcW w:w="1923"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根据《固定污染源排污许可分类管理名录（2019 年版）》，项目行业类别属于M7340医学研究和试验发展，不在固定污染源排污许可分类管理名录之内，无需申请排污许可证。</w:t>
                  </w:r>
                </w:p>
              </w:tc>
              <w:tc>
                <w:tcPr>
                  <w:tcW w:w="802" w:type="pct"/>
                  <w:tcBorders>
                    <w:tl2br w:val="nil"/>
                    <w:tr2bl w:val="nil"/>
                  </w:tcBorders>
                  <w:shd w:val="clear" w:color="auto" w:fill="auto"/>
                  <w:vAlign w:val="center"/>
                </w:tcPr>
                <w:p>
                  <w:pPr>
                    <w:pStyle w:val="3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bl>
          <w:p>
            <w:pPr>
              <w:pStyle w:val="34"/>
              <w:snapToGrid w:val="0"/>
              <w:ind w:firstLine="0" w:firstLineChars="0"/>
              <w:rPr>
                <w:rFonts w:cs="Times New Roman"/>
                <w:color w:val="auto"/>
                <w:highlight w:val="none"/>
              </w:rPr>
            </w:pPr>
          </w:p>
        </w:tc>
      </w:tr>
    </w:tbl>
    <w:p>
      <w:pPr>
        <w:snapToGrid w:val="0"/>
        <w:spacing w:line="240" w:lineRule="auto"/>
        <w:ind w:firstLine="0" w:firstLineChars="0"/>
        <w:outlineLvl w:val="0"/>
        <w:rPr>
          <w:b/>
          <w:bCs/>
          <w:color w:val="auto"/>
          <w:sz w:val="30"/>
          <w:szCs w:val="30"/>
          <w:highlight w:val="none"/>
        </w:rPr>
      </w:pPr>
      <w:r>
        <w:rPr>
          <w:b/>
          <w:bCs/>
          <w:color w:val="auto"/>
          <w:sz w:val="30"/>
          <w:szCs w:val="30"/>
          <w:highlight w:val="none"/>
        </w:rPr>
        <w:br w:type="page"/>
      </w:r>
      <w:bookmarkStart w:id="103" w:name="_Toc6105"/>
      <w:bookmarkStart w:id="104" w:name="_Toc29854"/>
      <w:bookmarkStart w:id="105" w:name="_Toc32555"/>
      <w:bookmarkStart w:id="106" w:name="_Toc20283"/>
      <w:bookmarkStart w:id="107" w:name="_Toc26225"/>
      <w:bookmarkStart w:id="108" w:name="_Toc845"/>
      <w:bookmarkStart w:id="109" w:name="_Toc2153"/>
      <w:bookmarkStart w:id="110" w:name="_Toc30130"/>
      <w:bookmarkStart w:id="111" w:name="_Toc32635"/>
      <w:bookmarkStart w:id="112" w:name="_Toc530"/>
      <w:bookmarkStart w:id="113" w:name="_Toc12294"/>
      <w:bookmarkStart w:id="114" w:name="_Toc26691"/>
      <w:bookmarkStart w:id="115" w:name="_Toc22565"/>
      <w:bookmarkStart w:id="116" w:name="_Toc31674"/>
      <w:bookmarkStart w:id="117" w:name="_Toc19902"/>
      <w:bookmarkStart w:id="118" w:name="_Toc31378"/>
      <w:bookmarkStart w:id="119" w:name="_Toc30812"/>
      <w:bookmarkStart w:id="120" w:name="_Toc6555"/>
      <w:bookmarkStart w:id="121" w:name="_Toc8210"/>
      <w:bookmarkStart w:id="122" w:name="_Toc19690"/>
      <w:bookmarkStart w:id="123" w:name="_Toc13152"/>
      <w:bookmarkStart w:id="124" w:name="_Toc12266"/>
      <w:bookmarkStart w:id="125" w:name="_Toc11706"/>
      <w:r>
        <w:rPr>
          <w:b/>
          <w:bCs/>
          <w:color w:val="auto"/>
          <w:sz w:val="30"/>
          <w:szCs w:val="30"/>
          <w:highlight w:val="none"/>
        </w:rPr>
        <w:t>表5  验收监测质量保证及质量控制</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tbl>
      <w:tblPr>
        <w:tblStyle w:val="26"/>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rPr>
                <w:color w:val="auto"/>
                <w:highlight w:val="none"/>
              </w:rPr>
            </w:pPr>
            <w:r>
              <w:rPr>
                <w:color w:val="auto"/>
                <w:highlight w:val="none"/>
              </w:rPr>
              <w:t>为保证验收监测数据的合理性、可靠性、准确性，对监测的全过程（布点、采样、样品贮存、实验室分析和数据处理等）进行了质量控制，具体要求如下：</w:t>
            </w:r>
          </w:p>
          <w:p>
            <w:pPr>
              <w:widowControl/>
              <w:numPr>
                <w:ilvl w:val="0"/>
                <w:numId w:val="3"/>
              </w:numPr>
              <w:ind w:firstLine="480"/>
              <w:jc w:val="left"/>
              <w:rPr>
                <w:color w:val="auto"/>
                <w:highlight w:val="none"/>
              </w:rPr>
            </w:pPr>
            <w:r>
              <w:rPr>
                <w:color w:val="auto"/>
                <w:highlight w:val="none"/>
              </w:rPr>
              <w:t>所有参加监测采样和分析人员必须持证上岗。</w:t>
            </w:r>
          </w:p>
          <w:p>
            <w:pPr>
              <w:widowControl/>
              <w:numPr>
                <w:ilvl w:val="0"/>
                <w:numId w:val="3"/>
              </w:numPr>
              <w:ind w:firstLine="480"/>
              <w:jc w:val="left"/>
              <w:rPr>
                <w:color w:val="auto"/>
                <w:highlight w:val="none"/>
              </w:rPr>
            </w:pPr>
            <w:r>
              <w:rPr>
                <w:color w:val="auto"/>
                <w:highlight w:val="none"/>
              </w:rPr>
              <w:t>由厂方提供验收监测期间的工况条件，验收监测工况负荷达到额定负荷。</w:t>
            </w:r>
          </w:p>
          <w:p>
            <w:pPr>
              <w:widowControl/>
              <w:numPr>
                <w:ilvl w:val="0"/>
                <w:numId w:val="3"/>
              </w:numPr>
              <w:ind w:firstLine="480"/>
              <w:jc w:val="left"/>
              <w:rPr>
                <w:color w:val="auto"/>
                <w:highlight w:val="none"/>
              </w:rPr>
            </w:pPr>
            <w:r>
              <w:rPr>
                <w:color w:val="auto"/>
                <w:highlight w:val="none"/>
              </w:rPr>
              <w:t>严格按照验收监测方案的要求开展监测工作。</w:t>
            </w:r>
          </w:p>
          <w:p>
            <w:pPr>
              <w:widowControl/>
              <w:numPr>
                <w:ilvl w:val="0"/>
                <w:numId w:val="3"/>
              </w:numPr>
              <w:ind w:firstLine="480"/>
              <w:jc w:val="left"/>
              <w:rPr>
                <w:color w:val="auto"/>
                <w:highlight w:val="none"/>
              </w:rPr>
            </w:pPr>
            <w:r>
              <w:rPr>
                <w:color w:val="auto"/>
                <w:highlight w:val="none"/>
              </w:rPr>
              <w:t>合理规范设施监测点位、确定监测因子与频次，保证验收监测数据的准确性和代表性。</w:t>
            </w:r>
          </w:p>
          <w:p>
            <w:pPr>
              <w:widowControl/>
              <w:numPr>
                <w:ilvl w:val="0"/>
                <w:numId w:val="3"/>
              </w:numPr>
              <w:ind w:firstLine="480"/>
              <w:jc w:val="left"/>
              <w:rPr>
                <w:color w:val="auto"/>
                <w:highlight w:val="none"/>
              </w:rPr>
            </w:pPr>
            <w:r>
              <w:rPr>
                <w:color w:val="auto"/>
                <w:highlight w:val="none"/>
              </w:rPr>
              <w:t>采样人员严格遵照采样技术规范进行采样工作，认真填写采样记录，按规定保存、运输样品。</w:t>
            </w:r>
          </w:p>
          <w:p>
            <w:pPr>
              <w:widowControl/>
              <w:numPr>
                <w:ilvl w:val="0"/>
                <w:numId w:val="3"/>
              </w:numPr>
              <w:ind w:firstLine="480"/>
              <w:jc w:val="left"/>
              <w:rPr>
                <w:color w:val="auto"/>
                <w:highlight w:val="none"/>
              </w:rPr>
            </w:pPr>
            <w:r>
              <w:rPr>
                <w:color w:val="auto"/>
                <w:highlight w:val="none"/>
              </w:rPr>
              <w:t>监测分析采用国家有关部门颁布的标准分析方法或推荐方法；监测人员经过考核合格并持有上岗证；所用监测仪器、量具均经计量部门检定合格并在有效期内使用。</w:t>
            </w:r>
          </w:p>
          <w:p>
            <w:pPr>
              <w:widowControl/>
              <w:numPr>
                <w:ilvl w:val="0"/>
                <w:numId w:val="3"/>
              </w:numPr>
              <w:ind w:firstLine="480"/>
              <w:jc w:val="left"/>
              <w:rPr>
                <w:color w:val="auto"/>
                <w:highlight w:val="none"/>
              </w:rPr>
            </w:pPr>
            <w:r>
              <w:rPr>
                <w:color w:val="auto"/>
                <w:highlight w:val="none"/>
              </w:rPr>
              <w:t>气样测定前校准仪器，在测试时保证其采样流量。</w:t>
            </w:r>
          </w:p>
          <w:p>
            <w:pPr>
              <w:widowControl/>
              <w:numPr>
                <w:ilvl w:val="0"/>
                <w:numId w:val="3"/>
              </w:numPr>
              <w:ind w:firstLine="480"/>
              <w:jc w:val="left"/>
              <w:rPr>
                <w:color w:val="auto"/>
                <w:highlight w:val="none"/>
              </w:rPr>
            </w:pPr>
            <w:r>
              <w:rPr>
                <w:color w:val="auto"/>
                <w:highlight w:val="none"/>
              </w:rPr>
              <w:t>采样分析及分析结果按国家标准和监测技术规范的相关要求进行数据处理和填报。</w:t>
            </w:r>
          </w:p>
          <w:p>
            <w:pPr>
              <w:widowControl/>
              <w:numPr>
                <w:ilvl w:val="0"/>
                <w:numId w:val="3"/>
              </w:numPr>
              <w:ind w:firstLine="480"/>
              <w:jc w:val="left"/>
              <w:rPr>
                <w:color w:val="auto"/>
                <w:highlight w:val="none"/>
              </w:rPr>
            </w:pPr>
            <w:r>
              <w:rPr>
                <w:color w:val="auto"/>
                <w:highlight w:val="none"/>
              </w:rPr>
              <w:t>监测数据和报告严格执行三级审核制度。</w:t>
            </w:r>
          </w:p>
          <w:p>
            <w:pPr>
              <w:ind w:firstLine="482"/>
              <w:rPr>
                <w:b/>
                <w:bCs/>
                <w:color w:val="auto"/>
                <w:highlight w:val="none"/>
              </w:rPr>
            </w:pPr>
            <w:r>
              <w:rPr>
                <w:rFonts w:hint="eastAsia"/>
                <w:b/>
                <w:bCs/>
                <w:color w:val="auto"/>
                <w:highlight w:val="none"/>
              </w:rPr>
              <w:t>1、气体监测分析过程中的质量保证和质量控制</w:t>
            </w:r>
          </w:p>
          <w:p>
            <w:pPr>
              <w:spacing w:line="500" w:lineRule="exact"/>
              <w:ind w:firstLine="480"/>
              <w:rPr>
                <w:color w:val="auto"/>
                <w:highlight w:val="none"/>
              </w:rPr>
            </w:pPr>
            <w:r>
              <w:rPr>
                <w:color w:val="auto"/>
                <w:highlight w:val="none"/>
              </w:rPr>
              <w:t>监测质量保证和质量控制按照《固定污染源监测质量保证与质量控制技术规范（试行）》（HJ/T373-2007）、《大气污染物无组织排放监测技术导则》（HJ/T 55-2000）的相关要求进行。</w:t>
            </w:r>
          </w:p>
          <w:p>
            <w:pPr>
              <w:spacing w:line="500" w:lineRule="exact"/>
              <w:ind w:firstLine="480"/>
              <w:rPr>
                <w:color w:val="auto"/>
                <w:highlight w:val="none"/>
              </w:rPr>
            </w:pPr>
            <w:r>
              <w:rPr>
                <w:color w:val="auto"/>
                <w:highlight w:val="none"/>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500" w:lineRule="exact"/>
              <w:ind w:firstLine="480"/>
              <w:rPr>
                <w:color w:val="auto"/>
                <w:highlight w:val="none"/>
              </w:rPr>
            </w:pPr>
            <w:r>
              <w:rPr>
                <w:color w:val="auto"/>
                <w:highlight w:val="none"/>
              </w:rPr>
              <w:t>（2）采样员在采样前认真检查并确认了废气采样管、滤料、吸收瓶的清洁度，确保采样设备及容器符合采样要求。</w:t>
            </w:r>
          </w:p>
          <w:p>
            <w:pPr>
              <w:spacing w:line="500" w:lineRule="exact"/>
              <w:ind w:firstLine="480"/>
              <w:rPr>
                <w:color w:val="auto"/>
                <w:highlight w:val="none"/>
              </w:rPr>
            </w:pPr>
            <w:r>
              <w:rPr>
                <w:color w:val="auto"/>
                <w:highlight w:val="none"/>
              </w:rPr>
              <w:t>（3）现场监测设备在投入使用前，采样员对仪器设备都进行了检查和校准，并保持检查和校准记录。</w:t>
            </w:r>
          </w:p>
          <w:p>
            <w:pPr>
              <w:spacing w:line="500" w:lineRule="exact"/>
              <w:ind w:firstLine="480"/>
              <w:rPr>
                <w:color w:val="auto"/>
                <w:highlight w:val="none"/>
              </w:rPr>
            </w:pPr>
            <w:r>
              <w:rPr>
                <w:color w:val="auto"/>
                <w:highlight w:val="none"/>
              </w:rPr>
              <w:t>（4）废气采样系统连接好后对其进行了气密性检查，确保整体系统不漏气。</w:t>
            </w:r>
          </w:p>
          <w:p>
            <w:pPr>
              <w:autoSpaceDE w:val="0"/>
              <w:autoSpaceDN w:val="0"/>
              <w:spacing w:line="500" w:lineRule="exact"/>
              <w:ind w:firstLine="480"/>
              <w:rPr>
                <w:color w:val="auto"/>
                <w:highlight w:val="none"/>
              </w:rPr>
            </w:pPr>
            <w:r>
              <w:rPr>
                <w:color w:val="auto"/>
                <w:highlight w:val="none"/>
              </w:rPr>
              <w:t>（5）监测数据和技术报告执行了三级审核制度。</w:t>
            </w:r>
          </w:p>
          <w:p>
            <w:pPr>
              <w:ind w:firstLine="482"/>
              <w:rPr>
                <w:b/>
                <w:color w:val="auto"/>
                <w:highlight w:val="none"/>
              </w:rPr>
            </w:pPr>
            <w:r>
              <w:rPr>
                <w:b/>
                <w:color w:val="auto"/>
                <w:highlight w:val="none"/>
              </w:rPr>
              <w:t>2、水质监测分析过程中的质量保证和质量控制</w:t>
            </w:r>
          </w:p>
          <w:p>
            <w:pPr>
              <w:autoSpaceDE w:val="0"/>
              <w:autoSpaceDN w:val="0"/>
              <w:spacing w:line="500" w:lineRule="exact"/>
              <w:ind w:firstLine="480"/>
              <w:rPr>
                <w:color w:val="auto"/>
                <w:highlight w:val="none"/>
              </w:rPr>
            </w:pPr>
            <w:r>
              <w:rPr>
                <w:rFonts w:hint="eastAsia"/>
                <w:color w:val="auto"/>
                <w:highlight w:val="none"/>
              </w:rPr>
              <w:t>为保证监测分析结果准确可靠，在监测期间，样品采集、运输、保存按照原国家环境保护总局</w:t>
            </w:r>
            <w:r>
              <w:rPr>
                <w:rFonts w:hint="eastAsia"/>
              </w:rPr>
              <w:t>《污水监测技术规范》（HJ 91.1-2019）和《水质 样品的保存和管理技术规定》（HJ 493-2009）</w:t>
            </w:r>
            <w:r>
              <w:rPr>
                <w:rFonts w:hint="eastAsia"/>
                <w:color w:val="auto"/>
                <w:highlight w:val="none"/>
              </w:rPr>
              <w:t>等的技术要求进行</w:t>
            </w:r>
            <w:r>
              <w:rPr>
                <w:color w:val="auto"/>
                <w:highlight w:val="none"/>
              </w:rPr>
              <w:t>。</w:t>
            </w:r>
          </w:p>
          <w:p>
            <w:pPr>
              <w:autoSpaceDE w:val="0"/>
              <w:autoSpaceDN w:val="0"/>
              <w:spacing w:line="500" w:lineRule="exact"/>
              <w:ind w:firstLine="480"/>
              <w:rPr>
                <w:color w:val="auto"/>
                <w:highlight w:val="none"/>
              </w:rPr>
            </w:pPr>
            <w:r>
              <w:rPr>
                <w:color w:val="auto"/>
                <w:highlight w:val="none"/>
              </w:rPr>
              <w:t>（1）监测期间及时了解工况情况，确保监测过程中生产负荷满足要求。</w:t>
            </w:r>
          </w:p>
          <w:p>
            <w:pPr>
              <w:autoSpaceDE w:val="0"/>
              <w:autoSpaceDN w:val="0"/>
              <w:spacing w:line="500" w:lineRule="exact"/>
              <w:ind w:firstLine="480"/>
              <w:rPr>
                <w:color w:val="auto"/>
                <w:highlight w:val="none"/>
              </w:rPr>
            </w:pPr>
            <w:r>
              <w:rPr>
                <w:color w:val="auto"/>
                <w:highlight w:val="none"/>
              </w:rPr>
              <w:t>（2）监测点位、监测因子与频率及抽样率设置合理规范，保证监测数据具备科学性和代表性。</w:t>
            </w:r>
          </w:p>
          <w:p>
            <w:pPr>
              <w:autoSpaceDE w:val="0"/>
              <w:autoSpaceDN w:val="0"/>
              <w:spacing w:line="500" w:lineRule="exact"/>
              <w:ind w:firstLine="480"/>
              <w:rPr>
                <w:color w:val="auto"/>
                <w:highlight w:val="none"/>
              </w:rPr>
            </w:pPr>
            <w:r>
              <w:rPr>
                <w:color w:val="auto"/>
                <w:highlight w:val="none"/>
              </w:rPr>
              <w:t>（3）优先采用国标监测分析方法，监测采样与测试分析人员均经国家考核合格并持证上岗，监测仪器经计量部门检定并在有效使用期内。</w:t>
            </w:r>
          </w:p>
          <w:p>
            <w:pPr>
              <w:autoSpaceDE w:val="0"/>
              <w:autoSpaceDN w:val="0"/>
              <w:spacing w:line="500" w:lineRule="exact"/>
              <w:ind w:firstLine="480"/>
              <w:rPr>
                <w:color w:val="auto"/>
                <w:highlight w:val="none"/>
              </w:rPr>
            </w:pPr>
            <w:r>
              <w:rPr>
                <w:color w:val="auto"/>
                <w:highlight w:val="none"/>
              </w:rPr>
              <w:t>（4）按照规范对样品的采集、保存以及运输采取质量控制措施。选用合适的采样容器，并对容器进行洗涤；水样运输前将容器盖盖紧，确认所采水样全部装箱；运输时有专门押运人员；水样交</w:t>
            </w:r>
            <w:r>
              <w:rPr>
                <w:rFonts w:hint="eastAsia"/>
                <w:color w:val="auto"/>
                <w:highlight w:val="none"/>
              </w:rPr>
              <w:t>检测部</w:t>
            </w:r>
            <w:r>
              <w:rPr>
                <w:color w:val="auto"/>
                <w:highlight w:val="none"/>
              </w:rPr>
              <w:t>时，办理交接手续。</w:t>
            </w:r>
          </w:p>
          <w:p>
            <w:pPr>
              <w:autoSpaceDE w:val="0"/>
              <w:autoSpaceDN w:val="0"/>
              <w:spacing w:line="500" w:lineRule="exact"/>
              <w:ind w:firstLine="480"/>
              <w:rPr>
                <w:color w:val="auto"/>
                <w:highlight w:val="none"/>
              </w:rPr>
            </w:pPr>
            <w:r>
              <w:rPr>
                <w:color w:val="auto"/>
                <w:highlight w:val="none"/>
              </w:rPr>
              <w:t>（5）监测数据和技术报告执行三级审核制度。</w:t>
            </w:r>
          </w:p>
          <w:p>
            <w:pPr>
              <w:ind w:firstLine="482"/>
              <w:rPr>
                <w:b/>
                <w:color w:val="auto"/>
                <w:highlight w:val="none"/>
              </w:rPr>
            </w:pPr>
            <w:r>
              <w:rPr>
                <w:rFonts w:hint="eastAsia"/>
                <w:b/>
                <w:color w:val="auto"/>
                <w:highlight w:val="none"/>
              </w:rPr>
              <w:t>2、</w:t>
            </w:r>
            <w:r>
              <w:rPr>
                <w:b/>
                <w:color w:val="auto"/>
                <w:highlight w:val="none"/>
              </w:rPr>
              <w:t>噪声监测分析过程中的质量保证和质量控制</w:t>
            </w:r>
          </w:p>
          <w:p>
            <w:pPr>
              <w:autoSpaceDE w:val="0"/>
              <w:autoSpaceDN w:val="0"/>
              <w:spacing w:line="500" w:lineRule="exact"/>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500" w:lineRule="exact"/>
              <w:ind w:firstLine="480"/>
              <w:rPr>
                <w:color w:val="auto"/>
                <w:highlight w:val="none"/>
              </w:rPr>
            </w:pPr>
            <w:r>
              <w:rPr>
                <w:color w:val="auto"/>
                <w:highlight w:val="none"/>
              </w:rPr>
              <w:t>（1）合理规范地设置监测点位、监测因子与频率，保证监测数据具备科学性和代表性。</w:t>
            </w:r>
          </w:p>
          <w:p>
            <w:pPr>
              <w:autoSpaceDE w:val="0"/>
              <w:autoSpaceDN w:val="0"/>
              <w:spacing w:line="500" w:lineRule="exact"/>
              <w:ind w:firstLine="480"/>
              <w:rPr>
                <w:color w:val="auto"/>
                <w:highlight w:val="none"/>
              </w:rPr>
            </w:pPr>
            <w:r>
              <w:rPr>
                <w:color w:val="auto"/>
                <w:highlight w:val="none"/>
              </w:rPr>
              <w:t>（2）优先采用国标监测分析方法，监测采样与测试分析人员均经国家考核合格并持证上岗，监测仪器经计量部门检定并在有效使用期内。</w:t>
            </w:r>
          </w:p>
          <w:p>
            <w:pPr>
              <w:autoSpaceDE w:val="0"/>
              <w:autoSpaceDN w:val="0"/>
              <w:spacing w:line="500" w:lineRule="exact"/>
              <w:ind w:firstLine="480"/>
              <w:rPr>
                <w:color w:val="auto"/>
                <w:highlight w:val="none"/>
              </w:rPr>
            </w:pPr>
            <w:r>
              <w:rPr>
                <w:color w:val="auto"/>
                <w:highlight w:val="none"/>
              </w:rPr>
              <w:t>（3）测量时传声器加设防风罩。</w:t>
            </w:r>
          </w:p>
          <w:p>
            <w:pPr>
              <w:autoSpaceDE w:val="0"/>
              <w:autoSpaceDN w:val="0"/>
              <w:spacing w:line="500" w:lineRule="exact"/>
              <w:ind w:firstLine="480"/>
              <w:rPr>
                <w:color w:val="auto"/>
                <w:highlight w:val="none"/>
              </w:rPr>
            </w:pPr>
            <w:r>
              <w:rPr>
                <w:color w:val="auto"/>
                <w:highlight w:val="none"/>
              </w:rPr>
              <w:t>（4）测量在无风雪、无雷电天气，风速</w:t>
            </w:r>
            <w:r>
              <w:rPr>
                <w:rFonts w:hint="eastAsia"/>
                <w:color w:val="auto"/>
                <w:highlight w:val="none"/>
              </w:rPr>
              <w:t>均</w:t>
            </w:r>
            <w:r>
              <w:rPr>
                <w:color w:val="auto"/>
                <w:highlight w:val="none"/>
              </w:rPr>
              <w:t>小于5m/s，满足要求。</w:t>
            </w:r>
          </w:p>
          <w:p>
            <w:pPr>
              <w:autoSpaceDE w:val="0"/>
              <w:autoSpaceDN w:val="0"/>
              <w:spacing w:line="500" w:lineRule="exact"/>
              <w:ind w:firstLine="480"/>
              <w:rPr>
                <w:color w:val="auto"/>
                <w:highlight w:val="none"/>
              </w:rPr>
            </w:pPr>
            <w:r>
              <w:rPr>
                <w:color w:val="auto"/>
                <w:highlight w:val="none"/>
              </w:rPr>
              <w:t xml:space="preserve">（5）监测数据和技术报告执行三级审核制度。 </w:t>
            </w:r>
          </w:p>
          <w:p>
            <w:pPr>
              <w:autoSpaceDE w:val="0"/>
              <w:autoSpaceDN w:val="0"/>
              <w:spacing w:line="500" w:lineRule="exact"/>
              <w:ind w:firstLine="480"/>
              <w:rPr>
                <w:color w:val="auto"/>
                <w:highlight w:val="none"/>
              </w:rPr>
            </w:pPr>
            <w:r>
              <w:rPr>
                <w:color w:val="auto"/>
                <w:highlight w:val="none"/>
              </w:rPr>
              <w:t>（6）声级计在测试前后用标准声源进行校准，测量前后仪器的灵敏度相差不大于0.5dB。</w:t>
            </w:r>
          </w:p>
          <w:p>
            <w:pPr>
              <w:pStyle w:val="31"/>
              <w:rPr>
                <w:rFonts w:ascii="Times New Roman" w:hAnsi="Times New Roman"/>
                <w:color w:val="auto"/>
                <w:highlight w:val="none"/>
              </w:rPr>
            </w:pPr>
          </w:p>
          <w:p>
            <w:pPr>
              <w:pStyle w:val="34"/>
              <w:snapToGrid w:val="0"/>
              <w:rPr>
                <w:rFonts w:cs="Times New Roman"/>
                <w:color w:val="auto"/>
                <w:highlight w:val="none"/>
              </w:rPr>
            </w:pPr>
          </w:p>
        </w:tc>
      </w:tr>
    </w:tbl>
    <w:p>
      <w:pPr>
        <w:snapToGrid w:val="0"/>
        <w:ind w:firstLine="0" w:firstLineChars="0"/>
        <w:outlineLvl w:val="0"/>
        <w:rPr>
          <w:b/>
          <w:bCs/>
          <w:color w:val="auto"/>
          <w:sz w:val="30"/>
          <w:szCs w:val="30"/>
          <w:highlight w:val="none"/>
        </w:rPr>
      </w:pPr>
      <w:bookmarkStart w:id="126" w:name="_Toc9381"/>
      <w:bookmarkStart w:id="127" w:name="_Toc32636"/>
      <w:bookmarkStart w:id="128" w:name="_Toc22283"/>
      <w:bookmarkStart w:id="129" w:name="_Toc18624"/>
      <w:bookmarkStart w:id="130" w:name="_Toc32687"/>
      <w:bookmarkStart w:id="131" w:name="_Toc23110"/>
      <w:bookmarkStart w:id="132" w:name="_Toc8940"/>
      <w:bookmarkStart w:id="133" w:name="_Toc16311"/>
      <w:bookmarkStart w:id="134" w:name="_Toc11512"/>
      <w:bookmarkStart w:id="135" w:name="_Toc24915"/>
      <w:bookmarkStart w:id="136" w:name="_Toc21732"/>
      <w:bookmarkStart w:id="137" w:name="_Toc7926"/>
      <w:bookmarkStart w:id="138" w:name="_Toc32634"/>
      <w:r>
        <w:rPr>
          <w:b/>
          <w:bCs/>
          <w:color w:val="auto"/>
          <w:sz w:val="30"/>
          <w:szCs w:val="30"/>
          <w:highlight w:val="none"/>
        </w:rPr>
        <w:br w:type="page"/>
      </w:r>
      <w:bookmarkStart w:id="139" w:name="_Toc12193"/>
      <w:bookmarkStart w:id="140" w:name="_Toc24079"/>
      <w:bookmarkStart w:id="141" w:name="_Toc1176"/>
      <w:bookmarkStart w:id="142" w:name="_Toc21826"/>
      <w:bookmarkStart w:id="143" w:name="_Toc26933"/>
      <w:bookmarkStart w:id="144" w:name="_Toc23704"/>
      <w:bookmarkStart w:id="145" w:name="_Toc22417"/>
      <w:bookmarkStart w:id="146" w:name="_Toc22651"/>
      <w:bookmarkStart w:id="147" w:name="_Toc28573"/>
      <w:bookmarkStart w:id="148" w:name="_Toc19384"/>
      <w:r>
        <w:rPr>
          <w:b/>
          <w:bCs/>
          <w:color w:val="auto"/>
          <w:sz w:val="30"/>
          <w:szCs w:val="30"/>
          <w:highlight w:val="none"/>
        </w:rPr>
        <w:t>表6  验收监测内容</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tbl>
      <w:tblPr>
        <w:tblStyle w:val="26"/>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rPr>
                <w:color w:val="auto"/>
                <w:highlight w:val="none"/>
              </w:rPr>
            </w:pPr>
            <w:r>
              <w:rPr>
                <w:color w:val="auto"/>
                <w:highlight w:val="none"/>
              </w:rPr>
              <w:t>本项目验收监测的主要内容包括废气、废水和噪声。</w:t>
            </w:r>
          </w:p>
          <w:p>
            <w:pPr>
              <w:ind w:firstLine="482"/>
              <w:rPr>
                <w:b/>
                <w:bCs/>
                <w:color w:val="auto"/>
                <w:highlight w:val="none"/>
              </w:rPr>
            </w:pPr>
            <w:r>
              <w:rPr>
                <w:b/>
                <w:bCs/>
                <w:color w:val="auto"/>
                <w:highlight w:val="none"/>
              </w:rPr>
              <w:t>1、废气检测</w:t>
            </w:r>
          </w:p>
          <w:p>
            <w:pPr>
              <w:ind w:firstLine="480"/>
              <w:rPr>
                <w:color w:val="auto"/>
                <w:highlight w:val="none"/>
              </w:rPr>
            </w:pPr>
            <w:r>
              <w:rPr>
                <w:color w:val="auto"/>
                <w:highlight w:val="none"/>
              </w:rPr>
              <w:t>（1）有组织废气</w:t>
            </w:r>
          </w:p>
          <w:p>
            <w:pPr>
              <w:ind w:firstLine="480"/>
              <w:rPr>
                <w:color w:val="auto"/>
                <w:highlight w:val="none"/>
              </w:rPr>
            </w:pPr>
            <w:r>
              <w:rPr>
                <w:color w:val="auto"/>
                <w:highlight w:val="none"/>
              </w:rPr>
              <w:t>①检测因子、点位和频次</w:t>
            </w:r>
          </w:p>
          <w:p>
            <w:pPr>
              <w:ind w:firstLine="480"/>
              <w:rPr>
                <w:color w:val="auto"/>
                <w:highlight w:val="none"/>
              </w:rPr>
            </w:pPr>
            <w:r>
              <w:rPr>
                <w:color w:val="auto"/>
                <w:highlight w:val="none"/>
              </w:rPr>
              <w:t>本项目有组织废气监测内容、频次见表6-1。</w:t>
            </w:r>
          </w:p>
          <w:p>
            <w:pPr>
              <w:pStyle w:val="34"/>
              <w:ind w:firstLine="0" w:firstLineChars="0"/>
              <w:jc w:val="center"/>
              <w:rPr>
                <w:rFonts w:cs="Times New Roman"/>
                <w:color w:val="auto"/>
                <w:highlight w:val="none"/>
              </w:rPr>
            </w:pPr>
            <w:r>
              <w:rPr>
                <w:rFonts w:cs="Times New Roman"/>
                <w:b/>
                <w:bCs/>
                <w:color w:val="auto"/>
                <w:highlight w:val="none"/>
              </w:rPr>
              <w:t>表6-1  有组织废气监测内容、监测频次一览表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040"/>
              <w:gridCol w:w="1935"/>
              <w:gridCol w:w="1702"/>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vAlign w:val="center"/>
                </w:tcPr>
                <w:p>
                  <w:pPr>
                    <w:pStyle w:val="49"/>
                    <w:adjustRightInd w:val="0"/>
                    <w:snapToGrid w:val="0"/>
                    <w:spacing w:line="240" w:lineRule="auto"/>
                    <w:ind w:firstLine="0" w:firstLineChars="0"/>
                    <w:rPr>
                      <w:b/>
                      <w:bCs/>
                      <w:color w:val="auto"/>
                      <w:sz w:val="21"/>
                      <w:szCs w:val="21"/>
                      <w:highlight w:val="none"/>
                    </w:rPr>
                  </w:pPr>
                  <w:r>
                    <w:rPr>
                      <w:b/>
                      <w:bCs/>
                      <w:color w:val="auto"/>
                      <w:sz w:val="21"/>
                      <w:szCs w:val="21"/>
                      <w:highlight w:val="none"/>
                    </w:rPr>
                    <w:t>编号</w:t>
                  </w:r>
                </w:p>
              </w:tc>
              <w:tc>
                <w:tcPr>
                  <w:tcW w:w="1145" w:type="pct"/>
                  <w:vAlign w:val="center"/>
                </w:tcPr>
                <w:p>
                  <w:pPr>
                    <w:pStyle w:val="49"/>
                    <w:adjustRightInd w:val="0"/>
                    <w:snapToGrid w:val="0"/>
                    <w:spacing w:line="240" w:lineRule="auto"/>
                    <w:ind w:firstLine="0" w:firstLineChars="0"/>
                    <w:rPr>
                      <w:b/>
                      <w:bCs/>
                      <w:color w:val="auto"/>
                      <w:sz w:val="21"/>
                      <w:szCs w:val="21"/>
                      <w:highlight w:val="none"/>
                    </w:rPr>
                  </w:pPr>
                  <w:r>
                    <w:rPr>
                      <w:b/>
                      <w:bCs/>
                      <w:color w:val="auto"/>
                      <w:sz w:val="21"/>
                      <w:szCs w:val="21"/>
                      <w:highlight w:val="none"/>
                    </w:rPr>
                    <w:t>点位名称</w:t>
                  </w:r>
                </w:p>
              </w:tc>
              <w:tc>
                <w:tcPr>
                  <w:tcW w:w="1086" w:type="pct"/>
                  <w:vAlign w:val="center"/>
                </w:tcPr>
                <w:p>
                  <w:pPr>
                    <w:pStyle w:val="49"/>
                    <w:adjustRightInd w:val="0"/>
                    <w:snapToGrid w:val="0"/>
                    <w:spacing w:line="240" w:lineRule="auto"/>
                    <w:ind w:firstLine="0" w:firstLineChars="0"/>
                    <w:rPr>
                      <w:b/>
                      <w:bCs/>
                      <w:color w:val="auto"/>
                      <w:sz w:val="21"/>
                      <w:szCs w:val="21"/>
                      <w:highlight w:val="none"/>
                    </w:rPr>
                  </w:pPr>
                  <w:r>
                    <w:rPr>
                      <w:b/>
                      <w:bCs/>
                      <w:color w:val="auto"/>
                      <w:sz w:val="21"/>
                      <w:szCs w:val="21"/>
                      <w:highlight w:val="none"/>
                    </w:rPr>
                    <w:t>处理措施</w:t>
                  </w:r>
                </w:p>
              </w:tc>
              <w:tc>
                <w:tcPr>
                  <w:tcW w:w="955" w:type="pct"/>
                  <w:vAlign w:val="center"/>
                </w:tcPr>
                <w:p>
                  <w:pPr>
                    <w:pStyle w:val="49"/>
                    <w:adjustRightInd w:val="0"/>
                    <w:snapToGrid w:val="0"/>
                    <w:spacing w:line="240" w:lineRule="auto"/>
                    <w:ind w:firstLine="0" w:firstLineChars="0"/>
                    <w:rPr>
                      <w:b/>
                      <w:bCs/>
                      <w:color w:val="auto"/>
                      <w:sz w:val="21"/>
                      <w:szCs w:val="21"/>
                      <w:highlight w:val="none"/>
                    </w:rPr>
                  </w:pPr>
                  <w:r>
                    <w:rPr>
                      <w:b/>
                      <w:bCs/>
                      <w:color w:val="auto"/>
                      <w:sz w:val="21"/>
                      <w:szCs w:val="21"/>
                      <w:highlight w:val="none"/>
                    </w:rPr>
                    <w:t>监测项目</w:t>
                  </w:r>
                </w:p>
              </w:tc>
              <w:tc>
                <w:tcPr>
                  <w:tcW w:w="1145" w:type="pct"/>
                  <w:vAlign w:val="center"/>
                </w:tcPr>
                <w:p>
                  <w:pPr>
                    <w:pStyle w:val="49"/>
                    <w:adjustRightInd w:val="0"/>
                    <w:snapToGrid w:val="0"/>
                    <w:spacing w:line="240" w:lineRule="auto"/>
                    <w:ind w:firstLine="0" w:firstLineChars="0"/>
                    <w:rPr>
                      <w:b/>
                      <w:bCs/>
                      <w:color w:val="auto"/>
                      <w:sz w:val="21"/>
                      <w:szCs w:val="21"/>
                      <w:highlight w:val="none"/>
                    </w:rPr>
                  </w:pPr>
                  <w:r>
                    <w:rPr>
                      <w:b/>
                      <w:bCs/>
                      <w:color w:val="auto"/>
                      <w:sz w:val="21"/>
                      <w:szCs w:val="21"/>
                      <w:highlight w:val="none"/>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vMerge w:val="restart"/>
                  <w:vAlign w:val="center"/>
                </w:tcPr>
                <w:p>
                  <w:pPr>
                    <w:pStyle w:val="34"/>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1</w:t>
                  </w:r>
                </w:p>
              </w:tc>
              <w:tc>
                <w:tcPr>
                  <w:tcW w:w="1145" w:type="pct"/>
                  <w:vMerge w:val="restart"/>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合成实验室1及南侧理化室、液相室、气相室</w:t>
                  </w:r>
                  <w:r>
                    <w:rPr>
                      <w:rFonts w:hint="eastAsia" w:cs="Times New Roman"/>
                      <w:color w:val="auto"/>
                      <w:sz w:val="21"/>
                      <w:szCs w:val="21"/>
                      <w:highlight w:val="none"/>
                      <w:shd w:val="clear" w:color="auto" w:fill="FFFFFF"/>
                    </w:rPr>
                    <w:t>废气排气筒DA001出口</w:t>
                  </w:r>
                </w:p>
              </w:tc>
              <w:tc>
                <w:tcPr>
                  <w:tcW w:w="1086" w:type="pct"/>
                  <w:vMerge w:val="restart"/>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碱喷淋+活性炭</w:t>
                  </w:r>
                </w:p>
              </w:tc>
              <w:tc>
                <w:tcPr>
                  <w:tcW w:w="955" w:type="pct"/>
                  <w:vAlign w:val="center"/>
                </w:tcPr>
                <w:p>
                  <w:pPr>
                    <w:spacing w:line="240" w:lineRule="auto"/>
                    <w:ind w:firstLine="0" w:firstLineChars="0"/>
                    <w:jc w:val="center"/>
                    <w:rPr>
                      <w:color w:val="auto"/>
                      <w:sz w:val="21"/>
                      <w:szCs w:val="21"/>
                      <w:highlight w:val="none"/>
                      <w:shd w:val="clear" w:color="auto" w:fill="FFFFFF"/>
                    </w:rPr>
                  </w:pPr>
                  <w:r>
                    <w:rPr>
                      <w:rFonts w:hint="eastAsia"/>
                      <w:color w:val="auto"/>
                      <w:sz w:val="21"/>
                      <w:szCs w:val="21"/>
                      <w:highlight w:val="none"/>
                      <w:shd w:val="clear" w:color="auto" w:fill="FFFFFF"/>
                    </w:rPr>
                    <w:t>VOCs、苯、甲苯、氯化氢、甲醇、</w:t>
                  </w:r>
                  <w:r>
                    <w:rPr>
                      <w:color w:val="auto"/>
                      <w:sz w:val="21"/>
                      <w:szCs w:val="21"/>
                      <w:highlight w:val="none"/>
                      <w:shd w:val="clear" w:color="auto" w:fill="FFFFFF"/>
                    </w:rPr>
                    <w:t>氨、臭气</w:t>
                  </w:r>
                </w:p>
              </w:tc>
              <w:tc>
                <w:tcPr>
                  <w:tcW w:w="1145" w:type="pct"/>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vAlign w:val="center"/>
                </w:tcPr>
                <w:p>
                  <w:pPr>
                    <w:pStyle w:val="34"/>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2</w:t>
                  </w:r>
                </w:p>
              </w:tc>
              <w:tc>
                <w:tcPr>
                  <w:tcW w:w="1145" w:type="pct"/>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合成实验室2、合成实验室3、氢化室</w:t>
                  </w:r>
                  <w:r>
                    <w:rPr>
                      <w:rFonts w:hint="eastAsia" w:cs="Times New Roman"/>
                      <w:color w:val="auto"/>
                      <w:sz w:val="21"/>
                      <w:szCs w:val="21"/>
                      <w:highlight w:val="none"/>
                      <w:shd w:val="clear" w:color="auto" w:fill="FFFFFF"/>
                    </w:rPr>
                    <w:t>废气排气筒DA002出口</w:t>
                  </w:r>
                </w:p>
              </w:tc>
              <w:tc>
                <w:tcPr>
                  <w:tcW w:w="1086" w:type="pct"/>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碱喷淋+活性炭</w:t>
                  </w:r>
                </w:p>
              </w:tc>
              <w:tc>
                <w:tcPr>
                  <w:tcW w:w="955" w:type="pct"/>
                  <w:vAlign w:val="center"/>
                </w:tcPr>
                <w:p>
                  <w:pPr>
                    <w:spacing w:line="240" w:lineRule="auto"/>
                    <w:ind w:firstLine="0" w:firstLineChars="0"/>
                    <w:jc w:val="center"/>
                    <w:rPr>
                      <w:color w:val="auto"/>
                      <w:sz w:val="21"/>
                      <w:szCs w:val="21"/>
                      <w:highlight w:val="none"/>
                      <w:shd w:val="clear" w:color="auto" w:fill="FFFFFF"/>
                    </w:rPr>
                  </w:pPr>
                  <w:r>
                    <w:rPr>
                      <w:rFonts w:hint="eastAsia"/>
                      <w:color w:val="auto"/>
                      <w:sz w:val="21"/>
                      <w:szCs w:val="21"/>
                      <w:highlight w:val="none"/>
                      <w:shd w:val="clear" w:color="auto" w:fill="FFFFFF"/>
                    </w:rPr>
                    <w:t>VOCs、苯、甲苯、氯化氢、甲醇、</w:t>
                  </w:r>
                  <w:r>
                    <w:rPr>
                      <w:color w:val="auto"/>
                      <w:sz w:val="21"/>
                      <w:szCs w:val="21"/>
                      <w:highlight w:val="none"/>
                      <w:shd w:val="clear" w:color="auto" w:fill="FFFFFF"/>
                    </w:rPr>
                    <w:t>氨、臭气</w:t>
                  </w:r>
                </w:p>
              </w:tc>
              <w:tc>
                <w:tcPr>
                  <w:tcW w:w="1145" w:type="pct"/>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pStyle w:val="34"/>
                    <w:spacing w:line="240" w:lineRule="auto"/>
                    <w:ind w:firstLine="0" w:firstLineChars="0"/>
                    <w:jc w:val="both"/>
                    <w:rPr>
                      <w:rFonts w:hint="eastAsia" w:cs="Times New Roman"/>
                      <w:color w:val="auto"/>
                      <w:sz w:val="21"/>
                      <w:szCs w:val="21"/>
                      <w:highlight w:val="none"/>
                      <w:shd w:val="clear" w:color="auto" w:fill="FFFFFF"/>
                      <w:lang w:eastAsia="zh-CN"/>
                    </w:rPr>
                  </w:pPr>
                  <w:r>
                    <w:rPr>
                      <w:rFonts w:hint="eastAsia" w:cs="Times New Roman"/>
                      <w:color w:val="auto"/>
                      <w:sz w:val="21"/>
                      <w:szCs w:val="21"/>
                      <w:highlight w:val="none"/>
                      <w:shd w:val="clear" w:color="auto" w:fill="FFFFFF"/>
                    </w:rPr>
                    <w:t>备注：</w:t>
                  </w:r>
                  <w:r>
                    <w:rPr>
                      <w:rFonts w:hint="eastAsia" w:cs="Times New Roman"/>
                      <w:color w:val="auto"/>
                      <w:sz w:val="21"/>
                      <w:szCs w:val="21"/>
                      <w:highlight w:val="none"/>
                      <w:shd w:val="clear" w:color="auto" w:fill="FFFFFF"/>
                      <w:lang w:eastAsia="zh-CN"/>
                    </w:rPr>
                    <w:t>因考虑安全因素</w:t>
                  </w:r>
                  <w:r>
                    <w:rPr>
                      <w:rFonts w:hint="eastAsia" w:cs="Times New Roman"/>
                      <w:color w:val="auto"/>
                      <w:sz w:val="21"/>
                      <w:szCs w:val="21"/>
                      <w:highlight w:val="none"/>
                      <w:shd w:val="clear" w:color="auto" w:fill="FFFFFF"/>
                      <w:lang w:val="en-US" w:eastAsia="zh-CN"/>
                    </w:rPr>
                    <w:t>，环保设备进口未开口，未对其</w:t>
                  </w:r>
                  <w:r>
                    <w:rPr>
                      <w:rFonts w:hint="eastAsia" w:cs="Times New Roman"/>
                      <w:color w:val="auto"/>
                      <w:sz w:val="21"/>
                      <w:szCs w:val="21"/>
                      <w:highlight w:val="none"/>
                      <w:shd w:val="clear" w:color="auto" w:fill="FFFFFF"/>
                      <w:lang w:eastAsia="zh-CN"/>
                    </w:rPr>
                    <w:t>环保设备进口进行监测；</w:t>
                  </w:r>
                </w:p>
                <w:p>
                  <w:pPr>
                    <w:pStyle w:val="34"/>
                    <w:spacing w:line="240" w:lineRule="auto"/>
                    <w:ind w:firstLine="0" w:firstLineChars="0"/>
                    <w:jc w:val="both"/>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试运行验收期间，浓硫酸暂时使用不到，故未对其检测。</w:t>
                  </w:r>
                </w:p>
              </w:tc>
            </w:tr>
          </w:tbl>
          <w:p>
            <w:pPr>
              <w:ind w:firstLine="480"/>
              <w:rPr>
                <w:color w:val="auto"/>
                <w:highlight w:val="none"/>
              </w:rPr>
            </w:pPr>
            <w:r>
              <w:rPr>
                <w:color w:val="auto"/>
                <w:highlight w:val="none"/>
              </w:rPr>
              <w:t>②监测分析方法</w:t>
            </w:r>
          </w:p>
          <w:p>
            <w:pPr>
              <w:ind w:firstLine="480"/>
              <w:jc w:val="left"/>
              <w:rPr>
                <w:color w:val="auto"/>
                <w:highlight w:val="none"/>
              </w:rPr>
            </w:pPr>
            <w:r>
              <w:rPr>
                <w:color w:val="auto"/>
                <w:highlight w:val="none"/>
              </w:rPr>
              <w:t>本项目有组织废气监测分析方法见表6-2。</w:t>
            </w:r>
          </w:p>
          <w:p>
            <w:pPr>
              <w:pStyle w:val="34"/>
              <w:ind w:firstLine="0" w:firstLineChars="0"/>
              <w:jc w:val="center"/>
              <w:rPr>
                <w:rFonts w:cs="Times New Roman"/>
                <w:b/>
                <w:bCs/>
                <w:color w:val="auto"/>
                <w:highlight w:val="none"/>
              </w:rPr>
            </w:pPr>
            <w:r>
              <w:rPr>
                <w:rFonts w:cs="Times New Roman"/>
                <w:b/>
                <w:bCs/>
                <w:color w:val="auto"/>
                <w:highlight w:val="none"/>
              </w:rPr>
              <w:t>表6-2 有组织废气监测因子分析方法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0"/>
              <w:gridCol w:w="2611"/>
              <w:gridCol w:w="2475"/>
              <w:gridCol w:w="2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20"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2611" w:type="dxa"/>
                  <w:vAlign w:val="center"/>
                </w:tcPr>
                <w:p>
                  <w:pPr>
                    <w:spacing w:line="240" w:lineRule="auto"/>
                    <w:ind w:left="-25" w:right="-53" w:firstLine="0" w:firstLineChars="0"/>
                    <w:jc w:val="center"/>
                    <w:rPr>
                      <w:b/>
                      <w:bCs/>
                      <w:color w:val="auto"/>
                      <w:sz w:val="21"/>
                      <w:szCs w:val="21"/>
                      <w:highlight w:val="none"/>
                    </w:rPr>
                  </w:pPr>
                  <w:r>
                    <w:rPr>
                      <w:b/>
                      <w:bCs/>
                      <w:color w:val="auto"/>
                      <w:sz w:val="21"/>
                      <w:szCs w:val="21"/>
                      <w:highlight w:val="none"/>
                    </w:rPr>
                    <w:t>检测方法</w:t>
                  </w:r>
                </w:p>
              </w:tc>
              <w:tc>
                <w:tcPr>
                  <w:tcW w:w="2475"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10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r>
                    <w:rPr>
                      <w:rFonts w:hint="eastAsia"/>
                      <w:b/>
                      <w:bCs/>
                      <w:color w:val="auto"/>
                      <w:sz w:val="21"/>
                      <w:szCs w:val="21"/>
                      <w:highlight w:val="none"/>
                    </w:rPr>
                    <w:t>（</w:t>
                  </w:r>
                  <w:r>
                    <w:rPr>
                      <w:b/>
                      <w:bCs/>
                      <w:color w:val="auto"/>
                      <w:sz w:val="21"/>
                      <w:szCs w:val="21"/>
                      <w:highlight w:val="none"/>
                    </w:rPr>
                    <w:t>mg/m</w:t>
                  </w:r>
                  <w:r>
                    <w:rPr>
                      <w:b/>
                      <w:bCs/>
                      <w:color w:val="auto"/>
                      <w:sz w:val="21"/>
                      <w:szCs w:val="21"/>
                      <w:highlight w:val="none"/>
                      <w:vertAlign w:val="superscript"/>
                    </w:rPr>
                    <w:t>3</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0"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VOCs（非甲烷总烃）</w:t>
                  </w:r>
                </w:p>
              </w:tc>
              <w:tc>
                <w:tcPr>
                  <w:tcW w:w="2611"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气相色谱法</w:t>
                  </w:r>
                </w:p>
              </w:tc>
              <w:tc>
                <w:tcPr>
                  <w:tcW w:w="2475"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HJ 38-2017</w:t>
                  </w:r>
                </w:p>
              </w:tc>
              <w:tc>
                <w:tcPr>
                  <w:tcW w:w="2108"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20"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氯化氢</w:t>
                  </w:r>
                </w:p>
              </w:tc>
              <w:tc>
                <w:tcPr>
                  <w:tcW w:w="2611"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硝酸银容量法</w:t>
                  </w:r>
                </w:p>
              </w:tc>
              <w:tc>
                <w:tcPr>
                  <w:tcW w:w="2475"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HJ 548-2016</w:t>
                  </w:r>
                </w:p>
              </w:tc>
              <w:tc>
                <w:tcPr>
                  <w:tcW w:w="2108"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20"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氨</w:t>
                  </w:r>
                </w:p>
              </w:tc>
              <w:tc>
                <w:tcPr>
                  <w:tcW w:w="2611"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纳氏试剂分光光度法</w:t>
                  </w:r>
                </w:p>
              </w:tc>
              <w:tc>
                <w:tcPr>
                  <w:tcW w:w="2475"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HJ533-2009</w:t>
                  </w:r>
                </w:p>
              </w:tc>
              <w:tc>
                <w:tcPr>
                  <w:tcW w:w="2108"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20"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苯、甲苯</w:t>
                  </w:r>
                </w:p>
              </w:tc>
              <w:tc>
                <w:tcPr>
                  <w:tcW w:w="2611"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气相色谱法</w:t>
                  </w:r>
                </w:p>
              </w:tc>
              <w:tc>
                <w:tcPr>
                  <w:tcW w:w="2475"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HJ 584-2010</w:t>
                  </w:r>
                </w:p>
              </w:tc>
              <w:tc>
                <w:tcPr>
                  <w:tcW w:w="2108"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1.5×10</w:t>
                  </w:r>
                  <w:r>
                    <w:rPr>
                      <w:rFonts w:cs="Times New Roman"/>
                      <w:color w:val="auto"/>
                      <w:sz w:val="21"/>
                      <w:szCs w:val="21"/>
                      <w:highlight w:val="none"/>
                      <w:shd w:val="clear" w:color="auto" w:fill="FFFFFF"/>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甲醇</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气相色谱法</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HJ/T 33-1999</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臭气浓度</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三点式比较臭袋法</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GB/T 14675-1993</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w:t>
                  </w:r>
                </w:p>
              </w:tc>
            </w:tr>
          </w:tbl>
          <w:p>
            <w:pPr>
              <w:ind w:firstLine="480"/>
              <w:rPr>
                <w:color w:val="auto"/>
                <w:highlight w:val="none"/>
              </w:rPr>
            </w:pPr>
            <w:r>
              <w:rPr>
                <w:color w:val="auto"/>
                <w:highlight w:val="none"/>
              </w:rPr>
              <w:t>（2）厂界无组织废气检测</w:t>
            </w:r>
          </w:p>
          <w:p>
            <w:pPr>
              <w:ind w:firstLine="480"/>
              <w:rPr>
                <w:color w:val="auto"/>
                <w:highlight w:val="none"/>
              </w:rPr>
            </w:pPr>
            <w:r>
              <w:rPr>
                <w:color w:val="auto"/>
                <w:highlight w:val="none"/>
              </w:rPr>
              <w:t>①检测因子、点位和频次</w:t>
            </w:r>
          </w:p>
          <w:p>
            <w:pPr>
              <w:ind w:firstLine="480"/>
              <w:jc w:val="left"/>
              <w:rPr>
                <w:color w:val="auto"/>
                <w:highlight w:val="none"/>
              </w:rPr>
            </w:pPr>
            <w:r>
              <w:rPr>
                <w:color w:val="auto"/>
                <w:highlight w:val="none"/>
              </w:rPr>
              <w:t>本项目考虑污染物产生源和平面布置图，本项目在上风向设置1个检测点位，下风向设置3个检测点位，厂房门窗或通风口外设置1个检测点位</w:t>
            </w:r>
            <w:r>
              <w:rPr>
                <w:rFonts w:hint="eastAsia"/>
                <w:color w:val="auto"/>
                <w:highlight w:val="none"/>
              </w:rPr>
              <w:t>，</w:t>
            </w:r>
            <w:r>
              <w:rPr>
                <w:color w:val="auto"/>
                <w:highlight w:val="none"/>
              </w:rPr>
              <w:t>共</w:t>
            </w:r>
            <w:r>
              <w:rPr>
                <w:rFonts w:hint="eastAsia"/>
                <w:color w:val="auto"/>
                <w:highlight w:val="none"/>
              </w:rPr>
              <w:t>五</w:t>
            </w:r>
            <w:r>
              <w:rPr>
                <w:color w:val="auto"/>
                <w:highlight w:val="none"/>
              </w:rPr>
              <w:t>个检测点位。本项目无组织废气检测点位和频次见表6-3。无组织废气监测点位图见下图6-1。</w:t>
            </w:r>
          </w:p>
          <w:p>
            <w:pPr>
              <w:pStyle w:val="34"/>
              <w:ind w:firstLine="0" w:firstLineChars="0"/>
              <w:jc w:val="center"/>
              <w:rPr>
                <w:rFonts w:cs="Times New Roman"/>
                <w:b/>
                <w:bCs/>
                <w:color w:val="auto"/>
                <w:highlight w:val="none"/>
              </w:rPr>
            </w:pPr>
            <w:r>
              <w:rPr>
                <w:rFonts w:cs="Times New Roman"/>
                <w:b/>
                <w:bCs/>
                <w:color w:val="auto"/>
                <w:highlight w:val="none"/>
              </w:rPr>
              <w:t>表6-3  无组织废气检测内容、频次一览表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3"/>
              <w:gridCol w:w="2444"/>
              <w:gridCol w:w="1829"/>
              <w:gridCol w:w="2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58"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1371"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检测点位</w:t>
                  </w:r>
                </w:p>
              </w:tc>
              <w:tc>
                <w:tcPr>
                  <w:tcW w:w="1026"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频次</w:t>
                  </w:r>
                </w:p>
              </w:tc>
              <w:tc>
                <w:tcPr>
                  <w:tcW w:w="1343"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vAlign w:val="center"/>
                </w:tcPr>
                <w:p>
                  <w:pPr>
                    <w:pStyle w:val="34"/>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shd w:val="clear" w:color="auto" w:fill="FFFFFF"/>
                    </w:rPr>
                    <w:t>VOCs、苯、甲苯、氯化氢、甲醇</w:t>
                  </w:r>
                </w:p>
              </w:tc>
              <w:tc>
                <w:tcPr>
                  <w:tcW w:w="1371" w:type="pct"/>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上风向设置1个检测点，下风向设置3个检测点</w:t>
                  </w:r>
                </w:p>
              </w:tc>
              <w:tc>
                <w:tcPr>
                  <w:tcW w:w="1026"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w:t>
                  </w:r>
                  <w:r>
                    <w:rPr>
                      <w:color w:val="auto"/>
                      <w:sz w:val="21"/>
                      <w:szCs w:val="21"/>
                      <w:highlight w:val="none"/>
                    </w:rPr>
                    <w:t>次/天，共2天</w:t>
                  </w:r>
                </w:p>
              </w:tc>
              <w:tc>
                <w:tcPr>
                  <w:tcW w:w="1343" w:type="pct"/>
                  <w:vAlign w:val="center"/>
                </w:tcPr>
                <w:p>
                  <w:pPr>
                    <w:spacing w:line="240" w:lineRule="auto"/>
                    <w:ind w:firstLine="0" w:firstLineChars="0"/>
                    <w:jc w:val="center"/>
                    <w:rPr>
                      <w:color w:val="auto"/>
                      <w:sz w:val="21"/>
                      <w:szCs w:val="21"/>
                      <w:highlight w:val="none"/>
                    </w:rPr>
                  </w:pPr>
                  <w:r>
                    <w:rPr>
                      <w:color w:val="auto"/>
                      <w:sz w:val="21"/>
                      <w:szCs w:val="21"/>
                      <w:highlight w:val="none"/>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58" w:type="pct"/>
                  <w:vAlign w:val="center"/>
                </w:tcPr>
                <w:p>
                  <w:pPr>
                    <w:pStyle w:val="34"/>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shd w:val="clear" w:color="auto" w:fill="FFFFFF"/>
                    </w:rPr>
                    <w:t>氨</w:t>
                  </w:r>
                  <w:r>
                    <w:rPr>
                      <w:rFonts w:cs="Times New Roman"/>
                      <w:color w:val="auto"/>
                      <w:sz w:val="21"/>
                      <w:szCs w:val="21"/>
                      <w:highlight w:val="none"/>
                      <w:shd w:val="clear" w:color="auto" w:fill="FFFFFF"/>
                    </w:rPr>
                    <w:t>、臭气</w:t>
                  </w:r>
                </w:p>
              </w:tc>
              <w:tc>
                <w:tcPr>
                  <w:tcW w:w="1371" w:type="pct"/>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上风向设置1个检测点，下风向设置3个检测点</w:t>
                  </w:r>
                </w:p>
              </w:tc>
              <w:tc>
                <w:tcPr>
                  <w:tcW w:w="1026" w:type="pct"/>
                  <w:vAlign w:val="center"/>
                </w:tcPr>
                <w:p>
                  <w:pPr>
                    <w:widowControl/>
                    <w:spacing w:line="240" w:lineRule="auto"/>
                    <w:ind w:firstLine="0" w:firstLineChars="0"/>
                    <w:jc w:val="left"/>
                    <w:rPr>
                      <w:color w:val="auto"/>
                      <w:sz w:val="21"/>
                      <w:szCs w:val="21"/>
                      <w:highlight w:val="none"/>
                    </w:rPr>
                  </w:pPr>
                  <w:r>
                    <w:rPr>
                      <w:rFonts w:hint="eastAsia"/>
                      <w:color w:val="auto"/>
                      <w:sz w:val="21"/>
                      <w:szCs w:val="21"/>
                      <w:highlight w:val="none"/>
                    </w:rPr>
                    <w:t>4</w:t>
                  </w:r>
                  <w:r>
                    <w:rPr>
                      <w:color w:val="auto"/>
                      <w:sz w:val="21"/>
                      <w:szCs w:val="21"/>
                      <w:highlight w:val="none"/>
                    </w:rPr>
                    <w:t>次/天，共2天</w:t>
                  </w:r>
                </w:p>
              </w:tc>
              <w:tc>
                <w:tcPr>
                  <w:tcW w:w="1343" w:type="pct"/>
                  <w:vAlign w:val="center"/>
                </w:tcPr>
                <w:p>
                  <w:pPr>
                    <w:spacing w:line="240" w:lineRule="auto"/>
                    <w:ind w:firstLine="0" w:firstLineChars="0"/>
                    <w:jc w:val="center"/>
                    <w:rPr>
                      <w:color w:val="auto"/>
                      <w:sz w:val="21"/>
                      <w:szCs w:val="21"/>
                      <w:highlight w:val="none"/>
                    </w:rPr>
                  </w:pPr>
                  <w:r>
                    <w:rPr>
                      <w:color w:val="auto"/>
                      <w:sz w:val="21"/>
                      <w:szCs w:val="21"/>
                      <w:highlight w:val="none"/>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58" w:type="pct"/>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NMHC</w:t>
                  </w:r>
                </w:p>
              </w:tc>
              <w:tc>
                <w:tcPr>
                  <w:tcW w:w="1371" w:type="pct"/>
                  <w:vAlign w:val="center"/>
                </w:tcPr>
                <w:p>
                  <w:pPr>
                    <w:pStyle w:val="34"/>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厂房门窗或通风口外 1m</w:t>
                  </w:r>
                </w:p>
              </w:tc>
              <w:tc>
                <w:tcPr>
                  <w:tcW w:w="1026"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w:t>
                  </w:r>
                  <w:r>
                    <w:rPr>
                      <w:color w:val="auto"/>
                      <w:sz w:val="21"/>
                      <w:szCs w:val="21"/>
                      <w:highlight w:val="none"/>
                    </w:rPr>
                    <w:t>次/天，共2天</w:t>
                  </w:r>
                </w:p>
              </w:tc>
              <w:tc>
                <w:tcPr>
                  <w:tcW w:w="1343" w:type="pct"/>
                  <w:vAlign w:val="center"/>
                </w:tcPr>
                <w:p>
                  <w:pPr>
                    <w:spacing w:line="240" w:lineRule="auto"/>
                    <w:ind w:firstLine="0" w:firstLineChars="0"/>
                    <w:jc w:val="center"/>
                    <w:rPr>
                      <w:color w:val="auto"/>
                      <w:sz w:val="21"/>
                      <w:szCs w:val="21"/>
                      <w:highlight w:val="none"/>
                    </w:rPr>
                  </w:pPr>
                  <w:r>
                    <w:rPr>
                      <w:color w:val="auto"/>
                      <w:sz w:val="21"/>
                      <w:szCs w:val="21"/>
                      <w:highlight w:val="none"/>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4"/>
                  <w:vAlign w:val="center"/>
                </w:tcPr>
                <w:p>
                  <w:pPr>
                    <w:spacing w:line="240" w:lineRule="auto"/>
                    <w:ind w:firstLine="0" w:firstLineChars="0"/>
                    <w:rPr>
                      <w:color w:val="auto"/>
                      <w:sz w:val="21"/>
                      <w:szCs w:val="21"/>
                      <w:highlight w:val="none"/>
                    </w:rPr>
                  </w:pPr>
                  <w:r>
                    <w:rPr>
                      <w:rFonts w:hint="eastAsia"/>
                      <w:color w:val="auto"/>
                      <w:sz w:val="21"/>
                      <w:szCs w:val="21"/>
                      <w:highlight w:val="none"/>
                    </w:rPr>
                    <w:t>备注：</w:t>
                  </w:r>
                  <w:r>
                    <w:rPr>
                      <w:rFonts w:hint="eastAsia"/>
                      <w:color w:val="auto"/>
                      <w:sz w:val="21"/>
                      <w:szCs w:val="21"/>
                      <w:highlight w:val="none"/>
                      <w:lang w:eastAsia="zh-CN" w:bidi="ar"/>
                    </w:rPr>
                    <w:t>试运行验收期间，浓硫酸暂时使用不到，故未对其检测。</w:t>
                  </w:r>
                  <w:r>
                    <w:rPr>
                      <w:rFonts w:hint="eastAsia"/>
                      <w:color w:val="auto"/>
                      <w:sz w:val="21"/>
                      <w:szCs w:val="21"/>
                      <w:highlight w:val="none"/>
                      <w:lang w:bidi="ar"/>
                    </w:rPr>
                    <w:t>。</w:t>
                  </w:r>
                </w:p>
              </w:tc>
            </w:tr>
          </w:tbl>
          <w:p>
            <w:pPr>
              <w:ind w:firstLine="480"/>
              <w:rPr>
                <w:color w:val="auto"/>
                <w:highlight w:val="none"/>
              </w:rPr>
            </w:pPr>
            <w:r>
              <w:rPr>
                <w:color w:val="auto"/>
                <w:highlight w:val="none"/>
              </w:rPr>
              <w:t>②检测分析方法</w:t>
            </w:r>
          </w:p>
          <w:p>
            <w:pPr>
              <w:pStyle w:val="34"/>
              <w:jc w:val="both"/>
              <w:rPr>
                <w:rFonts w:cs="Times New Roman"/>
                <w:color w:val="auto"/>
                <w:szCs w:val="24"/>
                <w:highlight w:val="none"/>
              </w:rPr>
            </w:pPr>
            <w:r>
              <w:rPr>
                <w:rFonts w:cs="Times New Roman"/>
                <w:color w:val="auto"/>
                <w:szCs w:val="24"/>
                <w:highlight w:val="none"/>
              </w:rPr>
              <w:t>本项目无组织废气检测分析方法见表6-4。</w:t>
            </w:r>
          </w:p>
          <w:p>
            <w:pPr>
              <w:pStyle w:val="34"/>
              <w:ind w:firstLine="0" w:firstLineChars="0"/>
              <w:jc w:val="center"/>
              <w:rPr>
                <w:rFonts w:cs="Times New Roman"/>
                <w:color w:val="auto"/>
                <w:highlight w:val="none"/>
              </w:rPr>
            </w:pPr>
            <w:r>
              <w:rPr>
                <w:rFonts w:cs="Times New Roman"/>
                <w:b/>
                <w:bCs/>
                <w:color w:val="auto"/>
                <w:highlight w:val="none"/>
              </w:rPr>
              <w:t>表6-4  无组织废气监测因子分析方法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56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2895" w:type="dxa"/>
                  <w:vAlign w:val="center"/>
                </w:tcPr>
                <w:p>
                  <w:pPr>
                    <w:spacing w:line="240" w:lineRule="auto"/>
                    <w:ind w:left="-25" w:right="-53" w:firstLine="0" w:firstLineChars="0"/>
                    <w:jc w:val="center"/>
                    <w:rPr>
                      <w:b/>
                      <w:bCs/>
                      <w:color w:val="auto"/>
                      <w:sz w:val="21"/>
                      <w:szCs w:val="21"/>
                      <w:highlight w:val="none"/>
                    </w:rPr>
                  </w:pPr>
                  <w:r>
                    <w:rPr>
                      <w:b/>
                      <w:bCs/>
                      <w:color w:val="auto"/>
                      <w:sz w:val="21"/>
                      <w:szCs w:val="21"/>
                      <w:highlight w:val="none"/>
                    </w:rPr>
                    <w:t>检测方法</w:t>
                  </w:r>
                </w:p>
              </w:tc>
              <w:tc>
                <w:tcPr>
                  <w:tcW w:w="2595"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1856"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r>
                    <w:rPr>
                      <w:rFonts w:hint="eastAsia"/>
                      <w:b/>
                      <w:bCs/>
                      <w:color w:val="auto"/>
                      <w:sz w:val="21"/>
                      <w:szCs w:val="21"/>
                      <w:highlight w:val="none"/>
                    </w:rPr>
                    <w:t>（</w:t>
                  </w:r>
                  <w:r>
                    <w:rPr>
                      <w:b/>
                      <w:bCs/>
                      <w:color w:val="auto"/>
                      <w:sz w:val="21"/>
                      <w:szCs w:val="21"/>
                      <w:highlight w:val="none"/>
                    </w:rPr>
                    <w:t>mg/m</w:t>
                  </w:r>
                  <w:r>
                    <w:rPr>
                      <w:b/>
                      <w:bCs/>
                      <w:color w:val="auto"/>
                      <w:sz w:val="21"/>
                      <w:szCs w:val="21"/>
                      <w:highlight w:val="none"/>
                      <w:vertAlign w:val="superscript"/>
                    </w:rPr>
                    <w:t>3</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VOCs（非甲烷总烃）</w:t>
                  </w:r>
                </w:p>
              </w:tc>
              <w:tc>
                <w:tcPr>
                  <w:tcW w:w="2895" w:type="dxa"/>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气相色谱法</w:t>
                  </w:r>
                </w:p>
              </w:tc>
              <w:tc>
                <w:tcPr>
                  <w:tcW w:w="2595" w:type="dxa"/>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HJ 604-2017</w:t>
                  </w:r>
                </w:p>
              </w:tc>
              <w:tc>
                <w:tcPr>
                  <w:tcW w:w="1856"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568" w:type="dxa"/>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氯化氢</w:t>
                  </w:r>
                </w:p>
              </w:tc>
              <w:tc>
                <w:tcPr>
                  <w:tcW w:w="2895" w:type="dxa"/>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硫氰酸汞分光光度法</w:t>
                  </w:r>
                </w:p>
              </w:tc>
              <w:tc>
                <w:tcPr>
                  <w:tcW w:w="2595" w:type="dxa"/>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HJ/T 27-1999</w:t>
                  </w:r>
                </w:p>
              </w:tc>
              <w:tc>
                <w:tcPr>
                  <w:tcW w:w="1856"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 xml:space="preserve">0.05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568" w:type="dxa"/>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甲苯</w:t>
                  </w:r>
                </w:p>
              </w:tc>
              <w:tc>
                <w:tcPr>
                  <w:tcW w:w="2895" w:type="dxa"/>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气相色谱法</w:t>
                  </w:r>
                </w:p>
              </w:tc>
              <w:tc>
                <w:tcPr>
                  <w:tcW w:w="2595" w:type="dxa"/>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HJ 584-2010</w:t>
                  </w:r>
                </w:p>
              </w:tc>
              <w:tc>
                <w:tcPr>
                  <w:tcW w:w="1856"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1.5×10</w:t>
                  </w:r>
                  <w:r>
                    <w:rPr>
                      <w:rFonts w:cs="Times New Roman"/>
                      <w:color w:val="auto"/>
                      <w:sz w:val="21"/>
                      <w:szCs w:val="21"/>
                      <w:highlight w:val="none"/>
                      <w:shd w:val="clear" w:color="auto" w:fill="FFFFFF"/>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568" w:type="dxa"/>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氨</w:t>
                  </w:r>
                </w:p>
              </w:tc>
              <w:tc>
                <w:tcPr>
                  <w:tcW w:w="2895" w:type="dxa"/>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水杨酸分光光度法</w:t>
                  </w:r>
                </w:p>
              </w:tc>
              <w:tc>
                <w:tcPr>
                  <w:tcW w:w="2595" w:type="dxa"/>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HJ534-2009</w:t>
                  </w:r>
                </w:p>
              </w:tc>
              <w:tc>
                <w:tcPr>
                  <w:tcW w:w="1856" w:type="dxa"/>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甲醇</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气相色谱法</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HJ/T 33-1999</w:t>
                  </w:r>
                </w:p>
              </w:tc>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臭气</w:t>
                  </w:r>
                </w:p>
              </w:tc>
              <w:tc>
                <w:tcPr>
                  <w:tcW w:w="2895" w:type="dxa"/>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三点式比较臭袋法</w:t>
                  </w:r>
                </w:p>
              </w:tc>
              <w:tc>
                <w:tcPr>
                  <w:tcW w:w="2595" w:type="dxa"/>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GB/T 14675-1993</w:t>
                  </w:r>
                </w:p>
              </w:tc>
              <w:tc>
                <w:tcPr>
                  <w:tcW w:w="1856" w:type="dxa"/>
                  <w:vAlign w:val="center"/>
                </w:tcPr>
                <w:p>
                  <w:pPr>
                    <w:pStyle w:val="34"/>
                    <w:spacing w:line="240" w:lineRule="auto"/>
                    <w:ind w:firstLine="0" w:firstLineChars="0"/>
                    <w:jc w:val="center"/>
                    <w:rPr>
                      <w:rFonts w:cs="Times New Roman"/>
                      <w:color w:val="auto"/>
                      <w:sz w:val="21"/>
                      <w:szCs w:val="21"/>
                      <w:highlight w:val="none"/>
                      <w:shd w:val="clear" w:color="auto" w:fill="FFFFFF"/>
                      <w:lang w:bidi="ar"/>
                    </w:rPr>
                  </w:pPr>
                  <w:r>
                    <w:rPr>
                      <w:rFonts w:hint="eastAsia" w:cs="Times New Roman"/>
                      <w:color w:val="auto"/>
                      <w:sz w:val="21"/>
                      <w:szCs w:val="21"/>
                      <w:highlight w:val="none"/>
                      <w:shd w:val="clear" w:color="auto" w:fill="FFFFFF"/>
                    </w:rPr>
                    <w:t>/</w:t>
                  </w:r>
                </w:p>
              </w:tc>
            </w:tr>
          </w:tbl>
          <w:p>
            <w:pPr>
              <w:pStyle w:val="34"/>
              <w:jc w:val="both"/>
              <w:rPr>
                <w:rFonts w:cs="Times New Roman"/>
                <w:color w:val="auto"/>
                <w:highlight w:val="none"/>
              </w:rPr>
            </w:pPr>
            <w:r>
              <w:rPr>
                <w:rFonts w:cs="Times New Roman"/>
                <w:color w:val="auto"/>
                <w:szCs w:val="24"/>
                <w:highlight w:val="none"/>
              </w:rPr>
              <w:t>无组织点位布置图如下：</w:t>
            </w:r>
          </w:p>
          <w:p>
            <w:pPr>
              <w:tabs>
                <w:tab w:val="left" w:pos="2565"/>
                <w:tab w:val="center" w:pos="4812"/>
              </w:tabs>
              <w:ind w:firstLine="0" w:firstLineChars="0"/>
              <w:jc w:val="center"/>
              <w:rPr>
                <w:color w:val="auto"/>
                <w:highlight w:val="none"/>
              </w:rPr>
            </w:pPr>
            <w:r>
              <w:rPr>
                <w:color w:val="auto"/>
                <w:highlight w:val="none"/>
              </w:rPr>
              <w:pict>
                <v:shape id="_x0000_i1029" o:spt="75" type="#_x0000_t75" style="height:368pt;width:443pt;" filled="f" o:preferrelative="t" stroked="f" coordsize="21600,21600">
                  <v:path/>
                  <v:fill on="f" focussize="0,0"/>
                  <v:stroke on="f" joinstyle="miter"/>
                  <v:imagedata r:id="rId13" o:title=""/>
                  <o:lock v:ext="edit" aspectratio="t"/>
                  <w10:wrap type="none"/>
                  <w10:anchorlock/>
                </v:shape>
              </w:pict>
            </w:r>
          </w:p>
          <w:p>
            <w:pPr>
              <w:tabs>
                <w:tab w:val="left" w:pos="2565"/>
                <w:tab w:val="center" w:pos="4812"/>
              </w:tabs>
              <w:ind w:firstLine="482"/>
              <w:jc w:val="center"/>
              <w:rPr>
                <w:color w:val="auto"/>
                <w:highlight w:val="none"/>
              </w:rPr>
            </w:pPr>
            <w:r>
              <w:rPr>
                <w:b/>
                <w:bCs/>
                <w:color w:val="auto"/>
                <w:highlight w:val="none"/>
              </w:rPr>
              <w:pict>
                <v:shape id="文本框 47" o:spid="_x0000_s1077" o:spt="202" type="#_x0000_t202" style="position:absolute;left:0pt;margin-left:421.4pt;margin-top:11.6pt;height:20.5pt;width:25.95pt;z-index:251660288;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b/>
                            <w:bCs/>
                          </w:rPr>
                        </w:pPr>
                        <w:r>
                          <w:rPr>
                            <w:rFonts w:hint="eastAsia"/>
                            <w:b/>
                            <w:bCs/>
                          </w:rPr>
                          <w:t>N</w:t>
                        </w:r>
                      </w:p>
                    </w:txbxContent>
                  </v:textbox>
                </v:shape>
              </w:pict>
            </w:r>
            <w:r>
              <w:rPr>
                <w:b/>
                <w:bCs/>
                <w:color w:val="auto"/>
                <w:highlight w:val="none"/>
              </w:rPr>
              <w:t>图6-1 无组织检测点位</w:t>
            </w:r>
          </w:p>
          <w:p>
            <w:pPr>
              <w:ind w:firstLine="482"/>
              <w:rPr>
                <w:b/>
                <w:bCs/>
                <w:color w:val="auto"/>
                <w:highlight w:val="none"/>
              </w:rPr>
            </w:pPr>
            <w:r>
              <w:rPr>
                <w:b/>
                <w:bCs/>
                <w:color w:val="auto"/>
                <w:highlight w:val="none"/>
              </w:rPr>
              <w:t>2、废水检测</w:t>
            </w:r>
          </w:p>
          <w:p>
            <w:pPr>
              <w:ind w:firstLine="480"/>
              <w:rPr>
                <w:color w:val="auto"/>
                <w:highlight w:val="none"/>
              </w:rPr>
            </w:pPr>
            <w:r>
              <w:rPr>
                <w:color w:val="auto"/>
                <w:highlight w:val="none"/>
              </w:rPr>
              <w:t>（1）废水检测点位和频次</w:t>
            </w:r>
          </w:p>
          <w:p>
            <w:pPr>
              <w:ind w:firstLine="480"/>
              <w:rPr>
                <w:color w:val="auto"/>
                <w:highlight w:val="none"/>
              </w:rPr>
            </w:pPr>
            <w:r>
              <w:rPr>
                <w:color w:val="auto"/>
                <w:highlight w:val="none"/>
              </w:rPr>
              <w:t>本次废水监测银丰国际生物城污水处理站进、出口。</w:t>
            </w:r>
          </w:p>
          <w:p>
            <w:pPr>
              <w:pStyle w:val="31"/>
              <w:jc w:val="center"/>
              <w:rPr>
                <w:rFonts w:ascii="Times New Roman" w:hAnsi="Times New Roman"/>
                <w:b/>
                <w:bCs/>
                <w:color w:val="auto"/>
                <w:highlight w:val="none"/>
              </w:rPr>
            </w:pPr>
            <w:r>
              <w:rPr>
                <w:rFonts w:ascii="Times New Roman" w:hAnsi="Times New Roman"/>
                <w:b/>
                <w:bCs/>
                <w:color w:val="auto"/>
                <w:highlight w:val="none"/>
              </w:rPr>
              <w:t>表6-5  废水监测情况一览表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8"/>
              <w:gridCol w:w="2788"/>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监测点位</w:t>
                  </w:r>
                </w:p>
              </w:tc>
              <w:tc>
                <w:tcPr>
                  <w:tcW w:w="1194"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污染物</w:t>
                  </w:r>
                </w:p>
              </w:tc>
              <w:tc>
                <w:tcPr>
                  <w:tcW w:w="1564"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监测项目</w:t>
                  </w:r>
                </w:p>
              </w:tc>
              <w:tc>
                <w:tcPr>
                  <w:tcW w:w="1252"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银丰国际生物城污水处理站进口</w:t>
                  </w:r>
                </w:p>
              </w:tc>
              <w:tc>
                <w:tcPr>
                  <w:tcW w:w="1194" w:type="pct"/>
                  <w:vMerge w:val="restart"/>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生活污水、实验后器皿两次清洗后清洗废水、环保设备排污水、地面清洁废水</w:t>
                  </w:r>
                </w:p>
              </w:tc>
              <w:tc>
                <w:tcPr>
                  <w:tcW w:w="1564" w:type="pct"/>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氨氮、化学需氧量</w:t>
                  </w:r>
                </w:p>
              </w:tc>
              <w:tc>
                <w:tcPr>
                  <w:tcW w:w="1252" w:type="pct"/>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监测</w:t>
                  </w:r>
                  <w:r>
                    <w:rPr>
                      <w:rFonts w:hint="eastAsia" w:cs="Times New Roman"/>
                      <w:color w:val="auto"/>
                      <w:sz w:val="21"/>
                      <w:szCs w:val="21"/>
                      <w:highlight w:val="none"/>
                      <w:shd w:val="clear" w:color="auto" w:fill="FFFFFF"/>
                      <w:lang w:val="en-US" w:eastAsia="zh-CN" w:bidi="ar"/>
                    </w:rPr>
                    <w:t>1</w:t>
                  </w:r>
                  <w:r>
                    <w:rPr>
                      <w:rFonts w:cs="Times New Roman"/>
                      <w:color w:val="auto"/>
                      <w:sz w:val="21"/>
                      <w:szCs w:val="21"/>
                      <w:highlight w:val="none"/>
                      <w:shd w:val="clear" w:color="auto" w:fill="FFFFFF"/>
                      <w:lang w:bidi="ar"/>
                    </w:rPr>
                    <w:t>天，每天采样</w:t>
                  </w:r>
                  <w:r>
                    <w:rPr>
                      <w:rFonts w:hint="eastAsia" w:cs="Times New Roman"/>
                      <w:color w:val="auto"/>
                      <w:sz w:val="21"/>
                      <w:szCs w:val="21"/>
                      <w:highlight w:val="none"/>
                      <w:shd w:val="clear" w:color="auto" w:fill="FFFFFF"/>
                      <w:lang w:val="en-US" w:eastAsia="zh-CN" w:bidi="ar"/>
                    </w:rPr>
                    <w:t>1</w:t>
                  </w:r>
                  <w:r>
                    <w:rPr>
                      <w:rFonts w:cs="Times New Roman"/>
                      <w:color w:val="auto"/>
                      <w:sz w:val="21"/>
                      <w:szCs w:val="21"/>
                      <w:highlight w:val="none"/>
                      <w:shd w:val="clear" w:color="auto" w:fill="FFFFFF"/>
                      <w:lang w:bidi="ar"/>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银丰国际生物城污水处理站出口</w:t>
                  </w:r>
                </w:p>
              </w:tc>
              <w:tc>
                <w:tcPr>
                  <w:tcW w:w="1194" w:type="pct"/>
                  <w:vMerge w:val="continue"/>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p>
              </w:tc>
              <w:tc>
                <w:tcPr>
                  <w:tcW w:w="1564" w:type="pct"/>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pH值、氨氮、悬浮物、总磷、化学需氧量、生化需氧量、溶解性总固体</w:t>
                  </w:r>
                </w:p>
              </w:tc>
              <w:tc>
                <w:tcPr>
                  <w:tcW w:w="1252" w:type="pct"/>
                  <w:vAlign w:val="center"/>
                </w:tcPr>
                <w:p>
                  <w:pPr>
                    <w:pStyle w:val="34"/>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监测2天，每天采样4次</w:t>
                  </w:r>
                </w:p>
              </w:tc>
            </w:tr>
          </w:tbl>
          <w:p>
            <w:pPr>
              <w:ind w:firstLine="480"/>
              <w:rPr>
                <w:color w:val="auto"/>
                <w:highlight w:val="none"/>
              </w:rPr>
            </w:pPr>
            <w:r>
              <w:rPr>
                <w:color w:val="auto"/>
                <w:highlight w:val="none"/>
              </w:rPr>
              <w:t>（2）检测分析方法</w:t>
            </w:r>
          </w:p>
          <w:p>
            <w:pPr>
              <w:pStyle w:val="31"/>
              <w:ind w:left="480" w:leftChars="200"/>
              <w:jc w:val="center"/>
              <w:rPr>
                <w:rFonts w:ascii="Times New Roman" w:hAnsi="Times New Roman"/>
                <w:b/>
                <w:bCs/>
                <w:color w:val="auto"/>
                <w:highlight w:val="none"/>
              </w:rPr>
            </w:pPr>
            <w:r>
              <w:rPr>
                <w:rFonts w:ascii="Times New Roman" w:hAnsi="Times New Roman"/>
                <w:b/>
                <w:bCs/>
                <w:color w:val="auto"/>
                <w:highlight w:val="none"/>
              </w:rPr>
              <w:t>表6-6 废水监测分析方法</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vAlign w:val="center"/>
                </w:tcPr>
                <w:p>
                  <w:pPr>
                    <w:pStyle w:val="50"/>
                    <w:rPr>
                      <w:b/>
                      <w:bCs/>
                      <w:color w:val="auto"/>
                      <w:highlight w:val="none"/>
                    </w:rPr>
                  </w:pPr>
                  <w:r>
                    <w:rPr>
                      <w:b/>
                      <w:bCs/>
                      <w:color w:val="auto"/>
                      <w:highlight w:val="none"/>
                    </w:rPr>
                    <w:t>监测项目</w:t>
                  </w:r>
                </w:p>
              </w:tc>
              <w:tc>
                <w:tcPr>
                  <w:tcW w:w="1592" w:type="pct"/>
                  <w:vAlign w:val="center"/>
                </w:tcPr>
                <w:p>
                  <w:pPr>
                    <w:pStyle w:val="50"/>
                    <w:rPr>
                      <w:b/>
                      <w:bCs/>
                      <w:color w:val="auto"/>
                      <w:highlight w:val="none"/>
                    </w:rPr>
                  </w:pPr>
                  <w:r>
                    <w:rPr>
                      <w:b/>
                      <w:bCs/>
                      <w:color w:val="auto"/>
                      <w:highlight w:val="none"/>
                    </w:rPr>
                    <w:t>检测方法</w:t>
                  </w:r>
                </w:p>
              </w:tc>
              <w:tc>
                <w:tcPr>
                  <w:tcW w:w="1158" w:type="pct"/>
                  <w:vAlign w:val="center"/>
                </w:tcPr>
                <w:p>
                  <w:pPr>
                    <w:pStyle w:val="50"/>
                    <w:rPr>
                      <w:b/>
                      <w:bCs/>
                      <w:color w:val="auto"/>
                      <w:highlight w:val="none"/>
                    </w:rPr>
                  </w:pPr>
                  <w:r>
                    <w:rPr>
                      <w:b/>
                      <w:bCs/>
                      <w:color w:val="auto"/>
                      <w:highlight w:val="none"/>
                    </w:rPr>
                    <w:t>方法依据</w:t>
                  </w:r>
                </w:p>
              </w:tc>
              <w:tc>
                <w:tcPr>
                  <w:tcW w:w="1052" w:type="pct"/>
                  <w:vAlign w:val="center"/>
                </w:tcPr>
                <w:p>
                  <w:pPr>
                    <w:pStyle w:val="50"/>
                    <w:rPr>
                      <w:b/>
                      <w:bCs/>
                      <w:color w:val="auto"/>
                      <w:highlight w:val="none"/>
                    </w:rPr>
                  </w:pPr>
                  <w:r>
                    <w:rPr>
                      <w:b/>
                      <w:bCs/>
                      <w:color w:val="auto"/>
                      <w:highlight w:val="none"/>
                    </w:rPr>
                    <w:t>检出限</w:t>
                  </w:r>
                  <w:r>
                    <w:rPr>
                      <w:rFonts w:hint="eastAsia"/>
                      <w:b/>
                      <w:bCs/>
                      <w:color w:val="auto"/>
                      <w:highlight w:val="none"/>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pH值</w:t>
                  </w:r>
                </w:p>
              </w:tc>
              <w:tc>
                <w:tcPr>
                  <w:tcW w:w="159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电极法</w:t>
                  </w:r>
                </w:p>
              </w:tc>
              <w:tc>
                <w:tcPr>
                  <w:tcW w:w="1158"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1147-2020</w:t>
                  </w:r>
                </w:p>
              </w:tc>
              <w:tc>
                <w:tcPr>
                  <w:tcW w:w="1052" w:type="pct"/>
                  <w:vAlign w:val="center"/>
                </w:tcPr>
                <w:p>
                  <w:pPr>
                    <w:pStyle w:val="25"/>
                    <w:spacing w:after="0"/>
                    <w:ind w:firstLine="0" w:firstLineChars="0"/>
                    <w:jc w:val="center"/>
                    <w:rPr>
                      <w:rFonts w:hint="default" w:eastAsia="宋体"/>
                      <w:color w:val="auto"/>
                      <w:sz w:val="21"/>
                      <w:szCs w:val="21"/>
                      <w:highlight w:val="none"/>
                    </w:rPr>
                  </w:pPr>
                  <w:r>
                    <w:rPr>
                      <w:rFonts w:hint="default" w:eastAsia="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氨氮</w:t>
                  </w:r>
                </w:p>
              </w:tc>
              <w:tc>
                <w:tcPr>
                  <w:tcW w:w="159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纳氏试剂分光光度法</w:t>
                  </w:r>
                </w:p>
              </w:tc>
              <w:tc>
                <w:tcPr>
                  <w:tcW w:w="1158"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535-2009</w:t>
                  </w:r>
                </w:p>
              </w:tc>
              <w:tc>
                <w:tcPr>
                  <w:tcW w:w="105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0.025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悬浮物</w:t>
                  </w:r>
                </w:p>
              </w:tc>
              <w:tc>
                <w:tcPr>
                  <w:tcW w:w="159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重量法</w:t>
                  </w:r>
                </w:p>
              </w:tc>
              <w:tc>
                <w:tcPr>
                  <w:tcW w:w="1158"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GB/T 11901-1989</w:t>
                  </w:r>
                </w:p>
              </w:tc>
              <w:tc>
                <w:tcPr>
                  <w:tcW w:w="105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总磷</w:t>
                  </w:r>
                </w:p>
              </w:tc>
              <w:tc>
                <w:tcPr>
                  <w:tcW w:w="159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钼酸铵分光光度法</w:t>
                  </w:r>
                </w:p>
              </w:tc>
              <w:tc>
                <w:tcPr>
                  <w:tcW w:w="1158"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GB 11893-1989</w:t>
                  </w:r>
                </w:p>
              </w:tc>
              <w:tc>
                <w:tcPr>
                  <w:tcW w:w="105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化学需氧量</w:t>
                  </w:r>
                </w:p>
              </w:tc>
              <w:tc>
                <w:tcPr>
                  <w:tcW w:w="159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重铬酸盐法</w:t>
                  </w:r>
                </w:p>
              </w:tc>
              <w:tc>
                <w:tcPr>
                  <w:tcW w:w="1158"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828-2017</w:t>
                  </w:r>
                </w:p>
              </w:tc>
              <w:tc>
                <w:tcPr>
                  <w:tcW w:w="105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生化需氧量</w:t>
                  </w:r>
                </w:p>
              </w:tc>
              <w:tc>
                <w:tcPr>
                  <w:tcW w:w="159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稀释与接种法</w:t>
                  </w:r>
                </w:p>
              </w:tc>
              <w:tc>
                <w:tcPr>
                  <w:tcW w:w="1158"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505-2009</w:t>
                  </w:r>
                </w:p>
              </w:tc>
              <w:tc>
                <w:tcPr>
                  <w:tcW w:w="105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溶解性总固体</w:t>
                  </w:r>
                </w:p>
              </w:tc>
              <w:tc>
                <w:tcPr>
                  <w:tcW w:w="1592"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重量法</w:t>
                  </w:r>
                </w:p>
              </w:tc>
              <w:tc>
                <w:tcPr>
                  <w:tcW w:w="1158" w:type="pct"/>
                  <w:vAlign w:val="center"/>
                </w:tcPr>
                <w:p>
                  <w:pPr>
                    <w:pStyle w:val="25"/>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CJ/T 51-2018</w:t>
                  </w:r>
                </w:p>
              </w:tc>
              <w:tc>
                <w:tcPr>
                  <w:tcW w:w="1052" w:type="pct"/>
                  <w:vAlign w:val="center"/>
                </w:tcPr>
                <w:p>
                  <w:pPr>
                    <w:pStyle w:val="25"/>
                    <w:spacing w:after="0" w:line="240" w:lineRule="auto"/>
                    <w:ind w:firstLine="0" w:firstLineChars="0"/>
                    <w:jc w:val="center"/>
                    <w:rPr>
                      <w:rFonts w:hint="default" w:eastAsia="宋体"/>
                      <w:color w:val="auto"/>
                      <w:sz w:val="21"/>
                      <w:szCs w:val="21"/>
                      <w:highlight w:val="none"/>
                    </w:rPr>
                  </w:pPr>
                  <w:r>
                    <w:rPr>
                      <w:rFonts w:eastAsia="宋体"/>
                      <w:color w:val="auto"/>
                      <w:sz w:val="21"/>
                      <w:szCs w:val="21"/>
                      <w:highlight w:val="none"/>
                    </w:rPr>
                    <w:t>/</w:t>
                  </w:r>
                </w:p>
              </w:tc>
            </w:tr>
          </w:tbl>
          <w:p>
            <w:pPr>
              <w:ind w:firstLine="482"/>
              <w:rPr>
                <w:b/>
                <w:bCs/>
                <w:color w:val="auto"/>
                <w:highlight w:val="none"/>
              </w:rPr>
            </w:pPr>
            <w:r>
              <w:rPr>
                <w:b/>
                <w:bCs/>
                <w:color w:val="auto"/>
                <w:highlight w:val="none"/>
              </w:rPr>
              <w:t>3、噪声检测</w:t>
            </w:r>
          </w:p>
          <w:p>
            <w:pPr>
              <w:ind w:firstLine="480"/>
              <w:rPr>
                <w:color w:val="auto"/>
                <w:highlight w:val="none"/>
              </w:rPr>
            </w:pPr>
            <w:r>
              <w:rPr>
                <w:color w:val="auto"/>
                <w:highlight w:val="none"/>
              </w:rPr>
              <w:t>（1）噪声检测点位和频次</w:t>
            </w:r>
          </w:p>
          <w:p>
            <w:pPr>
              <w:ind w:firstLine="480"/>
              <w:rPr>
                <w:color w:val="auto"/>
                <w:highlight w:val="none"/>
              </w:rPr>
            </w:pPr>
            <w:r>
              <w:rPr>
                <w:color w:val="auto"/>
                <w:highlight w:val="none"/>
              </w:rPr>
              <w:t>本项目厂界</w:t>
            </w:r>
            <w:r>
              <w:rPr>
                <w:rFonts w:hint="eastAsia"/>
                <w:color w:val="auto"/>
                <w:highlight w:val="none"/>
              </w:rPr>
              <w:t>南侧、西侧、北侧</w:t>
            </w:r>
            <w:r>
              <w:rPr>
                <w:color w:val="auto"/>
                <w:highlight w:val="none"/>
              </w:rPr>
              <w:t>共布设</w:t>
            </w:r>
            <w:r>
              <w:rPr>
                <w:rFonts w:hint="eastAsia"/>
                <w:color w:val="auto"/>
                <w:highlight w:val="none"/>
              </w:rPr>
              <w:t>3</w:t>
            </w:r>
            <w:r>
              <w:rPr>
                <w:color w:val="auto"/>
                <w:highlight w:val="none"/>
              </w:rPr>
              <w:t>个监测点位</w:t>
            </w:r>
            <w:r>
              <w:rPr>
                <w:rFonts w:hint="eastAsia"/>
                <w:color w:val="auto"/>
                <w:highlight w:val="none"/>
              </w:rPr>
              <w:t>（厂区东侧为其他企业，与之共用一堵墙，无法进行检测）</w:t>
            </w:r>
            <w:r>
              <w:rPr>
                <w:color w:val="auto"/>
                <w:highlight w:val="none"/>
              </w:rPr>
              <w:t>，每天昼间监测一次，监测两天。</w:t>
            </w:r>
          </w:p>
          <w:p>
            <w:pPr>
              <w:ind w:firstLine="480"/>
              <w:rPr>
                <w:color w:val="auto"/>
                <w:highlight w:val="none"/>
              </w:rPr>
            </w:pPr>
            <w:r>
              <w:rPr>
                <w:color w:val="auto"/>
                <w:highlight w:val="none"/>
              </w:rPr>
              <w:t>噪声检测点位见下图6-2所示。</w:t>
            </w:r>
          </w:p>
          <w:p>
            <w:pPr>
              <w:ind w:firstLine="480"/>
              <w:rPr>
                <w:color w:val="auto"/>
                <w:highlight w:val="none"/>
              </w:rPr>
            </w:pPr>
            <w:r>
              <w:rPr>
                <w:color w:val="auto"/>
                <w:highlight w:val="none"/>
              </w:rPr>
              <w:t>（2）检测分析方法</w:t>
            </w:r>
          </w:p>
          <w:p>
            <w:pPr>
              <w:ind w:firstLine="480"/>
              <w:rPr>
                <w:color w:val="auto"/>
                <w:highlight w:val="none"/>
              </w:rPr>
            </w:pPr>
            <w:r>
              <w:rPr>
                <w:color w:val="auto"/>
                <w:highlight w:val="none"/>
              </w:rPr>
              <w:t>本项目噪声检测分析方法见表6-7。</w:t>
            </w:r>
          </w:p>
          <w:p>
            <w:pPr>
              <w:ind w:firstLine="482"/>
              <w:jc w:val="center"/>
              <w:rPr>
                <w:b/>
                <w:bCs/>
                <w:color w:val="auto"/>
                <w:highlight w:val="none"/>
              </w:rPr>
            </w:pPr>
            <w:r>
              <w:rPr>
                <w:b/>
                <w:bCs/>
                <w:color w:val="auto"/>
                <w:highlight w:val="none"/>
              </w:rPr>
              <w:t>表6-7  噪声检测分析方法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70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项目名称</w:t>
                  </w:r>
                </w:p>
              </w:tc>
              <w:tc>
                <w:tcPr>
                  <w:tcW w:w="174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检测分析方法</w:t>
                  </w:r>
                </w:p>
              </w:tc>
              <w:tc>
                <w:tcPr>
                  <w:tcW w:w="224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22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vAlign w:val="center"/>
                </w:tcPr>
                <w:p>
                  <w:pPr>
                    <w:spacing w:line="240" w:lineRule="auto"/>
                    <w:ind w:firstLine="0" w:firstLineChars="0"/>
                    <w:jc w:val="center"/>
                    <w:rPr>
                      <w:color w:val="auto"/>
                      <w:sz w:val="21"/>
                      <w:szCs w:val="21"/>
                      <w:highlight w:val="none"/>
                    </w:rPr>
                  </w:pPr>
                  <w:r>
                    <w:rPr>
                      <w:color w:val="auto"/>
                      <w:sz w:val="21"/>
                      <w:szCs w:val="21"/>
                      <w:highlight w:val="none"/>
                    </w:rPr>
                    <w:t>厂界噪声dB（A）</w:t>
                  </w:r>
                </w:p>
              </w:tc>
              <w:tc>
                <w:tcPr>
                  <w:tcW w:w="1742" w:type="dxa"/>
                  <w:vAlign w:val="center"/>
                </w:tcPr>
                <w:p>
                  <w:pPr>
                    <w:spacing w:line="240" w:lineRule="auto"/>
                    <w:ind w:firstLine="0" w:firstLineChars="0"/>
                    <w:jc w:val="center"/>
                    <w:rPr>
                      <w:color w:val="auto"/>
                      <w:sz w:val="21"/>
                      <w:szCs w:val="21"/>
                      <w:highlight w:val="none"/>
                    </w:rPr>
                  </w:pPr>
                  <w:r>
                    <w:rPr>
                      <w:color w:val="auto"/>
                      <w:sz w:val="21"/>
                      <w:szCs w:val="21"/>
                      <w:highlight w:val="none"/>
                    </w:rPr>
                    <w:t>声级计法</w:t>
                  </w:r>
                </w:p>
              </w:tc>
              <w:tc>
                <w:tcPr>
                  <w:tcW w:w="2242" w:type="dxa"/>
                  <w:vAlign w:val="center"/>
                </w:tcPr>
                <w:p>
                  <w:pPr>
                    <w:spacing w:line="240" w:lineRule="auto"/>
                    <w:ind w:firstLine="0" w:firstLineChars="0"/>
                    <w:jc w:val="center"/>
                    <w:rPr>
                      <w:color w:val="auto"/>
                      <w:sz w:val="21"/>
                      <w:szCs w:val="21"/>
                      <w:highlight w:val="none"/>
                    </w:rPr>
                  </w:pPr>
                  <w:r>
                    <w:rPr>
                      <w:color w:val="auto"/>
                      <w:sz w:val="21"/>
                      <w:szCs w:val="21"/>
                      <w:highlight w:val="none"/>
                    </w:rPr>
                    <w:t>GB12348-2008</w:t>
                  </w:r>
                </w:p>
              </w:tc>
              <w:tc>
                <w:tcPr>
                  <w:tcW w:w="2222" w:type="dxa"/>
                  <w:vAlign w:val="center"/>
                </w:tcPr>
                <w:p>
                  <w:pPr>
                    <w:spacing w:line="240" w:lineRule="auto"/>
                    <w:ind w:firstLine="0" w:firstLineChars="0"/>
                    <w:jc w:val="center"/>
                    <w:rPr>
                      <w:color w:val="auto"/>
                      <w:sz w:val="21"/>
                      <w:szCs w:val="21"/>
                      <w:highlight w:val="none"/>
                    </w:rPr>
                  </w:pPr>
                  <w:r>
                    <w:rPr>
                      <w:color w:val="auto"/>
                      <w:sz w:val="21"/>
                      <w:szCs w:val="21"/>
                      <w:highlight w:val="none"/>
                    </w:rPr>
                    <w:t>---</w:t>
                  </w:r>
                </w:p>
              </w:tc>
            </w:tr>
          </w:tbl>
          <w:p>
            <w:pPr>
              <w:widowControl/>
              <w:ind w:firstLine="480"/>
              <w:jc w:val="left"/>
              <w:rPr>
                <w:color w:val="auto"/>
                <w:highlight w:val="none"/>
              </w:rPr>
            </w:pPr>
            <w:r>
              <w:rPr>
                <w:color w:val="auto"/>
                <w:highlight w:val="none"/>
              </w:rPr>
              <w:t>噪声点位布置图如下：</w:t>
            </w:r>
          </w:p>
          <w:p>
            <w:pPr>
              <w:pStyle w:val="2"/>
              <w:ind w:firstLine="0" w:firstLineChars="0"/>
              <w:rPr>
                <w:color w:val="auto"/>
                <w:highlight w:val="none"/>
              </w:rPr>
            </w:pPr>
            <w:r>
              <w:rPr>
                <w:color w:val="auto"/>
                <w:highlight w:val="none"/>
              </w:rPr>
              <w:pict>
                <v:shape id="_x0000_i1030" o:spt="75" type="#_x0000_t75" style="height:407.5pt;width:446pt;" filled="f" o:preferrelative="t" stroked="f" coordsize="21600,21600">
                  <v:path/>
                  <v:fill on="f" focussize="0,0"/>
                  <v:stroke on="f" joinstyle="miter"/>
                  <v:imagedata r:id="rId14" o:title=""/>
                  <o:lock v:ext="edit" aspectratio="t"/>
                  <w10:wrap type="none"/>
                  <w10:anchorlock/>
                </v:shape>
              </w:pict>
            </w:r>
          </w:p>
          <w:p>
            <w:pPr>
              <w:ind w:firstLine="482"/>
              <w:jc w:val="center"/>
              <w:rPr>
                <w:b/>
                <w:bCs/>
                <w:color w:val="auto"/>
                <w:highlight w:val="none"/>
              </w:rPr>
            </w:pPr>
            <w:r>
              <w:rPr>
                <w:b/>
                <w:bCs/>
                <w:color w:val="auto"/>
                <w:highlight w:val="none"/>
              </w:rPr>
              <w:t>图6-2  噪声检测点位</w:t>
            </w:r>
          </w:p>
          <w:p>
            <w:pPr>
              <w:pStyle w:val="31"/>
              <w:rPr>
                <w:rFonts w:ascii="Times New Roman" w:hAnsi="Times New Roman"/>
                <w:color w:val="auto"/>
                <w:highlight w:val="none"/>
              </w:rPr>
            </w:pPr>
          </w:p>
          <w:p>
            <w:pPr>
              <w:pStyle w:val="31"/>
              <w:rPr>
                <w:rFonts w:ascii="Times New Roman" w:hAnsi="Times New Roman"/>
                <w:color w:val="auto"/>
                <w:highlight w:val="none"/>
              </w:rPr>
            </w:pPr>
          </w:p>
          <w:p>
            <w:pPr>
              <w:pStyle w:val="31"/>
              <w:rPr>
                <w:rFonts w:ascii="Times New Roman" w:hAnsi="Times New Roman"/>
                <w:color w:val="auto"/>
                <w:highlight w:val="none"/>
              </w:rPr>
            </w:pPr>
          </w:p>
          <w:p>
            <w:pPr>
              <w:pStyle w:val="31"/>
              <w:rPr>
                <w:rFonts w:ascii="Times New Roman" w:hAnsi="Times New Roman"/>
                <w:color w:val="auto"/>
                <w:highlight w:val="none"/>
              </w:rPr>
            </w:pPr>
          </w:p>
          <w:p>
            <w:pPr>
              <w:pStyle w:val="31"/>
              <w:rPr>
                <w:rFonts w:ascii="Times New Roman" w:hAnsi="Times New Roman"/>
                <w:color w:val="auto"/>
                <w:highlight w:val="none"/>
              </w:rPr>
            </w:pPr>
          </w:p>
          <w:p>
            <w:pPr>
              <w:pStyle w:val="31"/>
              <w:rPr>
                <w:rFonts w:ascii="Times New Roman" w:hAnsi="Times New Roman"/>
                <w:color w:val="auto"/>
                <w:highlight w:val="none"/>
              </w:rPr>
            </w:pPr>
          </w:p>
        </w:tc>
      </w:tr>
    </w:tbl>
    <w:p>
      <w:pPr>
        <w:adjustRightInd w:val="0"/>
        <w:snapToGrid w:val="0"/>
        <w:ind w:firstLine="0" w:firstLineChars="0"/>
        <w:outlineLvl w:val="0"/>
        <w:rPr>
          <w:color w:val="auto"/>
          <w:highlight w:val="none"/>
        </w:rPr>
      </w:pPr>
      <w:r>
        <w:rPr>
          <w:b/>
          <w:bCs/>
          <w:color w:val="auto"/>
          <w:sz w:val="32"/>
          <w:szCs w:val="32"/>
          <w:highlight w:val="none"/>
        </w:rPr>
        <w:br w:type="page"/>
      </w:r>
      <w:bookmarkStart w:id="149" w:name="_Toc16923"/>
      <w:bookmarkStart w:id="150" w:name="_Toc15202"/>
      <w:bookmarkStart w:id="151" w:name="_Toc3339"/>
      <w:bookmarkStart w:id="152" w:name="_Toc19062"/>
      <w:bookmarkStart w:id="153" w:name="_Toc32675"/>
      <w:bookmarkStart w:id="154" w:name="_Toc8531"/>
      <w:bookmarkStart w:id="155" w:name="_Toc2686"/>
      <w:bookmarkStart w:id="156" w:name="_Toc12263"/>
      <w:bookmarkStart w:id="157" w:name="_Toc30610"/>
      <w:bookmarkStart w:id="158" w:name="_Toc31087"/>
      <w:bookmarkStart w:id="159" w:name="_Toc13478"/>
      <w:bookmarkStart w:id="160" w:name="_Toc6434"/>
      <w:bookmarkStart w:id="161" w:name="_Toc11106"/>
      <w:bookmarkStart w:id="162" w:name="_Toc1251"/>
      <w:bookmarkStart w:id="163" w:name="_Toc9124"/>
      <w:bookmarkStart w:id="164" w:name="_Toc23240"/>
      <w:bookmarkStart w:id="165" w:name="_Toc16511"/>
      <w:bookmarkStart w:id="166" w:name="_Toc29175"/>
      <w:bookmarkStart w:id="167" w:name="_Toc27756"/>
      <w:bookmarkStart w:id="168" w:name="_Toc22505"/>
      <w:bookmarkStart w:id="169" w:name="_Toc7949"/>
      <w:bookmarkStart w:id="170" w:name="_Toc2666"/>
      <w:bookmarkStart w:id="171" w:name="_Toc10042"/>
      <w:r>
        <w:rPr>
          <w:b/>
          <w:bCs/>
          <w:color w:val="auto"/>
          <w:sz w:val="32"/>
          <w:szCs w:val="32"/>
          <w:highlight w:val="none"/>
        </w:rPr>
        <w:t>表7  验收监测期间工况记录及验收监测结果</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tbl>
      <w:tblPr>
        <w:tblStyle w:val="26"/>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color w:val="auto"/>
                <w:highlight w:val="none"/>
              </w:rPr>
            </w:pPr>
            <w:r>
              <w:rPr>
                <w:b/>
                <w:bCs/>
                <w:color w:val="auto"/>
                <w:highlight w:val="none"/>
              </w:rPr>
              <w:t>一、验收监测期间工况记录</w:t>
            </w:r>
          </w:p>
          <w:p>
            <w:pPr>
              <w:ind w:firstLine="480"/>
              <w:rPr>
                <w:color w:val="auto"/>
                <w:highlight w:val="none"/>
              </w:rPr>
            </w:pPr>
            <w:r>
              <w:rPr>
                <w:color w:val="auto"/>
                <w:highlight w:val="none"/>
              </w:rPr>
              <w:t>验收监测期间，实验室正常</w:t>
            </w:r>
            <w:r>
              <w:rPr>
                <w:rFonts w:hint="eastAsia"/>
                <w:color w:val="auto"/>
                <w:highlight w:val="none"/>
              </w:rPr>
              <w:t>运行，负荷90%</w:t>
            </w:r>
            <w:r>
              <w:rPr>
                <w:color w:val="auto"/>
                <w:highlight w:val="none"/>
              </w:rPr>
              <w:t>。</w:t>
            </w:r>
          </w:p>
          <w:p>
            <w:pPr>
              <w:ind w:firstLine="480"/>
              <w:rPr>
                <w:color w:val="auto"/>
                <w:highlight w:val="none"/>
              </w:rPr>
            </w:pPr>
            <w:r>
              <w:rPr>
                <w:color w:val="auto"/>
                <w:highlight w:val="none"/>
              </w:rPr>
              <w:t>监测期间气象情况见表7-</w:t>
            </w:r>
            <w:r>
              <w:rPr>
                <w:rFonts w:hint="eastAsia"/>
                <w:color w:val="auto"/>
                <w:highlight w:val="none"/>
              </w:rPr>
              <w:t>1</w:t>
            </w:r>
            <w:r>
              <w:rPr>
                <w:color w:val="auto"/>
                <w:highlight w:val="none"/>
              </w:rPr>
              <w:t>。</w:t>
            </w:r>
          </w:p>
          <w:p>
            <w:pPr>
              <w:ind w:firstLine="482"/>
              <w:jc w:val="center"/>
              <w:rPr>
                <w:b/>
                <w:bCs/>
                <w:color w:val="auto"/>
                <w:highlight w:val="none"/>
              </w:rPr>
            </w:pPr>
            <w:r>
              <w:rPr>
                <w:b/>
                <w:bCs/>
                <w:color w:val="auto"/>
                <w:highlight w:val="none"/>
              </w:rPr>
              <w:t>表7-</w:t>
            </w:r>
            <w:r>
              <w:rPr>
                <w:rFonts w:hint="eastAsia"/>
                <w:b/>
                <w:bCs/>
                <w:color w:val="auto"/>
                <w:highlight w:val="none"/>
              </w:rPr>
              <w:t>1</w:t>
            </w:r>
            <w:r>
              <w:rPr>
                <w:b/>
                <w:bCs/>
                <w:color w:val="auto"/>
                <w:highlight w:val="none"/>
              </w:rPr>
              <w:t xml:space="preserve">  监测期间气象表</w:t>
            </w:r>
          </w:p>
          <w:tbl>
            <w:tblPr>
              <w:tblStyle w:val="26"/>
              <w:tblW w:w="4998" w:type="pct"/>
              <w:jc w:val="center"/>
              <w:tblLayout w:type="autofit"/>
              <w:tblCellMar>
                <w:top w:w="0" w:type="dxa"/>
                <w:left w:w="108" w:type="dxa"/>
                <w:bottom w:w="0" w:type="dxa"/>
                <w:right w:w="108" w:type="dxa"/>
              </w:tblCellMar>
            </w:tblPr>
            <w:tblGrid>
              <w:gridCol w:w="1112"/>
              <w:gridCol w:w="1108"/>
              <w:gridCol w:w="1108"/>
              <w:gridCol w:w="1053"/>
              <w:gridCol w:w="1203"/>
              <w:gridCol w:w="883"/>
              <w:gridCol w:w="1072"/>
              <w:gridCol w:w="1406"/>
            </w:tblGrid>
            <w:tr>
              <w:trPr>
                <w:trHeight w:val="397" w:hRule="atLeast"/>
                <w:jc w:val="center"/>
              </w:trPr>
              <w:tc>
                <w:tcPr>
                  <w:tcW w:w="1240" w:type="pct"/>
                  <w:gridSpan w:val="2"/>
                  <w:tcBorders>
                    <w:top w:val="single" w:color="000000" w:sz="4" w:space="0"/>
                    <w:left w:val="single" w:color="000000" w:sz="4" w:space="0"/>
                    <w:bottom w:val="single" w:color="000000" w:sz="4" w:space="0"/>
                    <w:right w:val="single" w:color="000000" w:sz="4" w:space="0"/>
                  </w:tcBorders>
                  <w:vAlign w:val="center"/>
                </w:tcPr>
                <w:p>
                  <w:pPr>
                    <w:pStyle w:val="50"/>
                    <w:snapToGrid w:val="0"/>
                    <w:rPr>
                      <w:b/>
                      <w:bCs/>
                      <w:color w:val="auto"/>
                      <w:szCs w:val="21"/>
                      <w:highlight w:val="none"/>
                    </w:rPr>
                  </w:pPr>
                  <w:r>
                    <w:rPr>
                      <w:b/>
                      <w:bCs/>
                      <w:color w:val="auto"/>
                      <w:szCs w:val="21"/>
                      <w:highlight w:val="none"/>
                    </w:rPr>
                    <w:t>日期</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b/>
                      <w:bCs/>
                      <w:color w:val="auto"/>
                      <w:szCs w:val="21"/>
                      <w:highlight w:val="none"/>
                    </w:rPr>
                  </w:pPr>
                  <w:r>
                    <w:rPr>
                      <w:b/>
                      <w:bCs/>
                      <w:color w:val="auto"/>
                      <w:szCs w:val="21"/>
                      <w:highlight w:val="none"/>
                    </w:rPr>
                    <w:t>温度</w:t>
                  </w:r>
                </w:p>
                <w:p>
                  <w:pPr>
                    <w:pStyle w:val="50"/>
                    <w:snapToGrid w:val="0"/>
                    <w:rPr>
                      <w:b/>
                      <w:bCs/>
                      <w:color w:val="auto"/>
                      <w:szCs w:val="21"/>
                      <w:highlight w:val="none"/>
                    </w:rPr>
                  </w:pPr>
                  <w:r>
                    <w:rPr>
                      <w:b/>
                      <w:bCs/>
                      <w:color w:val="auto"/>
                      <w:szCs w:val="21"/>
                      <w:highlight w:val="none"/>
                    </w:rPr>
                    <w:t>(℃)</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b/>
                      <w:bCs/>
                      <w:color w:val="auto"/>
                      <w:szCs w:val="21"/>
                      <w:highlight w:val="none"/>
                    </w:rPr>
                  </w:pPr>
                  <w:r>
                    <w:rPr>
                      <w:b/>
                      <w:bCs/>
                      <w:color w:val="auto"/>
                      <w:szCs w:val="21"/>
                      <w:highlight w:val="none"/>
                    </w:rPr>
                    <w:t>湿度</w:t>
                  </w:r>
                </w:p>
                <w:p>
                  <w:pPr>
                    <w:pStyle w:val="50"/>
                    <w:snapToGrid w:val="0"/>
                    <w:rPr>
                      <w:b/>
                      <w:bCs/>
                      <w:color w:val="auto"/>
                      <w:szCs w:val="21"/>
                      <w:highlight w:val="none"/>
                    </w:rPr>
                  </w:pPr>
                  <w:r>
                    <w:rPr>
                      <w:b/>
                      <w:bCs/>
                      <w:color w:val="auto"/>
                      <w:szCs w:val="21"/>
                      <w:highlight w:val="none"/>
                    </w:rPr>
                    <w:t>(%)</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b/>
                      <w:bCs/>
                      <w:color w:val="auto"/>
                      <w:szCs w:val="21"/>
                      <w:highlight w:val="none"/>
                    </w:rPr>
                  </w:pPr>
                  <w:r>
                    <w:rPr>
                      <w:b/>
                      <w:bCs/>
                      <w:color w:val="auto"/>
                      <w:szCs w:val="21"/>
                      <w:highlight w:val="none"/>
                    </w:rPr>
                    <w:t>总云/低云</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napToGrid w:val="0"/>
                    <w:rPr>
                      <w:b/>
                      <w:bCs/>
                      <w:color w:val="auto"/>
                      <w:szCs w:val="21"/>
                      <w:highlight w:val="none"/>
                    </w:rPr>
                  </w:pPr>
                  <w:r>
                    <w:rPr>
                      <w:b/>
                      <w:bCs/>
                      <w:color w:val="auto"/>
                      <w:szCs w:val="21"/>
                      <w:highlight w:val="none"/>
                    </w:rPr>
                    <w:t>风向</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b/>
                      <w:bCs/>
                      <w:color w:val="auto"/>
                      <w:szCs w:val="21"/>
                      <w:highlight w:val="none"/>
                    </w:rPr>
                  </w:pPr>
                  <w:r>
                    <w:rPr>
                      <w:b/>
                      <w:bCs/>
                      <w:color w:val="auto"/>
                      <w:szCs w:val="21"/>
                      <w:highlight w:val="none"/>
                    </w:rPr>
                    <w:t>风速</w:t>
                  </w:r>
                </w:p>
                <w:p>
                  <w:pPr>
                    <w:pStyle w:val="50"/>
                    <w:snapToGrid w:val="0"/>
                    <w:rPr>
                      <w:b/>
                      <w:bCs/>
                      <w:color w:val="auto"/>
                      <w:szCs w:val="21"/>
                      <w:highlight w:val="none"/>
                    </w:rPr>
                  </w:pPr>
                  <w:r>
                    <w:rPr>
                      <w:b/>
                      <w:bCs/>
                      <w:color w:val="auto"/>
                      <w:szCs w:val="21"/>
                      <w:highlight w:val="none"/>
                    </w:rPr>
                    <w:t>(m/s)</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b/>
                      <w:bCs/>
                      <w:color w:val="auto"/>
                      <w:szCs w:val="21"/>
                      <w:highlight w:val="none"/>
                    </w:rPr>
                  </w:pPr>
                  <w:r>
                    <w:rPr>
                      <w:b/>
                      <w:bCs/>
                      <w:color w:val="auto"/>
                      <w:szCs w:val="21"/>
                      <w:highlight w:val="none"/>
                    </w:rPr>
                    <w:t>大气压(kPa)</w:t>
                  </w:r>
                </w:p>
              </w:tc>
            </w:tr>
            <w:tr>
              <w:tblPrEx>
                <w:tblCellMar>
                  <w:top w:w="0" w:type="dxa"/>
                  <w:left w:w="108" w:type="dxa"/>
                  <w:bottom w:w="0" w:type="dxa"/>
                  <w:right w:w="108" w:type="dxa"/>
                </w:tblCellMar>
              </w:tblPrEx>
              <w:trPr>
                <w:trHeight w:val="397" w:hRule="atLeast"/>
                <w:jc w:val="center"/>
              </w:trPr>
              <w:tc>
                <w:tcPr>
                  <w:tcW w:w="621" w:type="pct"/>
                  <w:vMerge w:val="restart"/>
                  <w:tcBorders>
                    <w:top w:val="single" w:color="000000" w:sz="4" w:space="0"/>
                    <w:left w:val="single" w:color="000000" w:sz="4" w:space="0"/>
                    <w:bottom w:val="single" w:color="000000" w:sz="4" w:space="0"/>
                    <w:right w:val="single" w:color="000000" w:sz="4" w:space="0"/>
                  </w:tcBorders>
                  <w:vAlign w:val="center"/>
                </w:tcPr>
                <w:p>
                  <w:pPr>
                    <w:pStyle w:val="50"/>
                    <w:spacing w:line="360" w:lineRule="auto"/>
                    <w:rPr>
                      <w:color w:val="auto"/>
                      <w:szCs w:val="21"/>
                      <w:highlight w:val="none"/>
                    </w:rPr>
                  </w:pPr>
                  <w:r>
                    <w:rPr>
                      <w:color w:val="auto"/>
                      <w:szCs w:val="21"/>
                      <w:highlight w:val="none"/>
                    </w:rPr>
                    <w:t>2022.</w:t>
                  </w:r>
                </w:p>
                <w:p>
                  <w:pPr>
                    <w:pStyle w:val="50"/>
                    <w:spacing w:line="360" w:lineRule="auto"/>
                    <w:rPr>
                      <w:color w:val="auto"/>
                      <w:szCs w:val="21"/>
                      <w:highlight w:val="none"/>
                    </w:rPr>
                  </w:pPr>
                  <w:r>
                    <w:rPr>
                      <w:color w:val="auto"/>
                      <w:szCs w:val="21"/>
                      <w:highlight w:val="none"/>
                    </w:rPr>
                    <w:t>04.21</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10:00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21.2</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39</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pacing w:line="420" w:lineRule="auto"/>
                    <w:rPr>
                      <w:color w:val="auto"/>
                      <w:szCs w:val="21"/>
                      <w:highlight w:val="none"/>
                    </w:rPr>
                  </w:pPr>
                  <w:r>
                    <w:rPr>
                      <w:color w:val="auto"/>
                      <w:szCs w:val="21"/>
                      <w:highlight w:val="none"/>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3.2</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100.12</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right w:val="single" w:color="000000" w:sz="4" w:space="0"/>
                  </w:tcBorders>
                  <w:vAlign w:val="center"/>
                </w:tcPr>
                <w:p>
                  <w:pPr>
                    <w:pStyle w:val="50"/>
                    <w:spacing w:line="360" w:lineRule="auto"/>
                    <w:rPr>
                      <w:color w:val="auto"/>
                      <w:szCs w:val="21"/>
                      <w:highlight w:val="none"/>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12:45</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27.2</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35</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pacing w:line="420" w:lineRule="auto"/>
                    <w:rPr>
                      <w:color w:val="auto"/>
                      <w:szCs w:val="21"/>
                      <w:highlight w:val="none"/>
                    </w:rPr>
                  </w:pPr>
                  <w:r>
                    <w:rPr>
                      <w:color w:val="auto"/>
                      <w:szCs w:val="21"/>
                      <w:highlight w:val="none"/>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3.5</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99.92</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right w:val="single" w:color="000000" w:sz="4" w:space="0"/>
                  </w:tcBorders>
                  <w:vAlign w:val="center"/>
                </w:tcPr>
                <w:p>
                  <w:pPr>
                    <w:pStyle w:val="50"/>
                    <w:spacing w:line="360" w:lineRule="auto"/>
                    <w:rPr>
                      <w:color w:val="auto"/>
                      <w:szCs w:val="21"/>
                      <w:highlight w:val="none"/>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14:00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27.9</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33</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pacing w:line="420" w:lineRule="auto"/>
                    <w:rPr>
                      <w:color w:val="auto"/>
                      <w:szCs w:val="21"/>
                      <w:highlight w:val="none"/>
                    </w:rPr>
                  </w:pPr>
                  <w:r>
                    <w:rPr>
                      <w:color w:val="auto"/>
                      <w:szCs w:val="21"/>
                      <w:highlight w:val="none"/>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3.0</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99.31</w:t>
                  </w:r>
                </w:p>
              </w:tc>
            </w:tr>
            <w:tr>
              <w:tblPrEx>
                <w:tblCellMar>
                  <w:top w:w="0" w:type="dxa"/>
                  <w:left w:w="108" w:type="dxa"/>
                  <w:bottom w:w="0" w:type="dxa"/>
                  <w:right w:w="108" w:type="dxa"/>
                </w:tblCellMar>
              </w:tblPrEx>
              <w:trPr>
                <w:trHeight w:val="397" w:hRule="atLeast"/>
                <w:jc w:val="center"/>
              </w:trPr>
              <w:tc>
                <w:tcPr>
                  <w:tcW w:w="621" w:type="pct"/>
                  <w:vMerge w:val="continue"/>
                  <w:tcBorders>
                    <w:top w:val="single" w:color="000000" w:sz="4" w:space="0"/>
                    <w:left w:val="single" w:color="000000" w:sz="4" w:space="0"/>
                    <w:bottom w:val="single" w:color="000000" w:sz="4" w:space="0"/>
                    <w:right w:val="single" w:color="000000" w:sz="4" w:space="0"/>
                  </w:tcBorders>
                  <w:vAlign w:val="center"/>
                </w:tcPr>
                <w:p>
                  <w:pPr>
                    <w:pStyle w:val="50"/>
                    <w:overflowPunct w:val="0"/>
                    <w:spacing w:line="300" w:lineRule="auto"/>
                    <w:rPr>
                      <w:color w:val="auto"/>
                      <w:szCs w:val="21"/>
                      <w:highlight w:val="none"/>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15:55</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26.0</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35</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pacing w:line="420" w:lineRule="auto"/>
                    <w:rPr>
                      <w:color w:val="auto"/>
                      <w:szCs w:val="21"/>
                      <w:highlight w:val="none"/>
                    </w:rPr>
                  </w:pPr>
                  <w:r>
                    <w:rPr>
                      <w:color w:val="auto"/>
                      <w:szCs w:val="21"/>
                      <w:highlight w:val="none"/>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2.7</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99.42</w:t>
                  </w:r>
                </w:p>
              </w:tc>
            </w:tr>
            <w:tr>
              <w:tblPrEx>
                <w:tblCellMar>
                  <w:top w:w="0" w:type="dxa"/>
                  <w:left w:w="108" w:type="dxa"/>
                  <w:bottom w:w="0" w:type="dxa"/>
                  <w:right w:w="108" w:type="dxa"/>
                </w:tblCellMar>
              </w:tblPrEx>
              <w:trPr>
                <w:trHeight w:val="397" w:hRule="atLeast"/>
                <w:jc w:val="center"/>
              </w:trPr>
              <w:tc>
                <w:tcPr>
                  <w:tcW w:w="621" w:type="pct"/>
                  <w:vMerge w:val="restart"/>
                  <w:tcBorders>
                    <w:top w:val="single" w:color="000000" w:sz="4" w:space="0"/>
                    <w:left w:val="single" w:color="000000" w:sz="4" w:space="0"/>
                    <w:right w:val="single" w:color="000000" w:sz="4" w:space="0"/>
                  </w:tcBorders>
                  <w:vAlign w:val="center"/>
                </w:tcPr>
                <w:p>
                  <w:pPr>
                    <w:pStyle w:val="50"/>
                    <w:spacing w:line="360" w:lineRule="auto"/>
                    <w:rPr>
                      <w:color w:val="auto"/>
                      <w:szCs w:val="21"/>
                      <w:highlight w:val="none"/>
                    </w:rPr>
                  </w:pPr>
                  <w:r>
                    <w:rPr>
                      <w:color w:val="auto"/>
                      <w:szCs w:val="21"/>
                      <w:highlight w:val="none"/>
                    </w:rPr>
                    <w:t>2022.</w:t>
                  </w:r>
                </w:p>
                <w:p>
                  <w:pPr>
                    <w:pStyle w:val="50"/>
                    <w:spacing w:line="360" w:lineRule="auto"/>
                    <w:rPr>
                      <w:color w:val="auto"/>
                      <w:szCs w:val="21"/>
                      <w:highlight w:val="none"/>
                    </w:rPr>
                  </w:pPr>
                  <w:r>
                    <w:rPr>
                      <w:color w:val="auto"/>
                      <w:szCs w:val="21"/>
                      <w:highlight w:val="none"/>
                    </w:rPr>
                    <w:t>04.22</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9:20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17.2</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39</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5/4</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pacing w:line="420" w:lineRule="auto"/>
                    <w:rPr>
                      <w:color w:val="auto"/>
                      <w:szCs w:val="21"/>
                      <w:highlight w:val="none"/>
                    </w:rPr>
                  </w:pPr>
                  <w:r>
                    <w:rPr>
                      <w:color w:val="auto"/>
                      <w:szCs w:val="21"/>
                      <w:highlight w:val="none"/>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2.2</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100.22</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right w:val="single" w:color="000000" w:sz="4" w:space="0"/>
                  </w:tcBorders>
                  <w:vAlign w:val="center"/>
                </w:tcPr>
                <w:p>
                  <w:pPr>
                    <w:pStyle w:val="50"/>
                    <w:spacing w:line="360" w:lineRule="auto"/>
                    <w:rPr>
                      <w:color w:val="auto"/>
                      <w:szCs w:val="21"/>
                      <w:highlight w:val="none"/>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11:10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19.7</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37</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5/4</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pacing w:line="420" w:lineRule="auto"/>
                    <w:rPr>
                      <w:color w:val="auto"/>
                      <w:szCs w:val="21"/>
                      <w:highlight w:val="none"/>
                    </w:rPr>
                  </w:pPr>
                  <w:r>
                    <w:rPr>
                      <w:color w:val="auto"/>
                      <w:szCs w:val="21"/>
                      <w:highlight w:val="none"/>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2.7</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100.12</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right w:val="single" w:color="000000" w:sz="4" w:space="0"/>
                  </w:tcBorders>
                  <w:vAlign w:val="center"/>
                </w:tcPr>
                <w:p>
                  <w:pPr>
                    <w:pStyle w:val="50"/>
                    <w:spacing w:line="360" w:lineRule="auto"/>
                    <w:rPr>
                      <w:color w:val="auto"/>
                      <w:szCs w:val="21"/>
                      <w:highlight w:val="none"/>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14:10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19.9</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34</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5/4</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pacing w:line="420" w:lineRule="auto"/>
                    <w:rPr>
                      <w:color w:val="auto"/>
                      <w:szCs w:val="21"/>
                      <w:highlight w:val="none"/>
                    </w:rPr>
                  </w:pPr>
                  <w:r>
                    <w:rPr>
                      <w:color w:val="auto"/>
                      <w:szCs w:val="21"/>
                      <w:highlight w:val="none"/>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2.1</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100.10</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bottom w:val="single" w:color="000000" w:sz="4" w:space="0"/>
                    <w:right w:val="single" w:color="000000" w:sz="4" w:space="0"/>
                  </w:tcBorders>
                  <w:vAlign w:val="center"/>
                </w:tcPr>
                <w:p>
                  <w:pPr>
                    <w:pStyle w:val="50"/>
                    <w:overflowPunct w:val="0"/>
                    <w:spacing w:line="300" w:lineRule="auto"/>
                    <w:rPr>
                      <w:color w:val="auto"/>
                      <w:szCs w:val="21"/>
                      <w:highlight w:val="none"/>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16:05</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19.1</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35</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5/4</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50"/>
                    <w:spacing w:line="420" w:lineRule="auto"/>
                    <w:rPr>
                      <w:color w:val="auto"/>
                      <w:szCs w:val="21"/>
                      <w:highlight w:val="none"/>
                    </w:rPr>
                  </w:pPr>
                  <w:r>
                    <w:rPr>
                      <w:color w:val="auto"/>
                      <w:szCs w:val="21"/>
                      <w:highlight w:val="none"/>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2.4</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50"/>
                    <w:snapToGrid w:val="0"/>
                    <w:rPr>
                      <w:color w:val="auto"/>
                      <w:szCs w:val="21"/>
                      <w:highlight w:val="none"/>
                    </w:rPr>
                  </w:pPr>
                  <w:r>
                    <w:rPr>
                      <w:color w:val="auto"/>
                      <w:szCs w:val="21"/>
                      <w:highlight w:val="none"/>
                    </w:rPr>
                    <w:t>99.92</w:t>
                  </w:r>
                </w:p>
              </w:tc>
            </w:tr>
          </w:tbl>
          <w:p>
            <w:pPr>
              <w:pStyle w:val="34"/>
              <w:numPr>
                <w:ilvl w:val="0"/>
                <w:numId w:val="4"/>
              </w:numPr>
              <w:ind w:firstLine="482"/>
              <w:rPr>
                <w:rFonts w:cs="Times New Roman"/>
                <w:b/>
                <w:bCs/>
                <w:color w:val="auto"/>
                <w:szCs w:val="24"/>
                <w:highlight w:val="none"/>
              </w:rPr>
            </w:pPr>
            <w:r>
              <w:rPr>
                <w:rFonts w:cs="Times New Roman"/>
                <w:b/>
                <w:bCs/>
                <w:color w:val="auto"/>
                <w:szCs w:val="24"/>
                <w:highlight w:val="none"/>
              </w:rPr>
              <w:t>验收监测结果</w:t>
            </w:r>
          </w:p>
          <w:p>
            <w:pPr>
              <w:numPr>
                <w:ilvl w:val="0"/>
                <w:numId w:val="5"/>
              </w:numPr>
              <w:snapToGrid w:val="0"/>
              <w:ind w:firstLine="482"/>
              <w:rPr>
                <w:b/>
                <w:bCs/>
                <w:color w:val="auto"/>
                <w:highlight w:val="none"/>
              </w:rPr>
            </w:pPr>
            <w:r>
              <w:rPr>
                <w:b/>
                <w:bCs/>
                <w:color w:val="auto"/>
                <w:highlight w:val="none"/>
              </w:rPr>
              <w:t>废气</w:t>
            </w:r>
          </w:p>
          <w:p>
            <w:pPr>
              <w:pStyle w:val="34"/>
              <w:jc w:val="both"/>
              <w:rPr>
                <w:rFonts w:cs="Times New Roman"/>
                <w:color w:val="auto"/>
                <w:szCs w:val="24"/>
                <w:highlight w:val="none"/>
              </w:rPr>
            </w:pPr>
            <w:r>
              <w:rPr>
                <w:rFonts w:cs="Times New Roman"/>
                <w:color w:val="auto"/>
                <w:szCs w:val="24"/>
                <w:highlight w:val="none"/>
              </w:rPr>
              <w:t>本项目运营期产生的废气主要为实验过程中产生的有机废气（VOCs、甲苯、苯、甲醇）、臭气（臭气浓度）和酸碱废气（硫酸雾、氯化氢、氨）。</w:t>
            </w:r>
          </w:p>
          <w:p>
            <w:pPr>
              <w:pStyle w:val="34"/>
              <w:jc w:val="both"/>
              <w:rPr>
                <w:rFonts w:cs="Times New Roman"/>
                <w:color w:val="auto"/>
                <w:szCs w:val="24"/>
                <w:highlight w:val="none"/>
              </w:rPr>
            </w:pPr>
            <w:r>
              <w:rPr>
                <w:rFonts w:ascii="Calibri" w:hAnsi="Calibri" w:cs="Calibri"/>
                <w:color w:val="auto"/>
                <w:szCs w:val="24"/>
                <w:highlight w:val="none"/>
              </w:rPr>
              <w:t>①</w:t>
            </w:r>
            <w:r>
              <w:rPr>
                <w:rFonts w:cs="Times New Roman"/>
                <w:color w:val="auto"/>
                <w:szCs w:val="24"/>
                <w:highlight w:val="none"/>
              </w:rPr>
              <w:t>有组织废气</w:t>
            </w:r>
          </w:p>
          <w:p>
            <w:pPr>
              <w:pStyle w:val="34"/>
              <w:jc w:val="both"/>
              <w:rPr>
                <w:rFonts w:cs="Times New Roman"/>
                <w:color w:val="auto"/>
                <w:szCs w:val="24"/>
                <w:highlight w:val="none"/>
              </w:rPr>
            </w:pPr>
            <w:r>
              <w:rPr>
                <w:rFonts w:cs="Times New Roman"/>
                <w:color w:val="auto"/>
                <w:szCs w:val="24"/>
                <w:highlight w:val="none"/>
              </w:rPr>
              <w:t>项目北侧合成实验室1及南侧理化室、液相室、气相室等运行过程中产生的有机废气、酸碱废气、臭气均由通风柜或万向吸风罩收集后，再经一套碱喷淋+活性炭吸附装置处理，处理后通过1根高于楼顶3m（距地面25m）的排气筒DA001排放；</w:t>
            </w:r>
          </w:p>
          <w:p>
            <w:pPr>
              <w:pStyle w:val="34"/>
              <w:jc w:val="both"/>
              <w:rPr>
                <w:rFonts w:cs="Times New Roman"/>
                <w:color w:val="auto"/>
                <w:szCs w:val="24"/>
                <w:highlight w:val="none"/>
              </w:rPr>
            </w:pPr>
            <w:r>
              <w:rPr>
                <w:rFonts w:cs="Times New Roman"/>
                <w:color w:val="auto"/>
                <w:szCs w:val="24"/>
                <w:highlight w:val="none"/>
              </w:rPr>
              <w:t>项目北侧合成实验室2、合成实验室3、氢化室等运行过程中产生的有机废气、酸碱废气、臭气均由通风柜收集后，再经一套碱喷淋+活性炭吸附装置处理，处理后通过1根高于楼顶3m（距地面25m）的排气筒DA002排放。</w:t>
            </w:r>
          </w:p>
          <w:p>
            <w:pPr>
              <w:pStyle w:val="34"/>
              <w:jc w:val="both"/>
              <w:rPr>
                <w:rFonts w:cs="Times New Roman"/>
                <w:color w:val="auto"/>
                <w:szCs w:val="24"/>
                <w:highlight w:val="none"/>
              </w:rPr>
            </w:pPr>
            <w:r>
              <w:rPr>
                <w:rFonts w:ascii="Calibri" w:hAnsi="Calibri" w:cs="Calibri"/>
                <w:color w:val="auto"/>
                <w:szCs w:val="24"/>
                <w:highlight w:val="none"/>
              </w:rPr>
              <w:t>②</w:t>
            </w:r>
            <w:r>
              <w:rPr>
                <w:rFonts w:cs="Times New Roman"/>
                <w:color w:val="auto"/>
                <w:szCs w:val="24"/>
                <w:highlight w:val="none"/>
              </w:rPr>
              <w:t>无组织废气</w:t>
            </w:r>
          </w:p>
          <w:p>
            <w:pPr>
              <w:pStyle w:val="34"/>
              <w:jc w:val="both"/>
              <w:rPr>
                <w:rFonts w:cs="Times New Roman"/>
                <w:color w:val="auto"/>
                <w:szCs w:val="24"/>
                <w:highlight w:val="none"/>
              </w:rPr>
            </w:pPr>
            <w:r>
              <w:rPr>
                <w:rFonts w:cs="Times New Roman"/>
                <w:color w:val="auto"/>
                <w:szCs w:val="24"/>
                <w:highlight w:val="none"/>
              </w:rPr>
              <w:t>未被收集的实验室废气等实验室通风后无组织排放。</w:t>
            </w:r>
          </w:p>
          <w:p>
            <w:pPr>
              <w:pStyle w:val="34"/>
              <w:rPr>
                <w:rFonts w:cs="Times New Roman"/>
                <w:color w:val="auto"/>
                <w:szCs w:val="24"/>
                <w:highlight w:val="none"/>
              </w:rPr>
            </w:pPr>
            <w:r>
              <w:rPr>
                <w:rFonts w:cs="Times New Roman"/>
                <w:color w:val="auto"/>
                <w:szCs w:val="24"/>
                <w:highlight w:val="none"/>
              </w:rPr>
              <w:t>项目设置</w:t>
            </w:r>
            <w:r>
              <w:rPr>
                <w:rFonts w:hint="eastAsia" w:cs="Times New Roman"/>
                <w:color w:val="auto"/>
                <w:szCs w:val="24"/>
                <w:highlight w:val="none"/>
              </w:rPr>
              <w:t>2</w:t>
            </w:r>
            <w:r>
              <w:rPr>
                <w:rFonts w:cs="Times New Roman"/>
                <w:color w:val="auto"/>
                <w:szCs w:val="24"/>
                <w:highlight w:val="none"/>
              </w:rPr>
              <w:t>根排气筒，此次验收共对</w:t>
            </w:r>
            <w:r>
              <w:rPr>
                <w:rFonts w:hint="eastAsia" w:cs="Times New Roman"/>
                <w:color w:val="auto"/>
                <w:szCs w:val="24"/>
                <w:highlight w:val="none"/>
              </w:rPr>
              <w:t>2</w:t>
            </w:r>
            <w:r>
              <w:rPr>
                <w:rFonts w:cs="Times New Roman"/>
                <w:color w:val="auto"/>
                <w:szCs w:val="24"/>
                <w:highlight w:val="none"/>
              </w:rPr>
              <w:t>根排气筒的废气排放情况进行了监测。</w:t>
            </w: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rPr>
              <w:t>2</w:t>
            </w:r>
            <w:r>
              <w:rPr>
                <w:b/>
                <w:bCs/>
                <w:color w:val="auto"/>
                <w:highlight w:val="none"/>
              </w:rPr>
              <w:t xml:space="preserve">  有组织废气监测结果表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1652"/>
              <w:gridCol w:w="1757"/>
              <w:gridCol w:w="1113"/>
              <w:gridCol w:w="1219"/>
              <w:gridCol w:w="1208"/>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Align w:val="center"/>
                </w:tcPr>
                <w:p>
                  <w:pPr>
                    <w:pStyle w:val="50"/>
                    <w:rPr>
                      <w:b/>
                      <w:bCs/>
                      <w:color w:val="auto"/>
                      <w:szCs w:val="21"/>
                      <w:highlight w:val="none"/>
                    </w:rPr>
                  </w:pPr>
                  <w:r>
                    <w:rPr>
                      <w:b/>
                      <w:bCs/>
                      <w:color w:val="auto"/>
                      <w:szCs w:val="21"/>
                      <w:highlight w:val="none"/>
                    </w:rPr>
                    <w:t>采样</w:t>
                  </w:r>
                </w:p>
                <w:p>
                  <w:pPr>
                    <w:pStyle w:val="50"/>
                    <w:rPr>
                      <w:b/>
                      <w:bCs/>
                      <w:color w:val="auto"/>
                      <w:szCs w:val="21"/>
                      <w:highlight w:val="none"/>
                    </w:rPr>
                  </w:pPr>
                  <w:r>
                    <w:rPr>
                      <w:b/>
                      <w:bCs/>
                      <w:color w:val="auto"/>
                      <w:szCs w:val="21"/>
                      <w:highlight w:val="none"/>
                    </w:rPr>
                    <w:t>时间</w:t>
                  </w:r>
                </w:p>
              </w:tc>
              <w:tc>
                <w:tcPr>
                  <w:tcW w:w="1652" w:type="dxa"/>
                  <w:vAlign w:val="center"/>
                </w:tcPr>
                <w:p>
                  <w:pPr>
                    <w:pStyle w:val="50"/>
                    <w:rPr>
                      <w:b/>
                      <w:bCs/>
                      <w:color w:val="auto"/>
                      <w:szCs w:val="21"/>
                      <w:highlight w:val="none"/>
                    </w:rPr>
                  </w:pPr>
                  <w:r>
                    <w:rPr>
                      <w:b/>
                      <w:bCs/>
                      <w:color w:val="auto"/>
                      <w:szCs w:val="21"/>
                      <w:highlight w:val="none"/>
                    </w:rPr>
                    <w:t>采样</w:t>
                  </w:r>
                </w:p>
                <w:p>
                  <w:pPr>
                    <w:pStyle w:val="50"/>
                    <w:rPr>
                      <w:b/>
                      <w:bCs/>
                      <w:color w:val="auto"/>
                      <w:szCs w:val="21"/>
                      <w:highlight w:val="none"/>
                    </w:rPr>
                  </w:pPr>
                  <w:r>
                    <w:rPr>
                      <w:b/>
                      <w:bCs/>
                      <w:color w:val="auto"/>
                      <w:szCs w:val="21"/>
                      <w:highlight w:val="none"/>
                    </w:rPr>
                    <w:t>点位</w:t>
                  </w:r>
                </w:p>
              </w:tc>
              <w:tc>
                <w:tcPr>
                  <w:tcW w:w="1757" w:type="dxa"/>
                  <w:vAlign w:val="center"/>
                </w:tcPr>
                <w:p>
                  <w:pPr>
                    <w:pStyle w:val="50"/>
                    <w:rPr>
                      <w:b/>
                      <w:bCs/>
                      <w:color w:val="auto"/>
                      <w:szCs w:val="21"/>
                      <w:highlight w:val="none"/>
                    </w:rPr>
                  </w:pPr>
                  <w:r>
                    <w:rPr>
                      <w:b/>
                      <w:bCs/>
                      <w:color w:val="auto"/>
                      <w:szCs w:val="21"/>
                      <w:highlight w:val="none"/>
                    </w:rPr>
                    <w:t>检测</w:t>
                  </w:r>
                </w:p>
                <w:p>
                  <w:pPr>
                    <w:pStyle w:val="50"/>
                    <w:rPr>
                      <w:b/>
                      <w:bCs/>
                      <w:color w:val="auto"/>
                      <w:szCs w:val="21"/>
                      <w:highlight w:val="none"/>
                    </w:rPr>
                  </w:pPr>
                  <w:r>
                    <w:rPr>
                      <w:b/>
                      <w:bCs/>
                      <w:color w:val="auto"/>
                      <w:szCs w:val="21"/>
                      <w:highlight w:val="none"/>
                    </w:rPr>
                    <w:t>项目</w:t>
                  </w:r>
                </w:p>
              </w:tc>
              <w:tc>
                <w:tcPr>
                  <w:tcW w:w="1113" w:type="dxa"/>
                  <w:vAlign w:val="center"/>
                </w:tcPr>
                <w:p>
                  <w:pPr>
                    <w:pStyle w:val="50"/>
                    <w:rPr>
                      <w:b/>
                      <w:bCs/>
                      <w:color w:val="auto"/>
                      <w:szCs w:val="21"/>
                      <w:highlight w:val="none"/>
                    </w:rPr>
                  </w:pPr>
                  <w:r>
                    <w:rPr>
                      <w:b/>
                      <w:bCs/>
                      <w:color w:val="auto"/>
                      <w:szCs w:val="21"/>
                      <w:highlight w:val="none"/>
                    </w:rPr>
                    <w:t>采样</w:t>
                  </w:r>
                </w:p>
                <w:p>
                  <w:pPr>
                    <w:pStyle w:val="50"/>
                    <w:rPr>
                      <w:b/>
                      <w:bCs/>
                      <w:color w:val="auto"/>
                      <w:szCs w:val="21"/>
                      <w:highlight w:val="none"/>
                    </w:rPr>
                  </w:pPr>
                  <w:r>
                    <w:rPr>
                      <w:b/>
                      <w:bCs/>
                      <w:color w:val="auto"/>
                      <w:szCs w:val="21"/>
                      <w:highlight w:val="none"/>
                    </w:rPr>
                    <w:t>频次</w:t>
                  </w:r>
                </w:p>
              </w:tc>
              <w:tc>
                <w:tcPr>
                  <w:tcW w:w="0" w:type="auto"/>
                  <w:vAlign w:val="center"/>
                </w:tcPr>
                <w:p>
                  <w:pPr>
                    <w:pStyle w:val="50"/>
                    <w:rPr>
                      <w:b/>
                      <w:bCs/>
                      <w:color w:val="auto"/>
                      <w:szCs w:val="21"/>
                      <w:highlight w:val="none"/>
                    </w:rPr>
                  </w:pPr>
                  <w:r>
                    <w:rPr>
                      <w:b/>
                      <w:bCs/>
                      <w:color w:val="auto"/>
                      <w:szCs w:val="21"/>
                      <w:highlight w:val="none"/>
                    </w:rPr>
                    <w:t>检测结果</w:t>
                  </w:r>
                </w:p>
                <w:p>
                  <w:pPr>
                    <w:pStyle w:val="50"/>
                    <w:rPr>
                      <w:b/>
                      <w:bCs/>
                      <w:color w:val="auto"/>
                      <w:szCs w:val="21"/>
                      <w:highlight w:val="none"/>
                    </w:rPr>
                  </w:pPr>
                  <w:r>
                    <w:rPr>
                      <w:b/>
                      <w:bCs/>
                      <w:color w:val="auto"/>
                      <w:szCs w:val="21"/>
                      <w:highlight w:val="none"/>
                    </w:rPr>
                    <w:t>（mg/m</w:t>
                  </w:r>
                  <w:r>
                    <w:rPr>
                      <w:b/>
                      <w:bCs/>
                      <w:color w:val="auto"/>
                      <w:szCs w:val="21"/>
                      <w:highlight w:val="none"/>
                      <w:vertAlign w:val="superscript"/>
                    </w:rPr>
                    <w:t>3</w:t>
                  </w:r>
                  <w:r>
                    <w:rPr>
                      <w:b/>
                      <w:bCs/>
                      <w:color w:val="auto"/>
                      <w:szCs w:val="21"/>
                      <w:highlight w:val="none"/>
                    </w:rPr>
                    <w:t>）</w:t>
                  </w:r>
                </w:p>
              </w:tc>
              <w:tc>
                <w:tcPr>
                  <w:tcW w:w="0" w:type="auto"/>
                  <w:vAlign w:val="center"/>
                </w:tcPr>
                <w:p>
                  <w:pPr>
                    <w:pStyle w:val="50"/>
                    <w:rPr>
                      <w:b/>
                      <w:bCs/>
                      <w:color w:val="auto"/>
                      <w:szCs w:val="21"/>
                      <w:highlight w:val="none"/>
                    </w:rPr>
                  </w:pPr>
                  <w:r>
                    <w:rPr>
                      <w:b/>
                      <w:bCs/>
                      <w:color w:val="auto"/>
                      <w:szCs w:val="21"/>
                      <w:highlight w:val="none"/>
                    </w:rPr>
                    <w:t>标干流量</w:t>
                  </w:r>
                </w:p>
                <w:p>
                  <w:pPr>
                    <w:pStyle w:val="50"/>
                    <w:rPr>
                      <w:b/>
                      <w:bCs/>
                      <w:color w:val="auto"/>
                      <w:szCs w:val="21"/>
                      <w:highlight w:val="none"/>
                    </w:rPr>
                  </w:pPr>
                  <w:r>
                    <w:rPr>
                      <w:b/>
                      <w:bCs/>
                      <w:color w:val="auto"/>
                      <w:szCs w:val="21"/>
                      <w:highlight w:val="none"/>
                    </w:rPr>
                    <w:t>（Nm</w:t>
                  </w:r>
                  <w:r>
                    <w:rPr>
                      <w:b/>
                      <w:bCs/>
                      <w:color w:val="auto"/>
                      <w:szCs w:val="21"/>
                      <w:highlight w:val="none"/>
                      <w:vertAlign w:val="superscript"/>
                    </w:rPr>
                    <w:t>3</w:t>
                  </w:r>
                  <w:r>
                    <w:rPr>
                      <w:b/>
                      <w:bCs/>
                      <w:color w:val="auto"/>
                      <w:szCs w:val="21"/>
                      <w:highlight w:val="none"/>
                    </w:rPr>
                    <w:t>/h）</w:t>
                  </w:r>
                </w:p>
              </w:tc>
              <w:tc>
                <w:tcPr>
                  <w:tcW w:w="0" w:type="auto"/>
                  <w:vAlign w:val="center"/>
                </w:tcPr>
                <w:p>
                  <w:pPr>
                    <w:pStyle w:val="50"/>
                    <w:rPr>
                      <w:b/>
                      <w:bCs/>
                      <w:color w:val="auto"/>
                      <w:szCs w:val="21"/>
                      <w:highlight w:val="none"/>
                    </w:rPr>
                  </w:pPr>
                  <w:r>
                    <w:rPr>
                      <w:b/>
                      <w:bCs/>
                      <w:color w:val="auto"/>
                      <w:szCs w:val="21"/>
                      <w:highlight w:val="none"/>
                    </w:rPr>
                    <w:t>排放速率</w:t>
                  </w:r>
                </w:p>
                <w:p>
                  <w:pPr>
                    <w:pStyle w:val="50"/>
                    <w:rPr>
                      <w:b/>
                      <w:bCs/>
                      <w:color w:val="auto"/>
                      <w:szCs w:val="21"/>
                      <w:highlight w:val="none"/>
                    </w:rPr>
                  </w:pPr>
                  <w:r>
                    <w:rPr>
                      <w:b/>
                      <w:bCs/>
                      <w:color w:val="auto"/>
                      <w:szCs w:val="21"/>
                      <w:highlight w:val="none"/>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restart"/>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1652" w:type="dxa"/>
                  <w:vMerge w:val="restart"/>
                  <w:vAlign w:val="center"/>
                </w:tcPr>
                <w:p>
                  <w:pPr>
                    <w:pStyle w:val="50"/>
                    <w:rPr>
                      <w:color w:val="auto"/>
                      <w:szCs w:val="21"/>
                      <w:highlight w:val="none"/>
                    </w:rPr>
                  </w:pPr>
                  <w:r>
                    <w:rPr>
                      <w:color w:val="auto"/>
                      <w:szCs w:val="21"/>
                      <w:highlight w:val="none"/>
                    </w:rPr>
                    <w:t>合成实验室1废气排气筒DA001出口</w:t>
                  </w: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第一次</w:t>
                  </w:r>
                </w:p>
              </w:tc>
              <w:tc>
                <w:tcPr>
                  <w:tcW w:w="0" w:type="auto"/>
                  <w:vAlign w:val="center"/>
                </w:tcPr>
                <w:p>
                  <w:pPr>
                    <w:pStyle w:val="50"/>
                    <w:rPr>
                      <w:color w:val="auto"/>
                      <w:szCs w:val="21"/>
                      <w:highlight w:val="none"/>
                    </w:rPr>
                  </w:pPr>
                  <w:r>
                    <w:rPr>
                      <w:color w:val="auto"/>
                      <w:szCs w:val="21"/>
                      <w:highlight w:val="none"/>
                    </w:rPr>
                    <w:t>2.06</w:t>
                  </w:r>
                </w:p>
              </w:tc>
              <w:tc>
                <w:tcPr>
                  <w:tcW w:w="0" w:type="auto"/>
                  <w:vMerge w:val="restart"/>
                  <w:vAlign w:val="center"/>
                </w:tcPr>
                <w:p>
                  <w:pPr>
                    <w:pStyle w:val="50"/>
                    <w:rPr>
                      <w:color w:val="auto"/>
                      <w:szCs w:val="21"/>
                      <w:highlight w:val="none"/>
                    </w:rPr>
                  </w:pPr>
                  <w:r>
                    <w:rPr>
                      <w:color w:val="auto"/>
                      <w:szCs w:val="21"/>
                      <w:highlight w:val="none"/>
                    </w:rPr>
                    <w:t>13805</w:t>
                  </w:r>
                </w:p>
              </w:tc>
              <w:tc>
                <w:tcPr>
                  <w:tcW w:w="0" w:type="auto"/>
                  <w:vAlign w:val="center"/>
                </w:tcPr>
                <w:p>
                  <w:pPr>
                    <w:pStyle w:val="50"/>
                    <w:rPr>
                      <w:color w:val="auto"/>
                      <w:szCs w:val="21"/>
                      <w:highlight w:val="none"/>
                    </w:rPr>
                  </w:pPr>
                  <w:r>
                    <w:rPr>
                      <w:color w:val="auto"/>
                      <w:szCs w:val="21"/>
                      <w:highlight w:val="none"/>
                    </w:rPr>
                    <w:t>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0.57</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7.9×10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416</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第二次</w:t>
                  </w:r>
                </w:p>
              </w:tc>
              <w:tc>
                <w:tcPr>
                  <w:tcW w:w="0" w:type="auto"/>
                  <w:vAlign w:val="center"/>
                </w:tcPr>
                <w:p>
                  <w:pPr>
                    <w:pStyle w:val="50"/>
                    <w:rPr>
                      <w:color w:val="auto"/>
                      <w:szCs w:val="21"/>
                      <w:highlight w:val="none"/>
                    </w:rPr>
                  </w:pPr>
                  <w:r>
                    <w:rPr>
                      <w:color w:val="auto"/>
                      <w:szCs w:val="21"/>
                      <w:highlight w:val="none"/>
                    </w:rPr>
                    <w:t>2.09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2.1</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0.43</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5.9×10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549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第三次</w:t>
                  </w:r>
                </w:p>
              </w:tc>
              <w:tc>
                <w:tcPr>
                  <w:tcW w:w="0" w:type="auto"/>
                  <w:vAlign w:val="center"/>
                </w:tcPr>
                <w:p>
                  <w:pPr>
                    <w:pStyle w:val="50"/>
                    <w:rPr>
                      <w:color w:val="auto"/>
                      <w:szCs w:val="21"/>
                      <w:highlight w:val="none"/>
                    </w:rPr>
                  </w:pPr>
                  <w:r>
                    <w:rPr>
                      <w:color w:val="auto"/>
                      <w:szCs w:val="21"/>
                      <w:highlight w:val="none"/>
                    </w:rPr>
                    <w:t>1.96</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0.62</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8.6×10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309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restart"/>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1652" w:type="dxa"/>
                  <w:vMerge w:val="restart"/>
                  <w:vAlign w:val="center"/>
                </w:tcPr>
                <w:p>
                  <w:pPr>
                    <w:pStyle w:val="50"/>
                    <w:rPr>
                      <w:color w:val="auto"/>
                      <w:szCs w:val="21"/>
                      <w:highlight w:val="none"/>
                    </w:rPr>
                  </w:pPr>
                  <w:r>
                    <w:rPr>
                      <w:color w:val="auto"/>
                      <w:szCs w:val="21"/>
                      <w:highlight w:val="none"/>
                    </w:rPr>
                    <w:t>合成实验室2、3废气排气筒DA002出口</w:t>
                  </w: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第一次</w:t>
                  </w:r>
                </w:p>
              </w:tc>
              <w:tc>
                <w:tcPr>
                  <w:tcW w:w="0" w:type="auto"/>
                  <w:vAlign w:val="center"/>
                </w:tcPr>
                <w:p>
                  <w:pPr>
                    <w:pStyle w:val="50"/>
                    <w:rPr>
                      <w:color w:val="auto"/>
                      <w:szCs w:val="21"/>
                      <w:highlight w:val="none"/>
                    </w:rPr>
                  </w:pPr>
                  <w:r>
                    <w:rPr>
                      <w:color w:val="auto"/>
                      <w:szCs w:val="21"/>
                      <w:highlight w:val="none"/>
                    </w:rPr>
                    <w:t>2.01</w:t>
                  </w:r>
                </w:p>
              </w:tc>
              <w:tc>
                <w:tcPr>
                  <w:tcW w:w="0" w:type="auto"/>
                  <w:vMerge w:val="restart"/>
                  <w:vAlign w:val="center"/>
                </w:tcPr>
                <w:p>
                  <w:pPr>
                    <w:pStyle w:val="50"/>
                    <w:rPr>
                      <w:color w:val="auto"/>
                      <w:szCs w:val="21"/>
                      <w:highlight w:val="none"/>
                    </w:rPr>
                  </w:pPr>
                  <w:r>
                    <w:rPr>
                      <w:color w:val="auto"/>
                      <w:szCs w:val="21"/>
                      <w:highlight w:val="none"/>
                    </w:rPr>
                    <w:t>12033</w:t>
                  </w:r>
                </w:p>
              </w:tc>
              <w:tc>
                <w:tcPr>
                  <w:tcW w:w="0" w:type="auto"/>
                  <w:vAlign w:val="center"/>
                </w:tcPr>
                <w:p>
                  <w:pPr>
                    <w:pStyle w:val="5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0.49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234</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第二次</w:t>
                  </w:r>
                </w:p>
              </w:tc>
              <w:tc>
                <w:tcPr>
                  <w:tcW w:w="0" w:type="auto"/>
                  <w:vAlign w:val="center"/>
                </w:tcPr>
                <w:p>
                  <w:pPr>
                    <w:pStyle w:val="50"/>
                    <w:rPr>
                      <w:color w:val="auto"/>
                      <w:szCs w:val="21"/>
                      <w:highlight w:val="none"/>
                    </w:rPr>
                  </w:pPr>
                  <w:r>
                    <w:rPr>
                      <w:color w:val="auto"/>
                      <w:szCs w:val="21"/>
                      <w:highlight w:val="none"/>
                    </w:rPr>
                    <w:t>1.97</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0.75</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9.0×10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309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第三次</w:t>
                  </w:r>
                </w:p>
              </w:tc>
              <w:tc>
                <w:tcPr>
                  <w:tcW w:w="0" w:type="auto"/>
                  <w:vAlign w:val="center"/>
                </w:tcPr>
                <w:p>
                  <w:pPr>
                    <w:pStyle w:val="50"/>
                    <w:rPr>
                      <w:color w:val="auto"/>
                      <w:szCs w:val="21"/>
                      <w:highlight w:val="none"/>
                    </w:rPr>
                  </w:pPr>
                  <w:r>
                    <w:rPr>
                      <w:color w:val="auto"/>
                      <w:szCs w:val="21"/>
                      <w:highlight w:val="none"/>
                    </w:rPr>
                    <w:t>1.88</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0.54</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6.5×10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416</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restart"/>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1652" w:type="dxa"/>
                  <w:vMerge w:val="restart"/>
                  <w:vAlign w:val="center"/>
                </w:tcPr>
                <w:p>
                  <w:pPr>
                    <w:pStyle w:val="50"/>
                    <w:rPr>
                      <w:color w:val="auto"/>
                      <w:szCs w:val="21"/>
                      <w:highlight w:val="none"/>
                    </w:rPr>
                  </w:pPr>
                  <w:r>
                    <w:rPr>
                      <w:color w:val="auto"/>
                      <w:szCs w:val="21"/>
                      <w:highlight w:val="none"/>
                    </w:rPr>
                    <w:t>合成实验室1废气排气筒DA001出口</w:t>
                  </w: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第一次</w:t>
                  </w:r>
                </w:p>
              </w:tc>
              <w:tc>
                <w:tcPr>
                  <w:tcW w:w="0" w:type="auto"/>
                  <w:vAlign w:val="center"/>
                </w:tcPr>
                <w:p>
                  <w:pPr>
                    <w:pStyle w:val="50"/>
                    <w:rPr>
                      <w:color w:val="auto"/>
                      <w:szCs w:val="21"/>
                      <w:highlight w:val="none"/>
                    </w:rPr>
                  </w:pPr>
                  <w:r>
                    <w:rPr>
                      <w:color w:val="auto"/>
                      <w:szCs w:val="21"/>
                      <w:highlight w:val="none"/>
                    </w:rPr>
                    <w:t>2.04</w:t>
                  </w:r>
                </w:p>
              </w:tc>
              <w:tc>
                <w:tcPr>
                  <w:tcW w:w="0" w:type="auto"/>
                  <w:vMerge w:val="restart"/>
                  <w:vAlign w:val="center"/>
                </w:tcPr>
                <w:p>
                  <w:pPr>
                    <w:pStyle w:val="50"/>
                    <w:rPr>
                      <w:color w:val="auto"/>
                      <w:szCs w:val="21"/>
                      <w:highlight w:val="none"/>
                    </w:rPr>
                  </w:pPr>
                  <w:r>
                    <w:rPr>
                      <w:color w:val="auto"/>
                      <w:szCs w:val="21"/>
                      <w:highlight w:val="none"/>
                    </w:rPr>
                    <w:t>13766</w:t>
                  </w:r>
                </w:p>
              </w:tc>
              <w:tc>
                <w:tcPr>
                  <w:tcW w:w="0" w:type="auto"/>
                  <w:vAlign w:val="center"/>
                </w:tcPr>
                <w:p>
                  <w:pPr>
                    <w:pStyle w:val="50"/>
                    <w:rPr>
                      <w:color w:val="auto"/>
                      <w:szCs w:val="21"/>
                      <w:highlight w:val="none"/>
                    </w:rPr>
                  </w:pPr>
                  <w:r>
                    <w:rPr>
                      <w:color w:val="auto"/>
                      <w:szCs w:val="21"/>
                      <w:highlight w:val="none"/>
                    </w:rPr>
                    <w:t>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0.38</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5.2×10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416</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第二次</w:t>
                  </w:r>
                </w:p>
              </w:tc>
              <w:tc>
                <w:tcPr>
                  <w:tcW w:w="0" w:type="auto"/>
                  <w:vAlign w:val="center"/>
                </w:tcPr>
                <w:p>
                  <w:pPr>
                    <w:pStyle w:val="50"/>
                    <w:rPr>
                      <w:color w:val="auto"/>
                      <w:szCs w:val="21"/>
                      <w:highlight w:val="none"/>
                    </w:rPr>
                  </w:pPr>
                  <w:r>
                    <w:rPr>
                      <w:color w:val="auto"/>
                      <w:szCs w:val="21"/>
                      <w:highlight w:val="none"/>
                    </w:rPr>
                    <w:t>1.89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0.51</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7.0×10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549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第三次</w:t>
                  </w:r>
                </w:p>
              </w:tc>
              <w:tc>
                <w:tcPr>
                  <w:tcW w:w="0" w:type="auto"/>
                  <w:vAlign w:val="center"/>
                </w:tcPr>
                <w:p>
                  <w:pPr>
                    <w:pStyle w:val="50"/>
                    <w:rPr>
                      <w:color w:val="auto"/>
                      <w:szCs w:val="21"/>
                      <w:highlight w:val="none"/>
                    </w:rPr>
                  </w:pPr>
                  <w:r>
                    <w:rPr>
                      <w:color w:val="auto"/>
                      <w:szCs w:val="21"/>
                      <w:highlight w:val="none"/>
                    </w:rPr>
                    <w:t>1.98</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0.46</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6.3×10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309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restart"/>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1652" w:type="dxa"/>
                  <w:vMerge w:val="restart"/>
                  <w:vAlign w:val="center"/>
                </w:tcPr>
                <w:p>
                  <w:pPr>
                    <w:pStyle w:val="50"/>
                    <w:rPr>
                      <w:color w:val="auto"/>
                      <w:szCs w:val="21"/>
                      <w:highlight w:val="none"/>
                    </w:rPr>
                  </w:pPr>
                  <w:r>
                    <w:rPr>
                      <w:color w:val="auto"/>
                      <w:szCs w:val="21"/>
                      <w:highlight w:val="none"/>
                    </w:rPr>
                    <w:t>合成实验室2、3废气排气筒DA002出口</w:t>
                  </w: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第一次</w:t>
                  </w:r>
                </w:p>
              </w:tc>
              <w:tc>
                <w:tcPr>
                  <w:tcW w:w="0" w:type="auto"/>
                  <w:vAlign w:val="center"/>
                </w:tcPr>
                <w:p>
                  <w:pPr>
                    <w:pStyle w:val="50"/>
                    <w:rPr>
                      <w:color w:val="auto"/>
                      <w:szCs w:val="21"/>
                      <w:highlight w:val="none"/>
                    </w:rPr>
                  </w:pPr>
                  <w:r>
                    <w:rPr>
                      <w:color w:val="auto"/>
                      <w:szCs w:val="21"/>
                      <w:highlight w:val="none"/>
                    </w:rPr>
                    <w:t>2.05</w:t>
                  </w:r>
                </w:p>
              </w:tc>
              <w:tc>
                <w:tcPr>
                  <w:tcW w:w="0" w:type="auto"/>
                  <w:vMerge w:val="restart"/>
                  <w:vAlign w:val="center"/>
                </w:tcPr>
                <w:p>
                  <w:pPr>
                    <w:pStyle w:val="50"/>
                    <w:rPr>
                      <w:color w:val="auto"/>
                      <w:szCs w:val="21"/>
                      <w:highlight w:val="none"/>
                    </w:rPr>
                  </w:pPr>
                  <w:r>
                    <w:rPr>
                      <w:color w:val="auto"/>
                      <w:szCs w:val="21"/>
                      <w:highlight w:val="none"/>
                    </w:rPr>
                    <w:t>12219</w:t>
                  </w:r>
                </w:p>
              </w:tc>
              <w:tc>
                <w:tcPr>
                  <w:tcW w:w="0" w:type="auto"/>
                  <w:vAlign w:val="center"/>
                </w:tcPr>
                <w:p>
                  <w:pPr>
                    <w:pStyle w:val="50"/>
                    <w:rPr>
                      <w:color w:val="auto"/>
                      <w:szCs w:val="21"/>
                      <w:highlight w:val="none"/>
                    </w:rPr>
                  </w:pPr>
                  <w:r>
                    <w:rPr>
                      <w:color w:val="auto"/>
                      <w:szCs w:val="21"/>
                      <w:highlight w:val="none"/>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0.67</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8.2×10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309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第二次</w:t>
                  </w:r>
                </w:p>
              </w:tc>
              <w:tc>
                <w:tcPr>
                  <w:tcW w:w="0" w:type="auto"/>
                  <w:vAlign w:val="center"/>
                </w:tcPr>
                <w:p>
                  <w:pPr>
                    <w:pStyle w:val="50"/>
                    <w:rPr>
                      <w:color w:val="auto"/>
                      <w:szCs w:val="21"/>
                      <w:highlight w:val="none"/>
                    </w:rPr>
                  </w:pPr>
                  <w:r>
                    <w:rPr>
                      <w:color w:val="auto"/>
                      <w:szCs w:val="21"/>
                      <w:highlight w:val="none"/>
                    </w:rPr>
                    <w:t>1.92</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0.59</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7.2×10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416</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VOCs（非甲烷总烃）</w:t>
                  </w:r>
                </w:p>
              </w:tc>
              <w:tc>
                <w:tcPr>
                  <w:tcW w:w="1113" w:type="dxa"/>
                  <w:vMerge w:val="restart"/>
                  <w:vAlign w:val="center"/>
                </w:tcPr>
                <w:p>
                  <w:pPr>
                    <w:pStyle w:val="50"/>
                    <w:rPr>
                      <w:color w:val="auto"/>
                      <w:szCs w:val="21"/>
                      <w:highlight w:val="none"/>
                    </w:rPr>
                  </w:pPr>
                  <w:r>
                    <w:rPr>
                      <w:color w:val="auto"/>
                      <w:szCs w:val="21"/>
                      <w:highlight w:val="none"/>
                    </w:rPr>
                    <w:t>第三次</w:t>
                  </w:r>
                </w:p>
              </w:tc>
              <w:tc>
                <w:tcPr>
                  <w:tcW w:w="0" w:type="auto"/>
                  <w:vAlign w:val="center"/>
                </w:tcPr>
                <w:p>
                  <w:pPr>
                    <w:pStyle w:val="50"/>
                    <w:rPr>
                      <w:color w:val="auto"/>
                      <w:szCs w:val="21"/>
                      <w:highlight w:val="none"/>
                    </w:rPr>
                  </w:pPr>
                  <w:r>
                    <w:rPr>
                      <w:color w:val="auto"/>
                      <w:szCs w:val="21"/>
                      <w:highlight w:val="none"/>
                    </w:rPr>
                    <w:t>2.08</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甲苯</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甲醇</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氯化氢</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未检出</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氨</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0.35</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4.3×10</w:t>
                  </w:r>
                  <w:r>
                    <w:rPr>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908" w:type="dxa"/>
                  <w:vMerge w:val="continue"/>
                  <w:vAlign w:val="center"/>
                </w:tcPr>
                <w:p>
                  <w:pPr>
                    <w:pStyle w:val="50"/>
                    <w:rPr>
                      <w:color w:val="auto"/>
                      <w:szCs w:val="21"/>
                      <w:highlight w:val="none"/>
                    </w:rPr>
                  </w:pPr>
                </w:p>
              </w:tc>
              <w:tc>
                <w:tcPr>
                  <w:tcW w:w="1652" w:type="dxa"/>
                  <w:vMerge w:val="continue"/>
                  <w:vAlign w:val="center"/>
                </w:tcPr>
                <w:p>
                  <w:pPr>
                    <w:pStyle w:val="50"/>
                    <w:rPr>
                      <w:color w:val="auto"/>
                      <w:szCs w:val="21"/>
                      <w:highlight w:val="none"/>
                    </w:rPr>
                  </w:pPr>
                </w:p>
              </w:tc>
              <w:tc>
                <w:tcPr>
                  <w:tcW w:w="1757" w:type="dxa"/>
                  <w:vAlign w:val="center"/>
                </w:tcPr>
                <w:p>
                  <w:pPr>
                    <w:pStyle w:val="50"/>
                    <w:rPr>
                      <w:color w:val="auto"/>
                      <w:szCs w:val="21"/>
                      <w:highlight w:val="none"/>
                    </w:rPr>
                  </w:pPr>
                  <w:r>
                    <w:rPr>
                      <w:color w:val="auto"/>
                      <w:szCs w:val="21"/>
                      <w:highlight w:val="none"/>
                    </w:rPr>
                    <w:t>臭气浓度（无量纲）</w:t>
                  </w:r>
                </w:p>
              </w:tc>
              <w:tc>
                <w:tcPr>
                  <w:tcW w:w="1113" w:type="dxa"/>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234</w:t>
                  </w:r>
                </w:p>
              </w:tc>
              <w:tc>
                <w:tcPr>
                  <w:tcW w:w="0" w:type="auto"/>
                  <w:vMerge w:val="continue"/>
                  <w:vAlign w:val="center"/>
                </w:tcPr>
                <w:p>
                  <w:pPr>
                    <w:pStyle w:val="50"/>
                    <w:rPr>
                      <w:color w:val="auto"/>
                      <w:szCs w:val="21"/>
                      <w:highlight w:val="none"/>
                    </w:rPr>
                  </w:pPr>
                </w:p>
              </w:tc>
              <w:tc>
                <w:tcPr>
                  <w:tcW w:w="0" w:type="auto"/>
                  <w:vAlign w:val="center"/>
                </w:tcPr>
                <w:p>
                  <w:pPr>
                    <w:pStyle w:val="50"/>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0" w:type="auto"/>
                  <w:gridSpan w:val="7"/>
                </w:tcPr>
                <w:p>
                  <w:pPr>
                    <w:pStyle w:val="50"/>
                    <w:jc w:val="left"/>
                    <w:rPr>
                      <w:color w:val="auto"/>
                      <w:szCs w:val="21"/>
                      <w:highlight w:val="none"/>
                    </w:rPr>
                  </w:pPr>
                  <w:r>
                    <w:rPr>
                      <w:color w:val="auto"/>
                      <w:szCs w:val="21"/>
                      <w:highlight w:val="none"/>
                    </w:rPr>
                    <w:t>备注：排气筒DA001高度为25m，出口内径：0.57m，处理措施：碱喷淋+活性炭吸附；</w:t>
                  </w:r>
                </w:p>
                <w:p>
                  <w:pPr>
                    <w:pStyle w:val="50"/>
                    <w:jc w:val="left"/>
                    <w:rPr>
                      <w:color w:val="auto"/>
                      <w:szCs w:val="21"/>
                      <w:highlight w:val="none"/>
                    </w:rPr>
                  </w:pPr>
                  <w:r>
                    <w:rPr>
                      <w:color w:val="auto"/>
                      <w:szCs w:val="21"/>
                      <w:highlight w:val="none"/>
                    </w:rPr>
                    <w:t>排气筒DA002高度为25m，出口内径：0.57m，处理措施：碱喷淋+活性炭吸附；</w:t>
                  </w:r>
                </w:p>
                <w:p>
                  <w:pPr>
                    <w:pStyle w:val="50"/>
                    <w:jc w:val="left"/>
                    <w:rPr>
                      <w:color w:val="auto"/>
                      <w:szCs w:val="21"/>
                      <w:highlight w:val="none"/>
                    </w:rPr>
                  </w:pPr>
                  <w:r>
                    <w:rPr>
                      <w:color w:val="auto"/>
                      <w:szCs w:val="21"/>
                      <w:highlight w:val="none"/>
                    </w:rPr>
                    <w:t>标干流量为三次采样标干流量的平均值；</w:t>
                  </w:r>
                </w:p>
                <w:p>
                  <w:pPr>
                    <w:pStyle w:val="50"/>
                    <w:jc w:val="left"/>
                    <w:rPr>
                      <w:color w:val="auto"/>
                      <w:szCs w:val="21"/>
                      <w:highlight w:val="none"/>
                    </w:rPr>
                  </w:pPr>
                  <w:r>
                    <w:rPr>
                      <w:color w:val="auto"/>
                      <w:szCs w:val="21"/>
                      <w:highlight w:val="none"/>
                    </w:rPr>
                    <w:t>未检出表示检测值小于检出限。</w:t>
                  </w:r>
                </w:p>
                <w:p>
                  <w:pPr>
                    <w:pStyle w:val="50"/>
                    <w:jc w:val="left"/>
                    <w:rPr>
                      <w:rFonts w:hint="eastAsia" w:eastAsia="宋体"/>
                      <w:color w:val="auto"/>
                      <w:szCs w:val="21"/>
                      <w:highlight w:val="none"/>
                      <w:lang w:eastAsia="zh-CN"/>
                    </w:rPr>
                  </w:pPr>
                  <w:r>
                    <w:rPr>
                      <w:rFonts w:hint="eastAsia"/>
                      <w:color w:val="auto"/>
                      <w:szCs w:val="21"/>
                      <w:highlight w:val="none"/>
                      <w:lang w:eastAsia="zh-CN" w:bidi="ar"/>
                    </w:rPr>
                    <w:t>试运行验收期间，浓硫酸暂时使用不到，故未对其检测。</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rPr>
              <w:t>3</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1177"/>
              <w:gridCol w:w="1369"/>
              <w:gridCol w:w="1521"/>
              <w:gridCol w:w="1344"/>
              <w:gridCol w:w="1460"/>
              <w:gridCol w:w="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659"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76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85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5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最大排放速率（kg/h）</w:t>
                  </w:r>
                </w:p>
              </w:tc>
              <w:tc>
                <w:tcPr>
                  <w:tcW w:w="81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最大允许排放速率（kg/h）</w:t>
                  </w:r>
                </w:p>
              </w:tc>
              <w:tc>
                <w:tcPr>
                  <w:tcW w:w="55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6"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合成实验室1废气排气筒DA001出口</w:t>
                  </w: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2.09</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0.029</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0.90</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5.2</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30</w:t>
                  </w:r>
                </w:p>
              </w:tc>
              <w:tc>
                <w:tcPr>
                  <w:tcW w:w="752"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0.43</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2.1</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190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0.029</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0.62</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r>
                    <w:rPr>
                      <w:color w:val="auto"/>
                      <w:sz w:val="21"/>
                      <w:szCs w:val="21"/>
                      <w:highlight w:val="none"/>
                    </w:rPr>
                    <w:t>×10</w:t>
                  </w:r>
                  <w:r>
                    <w:rPr>
                      <w:color w:val="auto"/>
                      <w:sz w:val="21"/>
                      <w:szCs w:val="21"/>
                      <w:highlight w:val="none"/>
                      <w:vertAlign w:val="superscript"/>
                    </w:rPr>
                    <w:t>-3</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8.7</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549（无量纲）</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6000（无量纲）</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restar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合成实验室2、3废气排气筒DA002出口</w:t>
                  </w: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2.08</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0.025</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0.90</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5.2</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0.43</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190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0.75</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9.0</w:t>
                  </w:r>
                  <w:r>
                    <w:rPr>
                      <w:color w:val="auto"/>
                      <w:sz w:val="21"/>
                      <w:szCs w:val="21"/>
                      <w:highlight w:val="none"/>
                    </w:rPr>
                    <w:t>×10</w:t>
                  </w:r>
                  <w:r>
                    <w:rPr>
                      <w:color w:val="auto"/>
                      <w:sz w:val="21"/>
                      <w:szCs w:val="21"/>
                      <w:highlight w:val="none"/>
                      <w:vertAlign w:val="superscript"/>
                    </w:rPr>
                    <w:t>-3</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8.7</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7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5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5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416（无量纲）</w:t>
                  </w:r>
                </w:p>
              </w:tc>
              <w:tc>
                <w:tcPr>
                  <w:tcW w:w="81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6000（无量纲）</w:t>
                  </w:r>
                </w:p>
              </w:tc>
              <w:tc>
                <w:tcPr>
                  <w:tcW w:w="55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7"/>
                  <w:shd w:val="clear" w:color="auto" w:fill="auto"/>
                  <w:vAlign w:val="center"/>
                </w:tcPr>
                <w:p>
                  <w:pPr>
                    <w:pStyle w:val="50"/>
                    <w:jc w:val="left"/>
                    <w:rPr>
                      <w:color w:val="auto"/>
                      <w:highlight w:val="none"/>
                    </w:rPr>
                  </w:pPr>
                  <w:r>
                    <w:rPr>
                      <w:color w:val="auto"/>
                      <w:szCs w:val="21"/>
                      <w:highlight w:val="none"/>
                    </w:rPr>
                    <w:t>备注：未检出表示检测值小于检出限</w:t>
                  </w:r>
                </w:p>
              </w:tc>
            </w:tr>
          </w:tbl>
          <w:p>
            <w:pPr>
              <w:widowControl/>
              <w:ind w:firstLine="480"/>
              <w:rPr>
                <w:color w:val="auto"/>
                <w:highlight w:val="none"/>
              </w:rPr>
            </w:pPr>
            <w:r>
              <w:rPr>
                <w:rFonts w:hint="eastAsia"/>
                <w:color w:val="auto"/>
                <w:highlight w:val="none"/>
              </w:rPr>
              <w:t>验收监测期间，有组织VOCs排放浓度和排放速率满足《挥发性有机物排放标准 第7部分：其他行业》（DB37/2801.7-2019）表1中“非重点行业”II时段排放限值要求；有组织甲苯、苯的排放浓度均满足《制药工业大气污染物排放标准》（GB37823-2019）表2大气污染物特别排放限值要求，排放速率满足《大气污染物综合排放标准》（GB16297-1996）表2二级标准的限值要求；有组织氯化氢排放浓度及排放速率满足《制药工业大气污染物排放标准》（GB37823-2019）表2大气污染物特别排放限值要求及《大气污染物综合排放标准》（GB16297-1996）表2限值要求；有组织氨排放浓度满足《制药工业大气污染物排放标准》（GB37823-2019）表2大气污染物特别排放限值要求，排放速率满足《恶臭污染物排放标准》(GB14554-93)表2排放限值要求；有组织甲醇的排放浓度、排放速率均满足《大气污染物综合排放标准》（GB16297-1996）表2二级标准的限值要求；有组织臭气浓度满足《恶臭污染物排放标准》（GB14554-93）表2排放标准限值。</w:t>
            </w:r>
          </w:p>
          <w:p>
            <w:pPr>
              <w:adjustRightInd w:val="0"/>
              <w:snapToGrid w:val="0"/>
              <w:ind w:firstLine="482"/>
              <w:jc w:val="center"/>
              <w:rPr>
                <w:color w:val="auto"/>
                <w:highlight w:val="none"/>
              </w:rPr>
            </w:pPr>
            <w:r>
              <w:rPr>
                <w:b/>
                <w:bCs/>
                <w:color w:val="auto"/>
                <w:highlight w:val="none"/>
              </w:rPr>
              <w:t>表7-</w:t>
            </w:r>
            <w:r>
              <w:rPr>
                <w:rFonts w:hint="eastAsia"/>
                <w:b/>
                <w:bCs/>
                <w:color w:val="auto"/>
                <w:highlight w:val="none"/>
              </w:rPr>
              <w:t>4</w:t>
            </w:r>
            <w:r>
              <w:rPr>
                <w:b/>
                <w:bCs/>
                <w:color w:val="auto"/>
                <w:highlight w:val="none"/>
              </w:rPr>
              <w:t xml:space="preserve">  无组织废气监测结果表</w:t>
            </w:r>
          </w:p>
          <w:tbl>
            <w:tblPr>
              <w:tblStyle w:val="26"/>
              <w:tblpPr w:leftFromText="180" w:rightFromText="180" w:vertAnchor="text" w:tblpXSpec="center" w:tblpY="1"/>
              <w:tblW w:w="4998" w:type="pct"/>
              <w:jc w:val="center"/>
              <w:tblLayout w:type="autofit"/>
              <w:tblCellMar>
                <w:top w:w="0" w:type="dxa"/>
                <w:left w:w="108" w:type="dxa"/>
                <w:bottom w:w="0" w:type="dxa"/>
                <w:right w:w="108" w:type="dxa"/>
              </w:tblCellMar>
            </w:tblPr>
            <w:tblGrid>
              <w:gridCol w:w="1336"/>
              <w:gridCol w:w="989"/>
              <w:gridCol w:w="1506"/>
              <w:gridCol w:w="1274"/>
              <w:gridCol w:w="1276"/>
              <w:gridCol w:w="1276"/>
              <w:gridCol w:w="1288"/>
            </w:tblGrid>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检测</w:t>
                  </w:r>
                </w:p>
                <w:p>
                  <w:pPr>
                    <w:pStyle w:val="50"/>
                    <w:rPr>
                      <w:b/>
                      <w:bCs/>
                      <w:color w:val="auto"/>
                      <w:szCs w:val="21"/>
                      <w:highlight w:val="none"/>
                    </w:rPr>
                  </w:pPr>
                  <w:r>
                    <w:rPr>
                      <w:b/>
                      <w:bCs/>
                      <w:color w:val="auto"/>
                      <w:szCs w:val="21"/>
                      <w:highlight w:val="none"/>
                    </w:rPr>
                    <w:t>项目</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采样</w:t>
                  </w:r>
                </w:p>
                <w:p>
                  <w:pPr>
                    <w:pStyle w:val="50"/>
                    <w:rPr>
                      <w:b/>
                      <w:bCs/>
                      <w:color w:val="auto"/>
                      <w:szCs w:val="21"/>
                      <w:highlight w:val="none"/>
                    </w:rPr>
                  </w:pPr>
                  <w:r>
                    <w:rPr>
                      <w:b/>
                      <w:bCs/>
                      <w:color w:val="auto"/>
                      <w:szCs w:val="21"/>
                      <w:highlight w:val="none"/>
                    </w:rPr>
                    <w:t>日期</w:t>
                  </w:r>
                </w:p>
              </w:tc>
              <w:tc>
                <w:tcPr>
                  <w:tcW w:w="842" w:type="pct"/>
                  <w:vMerge w:val="restart"/>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检测</w:t>
                  </w:r>
                </w:p>
                <w:p>
                  <w:pPr>
                    <w:pStyle w:val="50"/>
                    <w:rPr>
                      <w:b/>
                      <w:bCs/>
                      <w:color w:val="auto"/>
                      <w:szCs w:val="21"/>
                      <w:highlight w:val="none"/>
                    </w:rPr>
                  </w:pPr>
                  <w:r>
                    <w:rPr>
                      <w:b/>
                      <w:bCs/>
                      <w:color w:val="auto"/>
                      <w:szCs w:val="21"/>
                      <w:highlight w:val="none"/>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p>
              </w:tc>
              <w:tc>
                <w:tcPr>
                  <w:tcW w:w="842" w:type="pct"/>
                  <w:vMerge w:val="continue"/>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下风向3#</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下风向4#</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right w:val="single" w:color="000000" w:sz="4" w:space="0"/>
                  </w:tcBorders>
                  <w:vAlign w:val="center"/>
                </w:tcPr>
                <w:p>
                  <w:pPr>
                    <w:pStyle w:val="50"/>
                    <w:rPr>
                      <w:color w:val="auto"/>
                      <w:szCs w:val="21"/>
                      <w:highlight w:val="none"/>
                    </w:rPr>
                  </w:pPr>
                  <w:r>
                    <w:rPr>
                      <w:color w:val="auto"/>
                      <w:szCs w:val="21"/>
                      <w:highlight w:val="none"/>
                    </w:rPr>
                    <w:t>VOCs（非甲烷总烃）（mg/m</w:t>
                  </w:r>
                  <w:r>
                    <w:rPr>
                      <w:color w:val="auto"/>
                      <w:szCs w:val="21"/>
                      <w:highlight w:val="none"/>
                      <w:vertAlign w:val="superscript"/>
                    </w:rPr>
                    <w:t>3</w:t>
                  </w:r>
                  <w:r>
                    <w:rPr>
                      <w:color w:val="auto"/>
                      <w:szCs w:val="21"/>
                      <w:highlight w:val="none"/>
                    </w:rPr>
                    <w:t>）</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0.64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1.24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1.38</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1.34</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0.53</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1.23</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1.16</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1.21</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0.56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1.29</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1.11</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1.22</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restart"/>
                  <w:tcBorders>
                    <w:top w:val="single" w:color="000000" w:sz="4" w:space="0"/>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0.54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1.15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1.30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1.21</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0.45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1.37</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1.31</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1.23</w:t>
                  </w:r>
                </w:p>
              </w:tc>
            </w:tr>
            <w:tr>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0.62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1.26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1.36</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1.39</w:t>
                  </w:r>
                </w:p>
              </w:tc>
            </w:tr>
            <w:tr>
              <w:trPr>
                <w:trHeight w:val="397" w:hRule="atLeast"/>
                <w:jc w:val="center"/>
              </w:trPr>
              <w:tc>
                <w:tcPr>
                  <w:tcW w:w="747"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氯化氢（mg/m</w:t>
                  </w:r>
                  <w:r>
                    <w:rPr>
                      <w:color w:val="auto"/>
                      <w:szCs w:val="21"/>
                      <w:highlight w:val="none"/>
                      <w:vertAlign w:val="superscript"/>
                    </w:rPr>
                    <w:t>3</w:t>
                  </w:r>
                  <w:r>
                    <w:rPr>
                      <w:color w:val="auto"/>
                      <w:szCs w:val="21"/>
                      <w:highlight w:val="none"/>
                    </w:rPr>
                    <w:t>）</w:t>
                  </w: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苯</w:t>
                  </w:r>
                </w:p>
                <w:p>
                  <w:pPr>
                    <w:pStyle w:val="50"/>
                    <w:rPr>
                      <w:color w:val="auto"/>
                      <w:szCs w:val="21"/>
                      <w:highlight w:val="none"/>
                    </w:rPr>
                  </w:pPr>
                  <w:r>
                    <w:rPr>
                      <w:color w:val="auto"/>
                      <w:szCs w:val="21"/>
                      <w:highlight w:val="none"/>
                    </w:rPr>
                    <w:t>（mg/m</w:t>
                  </w:r>
                  <w:r>
                    <w:rPr>
                      <w:color w:val="auto"/>
                      <w:szCs w:val="21"/>
                      <w:highlight w:val="none"/>
                      <w:vertAlign w:val="superscript"/>
                    </w:rPr>
                    <w:t>3</w:t>
                  </w:r>
                  <w:r>
                    <w:rPr>
                      <w:color w:val="auto"/>
                      <w:szCs w:val="21"/>
                      <w:highlight w:val="none"/>
                    </w:rPr>
                    <w:t>）</w:t>
                  </w: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restart"/>
                  <w:tcBorders>
                    <w:top w:val="single" w:color="auto" w:sz="4" w:space="0"/>
                    <w:left w:val="single" w:color="000000" w:sz="4" w:space="0"/>
                    <w:right w:val="single" w:color="000000" w:sz="4" w:space="0"/>
                  </w:tcBorders>
                  <w:vAlign w:val="center"/>
                </w:tcPr>
                <w:p>
                  <w:pPr>
                    <w:pStyle w:val="50"/>
                    <w:rPr>
                      <w:color w:val="auto"/>
                      <w:szCs w:val="21"/>
                      <w:highlight w:val="none"/>
                    </w:rPr>
                  </w:pPr>
                  <w:r>
                    <w:rPr>
                      <w:color w:val="auto"/>
                      <w:szCs w:val="21"/>
                      <w:highlight w:val="none"/>
                    </w:rPr>
                    <w:t>甲苯（mg/m</w:t>
                  </w:r>
                  <w:r>
                    <w:rPr>
                      <w:color w:val="auto"/>
                      <w:szCs w:val="21"/>
                      <w:highlight w:val="none"/>
                      <w:vertAlign w:val="superscript"/>
                    </w:rPr>
                    <w:t>3</w:t>
                  </w:r>
                  <w:r>
                    <w:rPr>
                      <w:color w:val="auto"/>
                      <w:szCs w:val="21"/>
                      <w:highlight w:val="none"/>
                    </w:rPr>
                    <w:t>）</w:t>
                  </w:r>
                </w:p>
              </w:tc>
              <w:tc>
                <w:tcPr>
                  <w:tcW w:w="553" w:type="pct"/>
                  <w:vMerge w:val="restart"/>
                  <w:tcBorders>
                    <w:top w:val="single" w:color="auto" w:sz="4" w:space="0"/>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842" w:type="pct"/>
                  <w:tcBorders>
                    <w:top w:val="single" w:color="auto"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甲醇（mg/m</w:t>
                  </w:r>
                  <w:r>
                    <w:rPr>
                      <w:color w:val="auto"/>
                      <w:szCs w:val="21"/>
                      <w:highlight w:val="none"/>
                      <w:vertAlign w:val="superscript"/>
                    </w:rPr>
                    <w:t>3</w:t>
                  </w:r>
                  <w:r>
                    <w:rPr>
                      <w:color w:val="auto"/>
                      <w:szCs w:val="21"/>
                      <w:highlight w:val="none"/>
                    </w:rPr>
                    <w:t>）</w:t>
                  </w: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未检出</w:t>
                  </w:r>
                </w:p>
              </w:tc>
            </w:tr>
            <w:tr>
              <w:trPr>
                <w:trHeight w:val="397" w:hRule="atLeast"/>
                <w:jc w:val="center"/>
              </w:trPr>
              <w:tc>
                <w:tcPr>
                  <w:tcW w:w="747"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氨</w:t>
                  </w:r>
                </w:p>
                <w:p>
                  <w:pPr>
                    <w:pStyle w:val="50"/>
                    <w:rPr>
                      <w:color w:val="auto"/>
                      <w:szCs w:val="21"/>
                      <w:highlight w:val="none"/>
                    </w:rPr>
                  </w:pPr>
                  <w:r>
                    <w:rPr>
                      <w:color w:val="auto"/>
                      <w:szCs w:val="21"/>
                      <w:highlight w:val="none"/>
                    </w:rPr>
                    <w:t>（mg/m</w:t>
                  </w:r>
                  <w:r>
                    <w:rPr>
                      <w:color w:val="auto"/>
                      <w:szCs w:val="21"/>
                      <w:highlight w:val="none"/>
                      <w:vertAlign w:val="superscript"/>
                    </w:rPr>
                    <w:t>3</w:t>
                  </w:r>
                  <w:r>
                    <w:rPr>
                      <w:color w:val="auto"/>
                      <w:szCs w:val="21"/>
                      <w:highlight w:val="none"/>
                    </w:rPr>
                    <w:t>）</w:t>
                  </w: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0.011</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0.014</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0.009</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0.019</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0.017</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0.012</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第四次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0.017</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0.014</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0.020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0.019</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0.020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0.017</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0.022</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0.020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0.018</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0.024</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0.021</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第四次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0.004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0.016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0.020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0.022</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auto" w:sz="4" w:space="0"/>
                    <w:left w:val="single" w:color="000000" w:sz="4" w:space="0"/>
                    <w:right w:val="single" w:color="000000" w:sz="4" w:space="0"/>
                  </w:tcBorders>
                  <w:vAlign w:val="center"/>
                </w:tcPr>
                <w:p>
                  <w:pPr>
                    <w:pStyle w:val="50"/>
                    <w:rPr>
                      <w:color w:val="auto"/>
                      <w:szCs w:val="21"/>
                      <w:highlight w:val="none"/>
                    </w:rPr>
                  </w:pPr>
                  <w:r>
                    <w:rPr>
                      <w:color w:val="auto"/>
                      <w:szCs w:val="21"/>
                      <w:highlight w:val="none"/>
                    </w:rPr>
                    <w:t>臭气浓度（无量纲）</w:t>
                  </w:r>
                </w:p>
              </w:tc>
              <w:tc>
                <w:tcPr>
                  <w:tcW w:w="553" w:type="pct"/>
                  <w:vMerge w:val="restart"/>
                  <w:tcBorders>
                    <w:top w:val="single" w:color="auto" w:sz="4" w:space="0"/>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842" w:type="pct"/>
                  <w:tcBorders>
                    <w:top w:val="single" w:color="auto"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第四次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r>
            <w:tr>
              <w:trPr>
                <w:trHeight w:val="397" w:hRule="atLeast"/>
                <w:jc w:val="center"/>
              </w:trPr>
              <w:tc>
                <w:tcPr>
                  <w:tcW w:w="747"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第四次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c>
                <w:tcPr>
                  <w:tcW w:w="715"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&lt;10</w:t>
                  </w:r>
                </w:p>
              </w:tc>
            </w:tr>
            <w:tr>
              <w:trPr>
                <w:trHeight w:val="397" w:hRule="atLeast"/>
                <w:jc w:val="center"/>
              </w:trPr>
              <w:tc>
                <w:tcPr>
                  <w:tcW w:w="747" w:type="pct"/>
                  <w:vMerge w:val="restart"/>
                  <w:tcBorders>
                    <w:top w:val="single" w:color="auto" w:sz="4" w:space="0"/>
                    <w:left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检测</w:t>
                  </w:r>
                </w:p>
                <w:p>
                  <w:pPr>
                    <w:pStyle w:val="50"/>
                    <w:rPr>
                      <w:b/>
                      <w:bCs/>
                      <w:color w:val="auto"/>
                      <w:szCs w:val="21"/>
                      <w:highlight w:val="none"/>
                    </w:rPr>
                  </w:pPr>
                  <w:r>
                    <w:rPr>
                      <w:b/>
                      <w:bCs/>
                      <w:color w:val="auto"/>
                      <w:szCs w:val="21"/>
                      <w:highlight w:val="none"/>
                    </w:rPr>
                    <w:t>项目</w:t>
                  </w:r>
                </w:p>
              </w:tc>
              <w:tc>
                <w:tcPr>
                  <w:tcW w:w="553" w:type="pct"/>
                  <w:vMerge w:val="restart"/>
                  <w:tcBorders>
                    <w:top w:val="single" w:color="auto" w:sz="4" w:space="0"/>
                    <w:left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采样</w:t>
                  </w:r>
                </w:p>
                <w:p>
                  <w:pPr>
                    <w:pStyle w:val="50"/>
                    <w:rPr>
                      <w:b/>
                      <w:bCs/>
                      <w:color w:val="auto"/>
                      <w:szCs w:val="21"/>
                      <w:highlight w:val="none"/>
                    </w:rPr>
                  </w:pPr>
                  <w:r>
                    <w:rPr>
                      <w:b/>
                      <w:bCs/>
                      <w:color w:val="auto"/>
                      <w:szCs w:val="21"/>
                      <w:highlight w:val="none"/>
                    </w:rPr>
                    <w:t>日期</w:t>
                  </w:r>
                </w:p>
              </w:tc>
              <w:tc>
                <w:tcPr>
                  <w:tcW w:w="842" w:type="pct"/>
                  <w:vMerge w:val="restart"/>
                  <w:tcBorders>
                    <w:top w:val="single" w:color="auto" w:sz="4" w:space="0"/>
                    <w:left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检测</w:t>
                  </w:r>
                </w:p>
                <w:p>
                  <w:pPr>
                    <w:pStyle w:val="50"/>
                    <w:rPr>
                      <w:b/>
                      <w:bCs/>
                      <w:color w:val="auto"/>
                      <w:szCs w:val="21"/>
                      <w:highlight w:val="none"/>
                    </w:rPr>
                  </w:pPr>
                  <w:r>
                    <w:rPr>
                      <w:b/>
                      <w:bCs/>
                      <w:color w:val="auto"/>
                      <w:szCs w:val="21"/>
                      <w:highlight w:val="none"/>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检测点位及结果</w:t>
                  </w:r>
                </w:p>
              </w:tc>
            </w:tr>
            <w:tr>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pStyle w:val="50"/>
                    <w:rPr>
                      <w:b/>
                      <w:bCs/>
                      <w:color w:val="auto"/>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0"/>
                    <w:rPr>
                      <w:b/>
                      <w:bCs/>
                      <w:color w:val="auto"/>
                      <w:szCs w:val="21"/>
                      <w:highlight w:val="none"/>
                    </w:rPr>
                  </w:pPr>
                </w:p>
              </w:tc>
              <w:tc>
                <w:tcPr>
                  <w:tcW w:w="842" w:type="pct"/>
                  <w:vMerge w:val="continue"/>
                  <w:tcBorders>
                    <w:left w:val="single" w:color="000000" w:sz="4" w:space="0"/>
                    <w:bottom w:val="single" w:color="000000" w:sz="4" w:space="0"/>
                    <w:right w:val="single" w:color="000000" w:sz="4" w:space="0"/>
                  </w:tcBorders>
                  <w:vAlign w:val="center"/>
                </w:tcPr>
                <w:p>
                  <w:pPr>
                    <w:pStyle w:val="50"/>
                    <w:rPr>
                      <w:b/>
                      <w:bCs/>
                      <w:color w:val="auto"/>
                      <w:szCs w:val="21"/>
                      <w:highlight w:val="none"/>
                    </w:rPr>
                  </w:pP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pStyle w:val="50"/>
                    <w:rPr>
                      <w:b/>
                      <w:bCs/>
                      <w:color w:val="auto"/>
                      <w:szCs w:val="21"/>
                      <w:highlight w:val="none"/>
                    </w:rPr>
                  </w:pPr>
                  <w:r>
                    <w:rPr>
                      <w:b/>
                      <w:bCs/>
                      <w:color w:val="auto"/>
                      <w:szCs w:val="21"/>
                      <w:highlight w:val="none"/>
                    </w:rPr>
                    <w:t>厂房通风口处</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非甲烷总烃（mg/m</w:t>
                  </w:r>
                  <w:r>
                    <w:rPr>
                      <w:color w:val="auto"/>
                      <w:szCs w:val="21"/>
                      <w:highlight w:val="none"/>
                      <w:vertAlign w:val="superscript"/>
                    </w:rPr>
                    <w:t>3</w:t>
                  </w:r>
                  <w:r>
                    <w:rPr>
                      <w:color w:val="auto"/>
                      <w:szCs w:val="21"/>
                      <w:highlight w:val="none"/>
                    </w:rPr>
                    <w:t>）</w:t>
                  </w: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04.21</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第一次</w:t>
                  </w:r>
                </w:p>
              </w:tc>
              <w:tc>
                <w:tcPr>
                  <w:tcW w:w="2856" w:type="pct"/>
                  <w:gridSpan w:val="4"/>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1.31</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1.34</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0"/>
                    <w:rPr>
                      <w:color w:val="auto"/>
                      <w:szCs w:val="21"/>
                      <w:highlight w:val="none"/>
                    </w:rPr>
                  </w:pPr>
                </w:p>
              </w:tc>
              <w:tc>
                <w:tcPr>
                  <w:tcW w:w="842" w:type="pct"/>
                  <w:tcBorders>
                    <w:top w:val="single" w:color="auto"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1.36</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restart"/>
                  <w:tcBorders>
                    <w:left w:val="single" w:color="000000" w:sz="4" w:space="0"/>
                    <w:right w:val="single" w:color="000000" w:sz="4" w:space="0"/>
                  </w:tcBorders>
                  <w:vAlign w:val="center"/>
                </w:tcPr>
                <w:p>
                  <w:pPr>
                    <w:pStyle w:val="50"/>
                    <w:rPr>
                      <w:color w:val="auto"/>
                      <w:szCs w:val="21"/>
                      <w:highlight w:val="none"/>
                    </w:rPr>
                  </w:pPr>
                  <w:r>
                    <w:rPr>
                      <w:color w:val="auto"/>
                      <w:szCs w:val="21"/>
                      <w:highlight w:val="none"/>
                    </w:rPr>
                    <w:t>2022.</w:t>
                  </w:r>
                </w:p>
                <w:p>
                  <w:pPr>
                    <w:pStyle w:val="50"/>
                    <w:rPr>
                      <w:color w:val="auto"/>
                      <w:szCs w:val="21"/>
                      <w:highlight w:val="none"/>
                    </w:rPr>
                  </w:pPr>
                  <w:r>
                    <w:rPr>
                      <w:color w:val="auto"/>
                      <w:szCs w:val="21"/>
                      <w:highlight w:val="none"/>
                    </w:rPr>
                    <w:t>04.22</w:t>
                  </w:r>
                </w:p>
              </w:tc>
              <w:tc>
                <w:tcPr>
                  <w:tcW w:w="842" w:type="pct"/>
                  <w:tcBorders>
                    <w:top w:val="single" w:color="000000" w:sz="4" w:space="0"/>
                    <w:left w:val="single" w:color="000000" w:sz="4" w:space="0"/>
                    <w:bottom w:val="single" w:color="000000" w:sz="4" w:space="0"/>
                    <w:right w:val="single" w:color="auto" w:sz="4" w:space="0"/>
                  </w:tcBorders>
                  <w:vAlign w:val="center"/>
                </w:tcPr>
                <w:p>
                  <w:pPr>
                    <w:pStyle w:val="50"/>
                    <w:rPr>
                      <w:color w:val="auto"/>
                      <w:szCs w:val="21"/>
                      <w:highlight w:val="none"/>
                    </w:rPr>
                  </w:pPr>
                  <w:r>
                    <w:rPr>
                      <w:color w:val="auto"/>
                      <w:szCs w:val="21"/>
                      <w:highlight w:val="none"/>
                    </w:rPr>
                    <w:t>第一次</w:t>
                  </w:r>
                </w:p>
              </w:tc>
              <w:tc>
                <w:tcPr>
                  <w:tcW w:w="2856" w:type="pct"/>
                  <w:gridSpan w:val="4"/>
                  <w:tcBorders>
                    <w:top w:val="single" w:color="auto" w:sz="4" w:space="0"/>
                    <w:left w:val="single" w:color="auto"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1.33</w:t>
                  </w:r>
                </w:p>
              </w:tc>
            </w:tr>
            <w:tr>
              <w:trPr>
                <w:trHeight w:val="397" w:hRule="atLeast"/>
                <w:jc w:val="center"/>
              </w:trPr>
              <w:tc>
                <w:tcPr>
                  <w:tcW w:w="747" w:type="pct"/>
                  <w:vMerge w:val="continue"/>
                  <w:tcBorders>
                    <w:left w:val="single" w:color="000000"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第二次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1.37</w:t>
                  </w:r>
                </w:p>
              </w:tc>
            </w:tr>
            <w:tr>
              <w:trPr>
                <w:trHeight w:val="397" w:hRule="atLeast"/>
                <w:jc w:val="center"/>
              </w:trPr>
              <w:tc>
                <w:tcPr>
                  <w:tcW w:w="747"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0"/>
                    <w:rPr>
                      <w:color w:val="auto"/>
                      <w:szCs w:val="21"/>
                      <w:highlight w:val="none"/>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0"/>
                    <w:rPr>
                      <w:color w:val="auto"/>
                      <w:szCs w:val="21"/>
                      <w:highlight w:val="none"/>
                    </w:rPr>
                  </w:pPr>
                  <w:r>
                    <w:rPr>
                      <w:color w:val="auto"/>
                      <w:szCs w:val="21"/>
                      <w:highlight w:val="none"/>
                    </w:rPr>
                    <w:t>第三次</w:t>
                  </w:r>
                </w:p>
              </w:tc>
              <w:tc>
                <w:tcPr>
                  <w:tcW w:w="2856" w:type="pct"/>
                  <w:gridSpan w:val="4"/>
                  <w:tcBorders>
                    <w:top w:val="single" w:color="auto" w:sz="4" w:space="0"/>
                    <w:left w:val="single" w:color="000000" w:sz="4" w:space="0"/>
                    <w:bottom w:val="single" w:color="000000" w:sz="4" w:space="0"/>
                    <w:right w:val="single" w:color="000000" w:sz="4" w:space="0"/>
                  </w:tcBorders>
                  <w:vAlign w:val="center"/>
                </w:tcPr>
                <w:p>
                  <w:pPr>
                    <w:pStyle w:val="50"/>
                    <w:rPr>
                      <w:color w:val="auto"/>
                      <w:szCs w:val="21"/>
                      <w:highlight w:val="none"/>
                    </w:rPr>
                  </w:pPr>
                  <w:r>
                    <w:rPr>
                      <w:color w:val="auto"/>
                      <w:szCs w:val="21"/>
                      <w:highlight w:val="none"/>
                    </w:rPr>
                    <w:t>1.34</w:t>
                  </w:r>
                </w:p>
              </w:tc>
            </w:tr>
            <w:tr>
              <w:trPr>
                <w:trHeight w:val="397"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tcPr>
                <w:p>
                  <w:pPr>
                    <w:pStyle w:val="50"/>
                    <w:jc w:val="both"/>
                    <w:rPr>
                      <w:color w:val="auto"/>
                      <w:szCs w:val="21"/>
                      <w:highlight w:val="none"/>
                    </w:rPr>
                  </w:pPr>
                  <w:r>
                    <w:rPr>
                      <w:color w:val="auto"/>
                      <w:szCs w:val="21"/>
                      <w:highlight w:val="none"/>
                    </w:rPr>
                    <w:t>备注：验收检测期间，实验室正常运行。</w:t>
                  </w:r>
                </w:p>
                <w:p>
                  <w:pPr>
                    <w:pStyle w:val="50"/>
                    <w:jc w:val="both"/>
                    <w:rPr>
                      <w:rFonts w:hint="eastAsia" w:eastAsia="宋体"/>
                      <w:color w:val="auto"/>
                      <w:szCs w:val="21"/>
                      <w:highlight w:val="none"/>
                      <w:lang w:eastAsia="zh-CN"/>
                    </w:rPr>
                  </w:pPr>
                  <w:r>
                    <w:rPr>
                      <w:rFonts w:hint="eastAsia"/>
                      <w:color w:val="auto"/>
                      <w:szCs w:val="21"/>
                      <w:highlight w:val="none"/>
                      <w:lang w:eastAsia="zh-CN" w:bidi="ar"/>
                    </w:rPr>
                    <w:t>试运行验收期间，浓硫酸暂时使用不到，故未对其检测。</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表7-5  无组织废气判定结果表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2389"/>
              <w:gridCol w:w="2539"/>
              <w:gridCol w:w="1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133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厂界最大排放浓度（mg/m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142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厂界最大允许排放浓度（mg/m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96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1.39</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0.1</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0.2</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0.20</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12</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0.024</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1.5</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1337" w:type="pc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&lt;10</w:t>
                  </w:r>
                  <w:r>
                    <w:rPr>
                      <w:rFonts w:hint="eastAsia"/>
                      <w:color w:val="auto"/>
                      <w:sz w:val="21"/>
                      <w:szCs w:val="21"/>
                      <w:highlight w:val="none"/>
                    </w:rPr>
                    <w:t>（无量纲）</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16（无量纲）</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NMHC</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1.37（</w:t>
                  </w:r>
                  <w:r>
                    <w:rPr>
                      <w:color w:val="auto"/>
                      <w:sz w:val="21"/>
                      <w:szCs w:val="21"/>
                      <w:highlight w:val="none"/>
                    </w:rPr>
                    <w:t>厂房通风口处</w:t>
                  </w:r>
                  <w:r>
                    <w:rPr>
                      <w:rFonts w:hint="eastAsia"/>
                      <w:color w:val="auto"/>
                      <w:sz w:val="21"/>
                      <w:szCs w:val="21"/>
                      <w:highlight w:val="none"/>
                    </w:rPr>
                    <w:t>）</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4"/>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备注：未检出表示检测值小于检出限</w:t>
                  </w:r>
                </w:p>
              </w:tc>
            </w:tr>
          </w:tbl>
          <w:p>
            <w:pPr>
              <w:widowControl/>
              <w:ind w:firstLine="480"/>
              <w:rPr>
                <w:color w:val="auto"/>
                <w:highlight w:val="none"/>
              </w:rPr>
            </w:pPr>
            <w:r>
              <w:rPr>
                <w:rFonts w:hint="eastAsia"/>
                <w:color w:val="auto"/>
                <w:highlight w:val="none"/>
              </w:rPr>
              <w:t>验收监测期间，</w:t>
            </w:r>
            <w:r>
              <w:rPr>
                <w:color w:val="auto"/>
                <w:highlight w:val="none"/>
              </w:rPr>
              <w:t>无组织VOCs</w:t>
            </w:r>
            <w:r>
              <w:rPr>
                <w:rFonts w:hint="eastAsia"/>
                <w:color w:val="auto"/>
                <w:highlight w:val="none"/>
              </w:rPr>
              <w:t>满足</w:t>
            </w:r>
            <w:r>
              <w:rPr>
                <w:color w:val="auto"/>
                <w:highlight w:val="none"/>
              </w:rPr>
              <w:t>山东省</w:t>
            </w:r>
            <w:r>
              <w:rPr>
                <w:rFonts w:hint="eastAsia"/>
                <w:color w:val="auto"/>
                <w:highlight w:val="none"/>
              </w:rPr>
              <w:t>《挥发性有机物排放标准第7部分：其他行业》（DB37/2801.7-2019）表2厂界监控点浓度限值及《挥发性有机物无组织排放控制标准》（GB37822-2019）要求；无组织甲苯、苯满足《挥发性有机物排放标准第7部分：其他行业》（DB37/2801.7-2019）表3厂界监控点浓度限值要求；无组织氯化氢满足《制药工业大气污染物排放标准》（GB37823-2019）表4浓度限值要求；无组织氨满足《恶臭污染物排放标准》(GB14554-93)表1</w:t>
            </w:r>
            <w:r>
              <w:rPr>
                <w:color w:val="auto"/>
                <w:highlight w:val="none"/>
              </w:rPr>
              <w:t>二级新改扩建浓度限值</w:t>
            </w:r>
            <w:r>
              <w:rPr>
                <w:rFonts w:hint="eastAsia"/>
                <w:color w:val="auto"/>
                <w:kern w:val="0"/>
                <w:highlight w:val="none"/>
                <w:lang w:bidi="ar"/>
              </w:rPr>
              <w:t>；无组织甲醇</w:t>
            </w:r>
            <w:r>
              <w:rPr>
                <w:rFonts w:hint="eastAsia"/>
                <w:color w:val="auto"/>
                <w:highlight w:val="none"/>
              </w:rPr>
              <w:t>满足</w:t>
            </w:r>
            <w:r>
              <w:rPr>
                <w:rFonts w:hint="eastAsia"/>
                <w:color w:val="auto"/>
                <w:kern w:val="0"/>
                <w:highlight w:val="none"/>
                <w:lang w:bidi="ar"/>
              </w:rPr>
              <w:t>《大气污染物综合排放标准》（GB16297-1996）表2无组织排放监控浓度限值要求</w:t>
            </w:r>
            <w:r>
              <w:rPr>
                <w:rFonts w:hint="eastAsia"/>
                <w:color w:val="auto"/>
                <w:highlight w:val="none"/>
              </w:rPr>
              <w:t>；无</w:t>
            </w:r>
            <w:r>
              <w:rPr>
                <w:rFonts w:hint="eastAsia"/>
                <w:color w:val="auto"/>
                <w:highlight w:val="none"/>
                <w:lang w:bidi="ar"/>
              </w:rPr>
              <w:t>组织臭气浓度</w:t>
            </w:r>
            <w:r>
              <w:rPr>
                <w:rFonts w:hint="eastAsia"/>
                <w:color w:val="auto"/>
                <w:highlight w:val="none"/>
              </w:rPr>
              <w:t>满足</w:t>
            </w:r>
            <w:r>
              <w:rPr>
                <w:rFonts w:hint="eastAsia"/>
                <w:color w:val="auto"/>
                <w:highlight w:val="none"/>
                <w:lang w:bidi="ar"/>
              </w:rPr>
              <w:t>《挥发性有机物排放标准第7部分：其他行业》（DB37/2801.7-2019）表2厂界监控点浓度限值要求</w:t>
            </w:r>
            <w:r>
              <w:rPr>
                <w:rFonts w:hint="eastAsia"/>
                <w:color w:val="auto"/>
                <w:kern w:val="0"/>
                <w:highlight w:val="none"/>
                <w:lang w:bidi="ar"/>
              </w:rPr>
              <w:t>。</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5000" w:type="pct"/>
                  <w:shd w:val="clear" w:color="auto" w:fill="auto"/>
                  <w:vAlign w:val="center"/>
                </w:tcPr>
                <w:p>
                  <w:pPr>
                    <w:pStyle w:val="31"/>
                    <w:jc w:val="center"/>
                    <w:rPr>
                      <w:rFonts w:ascii="Times New Roman" w:hAnsi="Times New Roman"/>
                      <w:b/>
                      <w:bCs/>
                      <w:color w:val="auto"/>
                      <w:highlight w:val="none"/>
                    </w:rPr>
                  </w:pPr>
                  <w:r>
                    <w:rPr>
                      <w:rFonts w:hint="eastAsia" w:eastAsia="宋体" w:cs="宋体"/>
                      <w:color w:val="auto"/>
                      <w:highlight w:val="none"/>
                      <w:lang w:eastAsia="zh-CN"/>
                    </w:rPr>
                    <w:pict>
                      <v:shape id="_x0000_i1031" o:spt="75" alt="e61fda821ae679d1b4c35267410bef01_" type="#_x0000_t75" style="height:303.2pt;width:241.7pt;" filled="f" o:preferrelative="t" stroked="f" coordsize="21600,21600">
                        <v:path/>
                        <v:fill on="f" focussize="0,0"/>
                        <v:stroke on="f"/>
                        <v:imagedata r:id="rId15" cropbottom="3889f" o:title="e61fda821ae679d1b4c35267410bef01_"/>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1"/>
                    <w:jc w:val="center"/>
                    <w:rPr>
                      <w:rFonts w:hint="eastAsia" w:eastAsia="宋体" w:cs="宋体"/>
                      <w:color w:val="auto"/>
                      <w:highlight w:val="none"/>
                      <w:lang w:eastAsia="zh-CN"/>
                    </w:rPr>
                  </w:pPr>
                  <w:r>
                    <w:rPr>
                      <w:rFonts w:ascii="Times New Roman" w:hAnsi="Times New Roman"/>
                      <w:b/>
                      <w:bCs/>
                      <w:color w:val="auto"/>
                      <w:sz w:val="21"/>
                      <w:szCs w:val="21"/>
                      <w:highlight w:val="none"/>
                    </w:rPr>
                    <w:t>图7-1  废气</w:t>
                  </w:r>
                  <w:r>
                    <w:rPr>
                      <w:rFonts w:hint="eastAsia" w:ascii="Times New Roman" w:hAnsi="Times New Roman"/>
                      <w:b/>
                      <w:bCs/>
                      <w:color w:val="auto"/>
                      <w:sz w:val="21"/>
                      <w:szCs w:val="21"/>
                      <w:highlight w:val="none"/>
                      <w:lang w:eastAsia="zh-CN"/>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1"/>
                    <w:jc w:val="center"/>
                    <w:rPr>
                      <w:rFonts w:cs="宋体"/>
                      <w:color w:val="auto"/>
                      <w:highlight w:val="none"/>
                    </w:rPr>
                  </w:pPr>
                  <w:r>
                    <w:rPr>
                      <w:rFonts w:cs="宋体"/>
                      <w:color w:val="auto"/>
                      <w:highlight w:val="none"/>
                    </w:rPr>
                    <w:fldChar w:fldCharType="begin"/>
                  </w:r>
                  <w:r>
                    <w:rPr>
                      <w:rFonts w:cs="宋体"/>
                      <w:color w:val="auto"/>
                      <w:highlight w:val="none"/>
                    </w:rPr>
                    <w:instrText xml:space="preserve">INCLUDEPICTURE \d "http://117.73.252.128:9025/company/20220421/b9c02089-dc92-492b-abd0-dfad8cda7eca/1650511934567_1650511952306.jpg" \* MERGEFORMATINET </w:instrText>
                  </w:r>
                  <w:r>
                    <w:rPr>
                      <w:rFonts w:cs="宋体"/>
                      <w:color w:val="auto"/>
                      <w:highlight w:val="none"/>
                    </w:rPr>
                    <w:fldChar w:fldCharType="separate"/>
                  </w:r>
                  <w:r>
                    <w:rPr>
                      <w:rFonts w:cs="宋体"/>
                      <w:color w:val="auto"/>
                      <w:highlight w:val="none"/>
                    </w:rPr>
                    <w:pict>
                      <v:shape id="_x0000_i1032" o:spt="75" alt="IMG_256" type="#_x0000_t75" style="height:321.5pt;width:220.5pt;" filled="f" o:preferrelative="t" stroked="f" coordsize="21600,21600">
                        <v:path/>
                        <v:fill on="f" focussize="0,0"/>
                        <v:stroke on="f" joinstyle="miter"/>
                        <v:imagedata r:id="rId16" r:href="rId17" o:title=""/>
                        <o:lock v:ext="edit" aspectratio="t"/>
                        <w10:wrap type="none"/>
                        <w10:anchorlock/>
                      </v:shape>
                    </w:pict>
                  </w:r>
                  <w:r>
                    <w:rPr>
                      <w:rFonts w:cs="宋体"/>
                      <w:color w:val="auto"/>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1"/>
                    <w:jc w:val="center"/>
                    <w:rPr>
                      <w:rFonts w:ascii="Times New Roman" w:hAnsi="Times New Roman"/>
                      <w:b/>
                      <w:bCs/>
                      <w:color w:val="auto"/>
                      <w:highlight w:val="none"/>
                    </w:rPr>
                  </w:pPr>
                  <w:r>
                    <w:rPr>
                      <w:rFonts w:cs="宋体"/>
                      <w:color w:val="auto"/>
                      <w:highlight w:val="none"/>
                    </w:rPr>
                    <w:fldChar w:fldCharType="begin"/>
                  </w:r>
                  <w:r>
                    <w:rPr>
                      <w:rFonts w:cs="宋体"/>
                      <w:color w:val="auto"/>
                      <w:highlight w:val="none"/>
                    </w:rPr>
                    <w:instrText xml:space="preserve">INCLUDEPICTURE \d "http://117.73.252.128:9025/company/20220421/f46b9e02-4446-4075-bd7c-ab25a4a75826/1650507276570_1650507285705.jpg" \* MERGEFORMATINET </w:instrText>
                  </w:r>
                  <w:r>
                    <w:rPr>
                      <w:rFonts w:cs="宋体"/>
                      <w:color w:val="auto"/>
                      <w:highlight w:val="none"/>
                    </w:rPr>
                    <w:fldChar w:fldCharType="separate"/>
                  </w:r>
                  <w:r>
                    <w:rPr>
                      <w:rFonts w:cs="宋体"/>
                      <w:color w:val="auto"/>
                      <w:highlight w:val="none"/>
                    </w:rPr>
                    <w:pict>
                      <v:shape id="_x0000_i1033" o:spt="75" alt="IMG_256" type="#_x0000_t75" style="height:340.5pt;width:234pt;" filled="f" o:preferrelative="t" stroked="f" coordsize="21600,21600">
                        <v:path/>
                        <v:fill on="f" focussize="0,0"/>
                        <v:stroke on="f" joinstyle="miter"/>
                        <v:imagedata r:id="rId18" r:href="rId19" o:title=""/>
                        <o:lock v:ext="edit" aspectratio="t"/>
                        <w10:wrap type="none"/>
                        <w10:anchorlock/>
                      </v:shape>
                    </w:pict>
                  </w:r>
                  <w:r>
                    <w:rPr>
                      <w:rFonts w:cs="宋体"/>
                      <w:color w:val="auto"/>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5000" w:type="pct"/>
                  <w:shd w:val="clear" w:color="auto" w:fill="auto"/>
                  <w:vAlign w:val="center"/>
                </w:tcPr>
                <w:p>
                  <w:pPr>
                    <w:pStyle w:val="31"/>
                    <w:jc w:val="center"/>
                    <w:rPr>
                      <w:rFonts w:ascii="Times New Roman" w:hAnsi="Times New Roman"/>
                      <w:b/>
                      <w:bCs/>
                      <w:color w:val="auto"/>
                      <w:highlight w:val="none"/>
                    </w:rPr>
                  </w:pPr>
                  <w:r>
                    <w:rPr>
                      <w:rFonts w:ascii="Times New Roman" w:hAnsi="Times New Roman"/>
                      <w:b/>
                      <w:bCs/>
                      <w:color w:val="auto"/>
                      <w:sz w:val="21"/>
                      <w:szCs w:val="21"/>
                      <w:highlight w:val="none"/>
                    </w:rPr>
                    <w:t>图7-</w:t>
                  </w:r>
                  <w:r>
                    <w:rPr>
                      <w:rFonts w:hint="eastAsia" w:ascii="Times New Roman" w:hAnsi="Times New Roman"/>
                      <w:b/>
                      <w:bCs/>
                      <w:color w:val="auto"/>
                      <w:sz w:val="21"/>
                      <w:szCs w:val="21"/>
                      <w:highlight w:val="none"/>
                      <w:lang w:val="en-US" w:eastAsia="zh-CN"/>
                    </w:rPr>
                    <w:t>2</w:t>
                  </w:r>
                  <w:r>
                    <w:rPr>
                      <w:rFonts w:ascii="Times New Roman" w:hAnsi="Times New Roman"/>
                      <w:b/>
                      <w:bCs/>
                      <w:color w:val="auto"/>
                      <w:sz w:val="21"/>
                      <w:szCs w:val="21"/>
                      <w:highlight w:val="none"/>
                    </w:rPr>
                    <w:t xml:space="preserve">  废气监测</w:t>
                  </w:r>
                </w:p>
              </w:tc>
            </w:tr>
          </w:tbl>
          <w:p>
            <w:pPr>
              <w:ind w:firstLine="482"/>
              <w:rPr>
                <w:b/>
                <w:bCs/>
                <w:color w:val="auto"/>
                <w:highlight w:val="none"/>
              </w:rPr>
            </w:pPr>
            <w:r>
              <w:rPr>
                <w:b/>
                <w:bCs/>
                <w:color w:val="auto"/>
                <w:highlight w:val="none"/>
              </w:rPr>
              <w:t xml:space="preserve"> 2、废水</w:t>
            </w:r>
          </w:p>
          <w:p>
            <w:pPr>
              <w:ind w:firstLine="480"/>
              <w:rPr>
                <w:color w:val="auto"/>
                <w:highlight w:val="none"/>
              </w:rPr>
            </w:pPr>
            <w:r>
              <w:rPr>
                <w:rFonts w:hint="eastAsia"/>
                <w:color w:val="auto"/>
                <w:highlight w:val="none"/>
              </w:rPr>
              <w:t>本项目产生的生活污水、实验后器皿</w:t>
            </w:r>
            <w:r>
              <w:rPr>
                <w:color w:val="auto"/>
                <w:highlight w:val="none"/>
              </w:rPr>
              <w:t>两次</w:t>
            </w:r>
            <w:r>
              <w:rPr>
                <w:rFonts w:hint="eastAsia"/>
                <w:color w:val="auto"/>
                <w:highlight w:val="none"/>
              </w:rPr>
              <w:t>清洗后</w:t>
            </w:r>
            <w:r>
              <w:rPr>
                <w:color w:val="auto"/>
                <w:highlight w:val="none"/>
              </w:rPr>
              <w:t>清洗</w:t>
            </w:r>
            <w:r>
              <w:rPr>
                <w:rFonts w:hint="eastAsia"/>
                <w:color w:val="auto"/>
                <w:highlight w:val="none"/>
              </w:rPr>
              <w:t>废水、</w:t>
            </w:r>
            <w:r>
              <w:rPr>
                <w:rFonts w:hint="eastAsia"/>
                <w:color w:val="auto"/>
                <w:highlight w:val="none"/>
                <w:lang w:eastAsia="zh-CN"/>
              </w:rPr>
              <w:t>环保设备排污水、地面清洁废水，均经收集池收集后满足银丰国际生物城污水处理站进水水质标准后，排入银丰国际生物城污水处理站处理</w:t>
            </w:r>
            <w:r>
              <w:rPr>
                <w:color w:val="auto"/>
                <w:highlight w:val="none"/>
              </w:rPr>
              <w:t>，满足《污水排入城镇下水道水质标准》（GB/T31962-2015）</w:t>
            </w:r>
            <w:r>
              <w:rPr>
                <w:rFonts w:hint="eastAsia"/>
                <w:color w:val="auto"/>
                <w:highlight w:val="none"/>
                <w:lang w:eastAsia="zh-CN"/>
              </w:rPr>
              <w:t>A级</w:t>
            </w:r>
            <w:r>
              <w:rPr>
                <w:color w:val="auto"/>
                <w:highlight w:val="none"/>
              </w:rPr>
              <w:t>标准后</w:t>
            </w:r>
            <w:r>
              <w:rPr>
                <w:rFonts w:hint="eastAsia"/>
                <w:color w:val="auto"/>
                <w:highlight w:val="none"/>
              </w:rPr>
              <w:t>通过</w:t>
            </w:r>
            <w:r>
              <w:rPr>
                <w:color w:val="auto"/>
                <w:highlight w:val="none"/>
              </w:rPr>
              <w:t>市政管网</w:t>
            </w:r>
            <w:r>
              <w:rPr>
                <w:rFonts w:hint="eastAsia"/>
                <w:color w:val="auto"/>
                <w:highlight w:val="none"/>
              </w:rPr>
              <w:t>排入</w:t>
            </w:r>
            <w:r>
              <w:rPr>
                <w:color w:val="auto"/>
                <w:highlight w:val="none"/>
              </w:rPr>
              <w:t>巨野河污水处理厂</w:t>
            </w:r>
            <w:r>
              <w:rPr>
                <w:rFonts w:hint="eastAsia"/>
                <w:color w:val="auto"/>
                <w:highlight w:val="none"/>
              </w:rPr>
              <w:t>处理达标后</w:t>
            </w:r>
            <w:r>
              <w:rPr>
                <w:bCs/>
                <w:color w:val="auto"/>
                <w:highlight w:val="none"/>
              </w:rPr>
              <w:t>，经</w:t>
            </w:r>
            <w:r>
              <w:rPr>
                <w:rFonts w:hint="eastAsia"/>
                <w:bCs/>
                <w:color w:val="auto"/>
                <w:highlight w:val="none"/>
              </w:rPr>
              <w:t>西</w:t>
            </w:r>
            <w:r>
              <w:rPr>
                <w:bCs/>
                <w:color w:val="auto"/>
                <w:highlight w:val="none"/>
              </w:rPr>
              <w:t>巨野河排入小清河</w:t>
            </w:r>
            <w:r>
              <w:rPr>
                <w:rFonts w:hint="eastAsia"/>
                <w:color w:val="auto"/>
                <w:highlight w:val="none"/>
              </w:rPr>
              <w:t>。</w:t>
            </w:r>
          </w:p>
          <w:p>
            <w:pPr>
              <w:ind w:firstLine="480"/>
              <w:rPr>
                <w:color w:val="auto"/>
                <w:highlight w:val="none"/>
              </w:rPr>
            </w:pPr>
            <w:r>
              <w:rPr>
                <w:color w:val="auto"/>
                <w:highlight w:val="none"/>
              </w:rPr>
              <w:t>此次验收对银丰国际生物城污水处理站进、出口</w:t>
            </w:r>
            <w:r>
              <w:rPr>
                <w:rFonts w:hint="eastAsia"/>
                <w:color w:val="auto"/>
                <w:highlight w:val="none"/>
              </w:rPr>
              <w:t>，</w:t>
            </w:r>
            <w:r>
              <w:rPr>
                <w:color w:val="auto"/>
                <w:highlight w:val="none"/>
              </w:rPr>
              <w:t>污染物排放情况进行了监测。</w:t>
            </w:r>
          </w:p>
          <w:p>
            <w:pPr>
              <w:ind w:firstLine="480"/>
              <w:rPr>
                <w:color w:val="auto"/>
                <w:highlight w:val="none"/>
              </w:rPr>
            </w:pPr>
            <w:r>
              <w:rPr>
                <w:color w:val="auto"/>
                <w:highlight w:val="none"/>
              </w:rPr>
              <w:t>监测结果见下表：</w:t>
            </w:r>
          </w:p>
          <w:p>
            <w:pPr>
              <w:ind w:firstLine="482"/>
              <w:jc w:val="center"/>
              <w:rPr>
                <w:b/>
                <w:bCs/>
                <w:color w:val="auto"/>
                <w:highlight w:val="none"/>
              </w:rPr>
            </w:pPr>
            <w:r>
              <w:rPr>
                <w:b/>
                <w:bCs/>
                <w:color w:val="auto"/>
                <w:highlight w:val="none"/>
              </w:rPr>
              <w:t>表7-</w:t>
            </w:r>
            <w:r>
              <w:rPr>
                <w:rFonts w:hint="eastAsia"/>
                <w:b/>
                <w:bCs/>
                <w:color w:val="auto"/>
                <w:highlight w:val="none"/>
              </w:rPr>
              <w:t xml:space="preserve">6 </w:t>
            </w:r>
            <w:r>
              <w:rPr>
                <w:b/>
                <w:bCs/>
                <w:color w:val="auto"/>
                <w:highlight w:val="none"/>
              </w:rPr>
              <w:t xml:space="preserve"> 项目废水监测结果表</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8"/>
              <w:gridCol w:w="1325"/>
              <w:gridCol w:w="955"/>
              <w:gridCol w:w="1148"/>
              <w:gridCol w:w="1148"/>
              <w:gridCol w:w="1148"/>
              <w:gridCol w:w="1158"/>
              <w:gridCol w:w="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采样点位</w:t>
                  </w:r>
                </w:p>
              </w:tc>
              <w:tc>
                <w:tcPr>
                  <w:tcW w:w="741"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检测项目</w:t>
                  </w:r>
                </w:p>
              </w:tc>
              <w:tc>
                <w:tcPr>
                  <w:tcW w:w="534"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计量</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单位</w:t>
                  </w:r>
                </w:p>
              </w:tc>
              <w:tc>
                <w:tcPr>
                  <w:tcW w:w="2574" w:type="pct"/>
                  <w:gridSpan w:val="4"/>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检测结果</w:t>
                  </w:r>
                </w:p>
              </w:tc>
              <w:tc>
                <w:tcPr>
                  <w:tcW w:w="349"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rFonts w:hint="eastAsia"/>
                      <w:b/>
                      <w:bCs/>
                      <w:color w:val="auto"/>
                      <w:spacing w:val="10"/>
                      <w:sz w:val="21"/>
                      <w:szCs w:val="21"/>
                      <w:highlight w:val="none"/>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741"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534"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2574" w:type="pct"/>
                  <w:gridSpan w:val="4"/>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01月10日</w:t>
                  </w:r>
                </w:p>
              </w:tc>
              <w:tc>
                <w:tcPr>
                  <w:tcW w:w="349"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restar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污水处理站进口</w:t>
                  </w: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化学需氧量</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2574" w:type="pct"/>
                  <w:gridSpan w:val="4"/>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412</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氨氮</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2574" w:type="pct"/>
                  <w:gridSpan w:val="4"/>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46.3</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采样点位</w:t>
                  </w:r>
                </w:p>
              </w:tc>
              <w:tc>
                <w:tcPr>
                  <w:tcW w:w="741"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检测项目</w:t>
                  </w:r>
                </w:p>
              </w:tc>
              <w:tc>
                <w:tcPr>
                  <w:tcW w:w="534"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计量</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单位</w:t>
                  </w:r>
                </w:p>
              </w:tc>
              <w:tc>
                <w:tcPr>
                  <w:tcW w:w="2574" w:type="pct"/>
                  <w:gridSpan w:val="4"/>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检测结果</w:t>
                  </w:r>
                </w:p>
              </w:tc>
              <w:tc>
                <w:tcPr>
                  <w:tcW w:w="349"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rFonts w:hint="eastAsia"/>
                      <w:b/>
                      <w:bCs/>
                      <w:color w:val="auto"/>
                      <w:spacing w:val="10"/>
                      <w:sz w:val="21"/>
                      <w:szCs w:val="21"/>
                      <w:highlight w:val="none"/>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741"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534"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642"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01月10日</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第一次</w:t>
                  </w:r>
                </w:p>
              </w:tc>
              <w:tc>
                <w:tcPr>
                  <w:tcW w:w="642"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01月10日</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第二次</w:t>
                  </w:r>
                </w:p>
              </w:tc>
              <w:tc>
                <w:tcPr>
                  <w:tcW w:w="642"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01月10日</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第三次</w:t>
                  </w:r>
                </w:p>
              </w:tc>
              <w:tc>
                <w:tcPr>
                  <w:tcW w:w="648"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01月10日</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第四次</w:t>
                  </w:r>
                </w:p>
              </w:tc>
              <w:tc>
                <w:tcPr>
                  <w:tcW w:w="349"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restar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污水处理站出口</w:t>
                  </w: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pH值</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7.8</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7.8</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7.8</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7.8</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氨氮</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22.3</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19.4</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25.6</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24.4</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悬浮物</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49</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54</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66</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58</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总磷</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2.05</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2.21</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2.58</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2.32</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化学需氧量</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205</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192</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221</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214</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生化需氧量</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95.7</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105</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100</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87.5</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97.0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溶解性总固体</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652</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447</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796</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739</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采样点位</w:t>
                  </w:r>
                </w:p>
              </w:tc>
              <w:tc>
                <w:tcPr>
                  <w:tcW w:w="741"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检测项目</w:t>
                  </w:r>
                </w:p>
              </w:tc>
              <w:tc>
                <w:tcPr>
                  <w:tcW w:w="534"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计量</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单位</w:t>
                  </w:r>
                </w:p>
              </w:tc>
              <w:tc>
                <w:tcPr>
                  <w:tcW w:w="2574" w:type="pct"/>
                  <w:gridSpan w:val="4"/>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检测结果</w:t>
                  </w:r>
                </w:p>
              </w:tc>
              <w:tc>
                <w:tcPr>
                  <w:tcW w:w="349" w:type="pct"/>
                  <w:vMerge w:val="restar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rFonts w:hint="eastAsia"/>
                      <w:b/>
                      <w:bCs/>
                      <w:color w:val="auto"/>
                      <w:spacing w:val="10"/>
                      <w:sz w:val="21"/>
                      <w:szCs w:val="21"/>
                      <w:highlight w:val="none"/>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741"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534"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c>
                <w:tcPr>
                  <w:tcW w:w="642"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01月11日</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第一次</w:t>
                  </w:r>
                </w:p>
              </w:tc>
              <w:tc>
                <w:tcPr>
                  <w:tcW w:w="642"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01月11日</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第二次</w:t>
                  </w:r>
                </w:p>
              </w:tc>
              <w:tc>
                <w:tcPr>
                  <w:tcW w:w="642"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01月11日</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第三次</w:t>
                  </w:r>
                </w:p>
              </w:tc>
              <w:tc>
                <w:tcPr>
                  <w:tcW w:w="648"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01月11日</w:t>
                  </w:r>
                </w:p>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第四次</w:t>
                  </w:r>
                </w:p>
              </w:tc>
              <w:tc>
                <w:tcPr>
                  <w:tcW w:w="349" w:type="pct"/>
                  <w:vMerge w:val="continue"/>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restar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污水处理站出口</w:t>
                  </w: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pH值</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7.8</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7.8</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7.8</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7.8</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氨氮</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20.8</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23.4</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26.2</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24.9</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23.8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悬浮物</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44</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60</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72</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76</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总磷</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1.82</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2.05</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2.20</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1.91</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化学需氧量</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198</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185</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201</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229</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生化需氧量</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98.6</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88.6</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92.2</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90.8</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92.6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9" w:type="pct"/>
                  <w:vMerge w:val="continue"/>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74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溶解性总固体</w:t>
                  </w:r>
                </w:p>
              </w:tc>
              <w:tc>
                <w:tcPr>
                  <w:tcW w:w="53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mg/L</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958</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869</w:t>
                  </w:r>
                </w:p>
              </w:tc>
              <w:tc>
                <w:tcPr>
                  <w:tcW w:w="642"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821</w:t>
                  </w:r>
                </w:p>
              </w:tc>
              <w:tc>
                <w:tcPr>
                  <w:tcW w:w="648"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770</w:t>
                  </w:r>
                </w:p>
              </w:tc>
              <w:tc>
                <w:tcPr>
                  <w:tcW w:w="349"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8"/>
                </w:tcPr>
                <w:p>
                  <w:pPr>
                    <w:widowControl/>
                    <w:autoSpaceDE w:val="0"/>
                    <w:autoSpaceDN w:val="0"/>
                    <w:adjustRightInd w:val="0"/>
                    <w:spacing w:line="240" w:lineRule="auto"/>
                    <w:ind w:firstLine="0" w:firstLineChars="0"/>
                    <w:jc w:val="left"/>
                    <w:rPr>
                      <w:color w:val="auto"/>
                      <w:spacing w:val="10"/>
                      <w:sz w:val="21"/>
                      <w:szCs w:val="21"/>
                      <w:highlight w:val="none"/>
                    </w:rPr>
                  </w:pPr>
                  <w:r>
                    <w:rPr>
                      <w:color w:val="auto"/>
                      <w:spacing w:val="10"/>
                      <w:sz w:val="21"/>
                      <w:szCs w:val="21"/>
                      <w:highlight w:val="none"/>
                    </w:rPr>
                    <w:t>备注：检测期间企业提供废水流量约为2m</w:t>
                  </w:r>
                  <w:r>
                    <w:rPr>
                      <w:color w:val="auto"/>
                      <w:spacing w:val="10"/>
                      <w:sz w:val="21"/>
                      <w:szCs w:val="21"/>
                      <w:highlight w:val="none"/>
                      <w:vertAlign w:val="superscript"/>
                    </w:rPr>
                    <w:t>3</w:t>
                  </w:r>
                  <w:r>
                    <w:rPr>
                      <w:color w:val="auto"/>
                      <w:spacing w:val="10"/>
                      <w:sz w:val="21"/>
                      <w:szCs w:val="21"/>
                      <w:highlight w:val="none"/>
                    </w:rPr>
                    <w:t>/天；废水与山东英科维芯生物工程有限公司生物实验室建设项目（报告编号2112054）废水同时采集，数据点位一致。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8"/>
                </w:tcPr>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rPr>
                    <w:t>7</w:t>
                  </w:r>
                  <w:r>
                    <w:rPr>
                      <w:rFonts w:ascii="Times New Roman" w:hAnsi="Times New Roman"/>
                      <w:b/>
                      <w:bCs/>
                      <w:color w:val="auto"/>
                      <w:sz w:val="24"/>
                      <w:highlight w:val="none"/>
                    </w:rPr>
                    <w:t xml:space="preserve">  废水判定结果表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1732"/>
                    <w:gridCol w:w="2559"/>
                    <w:gridCol w:w="2575"/>
                    <w:gridCol w:w="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76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260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最大日均值（mg/L）</w:t>
                        </w:r>
                      </w:p>
                    </w:tc>
                    <w:tc>
                      <w:tcPr>
                        <w:tcW w:w="261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标准值（mg/L）</w:t>
                        </w:r>
                      </w:p>
                    </w:tc>
                    <w:tc>
                      <w:tcPr>
                        <w:tcW w:w="993"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污水处理站出口</w:t>
                        </w: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pH值</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7.8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6.5-9.5</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氨氮</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23.8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45</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悬浮物</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63</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400</w:t>
                        </w:r>
                      </w:p>
                    </w:tc>
                    <w:tc>
                      <w:tcPr>
                        <w:tcW w:w="993" w:type="dxa"/>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总磷</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2.29</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8</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化学需氧量</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生化需氧量</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97.0</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350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溶解性总固体</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854</w:t>
                        </w:r>
                      </w:p>
                    </w:tc>
                    <w:tc>
                      <w:tcPr>
                        <w:tcW w:w="261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1500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widowControl/>
                    <w:autoSpaceDE w:val="0"/>
                    <w:autoSpaceDN w:val="0"/>
                    <w:adjustRightInd w:val="0"/>
                    <w:ind w:firstLine="480"/>
                    <w:jc w:val="left"/>
                    <w:rPr>
                      <w:color w:val="auto"/>
                      <w:spacing w:val="10"/>
                      <w:sz w:val="21"/>
                      <w:szCs w:val="21"/>
                      <w:highlight w:val="none"/>
                    </w:rPr>
                  </w:pPr>
                  <w:r>
                    <w:rPr>
                      <w:rFonts w:hint="eastAsia"/>
                      <w:color w:val="auto"/>
                      <w:highlight w:val="none"/>
                    </w:rPr>
                    <w:t>验收</w:t>
                  </w:r>
                  <w:r>
                    <w:rPr>
                      <w:color w:val="auto"/>
                      <w:spacing w:val="10"/>
                      <w:highlight w:val="none"/>
                    </w:rPr>
                    <w:t>监测期间，厂区污水经银丰国际生物城污水处理站处理后，出水水质满足《污水排入城镇下水道水质标准》（GB/T 31962-2015）中</w:t>
                  </w:r>
                  <w:r>
                    <w:rPr>
                      <w:rFonts w:hint="eastAsia"/>
                      <w:color w:val="auto"/>
                      <w:spacing w:val="10"/>
                      <w:highlight w:val="none"/>
                      <w:lang w:eastAsia="zh-CN"/>
                    </w:rPr>
                    <w:t>表1的A等</w:t>
                  </w:r>
                  <w:r>
                    <w:rPr>
                      <w:color w:val="auto"/>
                      <w:spacing w:val="10"/>
                      <w:highlight w:val="none"/>
                    </w:rPr>
                    <w:t>级标准要求。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1" w:type="pct"/>
                  <w:gridSpan w:val="8"/>
                  <w:shd w:val="clear" w:color="auto" w:fill="auto"/>
                </w:tcPr>
                <w:p>
                  <w:pPr>
                    <w:pStyle w:val="34"/>
                    <w:ind w:firstLine="0" w:firstLineChars="0"/>
                    <w:jc w:val="center"/>
                    <w:rPr>
                      <w:rFonts w:cs="Times New Roman"/>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INCLUDEPICTURE \d "http://117.73.252.128:9025/company/20220110/569d8cd2-a02f-4b3d-abbc-5cd4aae07856/1641782466654_1641782473016.jpg" \* MERGEFORMATINET </w:instrText>
                  </w:r>
                  <w:r>
                    <w:rPr>
                      <w:rFonts w:ascii="宋体" w:hAnsi="宋体"/>
                      <w:color w:val="auto"/>
                      <w:szCs w:val="24"/>
                      <w:highlight w:val="none"/>
                    </w:rPr>
                    <w:fldChar w:fldCharType="separate"/>
                  </w:r>
                  <w:r>
                    <w:rPr>
                      <w:rFonts w:ascii="宋体" w:hAnsi="宋体"/>
                      <w:color w:val="auto"/>
                      <w:szCs w:val="24"/>
                      <w:highlight w:val="none"/>
                    </w:rPr>
                    <w:pict>
                      <v:shape id="_x0000_i1034" o:spt="75" alt="IMG_256" type="#_x0000_t75" style="height:286.4pt;width:202.8pt;" filled="f" o:preferrelative="t" stroked="f" coordsize="21600,21600">
                        <v:path/>
                        <v:fill on="f" focussize="0,0"/>
                        <v:stroke on="f"/>
                        <v:imagedata r:id="rId20" r:href="rId21" o:title=""/>
                        <o:lock v:ext="edit" aspectratio="t"/>
                        <w10:wrap type="none"/>
                        <w10:anchorlock/>
                      </v:shape>
                    </w:pict>
                  </w:r>
                  <w:r>
                    <w:rPr>
                      <w:rFonts w:ascii="宋体" w:hAnsi="宋体"/>
                      <w:color w:val="auto"/>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1" w:type="pct"/>
                  <w:gridSpan w:val="8"/>
                  <w:shd w:val="clear" w:color="auto" w:fill="auto"/>
                </w:tcPr>
                <w:p>
                  <w:pPr>
                    <w:pStyle w:val="34"/>
                    <w:ind w:firstLine="0" w:firstLineChars="0"/>
                    <w:jc w:val="center"/>
                    <w:rPr>
                      <w:rFonts w:cs="Times New Roman"/>
                      <w:color w:val="auto"/>
                      <w:highlight w:val="no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3</w:t>
                  </w:r>
                  <w:r>
                    <w:rPr>
                      <w:rFonts w:cs="Times New Roman"/>
                      <w:b/>
                      <w:bCs/>
                      <w:color w:val="auto"/>
                      <w:sz w:val="21"/>
                      <w:szCs w:val="21"/>
                      <w:highlight w:val="none"/>
                    </w:rPr>
                    <w:t xml:space="preserve">  废水监测</w:t>
                  </w:r>
                </w:p>
              </w:tc>
            </w:tr>
          </w:tbl>
          <w:p>
            <w:pPr>
              <w:ind w:firstLine="482"/>
              <w:rPr>
                <w:b/>
                <w:bCs/>
                <w:color w:val="auto"/>
                <w:highlight w:val="none"/>
              </w:rPr>
            </w:pPr>
            <w:r>
              <w:rPr>
                <w:rFonts w:hint="eastAsia"/>
                <w:b/>
                <w:bCs/>
                <w:color w:val="auto"/>
                <w:highlight w:val="none"/>
              </w:rPr>
              <w:t>3、噪声</w:t>
            </w:r>
          </w:p>
          <w:p>
            <w:pPr>
              <w:ind w:firstLine="480"/>
              <w:rPr>
                <w:color w:val="auto"/>
                <w:highlight w:val="none"/>
              </w:rPr>
            </w:pPr>
            <w:r>
              <w:rPr>
                <w:rFonts w:hint="eastAsia"/>
                <w:color w:val="auto"/>
                <w:highlight w:val="none"/>
              </w:rPr>
              <w:t>本项目噪声源主要为研发实验设备运转产生的噪声。</w:t>
            </w:r>
            <w:r>
              <w:rPr>
                <w:color w:val="auto"/>
                <w:highlight w:val="none"/>
              </w:rPr>
              <w:t>本项目实验设备均布置于室内，采取门窗、墙体隔声，全部设备均选用低噪声设备并采取减振措施。加强管理，经常保养和维护机械设备避免设备在不良状态下运行。</w:t>
            </w:r>
          </w:p>
          <w:p>
            <w:pPr>
              <w:ind w:firstLine="480"/>
              <w:rPr>
                <w:color w:val="auto"/>
                <w:highlight w:val="none"/>
              </w:rPr>
            </w:pPr>
            <w:r>
              <w:rPr>
                <w:color w:val="auto"/>
                <w:highlight w:val="none"/>
              </w:rPr>
              <w:t>噪声监测结果见下表：</w:t>
            </w:r>
          </w:p>
          <w:p>
            <w:pPr>
              <w:spacing w:line="240" w:lineRule="atLeast"/>
              <w:ind w:firstLine="482"/>
              <w:jc w:val="center"/>
              <w:rPr>
                <w:b/>
                <w:bCs/>
                <w:color w:val="auto"/>
                <w:highlight w:val="none"/>
              </w:rPr>
            </w:pPr>
            <w:r>
              <w:rPr>
                <w:b/>
                <w:bCs/>
                <w:color w:val="auto"/>
                <w:highlight w:val="none"/>
              </w:rPr>
              <w:t>表7-</w:t>
            </w:r>
            <w:r>
              <w:rPr>
                <w:rFonts w:hint="eastAsia"/>
                <w:b/>
                <w:bCs/>
                <w:color w:val="auto"/>
                <w:highlight w:val="none"/>
              </w:rPr>
              <w:t xml:space="preserve">8 </w:t>
            </w:r>
            <w:r>
              <w:rPr>
                <w:b/>
                <w:bCs/>
                <w:color w:val="auto"/>
                <w:highlight w:val="none"/>
              </w:rPr>
              <w:t xml:space="preserve"> 项目噪声监测结果表   单位：dB（A）</w:t>
            </w:r>
          </w:p>
          <w:tbl>
            <w:tblPr>
              <w:tblStyle w:val="26"/>
              <w:tblW w:w="4997" w:type="pct"/>
              <w:jc w:val="center"/>
              <w:tblLayout w:type="autofit"/>
              <w:tblCellMar>
                <w:top w:w="0" w:type="dxa"/>
                <w:left w:w="108" w:type="dxa"/>
                <w:bottom w:w="0" w:type="dxa"/>
                <w:right w:w="108" w:type="dxa"/>
              </w:tblCellMar>
            </w:tblPr>
            <w:tblGrid>
              <w:gridCol w:w="2"/>
              <w:gridCol w:w="1384"/>
              <w:gridCol w:w="1349"/>
              <w:gridCol w:w="1242"/>
              <w:gridCol w:w="1654"/>
              <w:gridCol w:w="1654"/>
              <w:gridCol w:w="1632"/>
              <w:gridCol w:w="27"/>
            </w:tblGrid>
            <w:tr>
              <w:tblPrEx>
                <w:tblCellMar>
                  <w:top w:w="0" w:type="dxa"/>
                  <w:left w:w="108" w:type="dxa"/>
                  <w:bottom w:w="0" w:type="dxa"/>
                  <w:right w:w="108" w:type="dxa"/>
                </w:tblCellMar>
              </w:tblPrEx>
              <w:trPr>
                <w:trHeight w:val="397" w:hRule="atLeast"/>
                <w:jc w:val="center"/>
              </w:trPr>
              <w:tc>
                <w:tcPr>
                  <w:tcW w:w="775" w:type="pct"/>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采样时间</w:t>
                  </w:r>
                </w:p>
              </w:tc>
              <w:tc>
                <w:tcPr>
                  <w:tcW w:w="754"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测量时段</w:t>
                  </w:r>
                </w:p>
              </w:tc>
              <w:tc>
                <w:tcPr>
                  <w:tcW w:w="694"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检测项目</w:t>
                  </w:r>
                </w:p>
              </w:tc>
              <w:tc>
                <w:tcPr>
                  <w:tcW w:w="2775"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b/>
                      <w:bCs/>
                      <w:color w:val="auto"/>
                      <w:spacing w:val="10"/>
                      <w:sz w:val="21"/>
                      <w:szCs w:val="21"/>
                      <w:highlight w:val="none"/>
                    </w:rPr>
                  </w:pPr>
                  <w:r>
                    <w:rPr>
                      <w:b/>
                      <w:bCs/>
                      <w:color w:val="auto"/>
                      <w:spacing w:val="10"/>
                      <w:sz w:val="21"/>
                      <w:szCs w:val="21"/>
                      <w:highlight w:val="none"/>
                    </w:rPr>
                    <w:t>检测结果dB(A)</w:t>
                  </w:r>
                </w:p>
              </w:tc>
            </w:tr>
            <w:tr>
              <w:tblPrEx>
                <w:tblCellMar>
                  <w:top w:w="0" w:type="dxa"/>
                  <w:left w:w="108" w:type="dxa"/>
                  <w:bottom w:w="0" w:type="dxa"/>
                  <w:right w:w="108" w:type="dxa"/>
                </w:tblCellMar>
              </w:tblPrEx>
              <w:trPr>
                <w:trHeight w:val="397" w:hRule="atLeast"/>
                <w:jc w:val="center"/>
              </w:trPr>
              <w:tc>
                <w:tcPr>
                  <w:tcW w:w="775" w:type="pct"/>
                  <w:gridSpan w:val="2"/>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b/>
                      <w:bCs/>
                      <w:color w:val="auto"/>
                      <w:spacing w:val="10"/>
                      <w:sz w:val="21"/>
                      <w:szCs w:val="21"/>
                      <w:highlight w:val="none"/>
                    </w:rPr>
                  </w:pPr>
                </w:p>
              </w:tc>
              <w:tc>
                <w:tcPr>
                  <w:tcW w:w="754"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b/>
                      <w:bCs/>
                      <w:color w:val="auto"/>
                      <w:spacing w:val="10"/>
                      <w:sz w:val="21"/>
                      <w:szCs w:val="21"/>
                      <w:highlight w:val="none"/>
                    </w:rPr>
                  </w:pPr>
                </w:p>
              </w:tc>
              <w:tc>
                <w:tcPr>
                  <w:tcW w:w="694"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b/>
                      <w:bCs/>
                      <w:color w:val="auto"/>
                      <w:spacing w:val="10"/>
                      <w:sz w:val="21"/>
                      <w:szCs w:val="21"/>
                      <w:highlight w:val="none"/>
                    </w:rPr>
                  </w:pPr>
                </w:p>
              </w:tc>
              <w:tc>
                <w:tcPr>
                  <w:tcW w:w="92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1#</w:t>
                  </w:r>
                </w:p>
              </w:tc>
              <w:tc>
                <w:tcPr>
                  <w:tcW w:w="92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2#</w:t>
                  </w:r>
                </w:p>
              </w:tc>
              <w:tc>
                <w:tcPr>
                  <w:tcW w:w="926" w:type="pct"/>
                  <w:gridSpan w:val="2"/>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3#</w:t>
                  </w:r>
                </w:p>
              </w:tc>
            </w:tr>
            <w:tr>
              <w:tblPrEx>
                <w:tblCellMar>
                  <w:top w:w="0" w:type="dxa"/>
                  <w:left w:w="108" w:type="dxa"/>
                  <w:bottom w:w="0" w:type="dxa"/>
                  <w:right w:w="108" w:type="dxa"/>
                </w:tblCellMar>
              </w:tblPrEx>
              <w:trPr>
                <w:trHeight w:val="397" w:hRule="atLeast"/>
                <w:jc w:val="center"/>
              </w:trPr>
              <w:tc>
                <w:tcPr>
                  <w:tcW w:w="775" w:type="pct"/>
                  <w:gridSpan w:val="2"/>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2022.04.21</w:t>
                  </w:r>
                </w:p>
              </w:tc>
              <w:tc>
                <w:tcPr>
                  <w:tcW w:w="75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昼间</w:t>
                  </w:r>
                </w:p>
              </w:tc>
              <w:tc>
                <w:tcPr>
                  <w:tcW w:w="694"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噪声</w:t>
                  </w:r>
                </w:p>
              </w:tc>
              <w:tc>
                <w:tcPr>
                  <w:tcW w:w="92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54.2</w:t>
                  </w:r>
                </w:p>
              </w:tc>
              <w:tc>
                <w:tcPr>
                  <w:tcW w:w="92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53.7</w:t>
                  </w:r>
                </w:p>
              </w:tc>
              <w:tc>
                <w:tcPr>
                  <w:tcW w:w="926" w:type="pct"/>
                  <w:gridSpan w:val="2"/>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52.8</w:t>
                  </w:r>
                </w:p>
              </w:tc>
            </w:tr>
            <w:tr>
              <w:tblPrEx>
                <w:tblCellMar>
                  <w:top w:w="0" w:type="dxa"/>
                  <w:left w:w="108" w:type="dxa"/>
                  <w:bottom w:w="0" w:type="dxa"/>
                  <w:right w:w="108" w:type="dxa"/>
                </w:tblCellMar>
              </w:tblPrEx>
              <w:trPr>
                <w:trHeight w:val="397" w:hRule="atLeast"/>
                <w:jc w:val="center"/>
              </w:trPr>
              <w:tc>
                <w:tcPr>
                  <w:tcW w:w="775" w:type="pct"/>
                  <w:gridSpan w:val="2"/>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2022.04.22</w:t>
                  </w:r>
                </w:p>
              </w:tc>
              <w:tc>
                <w:tcPr>
                  <w:tcW w:w="754"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昼间</w:t>
                  </w:r>
                </w:p>
              </w:tc>
              <w:tc>
                <w:tcPr>
                  <w:tcW w:w="694" w:type="pct"/>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p>
              </w:tc>
              <w:tc>
                <w:tcPr>
                  <w:tcW w:w="92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54.0</w:t>
                  </w:r>
                </w:p>
              </w:tc>
              <w:tc>
                <w:tcPr>
                  <w:tcW w:w="924"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53.5</w:t>
                  </w:r>
                </w:p>
              </w:tc>
              <w:tc>
                <w:tcPr>
                  <w:tcW w:w="926" w:type="pct"/>
                  <w:gridSpan w:val="2"/>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5" w:type="pct"/>
                <w:jc w:val="center"/>
              </w:trPr>
              <w:tc>
                <w:tcPr>
                  <w:tcW w:w="4982" w:type="pct"/>
                  <w:gridSpan w:val="6"/>
                  <w:shd w:val="clear" w:color="auto" w:fill="auto"/>
                  <w:vAlign w:val="center"/>
                </w:tcPr>
                <w:p>
                  <w:pPr>
                    <w:pStyle w:val="3"/>
                    <w:ind w:firstLine="0" w:firstLineChars="0"/>
                    <w:jc w:val="center"/>
                    <w:rPr>
                      <w:rFonts w:ascii="Times New Roman" w:hAnsi="Times New Roman"/>
                      <w:b/>
                      <w:bCs/>
                      <w:color w:val="auto"/>
                      <w:sz w:val="24"/>
                      <w:highlight w:val="none"/>
                    </w:rPr>
                  </w:pPr>
                  <w:r>
                    <w:rPr>
                      <w:rFonts w:hint="eastAsia" w:ascii="Times New Roman" w:hAnsi="Times New Roman"/>
                      <w:b/>
                      <w:bCs/>
                      <w:color w:val="auto"/>
                      <w:sz w:val="24"/>
                      <w:highlight w:val="none"/>
                    </w:rPr>
                    <w:t>表7-9  噪声判定结果表</w:t>
                  </w:r>
                </w:p>
                <w:tbl>
                  <w:tblPr>
                    <w:tblStyle w:val="26"/>
                    <w:tblW w:w="4998" w:type="pct"/>
                    <w:jc w:val="center"/>
                    <w:tblLayout w:type="autofit"/>
                    <w:tblCellMar>
                      <w:top w:w="0" w:type="dxa"/>
                      <w:left w:w="108" w:type="dxa"/>
                      <w:bottom w:w="0" w:type="dxa"/>
                      <w:right w:w="108" w:type="dxa"/>
                    </w:tblCellMar>
                  </w:tblPr>
                  <w:tblGrid>
                    <w:gridCol w:w="1195"/>
                    <w:gridCol w:w="1226"/>
                    <w:gridCol w:w="1484"/>
                    <w:gridCol w:w="1649"/>
                    <w:gridCol w:w="1527"/>
                    <w:gridCol w:w="1615"/>
                  </w:tblGrid>
                  <w:tr>
                    <w:tblPrEx>
                      <w:tblCellMar>
                        <w:top w:w="0" w:type="dxa"/>
                        <w:left w:w="108" w:type="dxa"/>
                        <w:bottom w:w="0" w:type="dxa"/>
                        <w:right w:w="108" w:type="dxa"/>
                      </w:tblCellMar>
                    </w:tblPrEx>
                    <w:trPr>
                      <w:trHeight w:val="367" w:hRule="atLeast"/>
                      <w:jc w:val="center"/>
                    </w:trPr>
                    <w:tc>
                      <w:tcPr>
                        <w:tcW w:w="687"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测量</w:t>
                        </w:r>
                      </w:p>
                      <w:p>
                        <w:pPr>
                          <w:spacing w:line="240" w:lineRule="auto"/>
                          <w:ind w:firstLine="0" w:firstLineChars="0"/>
                          <w:jc w:val="center"/>
                          <w:rPr>
                            <w:b/>
                            <w:bCs/>
                            <w:color w:val="auto"/>
                            <w:sz w:val="21"/>
                            <w:szCs w:val="21"/>
                            <w:highlight w:val="none"/>
                          </w:rPr>
                        </w:pPr>
                        <w:r>
                          <w:rPr>
                            <w:b/>
                            <w:bCs/>
                            <w:color w:val="auto"/>
                            <w:sz w:val="21"/>
                            <w:szCs w:val="21"/>
                            <w:highlight w:val="none"/>
                          </w:rPr>
                          <w:t>时段</w:t>
                        </w:r>
                      </w:p>
                    </w:tc>
                    <w:tc>
                      <w:tcPr>
                        <w:tcW w:w="705"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w:t>
                        </w:r>
                      </w:p>
                      <w:p>
                        <w:pPr>
                          <w:spacing w:line="240" w:lineRule="auto"/>
                          <w:ind w:firstLine="0" w:firstLineChars="0"/>
                          <w:jc w:val="center"/>
                          <w:rPr>
                            <w:b/>
                            <w:bCs/>
                            <w:color w:val="auto"/>
                            <w:sz w:val="21"/>
                            <w:szCs w:val="21"/>
                            <w:highlight w:val="none"/>
                          </w:rPr>
                        </w:pPr>
                        <w:r>
                          <w:rPr>
                            <w:b/>
                            <w:bCs/>
                            <w:color w:val="auto"/>
                            <w:sz w:val="21"/>
                            <w:szCs w:val="21"/>
                            <w:highlight w:val="none"/>
                          </w:rPr>
                          <w:t>项目</w:t>
                        </w:r>
                      </w:p>
                    </w:tc>
                    <w:tc>
                      <w:tcPr>
                        <w:tcW w:w="2679" w:type="pct"/>
                        <w:gridSpan w:val="3"/>
                        <w:tcBorders>
                          <w:top w:val="single" w:color="000000" w:sz="4" w:space="0"/>
                          <w:left w:val="single" w:color="auto" w:sz="4" w:space="0"/>
                          <w:bottom w:val="single" w:color="000000" w:sz="4" w:space="0"/>
                          <w:right w:val="single" w:color="auto" w:sz="4" w:space="0"/>
                        </w:tcBorders>
                        <w:vAlign w:val="center"/>
                      </w:tcPr>
                      <w:p>
                        <w:pPr>
                          <w:spacing w:line="240" w:lineRule="auto"/>
                          <w:ind w:firstLineChars="0"/>
                          <w:jc w:val="center"/>
                          <w:rPr>
                            <w:b/>
                            <w:bCs/>
                            <w:color w:val="auto"/>
                            <w:sz w:val="21"/>
                            <w:szCs w:val="21"/>
                            <w:highlight w:val="none"/>
                          </w:rPr>
                        </w:pPr>
                        <w:r>
                          <w:rPr>
                            <w:rFonts w:hint="eastAsia"/>
                            <w:b/>
                            <w:bCs/>
                            <w:color w:val="auto"/>
                            <w:sz w:val="21"/>
                            <w:szCs w:val="21"/>
                            <w:highlight w:val="none"/>
                          </w:rPr>
                          <w:t>最大噪声值 dB（A）</w:t>
                        </w:r>
                      </w:p>
                    </w:tc>
                    <w:tc>
                      <w:tcPr>
                        <w:tcW w:w="92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标准值 dB（A）</w:t>
                        </w:r>
                      </w:p>
                    </w:tc>
                  </w:tr>
                  <w:tr>
                    <w:tblPrEx>
                      <w:tblCellMar>
                        <w:top w:w="0" w:type="dxa"/>
                        <w:left w:w="108" w:type="dxa"/>
                        <w:bottom w:w="0" w:type="dxa"/>
                        <w:right w:w="108" w:type="dxa"/>
                      </w:tblCellMar>
                    </w:tblPrEx>
                    <w:trPr>
                      <w:trHeight w:val="397" w:hRule="atLeast"/>
                      <w:jc w:val="center"/>
                    </w:trPr>
                    <w:tc>
                      <w:tcPr>
                        <w:tcW w:w="687"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b/>
                            <w:bCs/>
                            <w:color w:val="auto"/>
                            <w:sz w:val="21"/>
                            <w:szCs w:val="21"/>
                            <w:highlight w:val="none"/>
                          </w:rPr>
                        </w:pPr>
                      </w:p>
                    </w:tc>
                    <w:tc>
                      <w:tcPr>
                        <w:tcW w:w="705"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b/>
                            <w:bCs/>
                            <w:color w:val="auto"/>
                            <w:sz w:val="21"/>
                            <w:szCs w:val="21"/>
                            <w:highlight w:val="none"/>
                          </w:rPr>
                        </w:pPr>
                      </w:p>
                    </w:tc>
                    <w:tc>
                      <w:tcPr>
                        <w:tcW w:w="853"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1#南厂界</w:t>
                        </w:r>
                      </w:p>
                    </w:tc>
                    <w:tc>
                      <w:tcPr>
                        <w:tcW w:w="948"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2#西厂界</w:t>
                        </w:r>
                      </w:p>
                    </w:tc>
                    <w:tc>
                      <w:tcPr>
                        <w:tcW w:w="877"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3#北厂界</w:t>
                        </w:r>
                      </w:p>
                    </w:tc>
                    <w:tc>
                      <w:tcPr>
                        <w:tcW w:w="92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p>
                    </w:tc>
                  </w:tr>
                  <w:tr>
                    <w:tblPrEx>
                      <w:tblCellMar>
                        <w:top w:w="0" w:type="dxa"/>
                        <w:left w:w="108" w:type="dxa"/>
                        <w:bottom w:w="0" w:type="dxa"/>
                        <w:right w:w="108" w:type="dxa"/>
                      </w:tblCellMar>
                    </w:tblPrEx>
                    <w:trPr>
                      <w:trHeight w:val="397" w:hRule="atLeast"/>
                      <w:jc w:val="center"/>
                    </w:trPr>
                    <w:tc>
                      <w:tcPr>
                        <w:tcW w:w="687"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color w:val="auto"/>
                            <w:sz w:val="21"/>
                            <w:szCs w:val="21"/>
                            <w:highlight w:val="none"/>
                          </w:rPr>
                          <w:t>昼间</w:t>
                        </w:r>
                      </w:p>
                    </w:tc>
                    <w:tc>
                      <w:tcPr>
                        <w:tcW w:w="705"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color w:val="auto"/>
                            <w:sz w:val="21"/>
                            <w:szCs w:val="21"/>
                            <w:highlight w:val="none"/>
                          </w:rPr>
                          <w:t>噪声</w:t>
                        </w:r>
                      </w:p>
                    </w:tc>
                    <w:tc>
                      <w:tcPr>
                        <w:tcW w:w="853"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54.2</w:t>
                        </w:r>
                      </w:p>
                    </w:tc>
                    <w:tc>
                      <w:tcPr>
                        <w:tcW w:w="948" w:type="pct"/>
                        <w:tcBorders>
                          <w:top w:val="single" w:color="000000" w:sz="4" w:space="0"/>
                          <w:left w:val="single" w:color="000000" w:sz="4" w:space="0"/>
                          <w:bottom w:val="single" w:color="000000" w:sz="4" w:space="0"/>
                          <w:right w:val="single" w:color="auto"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53.7</w:t>
                        </w:r>
                      </w:p>
                    </w:tc>
                    <w:tc>
                      <w:tcPr>
                        <w:tcW w:w="877" w:type="pct"/>
                        <w:tcBorders>
                          <w:top w:val="single" w:color="000000" w:sz="4" w:space="0"/>
                          <w:left w:val="single" w:color="auto" w:sz="4" w:space="0"/>
                          <w:bottom w:val="single" w:color="000000" w:sz="4" w:space="0"/>
                          <w:right w:val="single" w:color="auto"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52.8</w:t>
                        </w:r>
                      </w:p>
                    </w:tc>
                    <w:tc>
                      <w:tcPr>
                        <w:tcW w:w="92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r>
                  <w:tr>
                    <w:tblPrEx>
                      <w:tblCellMar>
                        <w:top w:w="0" w:type="dxa"/>
                        <w:left w:w="108" w:type="dxa"/>
                        <w:bottom w:w="0" w:type="dxa"/>
                        <w:right w:w="108" w:type="dxa"/>
                      </w:tblCellMar>
                    </w:tblPrEx>
                    <w:trPr>
                      <w:trHeight w:val="397" w:hRule="atLeast"/>
                      <w:jc w:val="center"/>
                    </w:trPr>
                    <w:tc>
                      <w:tcPr>
                        <w:tcW w:w="1392"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备注</w:t>
                        </w:r>
                      </w:p>
                    </w:tc>
                    <w:tc>
                      <w:tcPr>
                        <w:tcW w:w="8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948"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877"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92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bl>
                <w:p>
                  <w:pPr>
                    <w:pStyle w:val="34"/>
                    <w:snapToGrid w:val="0"/>
                    <w:jc w:val="both"/>
                    <w:rPr>
                      <w:rFonts w:cs="Times New Roman"/>
                      <w:b/>
                      <w:bCs/>
                      <w:color w:val="auto"/>
                      <w:szCs w:val="24"/>
                      <w:highlight w:val="none"/>
                    </w:rPr>
                  </w:pPr>
                  <w:r>
                    <w:rPr>
                      <w:rFonts w:cs="Times New Roman"/>
                      <w:color w:val="auto"/>
                      <w:szCs w:val="24"/>
                      <w:highlight w:val="none"/>
                    </w:rPr>
                    <w:t>验收监测期间，项目</w:t>
                  </w:r>
                  <w:r>
                    <w:rPr>
                      <w:rFonts w:hint="eastAsia" w:cs="Times New Roman"/>
                      <w:color w:val="auto"/>
                      <w:szCs w:val="24"/>
                      <w:highlight w:val="none"/>
                    </w:rPr>
                    <w:t>1</w:t>
                  </w:r>
                  <w:r>
                    <w:rPr>
                      <w:rFonts w:cs="Times New Roman"/>
                      <w:color w:val="auto"/>
                      <w:szCs w:val="24"/>
                      <w:highlight w:val="none"/>
                    </w:rPr>
                    <w:t>#南厂界、</w:t>
                  </w:r>
                  <w:r>
                    <w:rPr>
                      <w:rFonts w:hint="eastAsia" w:cs="Times New Roman"/>
                      <w:color w:val="auto"/>
                      <w:szCs w:val="24"/>
                      <w:highlight w:val="none"/>
                    </w:rPr>
                    <w:t>2</w:t>
                  </w:r>
                  <w:r>
                    <w:rPr>
                      <w:rFonts w:cs="Times New Roman"/>
                      <w:color w:val="auto"/>
                      <w:szCs w:val="24"/>
                      <w:highlight w:val="none"/>
                    </w:rPr>
                    <w:t>#</w:t>
                  </w:r>
                  <w:r>
                    <w:rPr>
                      <w:rFonts w:hint="eastAsia" w:cs="Times New Roman"/>
                      <w:color w:val="auto"/>
                      <w:szCs w:val="24"/>
                      <w:highlight w:val="none"/>
                    </w:rPr>
                    <w:t>西</w:t>
                  </w:r>
                  <w:r>
                    <w:rPr>
                      <w:rFonts w:cs="Times New Roman"/>
                      <w:color w:val="auto"/>
                      <w:szCs w:val="24"/>
                      <w:highlight w:val="none"/>
                    </w:rPr>
                    <w:t>厂界、</w:t>
                  </w:r>
                  <w:r>
                    <w:rPr>
                      <w:rFonts w:hint="eastAsia" w:cs="Times New Roman"/>
                      <w:color w:val="auto"/>
                      <w:szCs w:val="24"/>
                      <w:highlight w:val="none"/>
                    </w:rPr>
                    <w:t>3</w:t>
                  </w:r>
                  <w:r>
                    <w:rPr>
                      <w:rFonts w:cs="Times New Roman"/>
                      <w:color w:val="auto"/>
                      <w:szCs w:val="24"/>
                      <w:highlight w:val="none"/>
                    </w:rPr>
                    <w:t>#</w:t>
                  </w:r>
                  <w:r>
                    <w:rPr>
                      <w:rFonts w:hint="eastAsia" w:cs="Times New Roman"/>
                      <w:color w:val="auto"/>
                      <w:szCs w:val="24"/>
                      <w:highlight w:val="none"/>
                    </w:rPr>
                    <w:t>北</w:t>
                  </w:r>
                  <w:r>
                    <w:rPr>
                      <w:rFonts w:cs="Times New Roman"/>
                      <w:color w:val="auto"/>
                      <w:szCs w:val="24"/>
                      <w:highlight w:val="none"/>
                    </w:rPr>
                    <w:t>厂界</w:t>
                  </w:r>
                  <w:r>
                    <w:rPr>
                      <w:rFonts w:hint="eastAsia" w:cs="Times New Roman"/>
                      <w:color w:val="auto"/>
                      <w:szCs w:val="24"/>
                      <w:highlight w:val="none"/>
                    </w:rPr>
                    <w:t>，</w:t>
                  </w:r>
                  <w:r>
                    <w:rPr>
                      <w:rFonts w:cs="Times New Roman"/>
                      <w:color w:val="auto"/>
                      <w:szCs w:val="24"/>
                      <w:highlight w:val="none"/>
                    </w:rPr>
                    <w:t>监测点厂界</w:t>
                  </w:r>
                  <w:r>
                    <w:rPr>
                      <w:rFonts w:hint="eastAsia" w:cs="Times New Roman"/>
                      <w:color w:val="auto"/>
                      <w:szCs w:val="24"/>
                      <w:highlight w:val="none"/>
                    </w:rPr>
                    <w:t>的</w:t>
                  </w:r>
                  <w:r>
                    <w:rPr>
                      <w:rFonts w:cs="Times New Roman"/>
                      <w:color w:val="auto"/>
                      <w:szCs w:val="24"/>
                      <w:highlight w:val="none"/>
                    </w:rPr>
                    <w:t>昼间噪声</w:t>
                  </w:r>
                  <w:r>
                    <w:rPr>
                      <w:rFonts w:hint="eastAsia" w:cs="Times New Roman"/>
                      <w:color w:val="auto"/>
                      <w:szCs w:val="24"/>
                      <w:highlight w:val="none"/>
                    </w:rPr>
                    <w:t>均</w:t>
                  </w:r>
                  <w:r>
                    <w:rPr>
                      <w:rFonts w:cs="Times New Roman"/>
                      <w:color w:val="auto"/>
                      <w:szCs w:val="24"/>
                      <w:highlight w:val="none"/>
                    </w:rPr>
                    <w:t>满足《工业企业厂界环境噪声排放标准》(GB12348-2008)2类标准</w:t>
                  </w:r>
                  <w:r>
                    <w:rPr>
                      <w:rFonts w:hint="eastAsia" w:cs="Times New Roman"/>
                      <w:color w:val="auto"/>
                      <w:szCs w:val="24"/>
                      <w:highlight w:val="none"/>
                    </w:rPr>
                    <w:t>（厂区东侧为其他企业，与之共用一堵墙，无法进行检测）</w:t>
                  </w:r>
                  <w:r>
                    <w:rPr>
                      <w:rFonts w:cs="Times New Roman"/>
                      <w:color w:val="auto"/>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5" w:type="pct"/>
                <w:jc w:val="center"/>
              </w:trPr>
              <w:tc>
                <w:tcPr>
                  <w:tcW w:w="4982" w:type="pct"/>
                  <w:gridSpan w:val="6"/>
                  <w:shd w:val="clear" w:color="auto" w:fill="auto"/>
                  <w:vAlign w:val="center"/>
                </w:tcPr>
                <w:p>
                  <w:pPr>
                    <w:pStyle w:val="34"/>
                    <w:snapToGrid w:val="0"/>
                    <w:jc w:val="center"/>
                    <w:rPr>
                      <w:rFonts w:cs="Times New Roman"/>
                      <w:b/>
                      <w:bCs/>
                      <w:color w:val="auto"/>
                      <w:szCs w:val="24"/>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INCLUDEPICTURE \d "http://117.73.252.128:9025/company/20220422/acd0939d-6408-4c0e-9da9-398fa1f280d5/1650596962026_1650596966662.jpg" \* MERGEFORMATINET </w:instrText>
                  </w:r>
                  <w:r>
                    <w:rPr>
                      <w:rFonts w:ascii="宋体" w:hAnsi="宋体"/>
                      <w:color w:val="auto"/>
                      <w:szCs w:val="24"/>
                      <w:highlight w:val="none"/>
                    </w:rPr>
                    <w:fldChar w:fldCharType="separate"/>
                  </w:r>
                  <w:r>
                    <w:rPr>
                      <w:rFonts w:ascii="宋体" w:hAnsi="宋体"/>
                      <w:color w:val="auto"/>
                      <w:szCs w:val="24"/>
                      <w:highlight w:val="none"/>
                    </w:rPr>
                    <w:pict>
                      <v:shape id="_x0000_i1035" o:spt="75" alt="IMG_256" type="#_x0000_t75" style="height:273.95pt;width:187.95pt;" filled="f" o:preferrelative="t" stroked="f" coordsize="21600,21600">
                        <v:path/>
                        <v:fill on="f" focussize="0,0"/>
                        <v:stroke on="f"/>
                        <v:imagedata r:id="rId22" r:href="rId23" o:title=""/>
                        <o:lock v:ext="edit" aspectratio="t"/>
                        <w10:wrap type="none"/>
                        <w10:anchorlock/>
                      </v:shape>
                    </w:pict>
                  </w:r>
                  <w:r>
                    <w:rPr>
                      <w:rFonts w:ascii="宋体" w:hAnsi="宋体"/>
                      <w:color w:val="auto"/>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5" w:type="pct"/>
                <w:jc w:val="center"/>
              </w:trPr>
              <w:tc>
                <w:tcPr>
                  <w:tcW w:w="4982" w:type="pct"/>
                  <w:gridSpan w:val="6"/>
                  <w:shd w:val="clear" w:color="auto" w:fill="auto"/>
                  <w:vAlign w:val="center"/>
                </w:tcPr>
                <w:p>
                  <w:pPr>
                    <w:pStyle w:val="34"/>
                    <w:snapToGrid w:val="0"/>
                    <w:ind w:firstLine="422"/>
                    <w:jc w:val="center"/>
                    <w:rPr>
                      <w:rFonts w:cs="Times New Roman"/>
                      <w:b/>
                      <w:bCs/>
                      <w:color w:val="auto"/>
                      <w:sz w:val="21"/>
                      <w:szCs w:val="21"/>
                      <w:highlight w:val="no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4</w:t>
                  </w:r>
                  <w:r>
                    <w:rPr>
                      <w:rFonts w:cs="Times New Roman"/>
                      <w:b/>
                      <w:bCs/>
                      <w:color w:val="auto"/>
                      <w:sz w:val="21"/>
                      <w:szCs w:val="21"/>
                      <w:highlight w:val="none"/>
                    </w:rPr>
                    <w:t xml:space="preserve">  噪声监测</w:t>
                  </w:r>
                </w:p>
              </w:tc>
            </w:tr>
          </w:tbl>
          <w:p>
            <w:pPr>
              <w:pStyle w:val="2"/>
              <w:ind w:firstLine="482"/>
              <w:jc w:val="left"/>
              <w:rPr>
                <w:rFonts w:ascii="Times New Roman" w:hAnsi="Times New Roman"/>
                <w:b/>
                <w:bCs/>
                <w:color w:val="auto"/>
                <w:sz w:val="24"/>
                <w:highlight w:val="none"/>
              </w:rPr>
            </w:pPr>
            <w:r>
              <w:rPr>
                <w:rFonts w:ascii="Times New Roman" w:hAnsi="Times New Roman"/>
                <w:b/>
                <w:bCs/>
                <w:color w:val="auto"/>
                <w:sz w:val="24"/>
                <w:highlight w:val="none"/>
              </w:rPr>
              <w:t>4、固废检查情况</w:t>
            </w:r>
          </w:p>
          <w:p>
            <w:pPr>
              <w:pStyle w:val="34"/>
              <w:widowControl/>
              <w:adjustRightInd/>
              <w:rPr>
                <w:rFonts w:cs="Times New Roman"/>
                <w:color w:val="auto"/>
                <w:szCs w:val="24"/>
                <w:highlight w:val="none"/>
              </w:rPr>
            </w:pPr>
            <w:r>
              <w:rPr>
                <w:rFonts w:hint="eastAsia" w:cs="Times New Roman"/>
                <w:color w:val="auto"/>
                <w:szCs w:val="24"/>
                <w:highlight w:val="none"/>
              </w:rPr>
              <w:t>本</w:t>
            </w:r>
            <w:r>
              <w:rPr>
                <w:rFonts w:cs="Times New Roman"/>
                <w:color w:val="auto"/>
                <w:szCs w:val="24"/>
                <w:highlight w:val="none"/>
              </w:rPr>
              <w:t>项目运营期产生的固体废物包括危险废物和一般固废。危险废物主要包括：</w:t>
            </w:r>
            <w:r>
              <w:rPr>
                <w:rFonts w:hint="eastAsia" w:cs="Times New Roman"/>
                <w:color w:val="auto"/>
                <w:highlight w:val="none"/>
              </w:rPr>
              <w:t>实验废物（</w:t>
            </w:r>
            <w:r>
              <w:rPr>
                <w:rFonts w:hint="eastAsia" w:cs="Times New Roman"/>
                <w:color w:val="auto"/>
                <w:szCs w:val="24"/>
                <w:highlight w:val="none"/>
              </w:rPr>
              <w:t>沾染试剂的废包装物、废试剂瓶、废手套等</w:t>
            </w:r>
            <w:r>
              <w:rPr>
                <w:rFonts w:hint="eastAsia" w:cs="Times New Roman"/>
                <w:color w:val="auto"/>
                <w:highlight w:val="none"/>
              </w:rPr>
              <w:t>）、实验废液（废流动相、实验后器皿前两次清洗废水等）</w:t>
            </w:r>
            <w:r>
              <w:rPr>
                <w:rFonts w:hint="eastAsia" w:cs="Times New Roman"/>
                <w:color w:val="auto"/>
                <w:szCs w:val="24"/>
                <w:highlight w:val="none"/>
              </w:rPr>
              <w:t>、废活性炭；</w:t>
            </w:r>
            <w:r>
              <w:rPr>
                <w:rFonts w:cs="Times New Roman"/>
                <w:color w:val="auto"/>
                <w:szCs w:val="24"/>
                <w:highlight w:val="none"/>
              </w:rPr>
              <w:t>一般固废主要包括：</w:t>
            </w:r>
            <w:r>
              <w:rPr>
                <w:rFonts w:hint="eastAsia" w:cs="Times New Roman"/>
                <w:color w:val="auto"/>
                <w:szCs w:val="24"/>
                <w:highlight w:val="none"/>
              </w:rPr>
              <w:t>生活垃圾、</w:t>
            </w:r>
            <w:r>
              <w:rPr>
                <w:rFonts w:cs="Times New Roman"/>
                <w:color w:val="auto"/>
                <w:szCs w:val="24"/>
                <w:highlight w:val="none"/>
              </w:rPr>
              <w:t>未沾染药品废包装物。</w:t>
            </w:r>
          </w:p>
          <w:p>
            <w:pPr>
              <w:pStyle w:val="34"/>
              <w:widowControl/>
              <w:numPr>
                <w:ilvl w:val="255"/>
                <w:numId w:val="0"/>
              </w:numPr>
              <w:adjustRightInd/>
              <w:ind w:firstLine="480" w:firstLineChars="200"/>
              <w:rPr>
                <w:rFonts w:cs="Times New Roman"/>
                <w:color w:val="auto"/>
                <w:szCs w:val="24"/>
                <w:highlight w:val="none"/>
              </w:rPr>
            </w:pPr>
            <w:r>
              <w:rPr>
                <w:rFonts w:hint="eastAsia" w:cs="Times New Roman"/>
                <w:color w:val="auto"/>
                <w:szCs w:val="24"/>
                <w:highlight w:val="none"/>
              </w:rPr>
              <w:t>①生活垃圾：截止验收期间实际产生量为0.31t/月，折合年产生量为3.72t，委托环卫部门定期清运处理。</w:t>
            </w:r>
          </w:p>
          <w:p>
            <w:pPr>
              <w:pStyle w:val="34"/>
              <w:widowControl/>
              <w:numPr>
                <w:ilvl w:val="255"/>
                <w:numId w:val="0"/>
              </w:numPr>
              <w:adjustRightInd/>
              <w:ind w:firstLine="480" w:firstLineChars="200"/>
              <w:rPr>
                <w:rFonts w:cs="Times New Roman"/>
                <w:color w:val="auto"/>
                <w:szCs w:val="24"/>
                <w:highlight w:val="none"/>
              </w:rPr>
            </w:pPr>
            <w:r>
              <w:rPr>
                <w:rFonts w:hint="eastAsia" w:cs="Times New Roman"/>
                <w:color w:val="auto"/>
                <w:szCs w:val="24"/>
                <w:highlight w:val="none"/>
              </w:rPr>
              <w:t>②实验废物：主要包括研发实验过程产生的沾染试剂的废包装物、废试剂瓶、废手套等，截止验收期间实际产生量为0.004t/月，折合年产生量为0.048t，属于危险废物（HW49，900-041-49），暂存危废间，委托山东朋光环保科技有限公司处理。</w:t>
            </w:r>
          </w:p>
          <w:p>
            <w:pPr>
              <w:pStyle w:val="34"/>
              <w:widowControl/>
              <w:numPr>
                <w:ilvl w:val="255"/>
                <w:numId w:val="0"/>
              </w:numPr>
              <w:adjustRightInd/>
              <w:ind w:firstLine="480" w:firstLineChars="200"/>
              <w:rPr>
                <w:rFonts w:cs="Times New Roman"/>
                <w:color w:val="auto"/>
                <w:szCs w:val="24"/>
                <w:highlight w:val="none"/>
              </w:rPr>
            </w:pPr>
            <w:r>
              <w:rPr>
                <w:rFonts w:hint="eastAsia" w:cs="Times New Roman"/>
                <w:color w:val="auto"/>
                <w:szCs w:val="24"/>
                <w:highlight w:val="none"/>
              </w:rPr>
              <w:t>③实验废液：主要包括废流动相、实验后器皿前两次清洗废水、实验配制废水等，截止验收期间实际产生量为0.292t/月，折合年产生量为3.504t，属于危险废物（HW49，900-047-49），暂存危废间，委托山东朋光环保科技有限公司处理。</w:t>
            </w:r>
          </w:p>
          <w:p>
            <w:pPr>
              <w:pStyle w:val="34"/>
              <w:widowControl/>
              <w:numPr>
                <w:ilvl w:val="255"/>
                <w:numId w:val="0"/>
              </w:numPr>
              <w:adjustRightInd/>
              <w:ind w:firstLine="480" w:firstLineChars="200"/>
              <w:rPr>
                <w:rFonts w:cs="Times New Roman"/>
                <w:color w:val="auto"/>
                <w:szCs w:val="24"/>
                <w:highlight w:val="none"/>
              </w:rPr>
            </w:pPr>
            <w:r>
              <w:rPr>
                <w:rFonts w:hint="eastAsia" w:cs="Times New Roman"/>
                <w:color w:val="auto"/>
                <w:szCs w:val="24"/>
                <w:highlight w:val="none"/>
              </w:rPr>
              <w:t>④废活性炭：项目使用活性炭吸附有机废气VOCs，为保证处理效率，活性炭需及时更换，由于项目投入运营时间较短，暂未产生废活性炭，属于危险废物（HW49，900-039-49），经收集后暂存于危废间，委托山东朋光环保科技有限公司处置。</w:t>
            </w:r>
          </w:p>
          <w:p>
            <w:pPr>
              <w:pStyle w:val="34"/>
              <w:widowControl/>
              <w:numPr>
                <w:ilvl w:val="255"/>
                <w:numId w:val="0"/>
              </w:numPr>
              <w:adjustRightInd/>
              <w:ind w:firstLine="480" w:firstLineChars="200"/>
              <w:rPr>
                <w:rFonts w:cs="Times New Roman"/>
                <w:color w:val="auto"/>
                <w:szCs w:val="24"/>
                <w:highlight w:val="none"/>
              </w:rPr>
            </w:pPr>
            <w:r>
              <w:rPr>
                <w:rFonts w:hint="eastAsia" w:cs="Times New Roman"/>
                <w:color w:val="auto"/>
                <w:szCs w:val="24"/>
                <w:highlight w:val="none"/>
              </w:rPr>
              <w:t>⑤未沾染药品废包装物：截止验收期间实际产生量为0.0016t/月，折合年产生量为0.0192t，属于一般工业固体废物，外售资源回收单位。</w:t>
            </w:r>
          </w:p>
          <w:p>
            <w:pPr>
              <w:ind w:firstLine="0" w:firstLineChars="0"/>
              <w:jc w:val="center"/>
              <w:rPr>
                <w:b/>
                <w:color w:val="auto"/>
                <w:highlight w:val="none"/>
              </w:rPr>
            </w:pPr>
            <w:r>
              <w:rPr>
                <w:b/>
                <w:color w:val="auto"/>
                <w:highlight w:val="none"/>
              </w:rPr>
              <w:t>表7-</w:t>
            </w:r>
            <w:r>
              <w:rPr>
                <w:rFonts w:hint="eastAsia"/>
                <w:b/>
                <w:color w:val="auto"/>
                <w:highlight w:val="none"/>
              </w:rPr>
              <w:t>10</w:t>
            </w:r>
            <w:r>
              <w:rPr>
                <w:b/>
                <w:color w:val="auto"/>
                <w:highlight w:val="none"/>
              </w:rPr>
              <w:t xml:space="preserve">  本项目固体废物处置情况表</w:t>
            </w:r>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5"/>
              <w:gridCol w:w="1567"/>
              <w:gridCol w:w="1297"/>
              <w:gridCol w:w="1084"/>
              <w:gridCol w:w="1180"/>
              <w:gridCol w:w="950"/>
              <w:gridCol w:w="914"/>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5"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序号</w:t>
                  </w:r>
                </w:p>
              </w:tc>
              <w:tc>
                <w:tcPr>
                  <w:tcW w:w="876"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固废名称</w:t>
                  </w:r>
                </w:p>
              </w:tc>
              <w:tc>
                <w:tcPr>
                  <w:tcW w:w="725"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废物代码</w:t>
                  </w:r>
                </w:p>
              </w:tc>
              <w:tc>
                <w:tcPr>
                  <w:tcW w:w="606"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环评预估量（t/a）</w:t>
                  </w:r>
                </w:p>
              </w:tc>
              <w:tc>
                <w:tcPr>
                  <w:tcW w:w="660"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rFonts w:hint="eastAsia"/>
                      <w:b/>
                      <w:bCs/>
                      <w:color w:val="auto"/>
                      <w:spacing w:val="10"/>
                      <w:sz w:val="21"/>
                      <w:szCs w:val="21"/>
                      <w:highlight w:val="none"/>
                    </w:rPr>
                    <w:t>截止验收期间</w:t>
                  </w:r>
                  <w:r>
                    <w:rPr>
                      <w:b/>
                      <w:bCs/>
                      <w:color w:val="auto"/>
                      <w:spacing w:val="10"/>
                      <w:sz w:val="21"/>
                      <w:szCs w:val="21"/>
                      <w:highlight w:val="none"/>
                    </w:rPr>
                    <w:t>实际产生量（t/</w:t>
                  </w:r>
                  <w:r>
                    <w:rPr>
                      <w:rFonts w:hint="eastAsia"/>
                      <w:b/>
                      <w:bCs/>
                      <w:color w:val="auto"/>
                      <w:spacing w:val="10"/>
                      <w:sz w:val="21"/>
                      <w:szCs w:val="21"/>
                      <w:highlight w:val="none"/>
                    </w:rPr>
                    <w:t>月</w:t>
                  </w:r>
                  <w:r>
                    <w:rPr>
                      <w:b/>
                      <w:bCs/>
                      <w:color w:val="auto"/>
                      <w:spacing w:val="10"/>
                      <w:sz w:val="21"/>
                      <w:szCs w:val="21"/>
                      <w:highlight w:val="none"/>
                    </w:rPr>
                    <w:t>）</w:t>
                  </w:r>
                </w:p>
              </w:tc>
              <w:tc>
                <w:tcPr>
                  <w:tcW w:w="531"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rFonts w:hint="eastAsia"/>
                      <w:b/>
                      <w:bCs/>
                      <w:color w:val="auto"/>
                      <w:spacing w:val="10"/>
                      <w:sz w:val="21"/>
                      <w:szCs w:val="21"/>
                      <w:highlight w:val="none"/>
                    </w:rPr>
                    <w:t>折合年产生量（t）</w:t>
                  </w:r>
                </w:p>
              </w:tc>
              <w:tc>
                <w:tcPr>
                  <w:tcW w:w="511" w:type="pct"/>
                  <w:vAlign w:val="center"/>
                </w:tcPr>
                <w:p>
                  <w:pPr>
                    <w:autoSpaceDE w:val="0"/>
                    <w:autoSpaceDN w:val="0"/>
                    <w:adjustRightInd w:val="0"/>
                    <w:snapToGrid w:val="0"/>
                    <w:spacing w:line="240" w:lineRule="auto"/>
                    <w:ind w:firstLine="0" w:firstLineChars="0"/>
                    <w:jc w:val="center"/>
                    <w:rPr>
                      <w:b/>
                      <w:bCs/>
                      <w:color w:val="auto"/>
                      <w:sz w:val="21"/>
                      <w:szCs w:val="21"/>
                      <w:highlight w:val="none"/>
                      <w:lang w:val="zh-CN"/>
                    </w:rPr>
                  </w:pPr>
                  <w:r>
                    <w:rPr>
                      <w:b/>
                      <w:bCs/>
                      <w:color w:val="auto"/>
                      <w:sz w:val="21"/>
                      <w:szCs w:val="21"/>
                      <w:highlight w:val="none"/>
                      <w:lang w:val="zh-CN"/>
                    </w:rPr>
                    <w:t>性质</w:t>
                  </w:r>
                </w:p>
              </w:tc>
              <w:tc>
                <w:tcPr>
                  <w:tcW w:w="781" w:type="pct"/>
                  <w:vAlign w:val="center"/>
                </w:tcPr>
                <w:p>
                  <w:pPr>
                    <w:autoSpaceDE w:val="0"/>
                    <w:autoSpaceDN w:val="0"/>
                    <w:adjustRightInd w:val="0"/>
                    <w:snapToGrid w:val="0"/>
                    <w:spacing w:line="240" w:lineRule="auto"/>
                    <w:ind w:firstLine="0" w:firstLineChars="0"/>
                    <w:jc w:val="center"/>
                    <w:rPr>
                      <w:b/>
                      <w:bCs/>
                      <w:color w:val="auto"/>
                      <w:sz w:val="21"/>
                      <w:szCs w:val="21"/>
                      <w:highlight w:val="none"/>
                      <w:lang w:val="zh-CN"/>
                    </w:rPr>
                  </w:pPr>
                  <w:r>
                    <w:rPr>
                      <w:b/>
                      <w:bCs/>
                      <w:color w:val="auto"/>
                      <w:sz w:val="21"/>
                      <w:szCs w:val="21"/>
                      <w:highlight w:val="none"/>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1</w:t>
                  </w:r>
                </w:p>
              </w:tc>
              <w:tc>
                <w:tcPr>
                  <w:tcW w:w="876" w:type="pct"/>
                  <w:vAlign w:val="center"/>
                </w:tcPr>
                <w:p>
                  <w:pPr>
                    <w:widowControl/>
                    <w:autoSpaceDE w:val="0"/>
                    <w:autoSpaceDN w:val="0"/>
                    <w:adjustRightInd w:val="0"/>
                    <w:spacing w:line="240" w:lineRule="auto"/>
                    <w:ind w:firstLine="0" w:firstLineChars="0"/>
                    <w:jc w:val="center"/>
                    <w:rPr>
                      <w:bCs/>
                      <w:color w:val="auto"/>
                      <w:sz w:val="21"/>
                      <w:szCs w:val="21"/>
                      <w:highlight w:val="none"/>
                    </w:rPr>
                  </w:pPr>
                  <w:r>
                    <w:rPr>
                      <w:rFonts w:hint="eastAsia"/>
                      <w:bCs/>
                      <w:color w:val="auto"/>
                      <w:sz w:val="21"/>
                      <w:szCs w:val="21"/>
                      <w:highlight w:val="none"/>
                    </w:rPr>
                    <w:t>实验废液</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lang w:val="zh-CN"/>
                    </w:rPr>
                  </w:pPr>
                  <w:r>
                    <w:rPr>
                      <w:color w:val="auto"/>
                      <w:spacing w:val="10"/>
                      <w:sz w:val="21"/>
                      <w:szCs w:val="21"/>
                      <w:highlight w:val="none"/>
                    </w:rPr>
                    <w:t>HW49，900-0</w:t>
                  </w:r>
                  <w:r>
                    <w:rPr>
                      <w:rFonts w:hint="eastAsia"/>
                      <w:color w:val="auto"/>
                      <w:spacing w:val="10"/>
                      <w:sz w:val="21"/>
                      <w:szCs w:val="21"/>
                      <w:highlight w:val="none"/>
                    </w:rPr>
                    <w:t>4</w:t>
                  </w:r>
                  <w:r>
                    <w:rPr>
                      <w:color w:val="auto"/>
                      <w:spacing w:val="10"/>
                      <w:sz w:val="21"/>
                      <w:szCs w:val="21"/>
                      <w:highlight w:val="none"/>
                      <w:lang w:val="zh-CN"/>
                    </w:rPr>
                    <w:t>7</w:t>
                  </w:r>
                  <w:r>
                    <w:rPr>
                      <w:color w:val="auto"/>
                      <w:spacing w:val="10"/>
                      <w:sz w:val="21"/>
                      <w:szCs w:val="21"/>
                      <w:highlight w:val="none"/>
                    </w:rPr>
                    <w:t>-49</w:t>
                  </w:r>
                </w:p>
              </w:tc>
              <w:tc>
                <w:tcPr>
                  <w:tcW w:w="60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4.5</w:t>
                  </w:r>
                </w:p>
              </w:tc>
              <w:tc>
                <w:tcPr>
                  <w:tcW w:w="660"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0.292</w:t>
                  </w:r>
                </w:p>
              </w:tc>
              <w:tc>
                <w:tcPr>
                  <w:tcW w:w="53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3.504</w:t>
                  </w:r>
                </w:p>
              </w:tc>
              <w:tc>
                <w:tcPr>
                  <w:tcW w:w="511" w:type="pct"/>
                  <w:vMerge w:val="restart"/>
                  <w:vAlign w:val="center"/>
                </w:tcPr>
                <w:p>
                  <w:pPr>
                    <w:autoSpaceDE w:val="0"/>
                    <w:autoSpaceDN w:val="0"/>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危险废物</w:t>
                  </w:r>
                </w:p>
              </w:tc>
              <w:tc>
                <w:tcPr>
                  <w:tcW w:w="781" w:type="pct"/>
                  <w:vMerge w:val="restart"/>
                  <w:vAlign w:val="center"/>
                </w:tcPr>
                <w:p>
                  <w:pPr>
                    <w:pStyle w:val="34"/>
                    <w:spacing w:line="240" w:lineRule="auto"/>
                    <w:ind w:firstLine="0" w:firstLineChars="0"/>
                    <w:jc w:val="center"/>
                    <w:rPr>
                      <w:rFonts w:cs="Times New Roman"/>
                      <w:color w:val="auto"/>
                      <w:sz w:val="21"/>
                      <w:szCs w:val="21"/>
                      <w:highlight w:val="none"/>
                      <w:lang w:val="zh-CN"/>
                    </w:rPr>
                  </w:pPr>
                  <w:r>
                    <w:rPr>
                      <w:rFonts w:hint="eastAsia" w:cs="Times New Roman"/>
                      <w:color w:val="auto"/>
                      <w:sz w:val="21"/>
                      <w:szCs w:val="21"/>
                      <w:highlight w:val="none"/>
                    </w:rPr>
                    <w:t>收集后暂存于危废间，委托山东朋光环保科技有限公司处置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2</w:t>
                  </w:r>
                </w:p>
              </w:tc>
              <w:tc>
                <w:tcPr>
                  <w:tcW w:w="876" w:type="pct"/>
                  <w:vAlign w:val="center"/>
                </w:tcPr>
                <w:p>
                  <w:pPr>
                    <w:widowControl/>
                    <w:autoSpaceDE w:val="0"/>
                    <w:autoSpaceDN w:val="0"/>
                    <w:adjustRightInd w:val="0"/>
                    <w:spacing w:line="240" w:lineRule="auto"/>
                    <w:ind w:firstLine="0" w:firstLineChars="0"/>
                    <w:jc w:val="center"/>
                    <w:rPr>
                      <w:bCs/>
                      <w:color w:val="auto"/>
                      <w:sz w:val="21"/>
                      <w:szCs w:val="21"/>
                      <w:highlight w:val="none"/>
                    </w:rPr>
                  </w:pPr>
                  <w:r>
                    <w:rPr>
                      <w:rFonts w:hint="eastAsia"/>
                      <w:bCs/>
                      <w:color w:val="auto"/>
                      <w:sz w:val="21"/>
                      <w:szCs w:val="21"/>
                      <w:highlight w:val="none"/>
                    </w:rPr>
                    <w:t>实验废物</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lang w:val="zh-CN"/>
                    </w:rPr>
                  </w:pPr>
                  <w:r>
                    <w:rPr>
                      <w:color w:val="auto"/>
                      <w:spacing w:val="10"/>
                      <w:sz w:val="21"/>
                      <w:szCs w:val="21"/>
                      <w:highlight w:val="none"/>
                    </w:rPr>
                    <w:t>HW49，900-0</w:t>
                  </w:r>
                  <w:r>
                    <w:rPr>
                      <w:rFonts w:hint="eastAsia"/>
                      <w:color w:val="auto"/>
                      <w:spacing w:val="10"/>
                      <w:sz w:val="21"/>
                      <w:szCs w:val="21"/>
                      <w:highlight w:val="none"/>
                    </w:rPr>
                    <w:t>41</w:t>
                  </w:r>
                  <w:r>
                    <w:rPr>
                      <w:color w:val="auto"/>
                      <w:spacing w:val="10"/>
                      <w:sz w:val="21"/>
                      <w:szCs w:val="21"/>
                      <w:highlight w:val="none"/>
                    </w:rPr>
                    <w:t>-49</w:t>
                  </w:r>
                </w:p>
              </w:tc>
              <w:tc>
                <w:tcPr>
                  <w:tcW w:w="60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0.05</w:t>
                  </w:r>
                </w:p>
              </w:tc>
              <w:tc>
                <w:tcPr>
                  <w:tcW w:w="660"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0.004</w:t>
                  </w:r>
                </w:p>
              </w:tc>
              <w:tc>
                <w:tcPr>
                  <w:tcW w:w="53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0.048</w:t>
                  </w:r>
                </w:p>
              </w:tc>
              <w:tc>
                <w:tcPr>
                  <w:tcW w:w="511" w:type="pct"/>
                  <w:vMerge w:val="continue"/>
                  <w:vAlign w:val="center"/>
                </w:tcPr>
                <w:p>
                  <w:pPr>
                    <w:autoSpaceDE w:val="0"/>
                    <w:autoSpaceDN w:val="0"/>
                    <w:adjustRightInd w:val="0"/>
                    <w:snapToGrid w:val="0"/>
                    <w:spacing w:line="240" w:lineRule="auto"/>
                    <w:ind w:firstLine="0" w:firstLineChars="0"/>
                    <w:jc w:val="center"/>
                    <w:rPr>
                      <w:color w:val="auto"/>
                      <w:sz w:val="21"/>
                      <w:szCs w:val="21"/>
                      <w:highlight w:val="none"/>
                    </w:rPr>
                  </w:pPr>
                </w:p>
              </w:tc>
              <w:tc>
                <w:tcPr>
                  <w:tcW w:w="781" w:type="pct"/>
                  <w:vMerge w:val="continue"/>
                  <w:vAlign w:val="center"/>
                </w:tcPr>
                <w:p>
                  <w:pPr>
                    <w:pStyle w:val="34"/>
                    <w:spacing w:line="240" w:lineRule="auto"/>
                    <w:ind w:firstLine="0" w:firstLineChars="0"/>
                    <w:jc w:val="center"/>
                    <w:rPr>
                      <w:rFonts w:cs="Times New Roman"/>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3</w:t>
                  </w:r>
                </w:p>
              </w:tc>
              <w:tc>
                <w:tcPr>
                  <w:tcW w:w="876" w:type="pct"/>
                  <w:vAlign w:val="center"/>
                </w:tcPr>
                <w:p>
                  <w:pPr>
                    <w:widowControl/>
                    <w:autoSpaceDE w:val="0"/>
                    <w:autoSpaceDN w:val="0"/>
                    <w:adjustRightInd w:val="0"/>
                    <w:spacing w:line="240" w:lineRule="auto"/>
                    <w:ind w:firstLine="0" w:firstLineChars="0"/>
                    <w:jc w:val="center"/>
                    <w:rPr>
                      <w:bCs/>
                      <w:color w:val="auto"/>
                      <w:sz w:val="21"/>
                      <w:szCs w:val="21"/>
                      <w:highlight w:val="none"/>
                    </w:rPr>
                  </w:pPr>
                  <w:r>
                    <w:rPr>
                      <w:rFonts w:hint="eastAsia"/>
                      <w:bCs/>
                      <w:color w:val="auto"/>
                      <w:sz w:val="21"/>
                      <w:szCs w:val="21"/>
                      <w:highlight w:val="none"/>
                    </w:rPr>
                    <w:t>废活性炭</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lang w:val="zh-CN"/>
                    </w:rPr>
                  </w:pPr>
                  <w:r>
                    <w:rPr>
                      <w:color w:val="auto"/>
                      <w:spacing w:val="10"/>
                      <w:sz w:val="21"/>
                      <w:szCs w:val="21"/>
                      <w:highlight w:val="none"/>
                    </w:rPr>
                    <w:t>HW49，900-0</w:t>
                  </w:r>
                  <w:r>
                    <w:rPr>
                      <w:color w:val="auto"/>
                      <w:spacing w:val="10"/>
                      <w:sz w:val="21"/>
                      <w:szCs w:val="21"/>
                      <w:highlight w:val="none"/>
                      <w:lang w:val="zh-CN"/>
                    </w:rPr>
                    <w:t>39-</w:t>
                  </w:r>
                  <w:r>
                    <w:rPr>
                      <w:color w:val="auto"/>
                      <w:spacing w:val="10"/>
                      <w:sz w:val="21"/>
                      <w:szCs w:val="21"/>
                      <w:highlight w:val="none"/>
                    </w:rPr>
                    <w:t>49</w:t>
                  </w:r>
                </w:p>
              </w:tc>
              <w:tc>
                <w:tcPr>
                  <w:tcW w:w="60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0.96</w:t>
                  </w:r>
                </w:p>
              </w:tc>
              <w:tc>
                <w:tcPr>
                  <w:tcW w:w="660"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暂未产生</w:t>
                  </w:r>
                </w:p>
              </w:tc>
              <w:tc>
                <w:tcPr>
                  <w:tcW w:w="53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w:t>
                  </w:r>
                </w:p>
              </w:tc>
              <w:tc>
                <w:tcPr>
                  <w:tcW w:w="511" w:type="pct"/>
                  <w:vMerge w:val="continue"/>
                  <w:vAlign w:val="center"/>
                </w:tcPr>
                <w:p>
                  <w:pPr>
                    <w:autoSpaceDE w:val="0"/>
                    <w:autoSpaceDN w:val="0"/>
                    <w:adjustRightInd w:val="0"/>
                    <w:snapToGrid w:val="0"/>
                    <w:spacing w:line="240" w:lineRule="auto"/>
                    <w:ind w:firstLine="0" w:firstLineChars="0"/>
                    <w:jc w:val="center"/>
                    <w:rPr>
                      <w:color w:val="auto"/>
                      <w:sz w:val="21"/>
                      <w:szCs w:val="21"/>
                      <w:highlight w:val="none"/>
                    </w:rPr>
                  </w:pPr>
                </w:p>
              </w:tc>
              <w:tc>
                <w:tcPr>
                  <w:tcW w:w="781" w:type="pct"/>
                  <w:vMerge w:val="continue"/>
                  <w:vAlign w:val="center"/>
                </w:tcPr>
                <w:p>
                  <w:pPr>
                    <w:pStyle w:val="34"/>
                    <w:spacing w:line="240" w:lineRule="auto"/>
                    <w:ind w:firstLine="0" w:firstLineChars="0"/>
                    <w:jc w:val="center"/>
                    <w:rPr>
                      <w:rFonts w:cs="Times New Roman"/>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w:t>
                  </w:r>
                </w:p>
              </w:tc>
              <w:tc>
                <w:tcPr>
                  <w:tcW w:w="87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bCs/>
                      <w:color w:val="auto"/>
                      <w:sz w:val="21"/>
                      <w:szCs w:val="21"/>
                      <w:highlight w:val="none"/>
                    </w:rPr>
                    <w:t>未沾染药品废包装物</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w:t>
                  </w:r>
                </w:p>
              </w:tc>
              <w:tc>
                <w:tcPr>
                  <w:tcW w:w="60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0.02</w:t>
                  </w:r>
                </w:p>
              </w:tc>
              <w:tc>
                <w:tcPr>
                  <w:tcW w:w="660"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0.0016</w:t>
                  </w:r>
                </w:p>
              </w:tc>
              <w:tc>
                <w:tcPr>
                  <w:tcW w:w="53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0.0192</w:t>
                  </w:r>
                </w:p>
              </w:tc>
              <w:tc>
                <w:tcPr>
                  <w:tcW w:w="511" w:type="pct"/>
                  <w:vMerge w:val="restart"/>
                  <w:vAlign w:val="center"/>
                </w:tcPr>
                <w:p>
                  <w:pPr>
                    <w:autoSpaceDE w:val="0"/>
                    <w:autoSpaceDN w:val="0"/>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一般固废</w:t>
                  </w:r>
                </w:p>
              </w:tc>
              <w:tc>
                <w:tcPr>
                  <w:tcW w:w="781" w:type="pct"/>
                  <w:vAlign w:val="center"/>
                </w:tcPr>
                <w:p>
                  <w:pPr>
                    <w:pStyle w:val="34"/>
                    <w:spacing w:line="240" w:lineRule="auto"/>
                    <w:ind w:firstLine="0" w:firstLineChars="0"/>
                    <w:jc w:val="center"/>
                    <w:rPr>
                      <w:rFonts w:cs="Times New Roman"/>
                      <w:color w:val="auto"/>
                      <w:sz w:val="21"/>
                      <w:szCs w:val="21"/>
                      <w:highlight w:val="none"/>
                      <w:lang w:val="zh-CN"/>
                    </w:rPr>
                  </w:pPr>
                  <w:r>
                    <w:rPr>
                      <w:rFonts w:cs="Times New Roman"/>
                      <w:color w:val="auto"/>
                      <w:sz w:val="21"/>
                      <w:szCs w:val="21"/>
                      <w:highlight w:val="none"/>
                      <w:lang w:val="zh-CN"/>
                    </w:rPr>
                    <w:t>外售物资回收单位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w:t>
                  </w:r>
                </w:p>
              </w:tc>
              <w:tc>
                <w:tcPr>
                  <w:tcW w:w="87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bCs/>
                      <w:color w:val="auto"/>
                      <w:sz w:val="21"/>
                      <w:szCs w:val="21"/>
                      <w:highlight w:val="none"/>
                    </w:rPr>
                    <w:t>生活垃圾</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w:t>
                  </w:r>
                </w:p>
              </w:tc>
              <w:tc>
                <w:tcPr>
                  <w:tcW w:w="60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3.75</w:t>
                  </w:r>
                </w:p>
              </w:tc>
              <w:tc>
                <w:tcPr>
                  <w:tcW w:w="660"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0.31</w:t>
                  </w:r>
                </w:p>
              </w:tc>
              <w:tc>
                <w:tcPr>
                  <w:tcW w:w="53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3.72</w:t>
                  </w:r>
                </w:p>
              </w:tc>
              <w:tc>
                <w:tcPr>
                  <w:tcW w:w="511" w:type="pct"/>
                  <w:vMerge w:val="continue"/>
                  <w:vAlign w:val="center"/>
                </w:tcPr>
                <w:p>
                  <w:pPr>
                    <w:autoSpaceDE w:val="0"/>
                    <w:autoSpaceDN w:val="0"/>
                    <w:adjustRightInd w:val="0"/>
                    <w:snapToGrid w:val="0"/>
                    <w:spacing w:line="240" w:lineRule="auto"/>
                    <w:ind w:firstLine="0" w:firstLineChars="0"/>
                    <w:jc w:val="center"/>
                    <w:rPr>
                      <w:color w:val="auto"/>
                      <w:sz w:val="21"/>
                      <w:szCs w:val="21"/>
                      <w:highlight w:val="none"/>
                    </w:rPr>
                  </w:pPr>
                </w:p>
              </w:tc>
              <w:tc>
                <w:tcPr>
                  <w:tcW w:w="781" w:type="pct"/>
                  <w:vAlign w:val="center"/>
                </w:tcPr>
                <w:p>
                  <w:pPr>
                    <w:pStyle w:val="34"/>
                    <w:spacing w:line="240" w:lineRule="auto"/>
                    <w:ind w:firstLine="0" w:firstLineChars="0"/>
                    <w:jc w:val="center"/>
                    <w:rPr>
                      <w:rFonts w:cs="Times New Roman"/>
                      <w:color w:val="auto"/>
                      <w:sz w:val="21"/>
                      <w:szCs w:val="21"/>
                      <w:highlight w:val="none"/>
                      <w:lang w:val="zh-CN"/>
                    </w:rPr>
                  </w:pPr>
                  <w:r>
                    <w:rPr>
                      <w:rFonts w:cs="Times New Roman"/>
                      <w:color w:val="auto"/>
                      <w:sz w:val="21"/>
                      <w:szCs w:val="21"/>
                      <w:highlight w:val="none"/>
                      <w:lang w:val="zh-CN"/>
                    </w:rPr>
                    <w:t>由环卫部门定期清运处理</w:t>
                  </w:r>
                </w:p>
              </w:tc>
            </w:tr>
          </w:tbl>
          <w:p>
            <w:pPr>
              <w:pStyle w:val="34"/>
              <w:widowControl/>
              <w:adjustRightInd/>
              <w:rPr>
                <w:rFonts w:cs="Times New Roman"/>
                <w:color w:val="auto"/>
                <w:szCs w:val="24"/>
                <w:highlight w:val="none"/>
              </w:rPr>
            </w:pPr>
            <w:r>
              <w:rPr>
                <w:rFonts w:hint="eastAsia" w:cs="Times New Roman"/>
                <w:color w:val="auto"/>
                <w:szCs w:val="24"/>
                <w:highlight w:val="none"/>
              </w:rPr>
              <w:t>本</w:t>
            </w:r>
            <w:r>
              <w:rPr>
                <w:rFonts w:cs="Times New Roman"/>
                <w:color w:val="auto"/>
                <w:szCs w:val="24"/>
                <w:highlight w:val="none"/>
              </w:rPr>
              <w:t>项目产生的未沾染药品废包装物</w:t>
            </w:r>
            <w:r>
              <w:rPr>
                <w:rFonts w:hint="eastAsia" w:cs="Times New Roman"/>
                <w:color w:val="auto"/>
                <w:highlight w:val="none"/>
              </w:rPr>
              <w:t>收集后</w:t>
            </w:r>
            <w:r>
              <w:rPr>
                <w:rFonts w:cs="Times New Roman"/>
                <w:color w:val="auto"/>
                <w:szCs w:val="24"/>
                <w:highlight w:val="none"/>
              </w:rPr>
              <w:t>外售物资回收单位</w:t>
            </w:r>
            <w:r>
              <w:rPr>
                <w:rFonts w:hint="eastAsia" w:cs="Times New Roman"/>
                <w:color w:val="auto"/>
                <w:szCs w:val="24"/>
                <w:highlight w:val="none"/>
              </w:rPr>
              <w:t>，生活垃圾</w:t>
            </w:r>
            <w:r>
              <w:rPr>
                <w:rFonts w:cs="Times New Roman"/>
                <w:color w:val="auto"/>
                <w:szCs w:val="24"/>
                <w:highlight w:val="none"/>
              </w:rPr>
              <w:t>由环卫部门定期清运处理；实验废物（沾染试剂的废包装物、废试剂瓶、废手套等）、实验废液（废流动相、实验后器皿前两次清洗废水等）、废活性炭收集后暂存于危废间，委托山东朋光环保科技有限公司处置。</w:t>
            </w:r>
          </w:p>
          <w:p>
            <w:pPr>
              <w:pStyle w:val="34"/>
              <w:widowControl/>
              <w:adjustRightInd/>
              <w:rPr>
                <w:rFonts w:cs="Times New Roman"/>
                <w:color w:val="auto"/>
                <w:szCs w:val="24"/>
                <w:highlight w:val="none"/>
              </w:rPr>
            </w:pPr>
            <w:r>
              <w:rPr>
                <w:rFonts w:cs="Times New Roman"/>
                <w:color w:val="auto"/>
                <w:szCs w:val="24"/>
                <w:highlight w:val="none"/>
              </w:rPr>
              <w:t>建设单位已与山东朋光环保科技有限公司签订危废委托处理协议。</w:t>
            </w:r>
          </w:p>
          <w:p>
            <w:pPr>
              <w:pStyle w:val="34"/>
              <w:widowControl/>
              <w:adjustRightInd/>
              <w:rPr>
                <w:rFonts w:cs="Times New Roman"/>
                <w:color w:val="auto"/>
                <w:szCs w:val="24"/>
                <w:highlight w:val="none"/>
              </w:rPr>
            </w:pPr>
            <w:r>
              <w:rPr>
                <w:rFonts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39" w:type="dxa"/>
                  <w:shd w:val="clear" w:color="auto" w:fill="auto"/>
                  <w:vAlign w:val="center"/>
                </w:tcPr>
                <w:p>
                  <w:pPr>
                    <w:pStyle w:val="34"/>
                    <w:snapToGrid w:val="0"/>
                    <w:ind w:firstLine="0" w:firstLineChars="0"/>
                    <w:jc w:val="center"/>
                    <w:rPr>
                      <w:rFonts w:cs="Times New Roman"/>
                      <w:b/>
                      <w:bCs/>
                      <w:color w:val="auto"/>
                      <w:szCs w:val="24"/>
                      <w:highlight w:val="none"/>
                    </w:rPr>
                  </w:pPr>
                  <w:r>
                    <w:rPr>
                      <w:rFonts w:cs="Times New Roman"/>
                      <w:b/>
                      <w:bCs/>
                      <w:color w:val="auto"/>
                      <w:szCs w:val="24"/>
                      <w:highlight w:val="none"/>
                    </w:rPr>
                    <w:pict>
                      <v:shape id="_x0000_i1036" o:spt="75" alt="c55af9f61743bf63dc7e290fa4a6957c_" type="#_x0000_t75" style="height:301.95pt;width:435.6pt;" filled="f" o:preferrelative="t" stroked="f" coordsize="21600,21600">
                        <v:path/>
                        <v:fill on="f" focussize="0,0"/>
                        <v:stroke on="f"/>
                        <v:imagedata r:id="rId24" cropbottom="4965f" o:title="c55af9f61743bf63dc7e290fa4a6957c_"/>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4"/>
                    <w:snapToGrid w:val="0"/>
                    <w:ind w:firstLine="0" w:firstLineChars="0"/>
                    <w:jc w:val="center"/>
                    <w:rPr>
                      <w:rFonts w:cs="Times New Roman"/>
                      <w:b/>
                      <w:bCs/>
                      <w:color w:val="auto"/>
                      <w:szCs w:val="24"/>
                      <w:highlight w:val="none"/>
                    </w:rPr>
                  </w:pPr>
                  <w:r>
                    <w:rPr>
                      <w:rFonts w:cs="Times New Roman"/>
                      <w:b/>
                      <w:bCs/>
                      <w:color w:val="auto"/>
                      <w:szCs w:val="24"/>
                      <w:highlight w:val="none"/>
                    </w:rPr>
                    <w:pict>
                      <v:shape id="_x0000_i1037" o:spt="75" alt="危废间3" type="#_x0000_t75" style="height:274.5pt;width:366pt;" filled="f" o:preferrelative="t" stroked="f" coordsize="21600,21600">
                        <v:path/>
                        <v:fill on="f" focussize="0,0"/>
                        <v:stroke on="f" joinstyle="miter"/>
                        <v:imagedata r:id="rId25"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4"/>
                    <w:snapToGrid w:val="0"/>
                    <w:ind w:firstLine="0" w:firstLineChars="0"/>
                    <w:jc w:val="center"/>
                    <w:rPr>
                      <w:rFonts w:cs="Times New Roman"/>
                      <w:b/>
                      <w:bCs/>
                      <w:color w:val="auto"/>
                      <w:szCs w:val="24"/>
                      <w:highlight w:val="none"/>
                    </w:rPr>
                  </w:pPr>
                  <w:r>
                    <w:rPr>
                      <w:rFonts w:cs="Times New Roman"/>
                      <w:b/>
                      <w:bCs/>
                      <w:color w:val="auto"/>
                      <w:szCs w:val="24"/>
                      <w:highlight w:val="none"/>
                    </w:rPr>
                    <w:pict>
                      <v:shape id="_x0000_i1038" o:spt="75" alt="危废间5" type="#_x0000_t75" style="height:339.5pt;width:254.5pt;" filled="f" o:preferrelative="t" stroked="f" coordsize="21600,21600">
                        <v:path/>
                        <v:fill on="f" focussize="0,0"/>
                        <v:stroke on="f" joinstyle="miter"/>
                        <v:imagedata r:id="rId26"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4"/>
                    <w:snapToGrid w:val="0"/>
                    <w:ind w:firstLine="0" w:firstLineChars="0"/>
                    <w:jc w:val="both"/>
                    <w:rPr>
                      <w:rFonts w:cs="Times New Roman"/>
                      <w:b/>
                      <w:bCs/>
                      <w:color w:val="auto"/>
                      <w:sz w:val="21"/>
                      <w:szCs w:val="21"/>
                      <w:highlight w:val="none"/>
                    </w:rPr>
                  </w:pPr>
                  <w:r>
                    <w:rPr>
                      <w:rFonts w:cs="Times New Roman"/>
                      <w:b/>
                      <w:bCs/>
                      <w:color w:val="auto"/>
                      <w:sz w:val="21"/>
                      <w:szCs w:val="21"/>
                      <w:highlight w:val="none"/>
                    </w:rPr>
                    <w:pict>
                      <v:shape id="_x0000_i1039" o:spt="75" alt="危废间4" type="#_x0000_t75" style="height:325pt;width:433pt;" filled="f" o:preferrelative="t" stroked="f" coordsize="21600,21600">
                        <v:path/>
                        <v:fill on="f" focussize="0,0"/>
                        <v:stroke on="f" joinstyle="miter"/>
                        <v:imagedata r:id="rId27"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4"/>
                    <w:snapToGrid w:val="0"/>
                    <w:ind w:firstLine="422"/>
                    <w:jc w:val="center"/>
                    <w:rPr>
                      <w:rFonts w:cs="Times New Roman"/>
                      <w:b/>
                      <w:bCs/>
                      <w:color w:val="auto"/>
                      <w:sz w:val="21"/>
                      <w:szCs w:val="21"/>
                      <w:highlight w:val="none"/>
                    </w:rPr>
                  </w:pPr>
                  <w:r>
                    <w:rPr>
                      <w:rFonts w:cs="Times New Roman"/>
                      <w:b/>
                      <w:bCs/>
                      <w:color w:val="auto"/>
                      <w:sz w:val="21"/>
                      <w:szCs w:val="21"/>
                      <w:highlight w:val="none"/>
                    </w:rPr>
                    <w:pict>
                      <v:shape id="_x0000_i1040" o:spt="75" alt="危废间6" type="#_x0000_t75" style="height:325pt;width:433pt;" filled="f" o:preferrelative="t" stroked="f" coordsize="21600,21600">
                        <v:path/>
                        <v:fill on="f" focussize="0,0"/>
                        <v:stroke on="f" joinstyle="miter"/>
                        <v:imagedata r:id="rId28"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4"/>
                    <w:snapToGrid w:val="0"/>
                    <w:ind w:firstLine="422"/>
                    <w:jc w:val="center"/>
                    <w:rPr>
                      <w:rFonts w:cs="Times New Roman"/>
                      <w:b/>
                      <w:bCs/>
                      <w:color w:val="auto"/>
                      <w:sz w:val="21"/>
                      <w:szCs w:val="21"/>
                      <w:highlight w:val="no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5</w:t>
                  </w:r>
                  <w:r>
                    <w:rPr>
                      <w:rFonts w:cs="Times New Roman"/>
                      <w:b/>
                      <w:bCs/>
                      <w:color w:val="auto"/>
                      <w:sz w:val="21"/>
                      <w:szCs w:val="21"/>
                      <w:highlight w:val="none"/>
                    </w:rPr>
                    <w:t xml:space="preserve">  </w:t>
                  </w:r>
                  <w:r>
                    <w:rPr>
                      <w:rFonts w:hint="eastAsia" w:cs="Times New Roman"/>
                      <w:b/>
                      <w:bCs/>
                      <w:color w:val="auto"/>
                      <w:sz w:val="21"/>
                      <w:szCs w:val="21"/>
                      <w:highlight w:val="none"/>
                    </w:rPr>
                    <w:t>危废间</w:t>
                  </w:r>
                </w:p>
              </w:tc>
            </w:tr>
          </w:tbl>
          <w:p>
            <w:pPr>
              <w:pStyle w:val="2"/>
              <w:numPr>
                <w:ilvl w:val="255"/>
                <w:numId w:val="0"/>
              </w:numPr>
              <w:ind w:firstLine="482" w:firstLineChars="200"/>
              <w:rPr>
                <w:rFonts w:ascii="Times New Roman" w:hAnsi="Times New Roman"/>
                <w:b/>
                <w:bCs/>
                <w:color w:val="auto"/>
                <w:sz w:val="24"/>
                <w:highlight w:val="none"/>
              </w:rPr>
            </w:pPr>
            <w:r>
              <w:rPr>
                <w:rFonts w:ascii="Times New Roman" w:hAnsi="Times New Roman"/>
                <w:b/>
                <w:bCs/>
                <w:color w:val="auto"/>
                <w:sz w:val="24"/>
                <w:highlight w:val="none"/>
              </w:rPr>
              <w:t>5、污染物排放总量</w:t>
            </w:r>
          </w:p>
          <w:p>
            <w:pPr>
              <w:pStyle w:val="34"/>
              <w:widowControl/>
              <w:adjustRightInd/>
              <w:rPr>
                <w:rFonts w:cs="Times New Roman"/>
                <w:color w:val="auto"/>
                <w:szCs w:val="24"/>
                <w:highlight w:val="none"/>
              </w:rPr>
            </w:pPr>
            <w:r>
              <w:rPr>
                <w:rFonts w:hint="eastAsia" w:cs="Times New Roman"/>
                <w:color w:val="auto"/>
                <w:highlight w:val="none"/>
              </w:rPr>
              <w:t>废气：根据现场调查和实际生产情况，仅在合成工序、分析工序产生有机废气，以上工序年排气时间合计为11</w:t>
            </w:r>
            <w:r>
              <w:rPr>
                <w:rFonts w:hint="eastAsia" w:cs="Times New Roman"/>
                <w:color w:val="auto"/>
                <w:highlight w:val="none"/>
                <w:lang w:eastAsia="zh-CN"/>
              </w:rPr>
              <w:t>0</w:t>
            </w:r>
            <w:r>
              <w:rPr>
                <w:rFonts w:hint="eastAsia" w:cs="Times New Roman"/>
                <w:color w:val="auto"/>
                <w:highlight w:val="none"/>
              </w:rPr>
              <w:t>0小时，根据验收监测结果核算，项目VOCs排放量为</w:t>
            </w:r>
            <w:r>
              <w:rPr>
                <w:rFonts w:hint="eastAsia" w:cs="Times New Roman"/>
                <w:color w:val="auto"/>
                <w:highlight w:val="none"/>
                <w:lang w:eastAsia="zh-CN"/>
              </w:rPr>
              <w:t>0</w:t>
            </w:r>
            <w:r>
              <w:rPr>
                <w:rFonts w:hint="eastAsia" w:cs="Times New Roman"/>
                <w:color w:val="auto"/>
                <w:highlight w:val="none"/>
                <w:lang w:val="en-US" w:eastAsia="zh-CN"/>
              </w:rPr>
              <w:t>.0594</w:t>
            </w:r>
            <w:r>
              <w:rPr>
                <w:rFonts w:hint="eastAsia" w:cs="Times New Roman"/>
                <w:color w:val="auto"/>
                <w:highlight w:val="none"/>
              </w:rPr>
              <w:t>t/a，满足VOCs总量控制要求0.064t/a（低于环评文件测算总量）。</w:t>
            </w:r>
          </w:p>
          <w:p>
            <w:pPr>
              <w:pStyle w:val="2"/>
              <w:ind w:firstLine="482"/>
              <w:jc w:val="left"/>
              <w:rPr>
                <w:rFonts w:ascii="Times New Roman" w:hAnsi="Times New Roman"/>
                <w:b/>
                <w:bCs/>
                <w:color w:val="auto"/>
                <w:sz w:val="24"/>
                <w:highlight w:val="none"/>
              </w:rPr>
            </w:pPr>
            <w:r>
              <w:rPr>
                <w:rFonts w:ascii="Times New Roman" w:hAnsi="Times New Roman"/>
                <w:b/>
                <w:bCs/>
                <w:color w:val="auto"/>
                <w:sz w:val="24"/>
                <w:highlight w:val="none"/>
              </w:rPr>
              <w:t>6、环保设施去除效率</w:t>
            </w:r>
          </w:p>
          <w:p>
            <w:pPr>
              <w:pStyle w:val="34"/>
              <w:snapToGrid w:val="0"/>
              <w:rPr>
                <w:rFonts w:cs="Times New Roman"/>
                <w:color w:val="auto"/>
                <w:szCs w:val="24"/>
                <w:highlight w:val="none"/>
              </w:rPr>
            </w:pPr>
            <w:r>
              <w:rPr>
                <w:rFonts w:hint="eastAsia" w:cs="Times New Roman"/>
                <w:color w:val="auto"/>
                <w:szCs w:val="24"/>
                <w:highlight w:val="none"/>
              </w:rPr>
              <w:t>废气：“碱喷淋+活性炭吸附装置”进口因生产安全原因，不具备检测条件，进口未检测，只进行了出口达标检测，本次验收未进行去除效率计算。不具备检测条件现场照片见附件</w:t>
            </w:r>
            <w:r>
              <w:rPr>
                <w:rFonts w:hint="eastAsia" w:cs="Times New Roman"/>
                <w:color w:val="auto"/>
                <w:szCs w:val="24"/>
                <w:highlight w:val="none"/>
                <w:lang w:val="en-US" w:eastAsia="zh-CN"/>
              </w:rPr>
              <w:t>6。</w:t>
            </w:r>
          </w:p>
          <w:p>
            <w:pPr>
              <w:ind w:firstLine="480"/>
              <w:rPr>
                <w:color w:val="auto"/>
                <w:highlight w:val="none"/>
              </w:rPr>
            </w:pPr>
            <w:r>
              <w:rPr>
                <w:rFonts w:hint="eastAsia"/>
                <w:color w:val="auto"/>
                <w:highlight w:val="none"/>
              </w:rPr>
              <w:t>废水：根据验收监测结果核算，污水处理设备对废水中主要污染物氨氮、化学需氧量平均去除效率分别为48.6%、49.5%。根据环评意见，不纳入环境总量管理。</w:t>
            </w: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p>
            <w:pPr>
              <w:pStyle w:val="34"/>
              <w:snapToGrid w:val="0"/>
              <w:ind w:firstLine="0" w:firstLineChars="0"/>
              <w:rPr>
                <w:rFonts w:cs="Times New Roman"/>
                <w:b/>
                <w:bCs/>
                <w:color w:val="auto"/>
                <w:szCs w:val="24"/>
                <w:highlight w:val="none"/>
              </w:rPr>
            </w:pPr>
          </w:p>
        </w:tc>
      </w:tr>
    </w:tbl>
    <w:p>
      <w:pPr>
        <w:adjustRightInd w:val="0"/>
        <w:snapToGrid w:val="0"/>
        <w:ind w:firstLine="0" w:firstLineChars="0"/>
        <w:outlineLvl w:val="0"/>
        <w:rPr>
          <w:b/>
          <w:bCs/>
          <w:color w:val="auto"/>
          <w:sz w:val="32"/>
          <w:szCs w:val="32"/>
          <w:highlight w:val="none"/>
        </w:rPr>
      </w:pPr>
      <w:r>
        <w:rPr>
          <w:b/>
          <w:bCs/>
          <w:color w:val="auto"/>
          <w:sz w:val="30"/>
          <w:szCs w:val="30"/>
          <w:highlight w:val="none"/>
        </w:rPr>
        <w:br w:type="page"/>
      </w:r>
      <w:bookmarkStart w:id="172" w:name="_Toc15712"/>
      <w:bookmarkStart w:id="173" w:name="_Toc25157"/>
      <w:bookmarkStart w:id="174" w:name="_Toc996"/>
      <w:bookmarkStart w:id="175" w:name="_Toc16672"/>
      <w:bookmarkStart w:id="176" w:name="_Toc5315"/>
      <w:bookmarkStart w:id="177" w:name="_Toc7000"/>
      <w:bookmarkStart w:id="178" w:name="_Toc23790"/>
      <w:bookmarkStart w:id="179" w:name="_Toc15377"/>
      <w:bookmarkStart w:id="180" w:name="_Toc12738"/>
      <w:bookmarkStart w:id="181" w:name="_Toc19061"/>
      <w:bookmarkStart w:id="182" w:name="_Toc18080"/>
      <w:bookmarkStart w:id="183" w:name="_Toc3640"/>
      <w:bookmarkStart w:id="184" w:name="_Toc8275"/>
      <w:bookmarkStart w:id="185" w:name="_Toc25412"/>
      <w:bookmarkStart w:id="186" w:name="_Toc4064"/>
      <w:bookmarkStart w:id="187" w:name="_Toc10359"/>
      <w:bookmarkStart w:id="188" w:name="_Toc13767"/>
      <w:bookmarkStart w:id="189" w:name="_Toc26011"/>
      <w:bookmarkStart w:id="190" w:name="_Toc7673"/>
      <w:bookmarkStart w:id="191" w:name="_Toc16344"/>
      <w:bookmarkStart w:id="192" w:name="_Toc19597"/>
      <w:bookmarkStart w:id="193" w:name="_Toc29031"/>
      <w:bookmarkStart w:id="194" w:name="_Toc12108"/>
      <w:r>
        <w:rPr>
          <w:b/>
          <w:bCs/>
          <w:color w:val="auto"/>
          <w:sz w:val="30"/>
          <w:szCs w:val="30"/>
          <w:highlight w:val="none"/>
        </w:rPr>
        <w:t xml:space="preserve">表8  </w:t>
      </w:r>
      <w:r>
        <w:rPr>
          <w:b/>
          <w:bCs/>
          <w:color w:val="auto"/>
          <w:sz w:val="32"/>
          <w:szCs w:val="32"/>
          <w:highlight w:val="none"/>
        </w:rPr>
        <w:t>环境管理检查情况</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tbl>
      <w:tblPr>
        <w:tblStyle w:val="26"/>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4"/>
              <w:ind w:firstLine="482"/>
              <w:rPr>
                <w:rFonts w:cs="Times New Roman"/>
                <w:b/>
                <w:bCs/>
                <w:color w:val="auto"/>
                <w:highlight w:val="none"/>
              </w:rPr>
            </w:pPr>
            <w:r>
              <w:rPr>
                <w:rFonts w:cs="Times New Roman"/>
                <w:b/>
                <w:bCs/>
                <w:color w:val="auto"/>
                <w:highlight w:val="none"/>
              </w:rPr>
              <w:t>一、环保机构设置、环境管理规章制度及监测计划落实情况</w:t>
            </w:r>
          </w:p>
          <w:p>
            <w:pPr>
              <w:pStyle w:val="34"/>
              <w:ind w:firstLine="482"/>
              <w:rPr>
                <w:rFonts w:cs="Times New Roman"/>
                <w:b/>
                <w:bCs/>
                <w:color w:val="auto"/>
                <w:highlight w:val="none"/>
              </w:rPr>
            </w:pPr>
            <w:r>
              <w:rPr>
                <w:rFonts w:cs="Times New Roman"/>
                <w:b/>
                <w:bCs/>
                <w:color w:val="auto"/>
                <w:highlight w:val="none"/>
              </w:rPr>
              <w:t>1、环保审批手续及“三同时”执行情况</w:t>
            </w:r>
          </w:p>
          <w:p>
            <w:pPr>
              <w:pStyle w:val="34"/>
              <w:rPr>
                <w:rFonts w:cs="Times New Roman"/>
                <w:color w:val="auto"/>
                <w:szCs w:val="24"/>
                <w:highlight w:val="none"/>
              </w:rPr>
            </w:pPr>
            <w:r>
              <w:rPr>
                <w:rFonts w:cs="Times New Roman"/>
                <w:color w:val="auto"/>
                <w:highlight w:val="none"/>
              </w:rPr>
              <w:t>根据国家《建设项目环境保护管理条例》和《中华人民共和国环境保护法》中有关规定，</w:t>
            </w:r>
            <w:r>
              <w:rPr>
                <w:rFonts w:hint="eastAsia" w:cs="Times New Roman"/>
                <w:color w:val="auto"/>
                <w:szCs w:val="24"/>
                <w:highlight w:val="none"/>
              </w:rPr>
              <w:t>济南久隆医药科技有限公司</w:t>
            </w:r>
            <w:r>
              <w:rPr>
                <w:rFonts w:cs="Times New Roman"/>
                <w:color w:val="auto"/>
                <w:szCs w:val="24"/>
                <w:highlight w:val="none"/>
              </w:rPr>
              <w:t>2021年</w:t>
            </w:r>
            <w:r>
              <w:rPr>
                <w:rFonts w:hint="eastAsia" w:cs="Times New Roman"/>
                <w:color w:val="auto"/>
                <w:szCs w:val="24"/>
                <w:highlight w:val="none"/>
              </w:rPr>
              <w:t>11</w:t>
            </w:r>
            <w:r>
              <w:rPr>
                <w:rFonts w:cs="Times New Roman"/>
                <w:color w:val="auto"/>
                <w:szCs w:val="24"/>
                <w:highlight w:val="none"/>
              </w:rPr>
              <w:t>月委托</w:t>
            </w:r>
            <w:r>
              <w:rPr>
                <w:rFonts w:hint="eastAsia" w:cs="Times New Roman"/>
                <w:color w:val="auto"/>
                <w:szCs w:val="24"/>
                <w:highlight w:val="none"/>
              </w:rPr>
              <w:t>山东国嘉环保科技有限公司</w:t>
            </w:r>
            <w:r>
              <w:rPr>
                <w:rFonts w:cs="Times New Roman"/>
                <w:color w:val="auto"/>
                <w:kern w:val="21"/>
                <w:highlight w:val="none"/>
              </w:rPr>
              <w:t>编制完成了</w:t>
            </w:r>
            <w:r>
              <w:rPr>
                <w:rFonts w:cs="Times New Roman"/>
                <w:color w:val="auto"/>
                <w:szCs w:val="24"/>
                <w:highlight w:val="none"/>
              </w:rPr>
              <w:t>《</w:t>
            </w:r>
            <w:r>
              <w:rPr>
                <w:rFonts w:hint="eastAsia" w:cs="Times New Roman"/>
                <w:color w:val="auto"/>
                <w:szCs w:val="24"/>
                <w:highlight w:val="none"/>
              </w:rPr>
              <w:t>济南久隆医药科技有限公司实验室建设项目</w:t>
            </w:r>
            <w:r>
              <w:rPr>
                <w:rFonts w:cs="Times New Roman"/>
                <w:color w:val="auto"/>
                <w:szCs w:val="24"/>
                <w:highlight w:val="none"/>
              </w:rPr>
              <w:t>环境影响报告表》，并于</w:t>
            </w:r>
            <w:r>
              <w:rPr>
                <w:rFonts w:hint="eastAsia" w:cs="Times New Roman"/>
                <w:color w:val="auto"/>
                <w:szCs w:val="24"/>
                <w:highlight w:val="none"/>
              </w:rPr>
              <w:t>2021年12月30日</w:t>
            </w:r>
            <w:r>
              <w:rPr>
                <w:rFonts w:cs="Times New Roman"/>
                <w:color w:val="auto"/>
                <w:szCs w:val="24"/>
                <w:highlight w:val="none"/>
              </w:rPr>
              <w:t>经济南市生态环境局审批（</w:t>
            </w:r>
            <w:r>
              <w:rPr>
                <w:rFonts w:hint="eastAsia" w:cs="Times New Roman"/>
                <w:color w:val="auto"/>
                <w:szCs w:val="24"/>
                <w:highlight w:val="none"/>
              </w:rPr>
              <w:t>济环报告表［2021］G130号</w:t>
            </w:r>
            <w:r>
              <w:rPr>
                <w:rFonts w:cs="Times New Roman"/>
                <w:color w:val="auto"/>
                <w:szCs w:val="24"/>
                <w:highlight w:val="none"/>
              </w:rPr>
              <w:t>）；</w:t>
            </w:r>
            <w:r>
              <w:rPr>
                <w:rFonts w:hint="eastAsia" w:cs="Times New Roman"/>
                <w:color w:val="auto"/>
                <w:highlight w:val="none"/>
              </w:rPr>
              <w:t>本项目购置已建成的厂房，于2022年1月开工建设，2022年1月建设完成并投入试生产阶段，</w:t>
            </w:r>
            <w:r>
              <w:rPr>
                <w:color w:val="auto"/>
                <w:highlight w:val="none"/>
              </w:rPr>
              <w:t>环保设施同时</w:t>
            </w:r>
            <w:r>
              <w:rPr>
                <w:rFonts w:hint="eastAsia"/>
                <w:color w:val="auto"/>
                <w:highlight w:val="none"/>
              </w:rPr>
              <w:t>设计同时施工并同时</w:t>
            </w:r>
            <w:r>
              <w:rPr>
                <w:color w:val="auto"/>
                <w:highlight w:val="none"/>
              </w:rPr>
              <w:t>进行试运行，</w:t>
            </w:r>
            <w:r>
              <w:rPr>
                <w:rFonts w:hint="eastAsia"/>
                <w:color w:val="auto"/>
                <w:highlight w:val="none"/>
              </w:rPr>
              <w:t>试</w:t>
            </w:r>
            <w:r>
              <w:rPr>
                <w:color w:val="auto"/>
                <w:highlight w:val="none"/>
              </w:rPr>
              <w:t>运营期间运行状况良好，具备竣工验收条件。</w:t>
            </w:r>
            <w:r>
              <w:rPr>
                <w:rFonts w:hint="eastAsia" w:cs="Times New Roman"/>
                <w:color w:val="auto"/>
                <w:kern w:val="0"/>
                <w:highlight w:val="none"/>
              </w:rPr>
              <w:t>因不具备检测能力，</w:t>
            </w:r>
            <w:r>
              <w:rPr>
                <w:rFonts w:hint="eastAsia" w:cs="Times New Roman"/>
                <w:color w:val="auto"/>
                <w:szCs w:val="24"/>
                <w:highlight w:val="none"/>
              </w:rPr>
              <w:t>济南久隆医药科技有限公司</w:t>
            </w:r>
            <w:r>
              <w:rPr>
                <w:rFonts w:hint="eastAsia" w:cs="Times New Roman"/>
                <w:color w:val="auto"/>
                <w:kern w:val="0"/>
                <w:highlight w:val="none"/>
              </w:rPr>
              <w:t>委托</w:t>
            </w:r>
            <w:r>
              <w:rPr>
                <w:rFonts w:hint="eastAsia" w:cs="Times New Roman"/>
                <w:color w:val="auto"/>
                <w:szCs w:val="24"/>
                <w:highlight w:val="none"/>
              </w:rPr>
              <w:t>山东国环环保科技有限公司进行验收工作，山东国环环保科技有限公司随后委托</w:t>
            </w:r>
            <w:r>
              <w:rPr>
                <w:rFonts w:cs="Times New Roman"/>
                <w:color w:val="auto"/>
                <w:kern w:val="0"/>
                <w:highlight w:val="none"/>
              </w:rPr>
              <w:t>山东华晟环境检测有限公司</w:t>
            </w:r>
            <w:r>
              <w:rPr>
                <w:rFonts w:hint="eastAsia" w:cs="Times New Roman"/>
                <w:color w:val="auto"/>
                <w:kern w:val="0"/>
                <w:highlight w:val="none"/>
              </w:rPr>
              <w:t>于2022年1月10日~2022年1月11日、2022年4月21日~2022年4月22日，共计4</w:t>
            </w:r>
            <w:r>
              <w:rPr>
                <w:rFonts w:cs="Times New Roman"/>
                <w:color w:val="auto"/>
                <w:kern w:val="0"/>
                <w:highlight w:val="none"/>
              </w:rPr>
              <w:t>天对本项目</w:t>
            </w:r>
            <w:r>
              <w:rPr>
                <w:rFonts w:hint="eastAsia" w:cs="Times New Roman"/>
                <w:color w:val="auto"/>
                <w:kern w:val="0"/>
                <w:highlight w:val="none"/>
              </w:rPr>
              <w:t>废气、废水、噪声</w:t>
            </w:r>
            <w:r>
              <w:rPr>
                <w:rFonts w:cs="Times New Roman"/>
                <w:color w:val="auto"/>
                <w:kern w:val="0"/>
                <w:highlight w:val="none"/>
              </w:rPr>
              <w:t>进行了</w:t>
            </w:r>
            <w:r>
              <w:rPr>
                <w:rFonts w:hint="eastAsia" w:cs="Times New Roman"/>
                <w:color w:val="auto"/>
                <w:kern w:val="0"/>
                <w:highlight w:val="none"/>
              </w:rPr>
              <w:t>竣工</w:t>
            </w:r>
            <w:r>
              <w:rPr>
                <w:rFonts w:cs="Times New Roman"/>
                <w:color w:val="auto"/>
                <w:kern w:val="0"/>
                <w:highlight w:val="none"/>
              </w:rPr>
              <w:t>验收</w:t>
            </w:r>
            <w:r>
              <w:rPr>
                <w:rFonts w:hint="eastAsia" w:cs="Times New Roman"/>
                <w:color w:val="auto"/>
                <w:kern w:val="0"/>
                <w:highlight w:val="none"/>
              </w:rPr>
              <w:t>检测并出具检测报告</w:t>
            </w:r>
            <w:r>
              <w:rPr>
                <w:rFonts w:cs="Times New Roman"/>
                <w:bCs/>
                <w:caps/>
                <w:color w:val="auto"/>
                <w:kern w:val="0"/>
                <w:szCs w:val="24"/>
                <w:highlight w:val="none"/>
              </w:rPr>
              <w:t>。</w:t>
            </w:r>
            <w:r>
              <w:rPr>
                <w:rFonts w:cs="Times New Roman"/>
                <w:color w:val="auto"/>
                <w:highlight w:val="none"/>
              </w:rPr>
              <w:t>该项目建设履行了竣工环境保护验收监测审批手续，执行了</w:t>
            </w:r>
            <w:r>
              <w:rPr>
                <w:rFonts w:cs="Times New Roman"/>
                <w:bCs/>
                <w:color w:val="auto"/>
                <w:highlight w:val="none"/>
              </w:rPr>
              <w:t>“三同时”制度，有关环保档案齐全。</w:t>
            </w:r>
          </w:p>
          <w:p>
            <w:pPr>
              <w:ind w:firstLine="482"/>
              <w:jc w:val="left"/>
              <w:rPr>
                <w:b/>
                <w:color w:val="auto"/>
                <w:highlight w:val="none"/>
              </w:rPr>
            </w:pPr>
            <w:r>
              <w:rPr>
                <w:b/>
                <w:color w:val="auto"/>
                <w:highlight w:val="none"/>
              </w:rPr>
              <w:t>2、环境管理规章制度的建立及执行情况</w:t>
            </w:r>
          </w:p>
          <w:p>
            <w:pPr>
              <w:ind w:firstLine="480"/>
              <w:jc w:val="left"/>
              <w:rPr>
                <w:color w:val="auto"/>
                <w:highlight w:val="none"/>
              </w:rPr>
            </w:pPr>
            <w:r>
              <w:rPr>
                <w:color w:val="auto"/>
                <w:highlight w:val="none"/>
              </w:rPr>
              <w:t>该企业重视环保工作，制定了相对完整的环保规章制度，厂区的各个环保设施责任到人，保证环保设施的正常运行。</w:t>
            </w:r>
          </w:p>
          <w:p>
            <w:pPr>
              <w:ind w:firstLine="482"/>
              <w:jc w:val="left"/>
              <w:rPr>
                <w:b/>
                <w:bCs/>
                <w:color w:val="auto"/>
                <w:highlight w:val="none"/>
              </w:rPr>
            </w:pPr>
            <w:r>
              <w:rPr>
                <w:b/>
                <w:bCs/>
                <w:color w:val="auto"/>
                <w:highlight w:val="none"/>
              </w:rPr>
              <w:t>二、环保设施建设、运行、检查、维护情况</w:t>
            </w:r>
          </w:p>
          <w:p>
            <w:pPr>
              <w:pStyle w:val="34"/>
              <w:jc w:val="both"/>
              <w:rPr>
                <w:rFonts w:cs="Times New Roman"/>
                <w:color w:val="auto"/>
                <w:szCs w:val="24"/>
                <w:highlight w:val="none"/>
              </w:rPr>
            </w:pPr>
            <w:r>
              <w:rPr>
                <w:rFonts w:cs="Times New Roman"/>
                <w:color w:val="auto"/>
                <w:szCs w:val="24"/>
                <w:highlight w:val="none"/>
              </w:rPr>
              <w:t>（1）本项目运营期产生的废气主要为实验过程中产生的有机废气（VOCs、甲苯、苯、甲醇）、臭气（臭气浓度）和酸碱废气（硫酸雾、氯化氢、氨）。</w:t>
            </w:r>
          </w:p>
          <w:p>
            <w:pPr>
              <w:pStyle w:val="34"/>
              <w:jc w:val="both"/>
              <w:rPr>
                <w:rFonts w:cs="Times New Roman"/>
                <w:color w:val="auto"/>
                <w:szCs w:val="24"/>
                <w:highlight w:val="none"/>
              </w:rPr>
            </w:pPr>
            <w:r>
              <w:rPr>
                <w:rFonts w:ascii="Calibri" w:hAnsi="Calibri" w:cs="Calibri"/>
                <w:color w:val="auto"/>
                <w:szCs w:val="24"/>
                <w:highlight w:val="none"/>
              </w:rPr>
              <w:t>①</w:t>
            </w:r>
            <w:r>
              <w:rPr>
                <w:rFonts w:cs="Times New Roman"/>
                <w:color w:val="auto"/>
                <w:szCs w:val="24"/>
                <w:highlight w:val="none"/>
              </w:rPr>
              <w:t>有组织废气</w:t>
            </w:r>
          </w:p>
          <w:p>
            <w:pPr>
              <w:pStyle w:val="34"/>
              <w:jc w:val="both"/>
              <w:rPr>
                <w:rFonts w:cs="Times New Roman"/>
                <w:color w:val="auto"/>
                <w:szCs w:val="24"/>
                <w:highlight w:val="none"/>
              </w:rPr>
            </w:pPr>
            <w:r>
              <w:rPr>
                <w:rFonts w:cs="Times New Roman"/>
                <w:color w:val="auto"/>
                <w:szCs w:val="24"/>
                <w:highlight w:val="none"/>
              </w:rPr>
              <w:t>项目北侧合成实验室1及南侧理化室、液相室、气相室等运行过程中产生的有机废气、酸碱废气、臭气均由通风柜或万向吸风罩收集后，再经一套碱喷淋+活性炭吸附装置处理，处理后通过1根高于楼顶3m（距地面25m）的排气筒DA001排放；</w:t>
            </w:r>
          </w:p>
          <w:p>
            <w:pPr>
              <w:pStyle w:val="34"/>
              <w:jc w:val="both"/>
              <w:rPr>
                <w:rFonts w:cs="Times New Roman"/>
                <w:color w:val="auto"/>
                <w:szCs w:val="24"/>
                <w:highlight w:val="none"/>
              </w:rPr>
            </w:pPr>
            <w:r>
              <w:rPr>
                <w:rFonts w:cs="Times New Roman"/>
                <w:color w:val="auto"/>
                <w:szCs w:val="24"/>
                <w:highlight w:val="none"/>
              </w:rPr>
              <w:t>项目北侧合成实验室2、合成实验室3、氢化室等运行过程中产生的有机废气、酸碱废气、臭气均由通风柜收集后，再经一套碱喷淋+活性炭吸附装置处理，处理后通过1根高于楼顶3m（距地面25m）的排气筒DA002排放。</w:t>
            </w:r>
          </w:p>
          <w:p>
            <w:pPr>
              <w:pStyle w:val="34"/>
              <w:jc w:val="both"/>
              <w:rPr>
                <w:rFonts w:cs="Times New Roman"/>
                <w:color w:val="auto"/>
                <w:szCs w:val="24"/>
                <w:highlight w:val="none"/>
              </w:rPr>
            </w:pPr>
            <w:r>
              <w:rPr>
                <w:rFonts w:ascii="Calibri" w:hAnsi="Calibri" w:cs="Calibri"/>
                <w:color w:val="auto"/>
                <w:szCs w:val="24"/>
                <w:highlight w:val="none"/>
              </w:rPr>
              <w:t>②</w:t>
            </w:r>
            <w:r>
              <w:rPr>
                <w:rFonts w:cs="Times New Roman"/>
                <w:color w:val="auto"/>
                <w:szCs w:val="24"/>
                <w:highlight w:val="none"/>
              </w:rPr>
              <w:t>无组织废气</w:t>
            </w:r>
          </w:p>
          <w:p>
            <w:pPr>
              <w:pStyle w:val="34"/>
              <w:jc w:val="both"/>
              <w:rPr>
                <w:rFonts w:cs="Times New Roman"/>
                <w:color w:val="auto"/>
                <w:szCs w:val="21"/>
                <w:highlight w:val="none"/>
              </w:rPr>
            </w:pPr>
            <w:r>
              <w:rPr>
                <w:rFonts w:cs="Times New Roman"/>
                <w:color w:val="auto"/>
                <w:szCs w:val="24"/>
                <w:highlight w:val="none"/>
              </w:rPr>
              <w:t>未被收集的实验室废气等实验室通风后无组织排放。</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8-1</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151"/>
              <w:gridCol w:w="1339"/>
              <w:gridCol w:w="1539"/>
              <w:gridCol w:w="1259"/>
              <w:gridCol w:w="1518"/>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66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77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88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24"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最大排放速率（kg/h）</w:t>
                  </w:r>
                </w:p>
              </w:tc>
              <w:tc>
                <w:tcPr>
                  <w:tcW w:w="873"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最大允许排放速率（kg/h）</w:t>
                  </w:r>
                </w:p>
              </w:tc>
              <w:tc>
                <w:tcPr>
                  <w:tcW w:w="494"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0"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合成实验室1废气排气筒DA001出口</w:t>
                  </w: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2.09</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0.029</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0.90</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5.2</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30</w:t>
                  </w:r>
                </w:p>
              </w:tc>
              <w:tc>
                <w:tcPr>
                  <w:tcW w:w="724"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0.43</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2.1</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190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0.029</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0.62</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r>
                    <w:rPr>
                      <w:color w:val="auto"/>
                      <w:sz w:val="21"/>
                      <w:szCs w:val="21"/>
                      <w:highlight w:val="none"/>
                    </w:rPr>
                    <w:t>×10</w:t>
                  </w:r>
                  <w:r>
                    <w:rPr>
                      <w:color w:val="auto"/>
                      <w:sz w:val="21"/>
                      <w:szCs w:val="21"/>
                      <w:highlight w:val="none"/>
                      <w:vertAlign w:val="superscript"/>
                    </w:rPr>
                    <w:t>-3</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8.7</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549（无量纲）</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6000（无量纲）</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restar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合成实验室2、3废气排气筒DA002出口</w:t>
                  </w: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2.08</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0.025</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0.90</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5.2</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0.43</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190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0.75</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9.0</w:t>
                  </w:r>
                  <w:r>
                    <w:rPr>
                      <w:color w:val="auto"/>
                      <w:sz w:val="21"/>
                      <w:szCs w:val="21"/>
                      <w:highlight w:val="none"/>
                    </w:rPr>
                    <w:t>×10</w:t>
                  </w:r>
                  <w:r>
                    <w:rPr>
                      <w:color w:val="auto"/>
                      <w:sz w:val="21"/>
                      <w:szCs w:val="21"/>
                      <w:highlight w:val="none"/>
                      <w:vertAlign w:val="superscript"/>
                    </w:rPr>
                    <w:t>-3</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8.7</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0"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7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8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2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416（无量纲）</w:t>
                  </w:r>
                </w:p>
              </w:tc>
              <w:tc>
                <w:tcPr>
                  <w:tcW w:w="87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6000（无量纲）</w:t>
                  </w:r>
                </w:p>
              </w:tc>
              <w:tc>
                <w:tcPr>
                  <w:tcW w:w="49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7"/>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备注：未检出表示检测值小于检出限</w:t>
                  </w:r>
                </w:p>
              </w:tc>
            </w:tr>
          </w:tbl>
          <w:p>
            <w:pPr>
              <w:widowControl/>
              <w:ind w:firstLine="480"/>
              <w:rPr>
                <w:color w:val="auto"/>
                <w:highlight w:val="none"/>
              </w:rPr>
            </w:pPr>
            <w:r>
              <w:rPr>
                <w:rFonts w:hint="eastAsia"/>
                <w:color w:val="auto"/>
                <w:highlight w:val="none"/>
              </w:rPr>
              <w:t>验收监测期间，有组织VOCs排放浓度和排放速率满足《挥发性有机物排放标准 第7部分：其他行业》（DB37/2801.7-2019）表1中“非重点行业”II时段排放限值要求；有组织甲苯、苯的排放浓度均满足《制药工业大气污染物排放标准》（GB37823-2019）表2大气污染物特别排放限值要求，排放速率满足《大气污染物综合排放标准》（GB16297-1996）表2二级标准的限值要求；有组织氯化氢排放浓度及排放速率满足《制药工业大气污染物排放标准》（GB37823-2019）表2大气污染物特别排放限值要求及《大气污染物综合排放标准》（GB16297-1996）表2限值要求；有组织氨排放浓度满足《制药工业大气污染物排放标准》（GB37823-2019）表2大气污染物特别排放限值要求，排放速率满足《恶臭污染物排放标准》(GB14554-93)表2排放限值要求；有组织甲醇的排放浓度、排放速率均满足《大气污染物综合排放标准》（GB16297-1996）表2二级标准的限值要求；有组织臭气浓度满足《恶臭污染物排放标准》（GB14554-93）表2排放标准限值。</w:t>
            </w:r>
          </w:p>
          <w:p>
            <w:pPr>
              <w:pStyle w:val="3"/>
              <w:ind w:firstLine="0" w:firstLineChars="0"/>
              <w:jc w:val="center"/>
              <w:rPr>
                <w:rFonts w:ascii="Times New Roman" w:hAnsi="Times New Roman"/>
                <w:b/>
                <w:bCs/>
                <w:color w:val="auto"/>
                <w:sz w:val="24"/>
                <w:highlight w:val="none"/>
              </w:rPr>
            </w:pPr>
            <w:r>
              <w:rPr>
                <w:rFonts w:hint="eastAsia" w:ascii="Times New Roman" w:hAnsi="Times New Roman"/>
                <w:b/>
                <w:bCs/>
                <w:color w:val="auto"/>
                <w:sz w:val="24"/>
                <w:highlight w:val="none"/>
              </w:rPr>
              <w:t>表8-2  无组织废气判定结果表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5"/>
              <w:gridCol w:w="2325"/>
              <w:gridCol w:w="2471"/>
              <w:gridCol w:w="1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4"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133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厂界最大排放浓度（mg/m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142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厂界最大允许排放浓度（mg/m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96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1.39</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0.1</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0.2</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0.20</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12</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0.024</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1.5</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1337" w:type="pc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&lt;10</w:t>
                  </w:r>
                  <w:r>
                    <w:rPr>
                      <w:rFonts w:hint="eastAsia"/>
                      <w:color w:val="auto"/>
                      <w:sz w:val="21"/>
                      <w:szCs w:val="21"/>
                      <w:highlight w:val="none"/>
                    </w:rPr>
                    <w:t>（无量纲）</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16（无量纲）</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NMHC</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1.37（</w:t>
                  </w:r>
                  <w:r>
                    <w:rPr>
                      <w:color w:val="auto"/>
                      <w:sz w:val="21"/>
                      <w:szCs w:val="21"/>
                      <w:highlight w:val="none"/>
                    </w:rPr>
                    <w:t>厂房通风口处</w:t>
                  </w:r>
                  <w:r>
                    <w:rPr>
                      <w:rFonts w:hint="eastAsia"/>
                      <w:color w:val="auto"/>
                      <w:sz w:val="21"/>
                      <w:szCs w:val="21"/>
                      <w:highlight w:val="none"/>
                    </w:rPr>
                    <w:t>）</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4"/>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备注：未检出表示检测值小于检出限</w:t>
                  </w:r>
                </w:p>
              </w:tc>
            </w:tr>
          </w:tbl>
          <w:p>
            <w:pPr>
              <w:widowControl/>
              <w:ind w:firstLine="480"/>
              <w:rPr>
                <w:color w:val="auto"/>
                <w:highlight w:val="none"/>
              </w:rPr>
            </w:pPr>
            <w:r>
              <w:rPr>
                <w:rFonts w:hint="eastAsia"/>
                <w:color w:val="auto"/>
                <w:highlight w:val="none"/>
              </w:rPr>
              <w:t>验收监测期间，</w:t>
            </w:r>
            <w:r>
              <w:rPr>
                <w:color w:val="auto"/>
                <w:highlight w:val="none"/>
              </w:rPr>
              <w:t>无组织VOCs</w:t>
            </w:r>
            <w:r>
              <w:rPr>
                <w:rFonts w:hint="eastAsia"/>
                <w:color w:val="auto"/>
                <w:highlight w:val="none"/>
              </w:rPr>
              <w:t>满足</w:t>
            </w:r>
            <w:r>
              <w:rPr>
                <w:color w:val="auto"/>
                <w:highlight w:val="none"/>
              </w:rPr>
              <w:t>山东省</w:t>
            </w:r>
            <w:r>
              <w:rPr>
                <w:rFonts w:hint="eastAsia"/>
                <w:color w:val="auto"/>
                <w:highlight w:val="none"/>
              </w:rPr>
              <w:t>《挥发性有机物排放标准第7部分：其他行业》（DB37/2801.7-2019）表2厂界监控点浓度限值及《挥发性有机物无组织排放控制标准》（GB37822-2019）要求；无组织甲苯、苯满足《挥发性有机物排放标准第7部分：其他行业》（DB37/2801.7-2019）表3厂界监控点浓度限值要求；无组织氯化氢满足《制药工业大气污染物排放标准》（GB37823-2019）表4浓度限值要求；无组织氨满足《恶臭污染物排放标准》(GB14554-93)表1</w:t>
            </w:r>
            <w:r>
              <w:rPr>
                <w:color w:val="auto"/>
                <w:highlight w:val="none"/>
              </w:rPr>
              <w:t>二级新改扩建浓度限值</w:t>
            </w:r>
            <w:r>
              <w:rPr>
                <w:rFonts w:hint="eastAsia"/>
                <w:color w:val="auto"/>
                <w:kern w:val="0"/>
                <w:highlight w:val="none"/>
                <w:lang w:bidi="ar"/>
              </w:rPr>
              <w:t>；无组织甲醇</w:t>
            </w:r>
            <w:r>
              <w:rPr>
                <w:rFonts w:hint="eastAsia"/>
                <w:color w:val="auto"/>
                <w:highlight w:val="none"/>
              </w:rPr>
              <w:t>满足</w:t>
            </w:r>
            <w:r>
              <w:rPr>
                <w:rFonts w:hint="eastAsia"/>
                <w:color w:val="auto"/>
                <w:kern w:val="0"/>
                <w:highlight w:val="none"/>
                <w:lang w:bidi="ar"/>
              </w:rPr>
              <w:t>《大气污染物综合排放标准》（GB16297-1996）表2无组织排放监控浓度限值要求</w:t>
            </w:r>
            <w:r>
              <w:rPr>
                <w:rFonts w:hint="eastAsia"/>
                <w:color w:val="auto"/>
                <w:highlight w:val="none"/>
              </w:rPr>
              <w:t>；无</w:t>
            </w:r>
            <w:r>
              <w:rPr>
                <w:rFonts w:hint="eastAsia"/>
                <w:color w:val="auto"/>
                <w:highlight w:val="none"/>
                <w:lang w:bidi="ar"/>
              </w:rPr>
              <w:t>组织臭气浓度</w:t>
            </w:r>
            <w:r>
              <w:rPr>
                <w:rFonts w:hint="eastAsia"/>
                <w:color w:val="auto"/>
                <w:highlight w:val="none"/>
              </w:rPr>
              <w:t>满足</w:t>
            </w:r>
            <w:r>
              <w:rPr>
                <w:rFonts w:hint="eastAsia"/>
                <w:color w:val="auto"/>
                <w:highlight w:val="none"/>
                <w:lang w:bidi="ar"/>
              </w:rPr>
              <w:t>《挥发性有机物排放标准第7部分：其他行业》（DB37/2801.7-2019）表2厂界监控点浓度限值要求</w:t>
            </w:r>
            <w:r>
              <w:rPr>
                <w:rFonts w:hint="eastAsia"/>
                <w:color w:val="auto"/>
                <w:kern w:val="0"/>
                <w:highlight w:val="none"/>
                <w:lang w:bidi="ar"/>
              </w:rPr>
              <w:t>。</w:t>
            </w:r>
          </w:p>
          <w:p>
            <w:pPr>
              <w:ind w:firstLine="480"/>
              <w:rPr>
                <w:color w:val="auto"/>
                <w:highlight w:val="none"/>
              </w:rPr>
            </w:pPr>
            <w:r>
              <w:rPr>
                <w:rFonts w:hint="eastAsia"/>
                <w:color w:val="auto"/>
                <w:kern w:val="0"/>
                <w:highlight w:val="none"/>
                <w:lang w:bidi="ar"/>
              </w:rPr>
              <w:t>（2）</w:t>
            </w:r>
            <w:r>
              <w:rPr>
                <w:rFonts w:hint="eastAsia"/>
                <w:color w:val="auto"/>
                <w:highlight w:val="none"/>
              </w:rPr>
              <w:t>本项目产生的生活污水、实验后器皿</w:t>
            </w:r>
            <w:r>
              <w:rPr>
                <w:color w:val="auto"/>
                <w:highlight w:val="none"/>
              </w:rPr>
              <w:t>两次</w:t>
            </w:r>
            <w:r>
              <w:rPr>
                <w:rFonts w:hint="eastAsia"/>
                <w:color w:val="auto"/>
                <w:highlight w:val="none"/>
              </w:rPr>
              <w:t>清洗后</w:t>
            </w:r>
            <w:r>
              <w:rPr>
                <w:color w:val="auto"/>
                <w:highlight w:val="none"/>
              </w:rPr>
              <w:t>清洗</w:t>
            </w:r>
            <w:r>
              <w:rPr>
                <w:rFonts w:hint="eastAsia"/>
                <w:color w:val="auto"/>
                <w:highlight w:val="none"/>
              </w:rPr>
              <w:t>废水、</w:t>
            </w:r>
            <w:r>
              <w:rPr>
                <w:rFonts w:hint="eastAsia"/>
                <w:color w:val="auto"/>
                <w:highlight w:val="none"/>
                <w:lang w:eastAsia="zh-CN"/>
              </w:rPr>
              <w:t>环保设备排污水、地面清洁废水，均经收集池收集后满足银丰国际生物城污水处理站进水水质标准后，排入银丰国际生物城污水处理站处理</w:t>
            </w:r>
            <w:r>
              <w:rPr>
                <w:color w:val="auto"/>
                <w:highlight w:val="none"/>
              </w:rPr>
              <w:t>，满足《污水排入城镇下水道水质标准》（GB/T31962-2015）</w:t>
            </w:r>
            <w:r>
              <w:rPr>
                <w:rFonts w:hint="eastAsia"/>
                <w:color w:val="auto"/>
                <w:highlight w:val="none"/>
                <w:lang w:eastAsia="zh-CN"/>
              </w:rPr>
              <w:t>A级</w:t>
            </w:r>
            <w:r>
              <w:rPr>
                <w:color w:val="auto"/>
                <w:highlight w:val="none"/>
              </w:rPr>
              <w:t>标准后</w:t>
            </w:r>
            <w:r>
              <w:rPr>
                <w:rFonts w:hint="eastAsia"/>
                <w:color w:val="auto"/>
                <w:highlight w:val="none"/>
              </w:rPr>
              <w:t>通过</w:t>
            </w:r>
            <w:r>
              <w:rPr>
                <w:color w:val="auto"/>
                <w:highlight w:val="none"/>
              </w:rPr>
              <w:t>市政管网</w:t>
            </w:r>
            <w:r>
              <w:rPr>
                <w:rFonts w:hint="eastAsia"/>
                <w:color w:val="auto"/>
                <w:highlight w:val="none"/>
              </w:rPr>
              <w:t>排入</w:t>
            </w:r>
            <w:r>
              <w:rPr>
                <w:color w:val="auto"/>
                <w:highlight w:val="none"/>
              </w:rPr>
              <w:t>巨野河污水处理厂</w:t>
            </w:r>
            <w:r>
              <w:rPr>
                <w:rFonts w:hint="eastAsia"/>
                <w:color w:val="auto"/>
                <w:highlight w:val="none"/>
              </w:rPr>
              <w:t>处理达标后</w:t>
            </w:r>
            <w:r>
              <w:rPr>
                <w:bCs/>
                <w:color w:val="auto"/>
                <w:highlight w:val="none"/>
              </w:rPr>
              <w:t>，经</w:t>
            </w:r>
            <w:r>
              <w:rPr>
                <w:rFonts w:hint="eastAsia"/>
                <w:bCs/>
                <w:color w:val="auto"/>
                <w:highlight w:val="none"/>
              </w:rPr>
              <w:t>西</w:t>
            </w:r>
            <w:r>
              <w:rPr>
                <w:bCs/>
                <w:color w:val="auto"/>
                <w:highlight w:val="none"/>
              </w:rPr>
              <w:t>巨野河排入小清河</w:t>
            </w:r>
            <w:r>
              <w:rPr>
                <w:rFonts w:hint="eastAsia"/>
                <w:color w:val="auto"/>
                <w:highlight w:val="none"/>
              </w:rPr>
              <w:t>。</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8-3</w:t>
            </w:r>
            <w:r>
              <w:rPr>
                <w:rFonts w:ascii="Times New Roman" w:hAnsi="Times New Roman"/>
                <w:b/>
                <w:bCs/>
                <w:color w:val="auto"/>
                <w:sz w:val="24"/>
                <w:highlight w:val="none"/>
              </w:rPr>
              <w:t xml:space="preserve">  废水判定结果表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728"/>
              <w:gridCol w:w="2555"/>
              <w:gridCol w:w="2571"/>
              <w:gridCol w:w="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76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260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最大日均值（mg/L）</w:t>
                  </w:r>
                </w:p>
              </w:tc>
              <w:tc>
                <w:tcPr>
                  <w:tcW w:w="261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标准值（mg/L）</w:t>
                  </w:r>
                </w:p>
              </w:tc>
              <w:tc>
                <w:tcPr>
                  <w:tcW w:w="993"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污水处理站出口</w:t>
                  </w: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pH值</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7.8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6.5-9.5</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氨氮</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23.8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45</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悬浮物</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63</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400</w:t>
                  </w:r>
                </w:p>
              </w:tc>
              <w:tc>
                <w:tcPr>
                  <w:tcW w:w="993" w:type="dxa"/>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总磷</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2.29</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8</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化学需氧量</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生化需氧量</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97.0</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350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溶解性总固体</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854</w:t>
                  </w:r>
                </w:p>
              </w:tc>
              <w:tc>
                <w:tcPr>
                  <w:tcW w:w="261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1500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ind w:firstLine="480"/>
              <w:rPr>
                <w:color w:val="auto"/>
                <w:highlight w:val="none"/>
              </w:rPr>
            </w:pPr>
            <w:r>
              <w:rPr>
                <w:rFonts w:hint="eastAsia"/>
                <w:color w:val="auto"/>
                <w:highlight w:val="none"/>
              </w:rPr>
              <w:t>验收</w:t>
            </w:r>
            <w:r>
              <w:rPr>
                <w:color w:val="auto"/>
                <w:spacing w:val="10"/>
                <w:highlight w:val="none"/>
              </w:rPr>
              <w:t>监测期间，厂区污水经银丰国际生物城污水处理站处理后，出水水质满足《污水排入城镇下水道水质标准》（GB/T 31962-2015）中</w:t>
            </w:r>
            <w:r>
              <w:rPr>
                <w:rFonts w:hint="eastAsia"/>
                <w:color w:val="auto"/>
                <w:spacing w:val="10"/>
                <w:highlight w:val="none"/>
                <w:lang w:eastAsia="zh-CN"/>
              </w:rPr>
              <w:t>表1的A等</w:t>
            </w:r>
            <w:r>
              <w:rPr>
                <w:color w:val="auto"/>
                <w:spacing w:val="10"/>
                <w:highlight w:val="none"/>
              </w:rPr>
              <w:t>级标准要求。</w:t>
            </w:r>
          </w:p>
          <w:p>
            <w:pPr>
              <w:pStyle w:val="34"/>
              <w:rPr>
                <w:rFonts w:cs="Times New Roman"/>
                <w:color w:val="auto"/>
                <w:szCs w:val="24"/>
                <w:highlight w:val="none"/>
              </w:rPr>
            </w:pPr>
            <w:r>
              <w:rPr>
                <w:rFonts w:hint="eastAsia" w:cs="Times New Roman"/>
                <w:color w:val="auto"/>
                <w:szCs w:val="24"/>
                <w:highlight w:val="none"/>
              </w:rPr>
              <w:t>（3）本项目噪声源主要为研发实验设备运转产生的噪声。</w:t>
            </w:r>
            <w:r>
              <w:rPr>
                <w:rFonts w:cs="Times New Roman"/>
                <w:color w:val="auto"/>
                <w:szCs w:val="24"/>
                <w:highlight w:val="none"/>
              </w:rPr>
              <w:t>本项目实验设备均布置于室内，采取门窗、墙体隔声，全部设备均选用低噪声设备并采取减振措施。加强管理，经常保养和维护机械设备避免设备在不良状态下运行。</w:t>
            </w:r>
          </w:p>
          <w:p>
            <w:pPr>
              <w:pStyle w:val="3"/>
              <w:ind w:firstLine="0" w:firstLineChars="0"/>
              <w:jc w:val="center"/>
              <w:rPr>
                <w:rFonts w:ascii="Times New Roman" w:hAnsi="Times New Roman"/>
                <w:b/>
                <w:bCs/>
                <w:color w:val="auto"/>
                <w:sz w:val="24"/>
                <w:highlight w:val="none"/>
              </w:rPr>
            </w:pPr>
            <w:r>
              <w:rPr>
                <w:rFonts w:hint="eastAsia" w:ascii="Times New Roman" w:hAnsi="Times New Roman"/>
                <w:b/>
                <w:bCs/>
                <w:color w:val="auto"/>
                <w:sz w:val="24"/>
                <w:highlight w:val="none"/>
              </w:rPr>
              <w:t>表8-4  噪声判定结果表</w:t>
            </w:r>
          </w:p>
          <w:tbl>
            <w:tblPr>
              <w:tblStyle w:val="26"/>
              <w:tblW w:w="4998" w:type="pct"/>
              <w:jc w:val="center"/>
              <w:tblLayout w:type="autofit"/>
              <w:tblCellMar>
                <w:top w:w="0" w:type="dxa"/>
                <w:left w:w="108" w:type="dxa"/>
                <w:bottom w:w="0" w:type="dxa"/>
                <w:right w:w="108" w:type="dxa"/>
              </w:tblCellMar>
            </w:tblPr>
            <w:tblGrid>
              <w:gridCol w:w="1196"/>
              <w:gridCol w:w="1228"/>
              <w:gridCol w:w="1485"/>
              <w:gridCol w:w="1651"/>
              <w:gridCol w:w="1529"/>
              <w:gridCol w:w="1616"/>
            </w:tblGrid>
            <w:tr>
              <w:trPr>
                <w:trHeight w:val="367" w:hRule="atLeast"/>
                <w:jc w:val="center"/>
              </w:trPr>
              <w:tc>
                <w:tcPr>
                  <w:tcW w:w="687"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测量</w:t>
                  </w:r>
                </w:p>
                <w:p>
                  <w:pPr>
                    <w:spacing w:line="240" w:lineRule="auto"/>
                    <w:ind w:firstLine="0" w:firstLineChars="0"/>
                    <w:jc w:val="center"/>
                    <w:rPr>
                      <w:b/>
                      <w:bCs/>
                      <w:color w:val="auto"/>
                      <w:sz w:val="21"/>
                      <w:szCs w:val="21"/>
                      <w:highlight w:val="none"/>
                    </w:rPr>
                  </w:pPr>
                  <w:r>
                    <w:rPr>
                      <w:b/>
                      <w:bCs/>
                      <w:color w:val="auto"/>
                      <w:sz w:val="21"/>
                      <w:szCs w:val="21"/>
                      <w:highlight w:val="none"/>
                    </w:rPr>
                    <w:t>时段</w:t>
                  </w:r>
                </w:p>
              </w:tc>
              <w:tc>
                <w:tcPr>
                  <w:tcW w:w="705"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w:t>
                  </w:r>
                </w:p>
                <w:p>
                  <w:pPr>
                    <w:spacing w:line="240" w:lineRule="auto"/>
                    <w:ind w:firstLine="0" w:firstLineChars="0"/>
                    <w:jc w:val="center"/>
                    <w:rPr>
                      <w:b/>
                      <w:bCs/>
                      <w:color w:val="auto"/>
                      <w:sz w:val="21"/>
                      <w:szCs w:val="21"/>
                      <w:highlight w:val="none"/>
                    </w:rPr>
                  </w:pPr>
                  <w:r>
                    <w:rPr>
                      <w:b/>
                      <w:bCs/>
                      <w:color w:val="auto"/>
                      <w:sz w:val="21"/>
                      <w:szCs w:val="21"/>
                      <w:highlight w:val="none"/>
                    </w:rPr>
                    <w:t>项目</w:t>
                  </w:r>
                </w:p>
              </w:tc>
              <w:tc>
                <w:tcPr>
                  <w:tcW w:w="2679" w:type="pct"/>
                  <w:gridSpan w:val="3"/>
                  <w:tcBorders>
                    <w:top w:val="single" w:color="000000" w:sz="4" w:space="0"/>
                    <w:left w:val="single" w:color="auto" w:sz="4" w:space="0"/>
                    <w:bottom w:val="single" w:color="000000" w:sz="4" w:space="0"/>
                    <w:right w:val="single" w:color="auto" w:sz="4" w:space="0"/>
                  </w:tcBorders>
                  <w:vAlign w:val="center"/>
                </w:tcPr>
                <w:p>
                  <w:pPr>
                    <w:spacing w:line="240" w:lineRule="auto"/>
                    <w:ind w:firstLineChars="0"/>
                    <w:jc w:val="center"/>
                    <w:rPr>
                      <w:b/>
                      <w:bCs/>
                      <w:color w:val="auto"/>
                      <w:sz w:val="21"/>
                      <w:szCs w:val="21"/>
                      <w:highlight w:val="none"/>
                    </w:rPr>
                  </w:pPr>
                  <w:r>
                    <w:rPr>
                      <w:rFonts w:hint="eastAsia"/>
                      <w:b/>
                      <w:bCs/>
                      <w:color w:val="auto"/>
                      <w:sz w:val="21"/>
                      <w:szCs w:val="21"/>
                      <w:highlight w:val="none"/>
                    </w:rPr>
                    <w:t>最大噪声值 dB（A）</w:t>
                  </w:r>
                </w:p>
              </w:tc>
              <w:tc>
                <w:tcPr>
                  <w:tcW w:w="92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标准值 dB（A）</w:t>
                  </w:r>
                </w:p>
              </w:tc>
            </w:tr>
            <w:tr>
              <w:tblPrEx>
                <w:tblCellMar>
                  <w:top w:w="0" w:type="dxa"/>
                  <w:left w:w="108" w:type="dxa"/>
                  <w:bottom w:w="0" w:type="dxa"/>
                  <w:right w:w="108" w:type="dxa"/>
                </w:tblCellMar>
              </w:tblPrEx>
              <w:trPr>
                <w:trHeight w:val="397" w:hRule="atLeast"/>
                <w:jc w:val="center"/>
              </w:trPr>
              <w:tc>
                <w:tcPr>
                  <w:tcW w:w="687"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b/>
                      <w:bCs/>
                      <w:color w:val="auto"/>
                      <w:sz w:val="21"/>
                      <w:szCs w:val="21"/>
                      <w:highlight w:val="none"/>
                    </w:rPr>
                  </w:pPr>
                </w:p>
              </w:tc>
              <w:tc>
                <w:tcPr>
                  <w:tcW w:w="705"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b/>
                      <w:bCs/>
                      <w:color w:val="auto"/>
                      <w:sz w:val="21"/>
                      <w:szCs w:val="21"/>
                      <w:highlight w:val="none"/>
                    </w:rPr>
                  </w:pPr>
                </w:p>
              </w:tc>
              <w:tc>
                <w:tcPr>
                  <w:tcW w:w="853"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1#南厂界</w:t>
                  </w:r>
                </w:p>
              </w:tc>
              <w:tc>
                <w:tcPr>
                  <w:tcW w:w="948"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2#西厂界</w:t>
                  </w:r>
                </w:p>
              </w:tc>
              <w:tc>
                <w:tcPr>
                  <w:tcW w:w="877"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3#北厂界</w:t>
                  </w:r>
                </w:p>
              </w:tc>
              <w:tc>
                <w:tcPr>
                  <w:tcW w:w="92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p>
              </w:tc>
            </w:tr>
            <w:tr>
              <w:trPr>
                <w:trHeight w:val="397" w:hRule="atLeast"/>
                <w:jc w:val="center"/>
              </w:trPr>
              <w:tc>
                <w:tcPr>
                  <w:tcW w:w="687"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color w:val="auto"/>
                      <w:sz w:val="21"/>
                      <w:szCs w:val="21"/>
                      <w:highlight w:val="none"/>
                    </w:rPr>
                    <w:t>昼间</w:t>
                  </w:r>
                </w:p>
              </w:tc>
              <w:tc>
                <w:tcPr>
                  <w:tcW w:w="705"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color w:val="auto"/>
                      <w:sz w:val="21"/>
                      <w:szCs w:val="21"/>
                      <w:highlight w:val="none"/>
                    </w:rPr>
                    <w:t>噪声</w:t>
                  </w:r>
                </w:p>
              </w:tc>
              <w:tc>
                <w:tcPr>
                  <w:tcW w:w="853"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54.2</w:t>
                  </w:r>
                </w:p>
              </w:tc>
              <w:tc>
                <w:tcPr>
                  <w:tcW w:w="948" w:type="pct"/>
                  <w:tcBorders>
                    <w:top w:val="single" w:color="000000" w:sz="4" w:space="0"/>
                    <w:left w:val="single" w:color="000000" w:sz="4" w:space="0"/>
                    <w:bottom w:val="single" w:color="000000" w:sz="4" w:space="0"/>
                    <w:right w:val="single" w:color="auto"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53.7</w:t>
                  </w:r>
                </w:p>
              </w:tc>
              <w:tc>
                <w:tcPr>
                  <w:tcW w:w="877" w:type="pct"/>
                  <w:tcBorders>
                    <w:top w:val="single" w:color="000000" w:sz="4" w:space="0"/>
                    <w:left w:val="single" w:color="auto" w:sz="4" w:space="0"/>
                    <w:bottom w:val="single" w:color="000000" w:sz="4" w:space="0"/>
                    <w:right w:val="single" w:color="auto"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52.8</w:t>
                  </w:r>
                </w:p>
              </w:tc>
              <w:tc>
                <w:tcPr>
                  <w:tcW w:w="92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r>
            <w:tr>
              <w:trPr>
                <w:trHeight w:val="397" w:hRule="atLeast"/>
                <w:jc w:val="center"/>
              </w:trPr>
              <w:tc>
                <w:tcPr>
                  <w:tcW w:w="1392"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备注</w:t>
                  </w:r>
                </w:p>
              </w:tc>
              <w:tc>
                <w:tcPr>
                  <w:tcW w:w="8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948"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877"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92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bl>
          <w:p>
            <w:pPr>
              <w:pStyle w:val="34"/>
              <w:jc w:val="both"/>
              <w:rPr>
                <w:rFonts w:cs="Times New Roman"/>
                <w:color w:val="auto"/>
                <w:szCs w:val="24"/>
                <w:highlight w:val="none"/>
              </w:rPr>
            </w:pPr>
            <w:r>
              <w:rPr>
                <w:rFonts w:cs="Times New Roman"/>
                <w:color w:val="auto"/>
                <w:szCs w:val="24"/>
                <w:highlight w:val="none"/>
              </w:rPr>
              <w:t>验收监测期间，项目</w:t>
            </w:r>
            <w:r>
              <w:rPr>
                <w:rFonts w:hint="eastAsia" w:cs="Times New Roman"/>
                <w:color w:val="auto"/>
                <w:szCs w:val="24"/>
                <w:highlight w:val="none"/>
              </w:rPr>
              <w:t>1</w:t>
            </w:r>
            <w:r>
              <w:rPr>
                <w:rFonts w:cs="Times New Roman"/>
                <w:color w:val="auto"/>
                <w:szCs w:val="24"/>
                <w:highlight w:val="none"/>
              </w:rPr>
              <w:t>#南厂界、</w:t>
            </w:r>
            <w:r>
              <w:rPr>
                <w:rFonts w:hint="eastAsia" w:cs="Times New Roman"/>
                <w:color w:val="auto"/>
                <w:szCs w:val="24"/>
                <w:highlight w:val="none"/>
              </w:rPr>
              <w:t>2</w:t>
            </w:r>
            <w:r>
              <w:rPr>
                <w:rFonts w:cs="Times New Roman"/>
                <w:color w:val="auto"/>
                <w:szCs w:val="24"/>
                <w:highlight w:val="none"/>
              </w:rPr>
              <w:t>#</w:t>
            </w:r>
            <w:r>
              <w:rPr>
                <w:rFonts w:hint="eastAsia" w:cs="Times New Roman"/>
                <w:color w:val="auto"/>
                <w:szCs w:val="24"/>
                <w:highlight w:val="none"/>
              </w:rPr>
              <w:t>西</w:t>
            </w:r>
            <w:r>
              <w:rPr>
                <w:rFonts w:cs="Times New Roman"/>
                <w:color w:val="auto"/>
                <w:szCs w:val="24"/>
                <w:highlight w:val="none"/>
              </w:rPr>
              <w:t>厂界、</w:t>
            </w:r>
            <w:r>
              <w:rPr>
                <w:rFonts w:hint="eastAsia" w:cs="Times New Roman"/>
                <w:color w:val="auto"/>
                <w:szCs w:val="24"/>
                <w:highlight w:val="none"/>
              </w:rPr>
              <w:t>3</w:t>
            </w:r>
            <w:r>
              <w:rPr>
                <w:rFonts w:cs="Times New Roman"/>
                <w:color w:val="auto"/>
                <w:szCs w:val="24"/>
                <w:highlight w:val="none"/>
              </w:rPr>
              <w:t>#</w:t>
            </w:r>
            <w:r>
              <w:rPr>
                <w:rFonts w:hint="eastAsia" w:cs="Times New Roman"/>
                <w:color w:val="auto"/>
                <w:szCs w:val="24"/>
                <w:highlight w:val="none"/>
              </w:rPr>
              <w:t>北</w:t>
            </w:r>
            <w:r>
              <w:rPr>
                <w:rFonts w:cs="Times New Roman"/>
                <w:color w:val="auto"/>
                <w:szCs w:val="24"/>
                <w:highlight w:val="none"/>
              </w:rPr>
              <w:t>厂界</w:t>
            </w:r>
            <w:r>
              <w:rPr>
                <w:rFonts w:hint="eastAsia" w:cs="Times New Roman"/>
                <w:color w:val="auto"/>
                <w:szCs w:val="24"/>
                <w:highlight w:val="none"/>
              </w:rPr>
              <w:t>，</w:t>
            </w:r>
            <w:r>
              <w:rPr>
                <w:rFonts w:cs="Times New Roman"/>
                <w:color w:val="auto"/>
                <w:szCs w:val="24"/>
                <w:highlight w:val="none"/>
              </w:rPr>
              <w:t>监测点厂界</w:t>
            </w:r>
            <w:r>
              <w:rPr>
                <w:rFonts w:hint="eastAsia" w:cs="Times New Roman"/>
                <w:color w:val="auto"/>
                <w:szCs w:val="24"/>
                <w:highlight w:val="none"/>
              </w:rPr>
              <w:t>的</w:t>
            </w:r>
            <w:r>
              <w:rPr>
                <w:rFonts w:cs="Times New Roman"/>
                <w:color w:val="auto"/>
                <w:szCs w:val="24"/>
                <w:highlight w:val="none"/>
              </w:rPr>
              <w:t>昼间噪声</w:t>
            </w:r>
            <w:r>
              <w:rPr>
                <w:rFonts w:hint="eastAsia" w:cs="Times New Roman"/>
                <w:color w:val="auto"/>
                <w:szCs w:val="24"/>
                <w:highlight w:val="none"/>
              </w:rPr>
              <w:t>均</w:t>
            </w:r>
            <w:r>
              <w:rPr>
                <w:rFonts w:cs="Times New Roman"/>
                <w:color w:val="auto"/>
                <w:szCs w:val="24"/>
                <w:highlight w:val="none"/>
              </w:rPr>
              <w:t>满足《工业企业厂界环境噪声排放标准》(GB12348-2008)2类标准</w:t>
            </w:r>
            <w:r>
              <w:rPr>
                <w:rFonts w:hint="eastAsia" w:cs="Times New Roman"/>
                <w:color w:val="auto"/>
                <w:szCs w:val="24"/>
                <w:highlight w:val="none"/>
              </w:rPr>
              <w:t>（厂区东侧为其他企业，与之共用一堵墙，无法进行检测）</w:t>
            </w:r>
            <w:r>
              <w:rPr>
                <w:rFonts w:cs="Times New Roman"/>
                <w:color w:val="auto"/>
                <w:szCs w:val="24"/>
                <w:highlight w:val="none"/>
              </w:rPr>
              <w:t>。</w:t>
            </w:r>
          </w:p>
          <w:p>
            <w:pPr>
              <w:pStyle w:val="34"/>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本</w:t>
            </w:r>
            <w:r>
              <w:rPr>
                <w:rFonts w:cs="Times New Roman"/>
                <w:color w:val="auto"/>
                <w:szCs w:val="24"/>
                <w:highlight w:val="none"/>
              </w:rPr>
              <w:t>项目运营期产生的固体废物包括危险废物和一般固废。危险废物主要包括：</w:t>
            </w:r>
            <w:r>
              <w:rPr>
                <w:rFonts w:hint="eastAsia" w:cs="Times New Roman"/>
                <w:color w:val="auto"/>
                <w:highlight w:val="none"/>
              </w:rPr>
              <w:t>实验废物（</w:t>
            </w:r>
            <w:r>
              <w:rPr>
                <w:rFonts w:hint="eastAsia" w:cs="Times New Roman"/>
                <w:color w:val="auto"/>
                <w:szCs w:val="24"/>
                <w:highlight w:val="none"/>
              </w:rPr>
              <w:t>沾染试剂的废包装物、废试剂瓶、废手套等</w:t>
            </w:r>
            <w:r>
              <w:rPr>
                <w:rFonts w:hint="eastAsia" w:cs="Times New Roman"/>
                <w:color w:val="auto"/>
                <w:highlight w:val="none"/>
              </w:rPr>
              <w:t>）、实验废液（废流动相、实验后器皿前两次清洗废水等）</w:t>
            </w:r>
            <w:r>
              <w:rPr>
                <w:rFonts w:hint="eastAsia" w:cs="Times New Roman"/>
                <w:color w:val="auto"/>
                <w:szCs w:val="24"/>
                <w:highlight w:val="none"/>
              </w:rPr>
              <w:t>、废活性炭；</w:t>
            </w:r>
            <w:r>
              <w:rPr>
                <w:rFonts w:cs="Times New Roman"/>
                <w:color w:val="auto"/>
                <w:szCs w:val="24"/>
                <w:highlight w:val="none"/>
              </w:rPr>
              <w:t>一般固废主要包括：</w:t>
            </w:r>
            <w:r>
              <w:rPr>
                <w:rFonts w:hint="eastAsia" w:cs="Times New Roman"/>
                <w:color w:val="auto"/>
                <w:szCs w:val="24"/>
                <w:highlight w:val="none"/>
              </w:rPr>
              <w:t>生活垃圾、</w:t>
            </w:r>
            <w:r>
              <w:rPr>
                <w:rFonts w:cs="Times New Roman"/>
                <w:color w:val="auto"/>
                <w:szCs w:val="24"/>
                <w:highlight w:val="none"/>
              </w:rPr>
              <w:t>未沾染药品废包装物。</w:t>
            </w:r>
          </w:p>
          <w:p>
            <w:pPr>
              <w:pStyle w:val="34"/>
              <w:widowControl/>
              <w:adjustRightInd/>
              <w:rPr>
                <w:rFonts w:cs="Times New Roman"/>
                <w:color w:val="auto"/>
                <w:szCs w:val="24"/>
                <w:highlight w:val="none"/>
              </w:rPr>
            </w:pPr>
            <w:r>
              <w:rPr>
                <w:rFonts w:hint="eastAsia" w:cs="Times New Roman"/>
                <w:color w:val="auto"/>
                <w:szCs w:val="24"/>
                <w:highlight w:val="none"/>
              </w:rPr>
              <w:t>本</w:t>
            </w:r>
            <w:r>
              <w:rPr>
                <w:rFonts w:cs="Times New Roman"/>
                <w:color w:val="auto"/>
                <w:szCs w:val="24"/>
                <w:highlight w:val="none"/>
              </w:rPr>
              <w:t>项目产生的未沾染药品废包装物</w:t>
            </w:r>
            <w:r>
              <w:rPr>
                <w:rFonts w:hint="eastAsia" w:cs="Times New Roman"/>
                <w:color w:val="auto"/>
                <w:highlight w:val="none"/>
              </w:rPr>
              <w:t>收集后</w:t>
            </w:r>
            <w:r>
              <w:rPr>
                <w:rFonts w:cs="Times New Roman"/>
                <w:color w:val="auto"/>
                <w:szCs w:val="24"/>
                <w:highlight w:val="none"/>
              </w:rPr>
              <w:t>外售物资回收单位</w:t>
            </w:r>
            <w:r>
              <w:rPr>
                <w:rFonts w:hint="eastAsia" w:cs="Times New Roman"/>
                <w:color w:val="auto"/>
                <w:szCs w:val="24"/>
                <w:highlight w:val="none"/>
              </w:rPr>
              <w:t>，生活垃圾</w:t>
            </w:r>
            <w:r>
              <w:rPr>
                <w:rFonts w:cs="Times New Roman"/>
                <w:color w:val="auto"/>
                <w:szCs w:val="24"/>
                <w:highlight w:val="none"/>
              </w:rPr>
              <w:t>由环卫部门定期清运处理</w:t>
            </w:r>
            <w:r>
              <w:rPr>
                <w:rFonts w:hint="eastAsia" w:cs="Times New Roman"/>
                <w:color w:val="auto"/>
                <w:szCs w:val="24"/>
                <w:highlight w:val="none"/>
              </w:rPr>
              <w:t>；</w:t>
            </w:r>
            <w:r>
              <w:rPr>
                <w:rFonts w:hint="eastAsia" w:cs="Times New Roman"/>
                <w:color w:val="auto"/>
                <w:highlight w:val="none"/>
              </w:rPr>
              <w:t>实验废物（</w:t>
            </w:r>
            <w:r>
              <w:rPr>
                <w:rFonts w:hint="eastAsia" w:cs="Times New Roman"/>
                <w:color w:val="auto"/>
                <w:szCs w:val="24"/>
                <w:highlight w:val="none"/>
              </w:rPr>
              <w:t>沾染试剂的废包装物、废试剂瓶、废手套等</w:t>
            </w:r>
            <w:r>
              <w:rPr>
                <w:rFonts w:hint="eastAsia" w:cs="Times New Roman"/>
                <w:color w:val="auto"/>
                <w:highlight w:val="none"/>
              </w:rPr>
              <w:t>）、实验废液（废流动相、实验后器皿前两次清洗废水等）</w:t>
            </w:r>
            <w:r>
              <w:rPr>
                <w:rFonts w:hint="eastAsia" w:cs="Times New Roman"/>
                <w:color w:val="auto"/>
                <w:szCs w:val="24"/>
                <w:highlight w:val="none"/>
              </w:rPr>
              <w:t>、废活性炭收集后暂存于危废间，委托山东朋光环保科技有限公司处置。</w:t>
            </w:r>
          </w:p>
          <w:p>
            <w:pPr>
              <w:pStyle w:val="34"/>
              <w:widowControl/>
              <w:adjustRightInd/>
              <w:rPr>
                <w:rFonts w:cs="Times New Roman"/>
                <w:color w:val="auto"/>
                <w:highlight w:val="none"/>
              </w:rPr>
            </w:pPr>
            <w:r>
              <w:rPr>
                <w:rFonts w:cs="Times New Roman"/>
                <w:color w:val="auto"/>
                <w:highlight w:val="none"/>
              </w:rPr>
              <w:t>建设单位已与</w:t>
            </w:r>
            <w:r>
              <w:rPr>
                <w:rFonts w:hint="eastAsia" w:cs="Times New Roman"/>
                <w:color w:val="auto"/>
                <w:highlight w:val="none"/>
              </w:rPr>
              <w:t>山东朋光环保科技有限公司</w:t>
            </w:r>
            <w:r>
              <w:rPr>
                <w:rFonts w:cs="Times New Roman"/>
                <w:color w:val="auto"/>
                <w:highlight w:val="none"/>
              </w:rPr>
              <w:t>签订危废委托处理协议。</w:t>
            </w:r>
          </w:p>
          <w:p>
            <w:pPr>
              <w:pStyle w:val="34"/>
              <w:snapToGrid w:val="0"/>
              <w:jc w:val="both"/>
              <w:rPr>
                <w:rFonts w:cs="Times New Roman"/>
                <w:color w:val="auto"/>
                <w:szCs w:val="20"/>
                <w:highlight w:val="none"/>
              </w:rPr>
            </w:pPr>
            <w:r>
              <w:rPr>
                <w:rFonts w:cs="Times New Roman"/>
                <w:color w:val="auto"/>
                <w:highlight w:val="none"/>
              </w:rPr>
              <w:t>一般固废的处置符合《一般工业固体废物贮存和填埋污染控制标准》(GB18599-2020)</w:t>
            </w:r>
            <w:r>
              <w:rPr>
                <w:rFonts w:cs="Times New Roman"/>
                <w:color w:val="auto"/>
                <w:szCs w:val="20"/>
                <w:highlight w:val="none"/>
              </w:rPr>
              <w:t>的要求，危险废物的处理措施和处置方案满足《危险废物贮存污染控制标准》（GB18597-2001）及修改单要求。</w:t>
            </w:r>
          </w:p>
          <w:p>
            <w:pPr>
              <w:pStyle w:val="34"/>
              <w:snapToGrid w:val="0"/>
              <w:jc w:val="both"/>
              <w:rPr>
                <w:rFonts w:cs="Times New Roman"/>
                <w:color w:val="auto"/>
                <w:szCs w:val="24"/>
                <w:highlight w:val="none"/>
              </w:rPr>
            </w:pPr>
          </w:p>
          <w:p>
            <w:pPr>
              <w:pStyle w:val="34"/>
              <w:spacing w:line="240" w:lineRule="auto"/>
              <w:ind w:firstLine="0" w:firstLineChars="0"/>
              <w:rPr>
                <w:rFonts w:cs="Times New Roman"/>
                <w:color w:val="auto"/>
                <w:szCs w:val="24"/>
                <w:highlight w:val="none"/>
              </w:rPr>
            </w:pPr>
          </w:p>
        </w:tc>
      </w:tr>
    </w:tbl>
    <w:p>
      <w:pPr>
        <w:adjustRightInd w:val="0"/>
        <w:snapToGrid w:val="0"/>
        <w:ind w:firstLine="0" w:firstLineChars="0"/>
        <w:outlineLvl w:val="0"/>
        <w:rPr>
          <w:b/>
          <w:bCs/>
          <w:color w:val="auto"/>
          <w:sz w:val="30"/>
          <w:szCs w:val="30"/>
          <w:highlight w:val="none"/>
        </w:rPr>
      </w:pPr>
      <w:r>
        <w:rPr>
          <w:b/>
          <w:bCs/>
          <w:color w:val="auto"/>
          <w:sz w:val="30"/>
          <w:szCs w:val="30"/>
          <w:highlight w:val="none"/>
        </w:rPr>
        <w:br w:type="page"/>
      </w:r>
      <w:bookmarkStart w:id="195" w:name="_Toc9734"/>
      <w:bookmarkStart w:id="196" w:name="_Toc27342"/>
      <w:bookmarkStart w:id="197" w:name="_Toc12064"/>
      <w:bookmarkStart w:id="198" w:name="_Toc8828"/>
      <w:bookmarkStart w:id="199" w:name="_Toc4233"/>
      <w:bookmarkStart w:id="200" w:name="_Toc31702"/>
      <w:bookmarkStart w:id="201" w:name="_Toc7922"/>
      <w:bookmarkStart w:id="202" w:name="_Toc29560"/>
      <w:bookmarkStart w:id="203" w:name="_Toc15923"/>
      <w:bookmarkStart w:id="204" w:name="_Toc23621"/>
      <w:bookmarkStart w:id="205" w:name="_Toc7178"/>
      <w:bookmarkStart w:id="206" w:name="_Toc14702"/>
      <w:bookmarkStart w:id="207" w:name="_Toc23936"/>
      <w:bookmarkStart w:id="208" w:name="_Toc20604"/>
      <w:bookmarkStart w:id="209" w:name="_Toc17725"/>
      <w:bookmarkStart w:id="210" w:name="_Toc8603"/>
      <w:bookmarkStart w:id="211" w:name="_Toc4249"/>
      <w:bookmarkStart w:id="212" w:name="_Toc16011"/>
      <w:bookmarkStart w:id="213" w:name="_Toc5731"/>
      <w:bookmarkStart w:id="214" w:name="_Toc16551"/>
      <w:bookmarkStart w:id="215" w:name="_Toc3365"/>
      <w:bookmarkStart w:id="216" w:name="_Toc24008"/>
      <w:bookmarkStart w:id="217" w:name="_Toc27269"/>
      <w:r>
        <w:rPr>
          <w:b/>
          <w:bCs/>
          <w:color w:val="auto"/>
          <w:sz w:val="30"/>
          <w:szCs w:val="30"/>
          <w:highlight w:val="none"/>
        </w:rPr>
        <w:t>表9  验收监测结论及建议</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tbl>
      <w:tblPr>
        <w:tblStyle w:val="26"/>
        <w:tblW w:w="4997" w:type="pct"/>
        <w:tblInd w:w="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3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4"/>
              <w:ind w:firstLine="482"/>
              <w:rPr>
                <w:rFonts w:cs="Times New Roman"/>
                <w:b/>
                <w:bCs/>
                <w:color w:val="auto"/>
                <w:szCs w:val="24"/>
                <w:highlight w:val="none"/>
              </w:rPr>
            </w:pPr>
            <w:r>
              <w:rPr>
                <w:rFonts w:cs="Times New Roman"/>
                <w:b/>
                <w:bCs/>
                <w:color w:val="auto"/>
                <w:szCs w:val="24"/>
                <w:highlight w:val="none"/>
              </w:rPr>
              <w:t>一、验收监测结论：</w:t>
            </w:r>
          </w:p>
          <w:p>
            <w:pPr>
              <w:pStyle w:val="34"/>
              <w:rPr>
                <w:rFonts w:cs="Times New Roman"/>
                <w:color w:val="auto"/>
                <w:szCs w:val="24"/>
                <w:highlight w:val="none"/>
              </w:rPr>
            </w:pPr>
            <w:r>
              <w:rPr>
                <w:rFonts w:cs="Times New Roman"/>
                <w:color w:val="auto"/>
                <w:szCs w:val="24"/>
                <w:highlight w:val="none"/>
              </w:rPr>
              <w:t>济南久隆医药科技有限公司成立于2008年06月20日，目前注册地位于山东省济南市高新区春兰路1177号银丰国际生物城B7栋02号，法定代表人为李志远。经营范围包括一般项目：技术服务、技术开发、技术咨询、技术交流、技术转让、技术推广；发酵过程优化技术研发；生物化工产品技术研发；医学研究和试验发展；专用化学产品制造（不含危险化学品）；药品委托生产等</w:t>
            </w:r>
            <w:r>
              <w:rPr>
                <w:rFonts w:hint="eastAsia" w:cs="Times New Roman"/>
                <w:color w:val="auto"/>
                <w:szCs w:val="24"/>
                <w:highlight w:val="none"/>
              </w:rPr>
              <w:t>。</w:t>
            </w:r>
          </w:p>
          <w:p>
            <w:pPr>
              <w:ind w:firstLine="480"/>
              <w:rPr>
                <w:color w:val="auto"/>
                <w:highlight w:val="none"/>
              </w:rPr>
            </w:pPr>
            <w:r>
              <w:rPr>
                <w:rFonts w:hint="eastAsia"/>
                <w:color w:val="auto"/>
                <w:highlight w:val="none"/>
              </w:rPr>
              <w:t>济南久隆医药科技有限公司位于济南高新区颖秀路2766号迪亚新药与药械基地北楼736室，占地面积138.6m</w:t>
            </w:r>
            <w:r>
              <w:rPr>
                <w:rFonts w:hint="eastAsia"/>
                <w:color w:val="auto"/>
                <w:highlight w:val="none"/>
                <w:vertAlign w:val="superscript"/>
              </w:rPr>
              <w:t>2</w:t>
            </w:r>
            <w:r>
              <w:rPr>
                <w:rFonts w:hint="eastAsia"/>
                <w:color w:val="auto"/>
                <w:highlight w:val="none"/>
              </w:rPr>
              <w:t>，主要从事药品研发（含合成实验、分析实验）。于2016年5月委托山东神华山大能源环境有限公司编制《</w:t>
            </w:r>
            <w:r>
              <w:rPr>
                <w:rFonts w:hint="eastAsia"/>
                <w:color w:val="auto"/>
                <w:highlight w:val="none"/>
                <w:lang w:eastAsia="zh-CN"/>
              </w:rPr>
              <w:t>济南久隆医药科技有限公司实验室项目</w:t>
            </w:r>
            <w:r>
              <w:rPr>
                <w:rFonts w:hint="eastAsia"/>
                <w:color w:val="auto"/>
                <w:highlight w:val="none"/>
              </w:rPr>
              <w:t>环境影响报告表》，原济南市环境保护局于2016年6月6日以济环报告表[2016]G21 号对其进行批复，于2018年7月11日通过竣工环境保护验收，验收文号为济环建验[2018]G106 号。</w:t>
            </w:r>
          </w:p>
          <w:p>
            <w:pPr>
              <w:pStyle w:val="34"/>
              <w:rPr>
                <w:rFonts w:cs="Times New Roman"/>
                <w:color w:val="auto"/>
                <w:spacing w:val="8"/>
                <w:highlight w:val="none"/>
              </w:rPr>
            </w:pPr>
            <w:r>
              <w:rPr>
                <w:rFonts w:hint="eastAsia" w:cs="Times New Roman"/>
                <w:color w:val="auto"/>
                <w:kern w:val="21"/>
                <w:szCs w:val="24"/>
                <w:highlight w:val="none"/>
              </w:rPr>
              <w:t>因公司发展需要，济南久隆医药科技有限公司</w:t>
            </w:r>
            <w:r>
              <w:rPr>
                <w:rFonts w:hint="eastAsia" w:cs="Times New Roman"/>
                <w:color w:val="auto"/>
                <w:kern w:val="21"/>
                <w:szCs w:val="24"/>
                <w:highlight w:val="none"/>
                <w:lang w:eastAsia="zh-CN"/>
              </w:rPr>
              <w:t>于2021年9月搬迁至济南市</w:t>
            </w:r>
            <w:r>
              <w:rPr>
                <w:rFonts w:hint="eastAsia" w:cs="Times New Roman"/>
                <w:color w:val="auto"/>
                <w:kern w:val="21"/>
                <w:szCs w:val="24"/>
                <w:highlight w:val="none"/>
              </w:rPr>
              <w:t>高新区春兰路1177号银丰国际生物城B7栋02号。济南久隆医药科技有限公司实验室建设项目（以下简称“本项目”）</w:t>
            </w:r>
            <w:r>
              <w:rPr>
                <w:rFonts w:hint="eastAsia" w:cs="Times New Roman"/>
                <w:color w:val="auto"/>
                <w:szCs w:val="24"/>
                <w:highlight w:val="none"/>
              </w:rPr>
              <w:t>主要进行</w:t>
            </w:r>
            <w:r>
              <w:rPr>
                <w:rFonts w:cs="Times New Roman"/>
                <w:color w:val="auto"/>
                <w:szCs w:val="24"/>
                <w:highlight w:val="none"/>
              </w:rPr>
              <w:t>化学药品研发</w:t>
            </w:r>
            <w:r>
              <w:rPr>
                <w:rFonts w:hint="eastAsia" w:cs="Times New Roman"/>
                <w:color w:val="auto"/>
                <w:szCs w:val="24"/>
                <w:highlight w:val="none"/>
              </w:rPr>
              <w:t>（包括合成、分析实验），</w:t>
            </w:r>
            <w:r>
              <w:rPr>
                <w:rFonts w:cs="Times New Roman"/>
                <w:color w:val="auto"/>
                <w:szCs w:val="24"/>
                <w:highlight w:val="none"/>
              </w:rPr>
              <w:t>项目</w:t>
            </w:r>
            <w:r>
              <w:rPr>
                <w:rFonts w:cs="Times New Roman"/>
                <w:color w:val="auto"/>
                <w:highlight w:val="none"/>
              </w:rPr>
              <w:t>占地面积</w:t>
            </w:r>
            <w:r>
              <w:rPr>
                <w:rFonts w:hint="eastAsia" w:cs="Times New Roman"/>
                <w:color w:val="auto"/>
                <w:highlight w:val="none"/>
              </w:rPr>
              <w:t>482</w:t>
            </w:r>
            <w:r>
              <w:rPr>
                <w:rFonts w:cs="Times New Roman"/>
                <w:color w:val="auto"/>
                <w:highlight w:val="none"/>
              </w:rPr>
              <w:t>平方米，总建筑面积</w:t>
            </w:r>
            <w:r>
              <w:rPr>
                <w:rFonts w:hint="eastAsia" w:cs="Times New Roman"/>
                <w:color w:val="auto"/>
                <w:highlight w:val="none"/>
              </w:rPr>
              <w:t>742</w:t>
            </w:r>
            <w:r>
              <w:rPr>
                <w:rFonts w:cs="Times New Roman"/>
                <w:color w:val="auto"/>
                <w:highlight w:val="none"/>
              </w:rPr>
              <w:t>平方米。</w:t>
            </w:r>
            <w:r>
              <w:rPr>
                <w:rFonts w:hint="eastAsia" w:cs="Times New Roman"/>
                <w:color w:val="auto"/>
                <w:highlight w:val="none"/>
              </w:rPr>
              <w:t>三</w:t>
            </w:r>
            <w:r>
              <w:rPr>
                <w:rFonts w:cs="Times New Roman"/>
                <w:color w:val="auto"/>
                <w:highlight w:val="none"/>
              </w:rPr>
              <w:t>楼为</w:t>
            </w:r>
            <w:r>
              <w:rPr>
                <w:rFonts w:hint="eastAsia" w:cs="Times New Roman"/>
                <w:color w:val="auto"/>
                <w:highlight w:val="none"/>
              </w:rPr>
              <w:t>实验区，主要包括理化室、称量室、液相室、气相室、高温室、试剂室、留样室、合成室、危废暂存间等；四楼为办公区，主要包括办公室、技术讨论室、档案室、开放办公区等。</w:t>
            </w:r>
            <w:r>
              <w:rPr>
                <w:rFonts w:hint="eastAsia" w:cs="Times New Roman"/>
                <w:color w:val="auto"/>
                <w:szCs w:val="24"/>
                <w:highlight w:val="none"/>
              </w:rPr>
              <w:t>总投资1300万元，其中环保投资20元，项目职工定员25人</w:t>
            </w:r>
            <w:r>
              <w:rPr>
                <w:rFonts w:cs="Times New Roman"/>
                <w:color w:val="auto"/>
                <w:szCs w:val="24"/>
                <w:highlight w:val="none"/>
              </w:rPr>
              <w:t>，每天工作8小时，年工作300天，年工作时间2400小时，夜间不生产。</w:t>
            </w:r>
          </w:p>
          <w:p>
            <w:pPr>
              <w:ind w:firstLine="480"/>
              <w:rPr>
                <w:color w:val="auto"/>
                <w:highlight w:val="none"/>
              </w:rPr>
            </w:pPr>
            <w:r>
              <w:rPr>
                <w:rFonts w:hint="eastAsia"/>
                <w:color w:val="auto"/>
                <w:highlight w:val="none"/>
              </w:rPr>
              <w:t>济南久隆医药科技有限公司</w:t>
            </w:r>
            <w:r>
              <w:rPr>
                <w:color w:val="auto"/>
                <w:highlight w:val="none"/>
              </w:rPr>
              <w:t>2021年</w:t>
            </w:r>
            <w:r>
              <w:rPr>
                <w:rFonts w:hint="eastAsia"/>
                <w:color w:val="auto"/>
                <w:highlight w:val="none"/>
              </w:rPr>
              <w:t>11</w:t>
            </w:r>
            <w:r>
              <w:rPr>
                <w:color w:val="auto"/>
                <w:highlight w:val="none"/>
              </w:rPr>
              <w:t>月委托</w:t>
            </w:r>
            <w:r>
              <w:rPr>
                <w:rFonts w:hint="eastAsia"/>
                <w:color w:val="auto"/>
                <w:highlight w:val="none"/>
              </w:rPr>
              <w:t>山东国嘉环保科技有限公司</w:t>
            </w:r>
            <w:r>
              <w:rPr>
                <w:color w:val="auto"/>
                <w:kern w:val="21"/>
                <w:highlight w:val="none"/>
              </w:rPr>
              <w:t>编制完成了</w:t>
            </w:r>
            <w:r>
              <w:rPr>
                <w:color w:val="auto"/>
                <w:highlight w:val="none"/>
              </w:rPr>
              <w:t>《</w:t>
            </w:r>
            <w:r>
              <w:rPr>
                <w:rFonts w:hint="eastAsia"/>
                <w:color w:val="auto"/>
                <w:highlight w:val="none"/>
                <w:lang w:eastAsia="zh-CN"/>
              </w:rPr>
              <w:t>济南久隆医药科技有限公司实验室建设项目</w:t>
            </w:r>
            <w:r>
              <w:rPr>
                <w:color w:val="auto"/>
                <w:highlight w:val="none"/>
              </w:rPr>
              <w:t>环境影响报告表》，并于</w:t>
            </w:r>
            <w:r>
              <w:rPr>
                <w:rFonts w:hint="eastAsia"/>
                <w:color w:val="auto"/>
                <w:highlight w:val="none"/>
              </w:rPr>
              <w:t>2021年12月30日</w:t>
            </w:r>
            <w:r>
              <w:rPr>
                <w:color w:val="auto"/>
                <w:highlight w:val="none"/>
              </w:rPr>
              <w:t>经济南市生态环境局审批（</w:t>
            </w:r>
            <w:r>
              <w:rPr>
                <w:rFonts w:hint="eastAsia"/>
                <w:color w:val="auto"/>
                <w:highlight w:val="none"/>
              </w:rPr>
              <w:t>济环报告表［2021］G130号</w:t>
            </w:r>
            <w:r>
              <w:rPr>
                <w:color w:val="auto"/>
                <w:highlight w:val="none"/>
              </w:rPr>
              <w:t>）。</w:t>
            </w:r>
          </w:p>
          <w:p>
            <w:pPr>
              <w:pStyle w:val="34"/>
              <w:rPr>
                <w:color w:val="auto"/>
                <w:highlight w:val="none"/>
              </w:rPr>
            </w:pPr>
            <w:r>
              <w:rPr>
                <w:rFonts w:hint="eastAsia" w:cs="Times New Roman"/>
                <w:color w:val="auto"/>
                <w:highlight w:val="none"/>
              </w:rPr>
              <w:t>本项目购置已建成的厂房，于2022年1月开工建设，2022年1月建设完成并投入试生产阶段，</w:t>
            </w:r>
            <w:r>
              <w:rPr>
                <w:color w:val="auto"/>
                <w:highlight w:val="none"/>
              </w:rPr>
              <w:t>环保设施同时</w:t>
            </w:r>
            <w:r>
              <w:rPr>
                <w:rFonts w:hint="eastAsia"/>
                <w:color w:val="auto"/>
                <w:highlight w:val="none"/>
              </w:rPr>
              <w:t>设计同时施工并同时</w:t>
            </w:r>
            <w:r>
              <w:rPr>
                <w:color w:val="auto"/>
                <w:highlight w:val="none"/>
              </w:rPr>
              <w:t>进行试运行，</w:t>
            </w:r>
            <w:r>
              <w:rPr>
                <w:rFonts w:hint="eastAsia"/>
                <w:color w:val="auto"/>
                <w:highlight w:val="none"/>
              </w:rPr>
              <w:t>试</w:t>
            </w:r>
            <w:r>
              <w:rPr>
                <w:color w:val="auto"/>
                <w:highlight w:val="none"/>
              </w:rPr>
              <w:t>运营期间运行状况良好，具备竣工验收条件。</w:t>
            </w:r>
          </w:p>
          <w:p>
            <w:pPr>
              <w:ind w:firstLine="480"/>
              <w:rPr>
                <w:color w:val="auto"/>
                <w:highlight w:val="none"/>
              </w:rPr>
            </w:pPr>
            <w:r>
              <w:rPr>
                <w:color w:val="auto"/>
                <w:kern w:val="21"/>
                <w:highlight w:val="none"/>
              </w:rPr>
              <w:t>本次验收内容为</w:t>
            </w:r>
            <w:r>
              <w:rPr>
                <w:rFonts w:hint="eastAsia"/>
                <w:color w:val="auto"/>
                <w:kern w:val="21"/>
                <w:highlight w:val="none"/>
              </w:rPr>
              <w:t>济南久隆医药科技有限公司实验室建设项目</w:t>
            </w:r>
            <w:r>
              <w:rPr>
                <w:color w:val="auto"/>
                <w:kern w:val="21"/>
                <w:highlight w:val="none"/>
              </w:rPr>
              <w:t>建成后的全部内容。</w:t>
            </w:r>
          </w:p>
          <w:p>
            <w:pPr>
              <w:pStyle w:val="34"/>
              <w:rPr>
                <w:rFonts w:cs="Times New Roman"/>
                <w:color w:val="auto"/>
                <w:szCs w:val="24"/>
                <w:highlight w:val="none"/>
              </w:rPr>
            </w:pPr>
            <w:r>
              <w:rPr>
                <w:color w:val="auto"/>
                <w:kern w:val="0"/>
                <w:highlight w:val="none"/>
              </w:rPr>
              <w:t>根据</w:t>
            </w:r>
            <w:r>
              <w:rPr>
                <w:color w:val="auto"/>
                <w:highlight w:val="none"/>
              </w:rPr>
              <w:t>生态环境部＜关于发布《建设项目竣工环境保护验收技术指南 污染影响类》的公告＞（公告2018年 第9号）及《建设项目竣工环境保护验收暂行办法》（国环规环评[2017] 4号）</w:t>
            </w:r>
            <w:r>
              <w:rPr>
                <w:color w:val="auto"/>
                <w:kern w:val="0"/>
                <w:highlight w:val="none"/>
              </w:rPr>
              <w:t>要求，需对</w:t>
            </w:r>
            <w:r>
              <w:rPr>
                <w:rFonts w:hint="eastAsia"/>
                <w:color w:val="auto"/>
                <w:highlight w:val="none"/>
              </w:rPr>
              <w:t>济南久隆医药科技有限公司实验室建设项目</w:t>
            </w:r>
            <w:r>
              <w:rPr>
                <w:color w:val="auto"/>
                <w:kern w:val="0"/>
                <w:highlight w:val="none"/>
              </w:rPr>
              <w:t>进行竣工环境保护验收。</w:t>
            </w:r>
            <w:r>
              <w:rPr>
                <w:rFonts w:hint="eastAsia"/>
                <w:color w:val="auto"/>
                <w:kern w:val="0"/>
                <w:highlight w:val="none"/>
              </w:rPr>
              <w:t>因不具备检测能力，</w:t>
            </w:r>
            <w:r>
              <w:rPr>
                <w:rFonts w:hint="eastAsia"/>
                <w:color w:val="auto"/>
                <w:highlight w:val="none"/>
              </w:rPr>
              <w:t>济南久隆医药科技有限公司</w:t>
            </w:r>
            <w:r>
              <w:rPr>
                <w:rFonts w:hint="eastAsia"/>
                <w:color w:val="auto"/>
                <w:kern w:val="0"/>
                <w:highlight w:val="none"/>
              </w:rPr>
              <w:t>委托</w:t>
            </w:r>
            <w:r>
              <w:rPr>
                <w:rFonts w:hint="eastAsia"/>
                <w:color w:val="auto"/>
                <w:highlight w:val="none"/>
              </w:rPr>
              <w:t>山东国环环保科技有限公司进行验收工作，山东国环环保科技有限公司随后委托</w:t>
            </w:r>
            <w:r>
              <w:rPr>
                <w:color w:val="auto"/>
                <w:kern w:val="0"/>
                <w:highlight w:val="none"/>
              </w:rPr>
              <w:t>山东华晟环境检测有限公司</w:t>
            </w:r>
            <w:r>
              <w:rPr>
                <w:rFonts w:hint="eastAsia"/>
                <w:color w:val="auto"/>
                <w:kern w:val="0"/>
                <w:highlight w:val="none"/>
              </w:rPr>
              <w:t>于2022年1月10日~2022年1月11日、2022年4月21日~2022年4月22日，共计4</w:t>
            </w:r>
            <w:r>
              <w:rPr>
                <w:color w:val="auto"/>
                <w:kern w:val="0"/>
                <w:highlight w:val="none"/>
              </w:rPr>
              <w:t>天对本项目</w:t>
            </w:r>
            <w:r>
              <w:rPr>
                <w:rFonts w:hint="eastAsia"/>
                <w:color w:val="auto"/>
                <w:kern w:val="0"/>
                <w:highlight w:val="none"/>
              </w:rPr>
              <w:t>废气、废水、噪声</w:t>
            </w:r>
            <w:r>
              <w:rPr>
                <w:color w:val="auto"/>
                <w:kern w:val="0"/>
                <w:highlight w:val="none"/>
              </w:rPr>
              <w:t>进行了</w:t>
            </w:r>
            <w:r>
              <w:rPr>
                <w:rFonts w:hint="eastAsia"/>
                <w:color w:val="auto"/>
                <w:kern w:val="0"/>
                <w:highlight w:val="none"/>
              </w:rPr>
              <w:t>竣工</w:t>
            </w:r>
            <w:r>
              <w:rPr>
                <w:color w:val="auto"/>
                <w:kern w:val="0"/>
                <w:highlight w:val="none"/>
              </w:rPr>
              <w:t>验收</w:t>
            </w:r>
            <w:r>
              <w:rPr>
                <w:rFonts w:hint="eastAsia"/>
                <w:color w:val="auto"/>
                <w:kern w:val="0"/>
                <w:highlight w:val="none"/>
              </w:rPr>
              <w:t>检测并出具检测报告</w:t>
            </w:r>
            <w:r>
              <w:rPr>
                <w:bCs/>
                <w:caps/>
                <w:color w:val="auto"/>
                <w:kern w:val="0"/>
                <w:highlight w:val="none"/>
              </w:rPr>
              <w:t>。</w:t>
            </w:r>
            <w:r>
              <w:rPr>
                <w:rFonts w:hint="eastAsia"/>
                <w:bCs/>
                <w:caps/>
                <w:color w:val="auto"/>
                <w:kern w:val="0"/>
                <w:highlight w:val="none"/>
              </w:rPr>
              <w:t>根据项目情况及检测报告，</w:t>
            </w:r>
            <w:r>
              <w:rPr>
                <w:rFonts w:hint="eastAsia"/>
                <w:color w:val="auto"/>
                <w:kern w:val="21"/>
                <w:highlight w:val="none"/>
              </w:rPr>
              <w:t>济南久隆医药科技有限公司于2022年7月编制完成了《济南久隆医药科技有限公司实验室建设项目</w:t>
            </w:r>
            <w:r>
              <w:rPr>
                <w:rFonts w:hint="eastAsia"/>
                <w:color w:val="auto"/>
                <w:highlight w:val="none"/>
              </w:rPr>
              <w:t>竣工环境保护验收监测报告表</w:t>
            </w:r>
            <w:r>
              <w:rPr>
                <w:rFonts w:hint="eastAsia"/>
                <w:color w:val="auto"/>
                <w:kern w:val="21"/>
                <w:highlight w:val="none"/>
              </w:rPr>
              <w:t>》</w:t>
            </w:r>
            <w:r>
              <w:rPr>
                <w:rFonts w:hint="eastAsia" w:cs="Times New Roman"/>
                <w:color w:val="auto"/>
                <w:kern w:val="21"/>
                <w:szCs w:val="24"/>
                <w:highlight w:val="none"/>
              </w:rPr>
              <w:t>，</w:t>
            </w:r>
            <w:r>
              <w:rPr>
                <w:rFonts w:hint="eastAsia" w:cs="Times New Roman"/>
                <w:color w:val="auto"/>
                <w:szCs w:val="24"/>
                <w:highlight w:val="none"/>
              </w:rPr>
              <w:t>结论如下：</w:t>
            </w:r>
          </w:p>
          <w:p>
            <w:pPr>
              <w:pStyle w:val="34"/>
              <w:ind w:firstLine="482"/>
              <w:rPr>
                <w:rFonts w:cs="Times New Roman"/>
                <w:b/>
                <w:bCs/>
                <w:color w:val="auto"/>
                <w:szCs w:val="24"/>
                <w:highlight w:val="none"/>
              </w:rPr>
            </w:pPr>
            <w:r>
              <w:rPr>
                <w:rFonts w:hint="eastAsia" w:cs="Times New Roman"/>
                <w:b/>
                <w:bCs/>
                <w:color w:val="auto"/>
                <w:szCs w:val="24"/>
                <w:highlight w:val="none"/>
              </w:rPr>
              <w:t>1、变更情况：</w:t>
            </w:r>
          </w:p>
          <w:p>
            <w:pPr>
              <w:pStyle w:val="34"/>
              <w:rPr>
                <w:rFonts w:cs="Times New Roman"/>
                <w:color w:val="auto"/>
                <w:szCs w:val="24"/>
                <w:highlight w:val="none"/>
              </w:rPr>
            </w:pPr>
            <w:r>
              <w:rPr>
                <w:rFonts w:cs="Times New Roman"/>
                <w:color w:val="auto"/>
                <w:szCs w:val="24"/>
                <w:highlight w:val="none"/>
              </w:rPr>
              <w:t>与环评相较，根据实际工作需要，配置的实验仪器设备较环评阶段有适当调整，部分设备不再建设，增加部分辅助设备，原辅料用量减少，因此未增加排污，项目性质不变</w:t>
            </w:r>
            <w:r>
              <w:rPr>
                <w:rFonts w:hint="eastAsia" w:cs="Times New Roman"/>
                <w:color w:val="auto"/>
                <w:szCs w:val="24"/>
                <w:highlight w:val="none"/>
              </w:rPr>
              <w:t>。</w:t>
            </w:r>
          </w:p>
          <w:p>
            <w:pPr>
              <w:pStyle w:val="34"/>
              <w:rPr>
                <w:rFonts w:cs="Times New Roman"/>
                <w:color w:val="auto"/>
                <w:szCs w:val="24"/>
                <w:highlight w:val="none"/>
              </w:rPr>
            </w:pPr>
            <w:r>
              <w:rPr>
                <w:rFonts w:cs="Times New Roman"/>
                <w:color w:val="auto"/>
                <w:szCs w:val="24"/>
                <w:highlight w:val="none"/>
              </w:rPr>
              <w:t>本项目实际建设过程中项目的性质、规模、地点、生产工艺等其他内容未发生重大变动，应纳入竣工环境保护验收管理。</w:t>
            </w:r>
          </w:p>
          <w:p>
            <w:pPr>
              <w:pStyle w:val="34"/>
              <w:rPr>
                <w:rFonts w:cs="Times New Roman"/>
                <w:color w:val="auto"/>
                <w:szCs w:val="24"/>
                <w:highlight w:val="none"/>
              </w:rPr>
            </w:pPr>
            <w:r>
              <w:rPr>
                <w:rFonts w:cs="Times New Roman"/>
                <w:color w:val="auto"/>
                <w:szCs w:val="24"/>
                <w:highlight w:val="none"/>
              </w:rPr>
              <w:t>根据《中华人民共和国环境影响评价法》、《建设项目环境保护管理条例》（国务院令第682号）和关于印发《污染影响类建设项目重大变动清单（试行）》的通知（环办环评函[2020]688号）等的有关规定，不属于重大变更，应纳入竣工环境保护验收管理。</w:t>
            </w:r>
          </w:p>
          <w:p>
            <w:pPr>
              <w:pStyle w:val="34"/>
              <w:ind w:firstLine="482"/>
              <w:rPr>
                <w:rFonts w:cs="Times New Roman"/>
                <w:color w:val="auto"/>
                <w:highlight w:val="none"/>
              </w:rPr>
            </w:pPr>
            <w:r>
              <w:rPr>
                <w:rFonts w:cs="Times New Roman"/>
                <w:b/>
                <w:bCs/>
                <w:color w:val="auto"/>
                <w:szCs w:val="24"/>
                <w:highlight w:val="none"/>
              </w:rPr>
              <w:t>2、监测期间运营工况情况：</w:t>
            </w:r>
          </w:p>
          <w:p>
            <w:pPr>
              <w:pStyle w:val="34"/>
              <w:rPr>
                <w:rFonts w:cs="Times New Roman"/>
                <w:color w:val="auto"/>
                <w:kern w:val="0"/>
                <w:szCs w:val="24"/>
                <w:highlight w:val="none"/>
              </w:rPr>
            </w:pPr>
            <w:r>
              <w:rPr>
                <w:rFonts w:cs="Times New Roman"/>
                <w:color w:val="auto"/>
                <w:kern w:val="0"/>
                <w:szCs w:val="24"/>
                <w:highlight w:val="none"/>
              </w:rPr>
              <w:t>监测期间，</w:t>
            </w:r>
            <w:r>
              <w:rPr>
                <w:rFonts w:hint="eastAsia" w:cs="Times New Roman"/>
                <w:color w:val="auto"/>
                <w:szCs w:val="24"/>
                <w:highlight w:val="none"/>
              </w:rPr>
              <w:t>实验室正常运行，负荷90%</w:t>
            </w:r>
            <w:r>
              <w:rPr>
                <w:rFonts w:cs="Times New Roman"/>
                <w:color w:val="auto"/>
                <w:kern w:val="0"/>
                <w:szCs w:val="24"/>
                <w:highlight w:val="none"/>
              </w:rPr>
              <w:t>。</w:t>
            </w:r>
          </w:p>
          <w:p>
            <w:pPr>
              <w:pStyle w:val="34"/>
              <w:ind w:firstLine="482"/>
              <w:rPr>
                <w:rFonts w:cs="Times New Roman"/>
                <w:color w:val="auto"/>
                <w:highlight w:val="none"/>
              </w:rPr>
            </w:pPr>
            <w:r>
              <w:rPr>
                <w:rFonts w:cs="Times New Roman"/>
                <w:b/>
                <w:bCs/>
                <w:color w:val="auto"/>
                <w:szCs w:val="24"/>
                <w:highlight w:val="none"/>
              </w:rPr>
              <w:t>3、验收</w:t>
            </w:r>
            <w:r>
              <w:rPr>
                <w:rFonts w:hint="eastAsia" w:cs="Times New Roman"/>
                <w:b/>
                <w:bCs/>
                <w:color w:val="auto"/>
                <w:szCs w:val="24"/>
                <w:highlight w:val="none"/>
              </w:rPr>
              <w:t>检测结果</w:t>
            </w:r>
          </w:p>
          <w:p>
            <w:pPr>
              <w:pStyle w:val="34"/>
              <w:jc w:val="both"/>
              <w:rPr>
                <w:rFonts w:cs="Times New Roman"/>
                <w:color w:val="auto"/>
                <w:szCs w:val="24"/>
                <w:highlight w:val="none"/>
              </w:rPr>
            </w:pPr>
            <w:r>
              <w:rPr>
                <w:rFonts w:cs="Times New Roman"/>
                <w:color w:val="auto"/>
                <w:szCs w:val="24"/>
                <w:highlight w:val="none"/>
              </w:rPr>
              <w:t>（1）本项目运营期产生的废气主要为实验过程中产生的有机废气（VOCs、甲苯、苯、甲醇）、臭气（臭气浓度）和酸碱废气（硫酸雾、氯化氢、氨）。</w:t>
            </w:r>
          </w:p>
          <w:p>
            <w:pPr>
              <w:pStyle w:val="34"/>
              <w:jc w:val="both"/>
              <w:rPr>
                <w:rFonts w:cs="Times New Roman"/>
                <w:color w:val="auto"/>
                <w:szCs w:val="24"/>
                <w:highlight w:val="none"/>
              </w:rPr>
            </w:pPr>
            <w:r>
              <w:rPr>
                <w:rFonts w:ascii="Calibri" w:hAnsi="Calibri" w:cs="Calibri"/>
                <w:color w:val="auto"/>
                <w:szCs w:val="24"/>
                <w:highlight w:val="none"/>
              </w:rPr>
              <w:t>①</w:t>
            </w:r>
            <w:r>
              <w:rPr>
                <w:rFonts w:cs="Times New Roman"/>
                <w:color w:val="auto"/>
                <w:szCs w:val="24"/>
                <w:highlight w:val="none"/>
              </w:rPr>
              <w:t>有组织废气</w:t>
            </w:r>
          </w:p>
          <w:p>
            <w:pPr>
              <w:pStyle w:val="34"/>
              <w:jc w:val="both"/>
              <w:rPr>
                <w:rFonts w:cs="Times New Roman"/>
                <w:color w:val="auto"/>
                <w:szCs w:val="24"/>
                <w:highlight w:val="none"/>
              </w:rPr>
            </w:pPr>
            <w:r>
              <w:rPr>
                <w:rFonts w:cs="Times New Roman"/>
                <w:color w:val="auto"/>
                <w:szCs w:val="24"/>
                <w:highlight w:val="none"/>
              </w:rPr>
              <w:t>项目北侧合成实验室1及南侧理化室、液相室、气相室等运行过程中产生的有机废气、酸碱废气、臭气均由通风柜或万向吸风罩收集后，再经一套碱喷淋+活性炭吸附装置处理，处理后通过1根高于楼顶3m（距地面25m）的排气筒DA001排放；</w:t>
            </w:r>
          </w:p>
          <w:p>
            <w:pPr>
              <w:pStyle w:val="34"/>
              <w:jc w:val="both"/>
              <w:rPr>
                <w:rFonts w:cs="Times New Roman"/>
                <w:color w:val="auto"/>
                <w:szCs w:val="24"/>
                <w:highlight w:val="none"/>
              </w:rPr>
            </w:pPr>
            <w:r>
              <w:rPr>
                <w:rFonts w:cs="Times New Roman"/>
                <w:color w:val="auto"/>
                <w:szCs w:val="24"/>
                <w:highlight w:val="none"/>
              </w:rPr>
              <w:t>项目北侧合成实验室2、合成实验室3、氢化室等运行过程中产生的有机废气、酸碱废气、臭气均由通风柜收集后，再经一套碱喷淋+活性炭吸附装置处理，处理后通过1根高于楼顶3m（距地面25m）的排气筒DA002排放。</w:t>
            </w:r>
          </w:p>
          <w:p>
            <w:pPr>
              <w:pStyle w:val="34"/>
              <w:jc w:val="both"/>
              <w:rPr>
                <w:rFonts w:cs="Times New Roman"/>
                <w:color w:val="auto"/>
                <w:szCs w:val="24"/>
                <w:highlight w:val="none"/>
              </w:rPr>
            </w:pPr>
            <w:r>
              <w:rPr>
                <w:rFonts w:ascii="Calibri" w:hAnsi="Calibri" w:cs="Calibri"/>
                <w:color w:val="auto"/>
                <w:szCs w:val="24"/>
                <w:highlight w:val="none"/>
              </w:rPr>
              <w:t>②</w:t>
            </w:r>
            <w:r>
              <w:rPr>
                <w:rFonts w:cs="Times New Roman"/>
                <w:color w:val="auto"/>
                <w:szCs w:val="24"/>
                <w:highlight w:val="none"/>
              </w:rPr>
              <w:t>无组织废气</w:t>
            </w:r>
          </w:p>
          <w:p>
            <w:pPr>
              <w:pStyle w:val="34"/>
              <w:jc w:val="both"/>
              <w:rPr>
                <w:rFonts w:cs="Times New Roman"/>
                <w:color w:val="auto"/>
                <w:szCs w:val="21"/>
                <w:highlight w:val="none"/>
              </w:rPr>
            </w:pPr>
            <w:r>
              <w:rPr>
                <w:rFonts w:cs="Times New Roman"/>
                <w:color w:val="auto"/>
                <w:szCs w:val="24"/>
                <w:highlight w:val="none"/>
              </w:rPr>
              <w:t>未被收集的实验室废气等实验室通风后无组织排放。</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9-1</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0"/>
              <w:gridCol w:w="1179"/>
              <w:gridCol w:w="1345"/>
              <w:gridCol w:w="1530"/>
              <w:gridCol w:w="1368"/>
              <w:gridCol w:w="1475"/>
              <w:gridCol w:w="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66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75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859"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6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最大排放速率（kg/h）</w:t>
                  </w:r>
                </w:p>
              </w:tc>
              <w:tc>
                <w:tcPr>
                  <w:tcW w:w="82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最大允许排放速率（kg/h）</w:t>
                  </w:r>
                </w:p>
              </w:tc>
              <w:tc>
                <w:tcPr>
                  <w:tcW w:w="53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96"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合成实验室1废气排气筒DA001出口</w:t>
                  </w: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2.09</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0.029</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0.90</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5.2</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30</w:t>
                  </w:r>
                </w:p>
              </w:tc>
              <w:tc>
                <w:tcPr>
                  <w:tcW w:w="768" w:type="pct"/>
                  <w:shd w:val="clear" w:color="auto" w:fill="auto"/>
                  <w:vAlign w:val="center"/>
                </w:tcPr>
                <w:p>
                  <w:pPr>
                    <w:spacing w:line="240" w:lineRule="auto"/>
                    <w:ind w:firstLine="0" w:firstLineChars="0"/>
                    <w:jc w:val="center"/>
                    <w:rPr>
                      <w:color w:val="auto"/>
                      <w:sz w:val="21"/>
                      <w:szCs w:val="21"/>
                      <w:highlight w:val="none"/>
                    </w:rPr>
                  </w:pP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0.43</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2.1</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190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0.029</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0.62</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r>
                    <w:rPr>
                      <w:color w:val="auto"/>
                      <w:sz w:val="21"/>
                      <w:szCs w:val="21"/>
                      <w:highlight w:val="none"/>
                    </w:rPr>
                    <w:t>×10</w:t>
                  </w:r>
                  <w:r>
                    <w:rPr>
                      <w:color w:val="auto"/>
                      <w:sz w:val="21"/>
                      <w:szCs w:val="21"/>
                      <w:highlight w:val="none"/>
                      <w:vertAlign w:val="superscript"/>
                    </w:rPr>
                    <w:t>-3</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8.7</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549（无量纲）</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6000（无量纲）</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restar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合成实验室2、3废气排气筒DA002出口</w:t>
                  </w: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2.08</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0.025</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0.90</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5.2</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0.43</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190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8.6</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0.75</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9.0</w:t>
                  </w:r>
                  <w:r>
                    <w:rPr>
                      <w:color w:val="auto"/>
                      <w:sz w:val="21"/>
                      <w:szCs w:val="21"/>
                      <w:highlight w:val="none"/>
                    </w:rPr>
                    <w:t>×10</w:t>
                  </w:r>
                  <w:r>
                    <w:rPr>
                      <w:color w:val="auto"/>
                      <w:sz w:val="21"/>
                      <w:szCs w:val="21"/>
                      <w:highlight w:val="none"/>
                      <w:vertAlign w:val="superscript"/>
                    </w:rPr>
                    <w:t>-3</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8.7</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9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6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755"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8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6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416（无量纲）</w:t>
                  </w:r>
                </w:p>
              </w:tc>
              <w:tc>
                <w:tcPr>
                  <w:tcW w:w="8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6000（无量纲）</w:t>
                  </w:r>
                </w:p>
              </w:tc>
              <w:tc>
                <w:tcPr>
                  <w:tcW w:w="53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7"/>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备注：未检出表示检测值小于检出限</w:t>
                  </w:r>
                </w:p>
              </w:tc>
            </w:tr>
          </w:tbl>
          <w:p>
            <w:pPr>
              <w:widowControl/>
              <w:ind w:firstLine="480"/>
              <w:rPr>
                <w:color w:val="auto"/>
                <w:highlight w:val="none"/>
              </w:rPr>
            </w:pPr>
            <w:r>
              <w:rPr>
                <w:rFonts w:hint="eastAsia"/>
                <w:color w:val="auto"/>
                <w:highlight w:val="none"/>
              </w:rPr>
              <w:t>验收监测期间，有组织VOCs排放浓度和排放速率满足《挥发性有机物排放标准 第7部分：其他行业》（DB37/2801.7-2019）表1中“非重点行业”II时段排放限值要求；有组织甲苯、苯的排放浓度均满足《制药工业大气污染物排放标准》（GB37823-2019）表2大气污染物特别排放限值要求，排放速率满足《大气污染物综合排放标准》（GB16297-1996）表2二级标准的限值要求；有组织氯化氢排放浓度及排放速率满足《制药工业大气污染物排放标准》（GB37823-2019）表2大气污染物特别排放限值要求及《大气污染物综合排放标准》（GB16297-1996）表2限值要求；有组织氨排放浓度满足《制药工业大气污染物排放标准》（GB37823-2019）表2大气污染物特别排放限值要求，排放速率满足《恶臭污染物排放标准》(GB14554-93)表2排放限值要求；有组织甲醇的排放浓度、排放速率均满足《大气污染物综合排放标准》（GB16297-1996）表2二级标准的限值要求；有组织臭气浓度满足《恶臭污染物排放标准》（GB14554-93）表2排放标准限值。</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表9-2  无组织废气判定结果表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2381"/>
              <w:gridCol w:w="2531"/>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4"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133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厂界最大排放浓度（mg/m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142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厂界最大允许排放浓度（mg/m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96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VOCs</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1.39</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苯</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0.1</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甲苯</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0.2</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氯化氢</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0.20</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甲醇</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12</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氨</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0.024</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1.5</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臭气</w:t>
                  </w:r>
                </w:p>
              </w:tc>
              <w:tc>
                <w:tcPr>
                  <w:tcW w:w="1337" w:type="pc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&lt;10</w:t>
                  </w:r>
                  <w:r>
                    <w:rPr>
                      <w:rFonts w:hint="eastAsia"/>
                      <w:color w:val="auto"/>
                      <w:sz w:val="21"/>
                      <w:szCs w:val="21"/>
                      <w:highlight w:val="none"/>
                    </w:rPr>
                    <w:t>（无量纲）</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16（无量纲）</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4" w:type="pct"/>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NMHC</w:t>
                  </w:r>
                </w:p>
              </w:tc>
              <w:tc>
                <w:tcPr>
                  <w:tcW w:w="1337"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1.37（</w:t>
                  </w:r>
                  <w:r>
                    <w:rPr>
                      <w:color w:val="auto"/>
                      <w:sz w:val="21"/>
                      <w:szCs w:val="21"/>
                      <w:highlight w:val="none"/>
                    </w:rPr>
                    <w:t>厂房通风口处</w:t>
                  </w:r>
                  <w:r>
                    <w:rPr>
                      <w:rFonts w:hint="eastAsia"/>
                      <w:color w:val="auto"/>
                      <w:sz w:val="21"/>
                      <w:szCs w:val="21"/>
                      <w:highlight w:val="none"/>
                    </w:rPr>
                    <w:t>）</w:t>
                  </w:r>
                </w:p>
              </w:tc>
              <w:tc>
                <w:tcPr>
                  <w:tcW w:w="142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96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4"/>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备注：未检出表示检测值小于检出限</w:t>
                  </w:r>
                </w:p>
              </w:tc>
            </w:tr>
          </w:tbl>
          <w:p>
            <w:pPr>
              <w:widowControl/>
              <w:ind w:firstLine="480"/>
              <w:rPr>
                <w:color w:val="auto"/>
                <w:highlight w:val="none"/>
              </w:rPr>
            </w:pPr>
            <w:r>
              <w:rPr>
                <w:rFonts w:hint="eastAsia"/>
                <w:color w:val="auto"/>
                <w:highlight w:val="none"/>
              </w:rPr>
              <w:t>验收监测期间，</w:t>
            </w:r>
            <w:r>
              <w:rPr>
                <w:color w:val="auto"/>
                <w:highlight w:val="none"/>
              </w:rPr>
              <w:t>无组织VOCs</w:t>
            </w:r>
            <w:r>
              <w:rPr>
                <w:rFonts w:hint="eastAsia"/>
                <w:color w:val="auto"/>
                <w:highlight w:val="none"/>
              </w:rPr>
              <w:t>满足</w:t>
            </w:r>
            <w:r>
              <w:rPr>
                <w:color w:val="auto"/>
                <w:highlight w:val="none"/>
              </w:rPr>
              <w:t>山东省</w:t>
            </w:r>
            <w:r>
              <w:rPr>
                <w:rFonts w:hint="eastAsia"/>
                <w:color w:val="auto"/>
                <w:highlight w:val="none"/>
              </w:rPr>
              <w:t>《挥发性有机物排放标准第7部分：其他行业》（DB37/2801.7-2019）表2厂界监控点浓度限值及《挥发性有机物无组织排放控制标准》（GB37822-2019）要求；无组织甲苯、苯满足《挥发性有机物排放标准第7部分：其他行业》（DB37/2801.7-2019）表3厂界监控点浓度限值要求；无组织氯化氢满足《制药工业大气污染物排放标准》（GB37823-2019）表4浓度限值要求；无组织氨满足《恶臭污染物排放标准》(GB14554-93)表1</w:t>
            </w:r>
            <w:r>
              <w:rPr>
                <w:color w:val="auto"/>
                <w:highlight w:val="none"/>
              </w:rPr>
              <w:t>二级新改扩建浓度限值</w:t>
            </w:r>
            <w:r>
              <w:rPr>
                <w:rFonts w:hint="eastAsia"/>
                <w:color w:val="auto"/>
                <w:kern w:val="0"/>
                <w:highlight w:val="none"/>
                <w:lang w:bidi="ar"/>
              </w:rPr>
              <w:t>；无组织甲醇</w:t>
            </w:r>
            <w:r>
              <w:rPr>
                <w:rFonts w:hint="eastAsia"/>
                <w:color w:val="auto"/>
                <w:highlight w:val="none"/>
              </w:rPr>
              <w:t>满足</w:t>
            </w:r>
            <w:r>
              <w:rPr>
                <w:rFonts w:hint="eastAsia"/>
                <w:color w:val="auto"/>
                <w:kern w:val="0"/>
                <w:highlight w:val="none"/>
                <w:lang w:bidi="ar"/>
              </w:rPr>
              <w:t>《大气污染物综合排放标准》（GB16297-1996）表2无组织排放监控浓度限值要求</w:t>
            </w:r>
            <w:r>
              <w:rPr>
                <w:rFonts w:hint="eastAsia"/>
                <w:color w:val="auto"/>
                <w:highlight w:val="none"/>
              </w:rPr>
              <w:t>；无</w:t>
            </w:r>
            <w:r>
              <w:rPr>
                <w:rFonts w:hint="eastAsia"/>
                <w:color w:val="auto"/>
                <w:highlight w:val="none"/>
                <w:lang w:bidi="ar"/>
              </w:rPr>
              <w:t>组织臭气浓度</w:t>
            </w:r>
            <w:r>
              <w:rPr>
                <w:rFonts w:hint="eastAsia"/>
                <w:color w:val="auto"/>
                <w:highlight w:val="none"/>
              </w:rPr>
              <w:t>满足</w:t>
            </w:r>
            <w:r>
              <w:rPr>
                <w:rFonts w:hint="eastAsia"/>
                <w:color w:val="auto"/>
                <w:highlight w:val="none"/>
                <w:lang w:bidi="ar"/>
              </w:rPr>
              <w:t>《挥发性有机物排放标准第7部分：其他行业》（DB37/2801.7-2019）表2厂界监控点浓度限值要求</w:t>
            </w:r>
            <w:r>
              <w:rPr>
                <w:rFonts w:hint="eastAsia"/>
                <w:color w:val="auto"/>
                <w:kern w:val="0"/>
                <w:highlight w:val="none"/>
                <w:lang w:bidi="ar"/>
              </w:rPr>
              <w:t>。</w:t>
            </w:r>
          </w:p>
          <w:p>
            <w:pPr>
              <w:ind w:firstLine="480"/>
              <w:rPr>
                <w:color w:val="auto"/>
                <w:highlight w:val="none"/>
              </w:rPr>
            </w:pPr>
            <w:r>
              <w:rPr>
                <w:rFonts w:hint="eastAsia"/>
                <w:color w:val="auto"/>
                <w:kern w:val="0"/>
                <w:highlight w:val="none"/>
                <w:lang w:bidi="ar"/>
              </w:rPr>
              <w:t>（2）</w:t>
            </w:r>
            <w:r>
              <w:rPr>
                <w:rFonts w:hint="eastAsia"/>
                <w:color w:val="auto"/>
                <w:highlight w:val="none"/>
              </w:rPr>
              <w:t>本项目产生的生活污水、实验后器皿</w:t>
            </w:r>
            <w:r>
              <w:rPr>
                <w:color w:val="auto"/>
                <w:highlight w:val="none"/>
              </w:rPr>
              <w:t>两次</w:t>
            </w:r>
            <w:r>
              <w:rPr>
                <w:rFonts w:hint="eastAsia"/>
                <w:color w:val="auto"/>
                <w:highlight w:val="none"/>
              </w:rPr>
              <w:t>清洗后</w:t>
            </w:r>
            <w:r>
              <w:rPr>
                <w:color w:val="auto"/>
                <w:highlight w:val="none"/>
              </w:rPr>
              <w:t>清洗</w:t>
            </w:r>
            <w:r>
              <w:rPr>
                <w:rFonts w:hint="eastAsia"/>
                <w:color w:val="auto"/>
                <w:highlight w:val="none"/>
              </w:rPr>
              <w:t>废水、</w:t>
            </w:r>
            <w:r>
              <w:rPr>
                <w:rFonts w:hint="eastAsia"/>
                <w:color w:val="auto"/>
                <w:highlight w:val="none"/>
                <w:lang w:eastAsia="zh-CN"/>
              </w:rPr>
              <w:t>环保设备排污水、地面清洁废水，均经收集池收集后满足银丰国际生物城污水处理站进水水质标准后，排入银丰国际生物城污水处理站处理</w:t>
            </w:r>
            <w:r>
              <w:rPr>
                <w:color w:val="auto"/>
                <w:highlight w:val="none"/>
              </w:rPr>
              <w:t>，满足《污水排入城镇下水道水质标准》（GB/T31962-2015）</w:t>
            </w:r>
            <w:r>
              <w:rPr>
                <w:rFonts w:hint="eastAsia"/>
                <w:color w:val="auto"/>
                <w:highlight w:val="none"/>
                <w:lang w:eastAsia="zh-CN"/>
              </w:rPr>
              <w:t>A级</w:t>
            </w:r>
            <w:r>
              <w:rPr>
                <w:color w:val="auto"/>
                <w:highlight w:val="none"/>
              </w:rPr>
              <w:t>标准后</w:t>
            </w:r>
            <w:r>
              <w:rPr>
                <w:rFonts w:hint="eastAsia"/>
                <w:color w:val="auto"/>
                <w:highlight w:val="none"/>
              </w:rPr>
              <w:t>通过</w:t>
            </w:r>
            <w:r>
              <w:rPr>
                <w:color w:val="auto"/>
                <w:highlight w:val="none"/>
              </w:rPr>
              <w:t>市政管网</w:t>
            </w:r>
            <w:r>
              <w:rPr>
                <w:rFonts w:hint="eastAsia"/>
                <w:color w:val="auto"/>
                <w:highlight w:val="none"/>
              </w:rPr>
              <w:t>排入</w:t>
            </w:r>
            <w:r>
              <w:rPr>
                <w:color w:val="auto"/>
                <w:highlight w:val="none"/>
              </w:rPr>
              <w:t>巨野河污水处理厂</w:t>
            </w:r>
            <w:r>
              <w:rPr>
                <w:rFonts w:hint="eastAsia"/>
                <w:color w:val="auto"/>
                <w:highlight w:val="none"/>
              </w:rPr>
              <w:t>处理达标后</w:t>
            </w:r>
            <w:r>
              <w:rPr>
                <w:bCs/>
                <w:color w:val="auto"/>
                <w:highlight w:val="none"/>
              </w:rPr>
              <w:t>，经</w:t>
            </w:r>
            <w:r>
              <w:rPr>
                <w:rFonts w:hint="eastAsia"/>
                <w:bCs/>
                <w:color w:val="auto"/>
                <w:highlight w:val="none"/>
              </w:rPr>
              <w:t>西</w:t>
            </w:r>
            <w:r>
              <w:rPr>
                <w:bCs/>
                <w:color w:val="auto"/>
                <w:highlight w:val="none"/>
              </w:rPr>
              <w:t>巨野河排入小清河</w:t>
            </w:r>
            <w:r>
              <w:rPr>
                <w:rFonts w:hint="eastAsia"/>
                <w:color w:val="auto"/>
                <w:highlight w:val="none"/>
              </w:rPr>
              <w:t>。</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9-3</w:t>
            </w:r>
            <w:r>
              <w:rPr>
                <w:rFonts w:ascii="Times New Roman" w:hAnsi="Times New Roman"/>
                <w:b/>
                <w:bCs/>
                <w:color w:val="auto"/>
                <w:sz w:val="24"/>
                <w:highlight w:val="none"/>
              </w:rPr>
              <w:t xml:space="preserve">  废水判定结果表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1767"/>
              <w:gridCol w:w="2600"/>
              <w:gridCol w:w="2617"/>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76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260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最大日均值（mg/L）</w:t>
                  </w:r>
                </w:p>
              </w:tc>
              <w:tc>
                <w:tcPr>
                  <w:tcW w:w="261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标准值（mg/L）</w:t>
                  </w:r>
                </w:p>
              </w:tc>
              <w:tc>
                <w:tcPr>
                  <w:tcW w:w="993"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污水处理站出口</w:t>
                  </w: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pH值</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7.8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6.5-9.5</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氨氮</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23.8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45</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悬浮物</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63</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400</w:t>
                  </w:r>
                </w:p>
              </w:tc>
              <w:tc>
                <w:tcPr>
                  <w:tcW w:w="993" w:type="dxa"/>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总磷</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2.29</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8</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化学需氧量</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208</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生化需氧量</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97.0</w:t>
                  </w:r>
                </w:p>
              </w:tc>
              <w:tc>
                <w:tcPr>
                  <w:tcW w:w="261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350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2" w:type="dxa"/>
                  <w:vMerge w:val="continue"/>
                  <w:shd w:val="clear" w:color="auto" w:fill="auto"/>
                  <w:vAlign w:val="center"/>
                </w:tcPr>
                <w:p>
                  <w:pPr>
                    <w:spacing w:line="240" w:lineRule="auto"/>
                    <w:ind w:firstLine="0" w:firstLineChars="0"/>
                    <w:jc w:val="center"/>
                    <w:rPr>
                      <w:color w:val="auto"/>
                      <w:sz w:val="21"/>
                      <w:szCs w:val="21"/>
                      <w:highlight w:val="none"/>
                    </w:rPr>
                  </w:pPr>
                </w:p>
              </w:tc>
              <w:tc>
                <w:tcPr>
                  <w:tcW w:w="1767"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color w:val="auto"/>
                      <w:spacing w:val="10"/>
                      <w:sz w:val="21"/>
                      <w:szCs w:val="21"/>
                      <w:highlight w:val="none"/>
                    </w:rPr>
                    <w:t>溶解性总固体</w:t>
                  </w:r>
                </w:p>
              </w:tc>
              <w:tc>
                <w:tcPr>
                  <w:tcW w:w="2600"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854</w:t>
                  </w:r>
                </w:p>
              </w:tc>
              <w:tc>
                <w:tcPr>
                  <w:tcW w:w="261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1500</w:t>
                  </w:r>
                </w:p>
              </w:tc>
              <w:tc>
                <w:tcPr>
                  <w:tcW w:w="993"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ind w:firstLine="480"/>
              <w:rPr>
                <w:color w:val="auto"/>
                <w:highlight w:val="none"/>
              </w:rPr>
            </w:pPr>
            <w:r>
              <w:rPr>
                <w:rFonts w:hint="eastAsia"/>
                <w:color w:val="auto"/>
                <w:highlight w:val="none"/>
              </w:rPr>
              <w:t>验收</w:t>
            </w:r>
            <w:r>
              <w:rPr>
                <w:color w:val="auto"/>
                <w:spacing w:val="10"/>
                <w:highlight w:val="none"/>
              </w:rPr>
              <w:t>监测期间，厂区污水经银丰国际生物城污水处理站处理后，出水水质满足《污水排入城镇下水道水质标准》（GB/T 31962-2015）中</w:t>
            </w:r>
            <w:r>
              <w:rPr>
                <w:rFonts w:hint="eastAsia"/>
                <w:color w:val="auto"/>
                <w:spacing w:val="10"/>
                <w:highlight w:val="none"/>
                <w:lang w:eastAsia="zh-CN"/>
              </w:rPr>
              <w:t>表1的A等</w:t>
            </w:r>
            <w:r>
              <w:rPr>
                <w:color w:val="auto"/>
                <w:spacing w:val="10"/>
                <w:highlight w:val="none"/>
              </w:rPr>
              <w:t>级标准要求。</w:t>
            </w:r>
          </w:p>
          <w:p>
            <w:pPr>
              <w:pStyle w:val="34"/>
              <w:rPr>
                <w:rFonts w:cs="Times New Roman"/>
                <w:color w:val="auto"/>
                <w:szCs w:val="24"/>
                <w:highlight w:val="none"/>
              </w:rPr>
            </w:pPr>
            <w:r>
              <w:rPr>
                <w:rFonts w:hint="eastAsia" w:cs="Times New Roman"/>
                <w:color w:val="auto"/>
                <w:szCs w:val="24"/>
                <w:highlight w:val="none"/>
              </w:rPr>
              <w:t>（3）本项目噪声源主要为研发实验设备运转产生的噪声。</w:t>
            </w:r>
            <w:r>
              <w:rPr>
                <w:rFonts w:cs="Times New Roman"/>
                <w:color w:val="auto"/>
                <w:szCs w:val="24"/>
                <w:highlight w:val="none"/>
              </w:rPr>
              <w:t>本项目实验设备均布置于室内，采取门窗、墙体隔声，全部设备均选用低噪声设备并采取减振措施。加强管理，经常保养和维护机械设备避免设备在不良状态下运行。</w:t>
            </w:r>
          </w:p>
          <w:p>
            <w:pPr>
              <w:pStyle w:val="3"/>
              <w:ind w:firstLine="0" w:firstLineChars="0"/>
              <w:jc w:val="center"/>
              <w:rPr>
                <w:rFonts w:ascii="Times New Roman" w:hAnsi="Times New Roman"/>
                <w:b/>
                <w:bCs/>
                <w:color w:val="auto"/>
                <w:sz w:val="24"/>
                <w:highlight w:val="none"/>
              </w:rPr>
            </w:pPr>
            <w:r>
              <w:rPr>
                <w:rFonts w:hint="eastAsia" w:ascii="Times New Roman" w:hAnsi="Times New Roman"/>
                <w:b/>
                <w:bCs/>
                <w:color w:val="auto"/>
                <w:sz w:val="24"/>
                <w:highlight w:val="none"/>
              </w:rPr>
              <w:t>表9-4  噪声判定结果表</w:t>
            </w:r>
          </w:p>
          <w:tbl>
            <w:tblPr>
              <w:tblStyle w:val="26"/>
              <w:tblW w:w="4998" w:type="pct"/>
              <w:jc w:val="center"/>
              <w:tblLayout w:type="autofit"/>
              <w:tblCellMar>
                <w:top w:w="0" w:type="dxa"/>
                <w:left w:w="108" w:type="dxa"/>
                <w:bottom w:w="0" w:type="dxa"/>
                <w:right w:w="108" w:type="dxa"/>
              </w:tblCellMar>
            </w:tblPr>
            <w:tblGrid>
              <w:gridCol w:w="1225"/>
              <w:gridCol w:w="1257"/>
              <w:gridCol w:w="1521"/>
              <w:gridCol w:w="1691"/>
              <w:gridCol w:w="1566"/>
              <w:gridCol w:w="1655"/>
            </w:tblGrid>
            <w:tr>
              <w:trPr>
                <w:trHeight w:val="367" w:hRule="atLeast"/>
                <w:jc w:val="center"/>
              </w:trPr>
              <w:tc>
                <w:tcPr>
                  <w:tcW w:w="687"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测量</w:t>
                  </w:r>
                </w:p>
                <w:p>
                  <w:pPr>
                    <w:spacing w:line="240" w:lineRule="auto"/>
                    <w:ind w:firstLine="0" w:firstLineChars="0"/>
                    <w:jc w:val="center"/>
                    <w:rPr>
                      <w:b/>
                      <w:bCs/>
                      <w:color w:val="auto"/>
                      <w:sz w:val="21"/>
                      <w:szCs w:val="21"/>
                      <w:highlight w:val="none"/>
                    </w:rPr>
                  </w:pPr>
                  <w:r>
                    <w:rPr>
                      <w:b/>
                      <w:bCs/>
                      <w:color w:val="auto"/>
                      <w:sz w:val="21"/>
                      <w:szCs w:val="21"/>
                      <w:highlight w:val="none"/>
                    </w:rPr>
                    <w:t>时段</w:t>
                  </w:r>
                </w:p>
              </w:tc>
              <w:tc>
                <w:tcPr>
                  <w:tcW w:w="705"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w:t>
                  </w:r>
                </w:p>
                <w:p>
                  <w:pPr>
                    <w:spacing w:line="240" w:lineRule="auto"/>
                    <w:ind w:firstLine="0" w:firstLineChars="0"/>
                    <w:jc w:val="center"/>
                    <w:rPr>
                      <w:b/>
                      <w:bCs/>
                      <w:color w:val="auto"/>
                      <w:sz w:val="21"/>
                      <w:szCs w:val="21"/>
                      <w:highlight w:val="none"/>
                    </w:rPr>
                  </w:pPr>
                  <w:r>
                    <w:rPr>
                      <w:b/>
                      <w:bCs/>
                      <w:color w:val="auto"/>
                      <w:sz w:val="21"/>
                      <w:szCs w:val="21"/>
                      <w:highlight w:val="none"/>
                    </w:rPr>
                    <w:t>项目</w:t>
                  </w:r>
                </w:p>
              </w:tc>
              <w:tc>
                <w:tcPr>
                  <w:tcW w:w="2679" w:type="pct"/>
                  <w:gridSpan w:val="3"/>
                  <w:tcBorders>
                    <w:top w:val="single" w:color="000000" w:sz="4" w:space="0"/>
                    <w:left w:val="single" w:color="auto" w:sz="4" w:space="0"/>
                    <w:bottom w:val="single" w:color="000000" w:sz="4" w:space="0"/>
                    <w:right w:val="single" w:color="auto" w:sz="4" w:space="0"/>
                  </w:tcBorders>
                  <w:vAlign w:val="center"/>
                </w:tcPr>
                <w:p>
                  <w:pPr>
                    <w:spacing w:line="240" w:lineRule="auto"/>
                    <w:ind w:firstLineChars="0"/>
                    <w:jc w:val="center"/>
                    <w:rPr>
                      <w:b/>
                      <w:bCs/>
                      <w:color w:val="auto"/>
                      <w:sz w:val="21"/>
                      <w:szCs w:val="21"/>
                      <w:highlight w:val="none"/>
                    </w:rPr>
                  </w:pPr>
                  <w:r>
                    <w:rPr>
                      <w:rFonts w:hint="eastAsia"/>
                      <w:b/>
                      <w:bCs/>
                      <w:color w:val="auto"/>
                      <w:sz w:val="21"/>
                      <w:szCs w:val="21"/>
                      <w:highlight w:val="none"/>
                    </w:rPr>
                    <w:t>最大噪声值 dB（A）</w:t>
                  </w:r>
                </w:p>
              </w:tc>
              <w:tc>
                <w:tcPr>
                  <w:tcW w:w="92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标准值 dB（A）</w:t>
                  </w:r>
                </w:p>
              </w:tc>
            </w:tr>
            <w:tr>
              <w:tblPrEx>
                <w:tblCellMar>
                  <w:top w:w="0" w:type="dxa"/>
                  <w:left w:w="108" w:type="dxa"/>
                  <w:bottom w:w="0" w:type="dxa"/>
                  <w:right w:w="108" w:type="dxa"/>
                </w:tblCellMar>
              </w:tblPrEx>
              <w:trPr>
                <w:trHeight w:val="397" w:hRule="atLeast"/>
                <w:jc w:val="center"/>
              </w:trPr>
              <w:tc>
                <w:tcPr>
                  <w:tcW w:w="687"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b/>
                      <w:bCs/>
                      <w:color w:val="auto"/>
                      <w:sz w:val="21"/>
                      <w:szCs w:val="21"/>
                      <w:highlight w:val="none"/>
                    </w:rPr>
                  </w:pPr>
                </w:p>
              </w:tc>
              <w:tc>
                <w:tcPr>
                  <w:tcW w:w="705"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b/>
                      <w:bCs/>
                      <w:color w:val="auto"/>
                      <w:sz w:val="21"/>
                      <w:szCs w:val="21"/>
                      <w:highlight w:val="none"/>
                    </w:rPr>
                  </w:pPr>
                </w:p>
              </w:tc>
              <w:tc>
                <w:tcPr>
                  <w:tcW w:w="853"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1#南厂界</w:t>
                  </w:r>
                </w:p>
              </w:tc>
              <w:tc>
                <w:tcPr>
                  <w:tcW w:w="948"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2#西厂界</w:t>
                  </w:r>
                </w:p>
              </w:tc>
              <w:tc>
                <w:tcPr>
                  <w:tcW w:w="877"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3#北厂界</w:t>
                  </w:r>
                </w:p>
              </w:tc>
              <w:tc>
                <w:tcPr>
                  <w:tcW w:w="92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b/>
                      <w:bCs/>
                      <w:color w:val="auto"/>
                      <w:sz w:val="21"/>
                      <w:szCs w:val="21"/>
                      <w:highlight w:val="none"/>
                    </w:rPr>
                  </w:pPr>
                </w:p>
              </w:tc>
            </w:tr>
            <w:tr>
              <w:trPr>
                <w:trHeight w:val="397" w:hRule="atLeast"/>
                <w:jc w:val="center"/>
              </w:trPr>
              <w:tc>
                <w:tcPr>
                  <w:tcW w:w="687"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color w:val="auto"/>
                      <w:sz w:val="21"/>
                      <w:szCs w:val="21"/>
                      <w:highlight w:val="none"/>
                    </w:rPr>
                    <w:t>昼间</w:t>
                  </w:r>
                </w:p>
              </w:tc>
              <w:tc>
                <w:tcPr>
                  <w:tcW w:w="705"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color w:val="auto"/>
                      <w:sz w:val="21"/>
                      <w:szCs w:val="21"/>
                      <w:highlight w:val="none"/>
                    </w:rPr>
                    <w:t>噪声</w:t>
                  </w:r>
                </w:p>
              </w:tc>
              <w:tc>
                <w:tcPr>
                  <w:tcW w:w="853"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54.2</w:t>
                  </w:r>
                </w:p>
              </w:tc>
              <w:tc>
                <w:tcPr>
                  <w:tcW w:w="948" w:type="pct"/>
                  <w:tcBorders>
                    <w:top w:val="single" w:color="000000" w:sz="4" w:space="0"/>
                    <w:left w:val="single" w:color="000000" w:sz="4" w:space="0"/>
                    <w:bottom w:val="single" w:color="000000" w:sz="4" w:space="0"/>
                    <w:right w:val="single" w:color="auto"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53.7</w:t>
                  </w:r>
                </w:p>
              </w:tc>
              <w:tc>
                <w:tcPr>
                  <w:tcW w:w="877" w:type="pct"/>
                  <w:tcBorders>
                    <w:top w:val="single" w:color="000000" w:sz="4" w:space="0"/>
                    <w:left w:val="single" w:color="auto" w:sz="4" w:space="0"/>
                    <w:bottom w:val="single" w:color="000000" w:sz="4" w:space="0"/>
                    <w:right w:val="single" w:color="auto" w:sz="4" w:space="0"/>
                  </w:tcBorders>
                  <w:vAlign w:val="center"/>
                </w:tcPr>
                <w:p>
                  <w:pPr>
                    <w:widowControl/>
                    <w:spacing w:line="240" w:lineRule="auto"/>
                    <w:ind w:firstLine="0" w:firstLineChars="0"/>
                    <w:jc w:val="center"/>
                    <w:rPr>
                      <w:color w:val="auto"/>
                      <w:sz w:val="21"/>
                      <w:szCs w:val="21"/>
                      <w:highlight w:val="none"/>
                    </w:rPr>
                  </w:pPr>
                  <w:r>
                    <w:rPr>
                      <w:rFonts w:hint="eastAsia"/>
                      <w:color w:val="auto"/>
                      <w:sz w:val="21"/>
                      <w:szCs w:val="21"/>
                      <w:highlight w:val="none"/>
                    </w:rPr>
                    <w:t>52.8</w:t>
                  </w:r>
                </w:p>
              </w:tc>
              <w:tc>
                <w:tcPr>
                  <w:tcW w:w="92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60</w:t>
                  </w:r>
                </w:p>
              </w:tc>
            </w:tr>
            <w:tr>
              <w:trPr>
                <w:trHeight w:val="397" w:hRule="atLeast"/>
                <w:jc w:val="center"/>
              </w:trPr>
              <w:tc>
                <w:tcPr>
                  <w:tcW w:w="1392"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备注</w:t>
                  </w:r>
                </w:p>
              </w:tc>
              <w:tc>
                <w:tcPr>
                  <w:tcW w:w="8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948"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877"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92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bl>
          <w:p>
            <w:pPr>
              <w:pStyle w:val="34"/>
              <w:jc w:val="both"/>
              <w:rPr>
                <w:rFonts w:cs="Times New Roman"/>
                <w:color w:val="auto"/>
                <w:szCs w:val="24"/>
                <w:highlight w:val="none"/>
              </w:rPr>
            </w:pPr>
            <w:r>
              <w:rPr>
                <w:rFonts w:cs="Times New Roman"/>
                <w:color w:val="auto"/>
                <w:szCs w:val="24"/>
                <w:highlight w:val="none"/>
              </w:rPr>
              <w:t>验收监测期间，项目</w:t>
            </w:r>
            <w:r>
              <w:rPr>
                <w:rFonts w:hint="eastAsia" w:cs="Times New Roman"/>
                <w:color w:val="auto"/>
                <w:szCs w:val="24"/>
                <w:highlight w:val="none"/>
              </w:rPr>
              <w:t>1</w:t>
            </w:r>
            <w:r>
              <w:rPr>
                <w:rFonts w:cs="Times New Roman"/>
                <w:color w:val="auto"/>
                <w:szCs w:val="24"/>
                <w:highlight w:val="none"/>
              </w:rPr>
              <w:t>#南厂界、</w:t>
            </w:r>
            <w:r>
              <w:rPr>
                <w:rFonts w:hint="eastAsia" w:cs="Times New Roman"/>
                <w:color w:val="auto"/>
                <w:szCs w:val="24"/>
                <w:highlight w:val="none"/>
              </w:rPr>
              <w:t>2</w:t>
            </w:r>
            <w:r>
              <w:rPr>
                <w:rFonts w:cs="Times New Roman"/>
                <w:color w:val="auto"/>
                <w:szCs w:val="24"/>
                <w:highlight w:val="none"/>
              </w:rPr>
              <w:t>#</w:t>
            </w:r>
            <w:r>
              <w:rPr>
                <w:rFonts w:hint="eastAsia" w:cs="Times New Roman"/>
                <w:color w:val="auto"/>
                <w:szCs w:val="24"/>
                <w:highlight w:val="none"/>
              </w:rPr>
              <w:t>西</w:t>
            </w:r>
            <w:r>
              <w:rPr>
                <w:rFonts w:cs="Times New Roman"/>
                <w:color w:val="auto"/>
                <w:szCs w:val="24"/>
                <w:highlight w:val="none"/>
              </w:rPr>
              <w:t>厂界、</w:t>
            </w:r>
            <w:r>
              <w:rPr>
                <w:rFonts w:hint="eastAsia" w:cs="Times New Roman"/>
                <w:color w:val="auto"/>
                <w:szCs w:val="24"/>
                <w:highlight w:val="none"/>
              </w:rPr>
              <w:t>3</w:t>
            </w:r>
            <w:r>
              <w:rPr>
                <w:rFonts w:cs="Times New Roman"/>
                <w:color w:val="auto"/>
                <w:szCs w:val="24"/>
                <w:highlight w:val="none"/>
              </w:rPr>
              <w:t>#</w:t>
            </w:r>
            <w:r>
              <w:rPr>
                <w:rFonts w:hint="eastAsia" w:cs="Times New Roman"/>
                <w:color w:val="auto"/>
                <w:szCs w:val="24"/>
                <w:highlight w:val="none"/>
              </w:rPr>
              <w:t>北</w:t>
            </w:r>
            <w:r>
              <w:rPr>
                <w:rFonts w:cs="Times New Roman"/>
                <w:color w:val="auto"/>
                <w:szCs w:val="24"/>
                <w:highlight w:val="none"/>
              </w:rPr>
              <w:t>厂界</w:t>
            </w:r>
            <w:r>
              <w:rPr>
                <w:rFonts w:hint="eastAsia" w:cs="Times New Roman"/>
                <w:color w:val="auto"/>
                <w:szCs w:val="24"/>
                <w:highlight w:val="none"/>
              </w:rPr>
              <w:t>，</w:t>
            </w:r>
            <w:r>
              <w:rPr>
                <w:rFonts w:cs="Times New Roman"/>
                <w:color w:val="auto"/>
                <w:szCs w:val="24"/>
                <w:highlight w:val="none"/>
              </w:rPr>
              <w:t>监测点厂界</w:t>
            </w:r>
            <w:r>
              <w:rPr>
                <w:rFonts w:hint="eastAsia" w:cs="Times New Roman"/>
                <w:color w:val="auto"/>
                <w:szCs w:val="24"/>
                <w:highlight w:val="none"/>
              </w:rPr>
              <w:t>的</w:t>
            </w:r>
            <w:r>
              <w:rPr>
                <w:rFonts w:cs="Times New Roman"/>
                <w:color w:val="auto"/>
                <w:szCs w:val="24"/>
                <w:highlight w:val="none"/>
              </w:rPr>
              <w:t>昼间噪声</w:t>
            </w:r>
            <w:r>
              <w:rPr>
                <w:rFonts w:hint="eastAsia" w:cs="Times New Roman"/>
                <w:color w:val="auto"/>
                <w:szCs w:val="24"/>
                <w:highlight w:val="none"/>
              </w:rPr>
              <w:t>均</w:t>
            </w:r>
            <w:r>
              <w:rPr>
                <w:rFonts w:cs="Times New Roman"/>
                <w:color w:val="auto"/>
                <w:szCs w:val="24"/>
                <w:highlight w:val="none"/>
              </w:rPr>
              <w:t>满足《工业企业厂界环境噪声排放标准》(GB12348-2008)2类标准</w:t>
            </w:r>
            <w:r>
              <w:rPr>
                <w:rFonts w:hint="eastAsia" w:cs="Times New Roman"/>
                <w:color w:val="auto"/>
                <w:szCs w:val="24"/>
                <w:highlight w:val="none"/>
              </w:rPr>
              <w:t>（厂区东侧为其他企业，与之共用一堵墙，无法进行检测）</w:t>
            </w:r>
            <w:r>
              <w:rPr>
                <w:rFonts w:cs="Times New Roman"/>
                <w:color w:val="auto"/>
                <w:szCs w:val="24"/>
                <w:highlight w:val="none"/>
              </w:rPr>
              <w:t>。</w:t>
            </w:r>
          </w:p>
          <w:p>
            <w:pPr>
              <w:pStyle w:val="34"/>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本</w:t>
            </w:r>
            <w:r>
              <w:rPr>
                <w:rFonts w:cs="Times New Roman"/>
                <w:color w:val="auto"/>
                <w:szCs w:val="24"/>
                <w:highlight w:val="none"/>
              </w:rPr>
              <w:t>项目运营期产生的固体废物包括危险废物和一般固废。危险废物主要包括：</w:t>
            </w:r>
            <w:r>
              <w:rPr>
                <w:rFonts w:hint="eastAsia" w:cs="Times New Roman"/>
                <w:color w:val="auto"/>
                <w:highlight w:val="none"/>
              </w:rPr>
              <w:t>实验废物（</w:t>
            </w:r>
            <w:r>
              <w:rPr>
                <w:rFonts w:hint="eastAsia" w:cs="Times New Roman"/>
                <w:color w:val="auto"/>
                <w:szCs w:val="24"/>
                <w:highlight w:val="none"/>
              </w:rPr>
              <w:t>沾染试剂的废包装物、废试剂瓶、废手套等</w:t>
            </w:r>
            <w:r>
              <w:rPr>
                <w:rFonts w:hint="eastAsia" w:cs="Times New Roman"/>
                <w:color w:val="auto"/>
                <w:highlight w:val="none"/>
              </w:rPr>
              <w:t>）、实验废液（废流动相、实验后器皿前两次清洗废水等）</w:t>
            </w:r>
            <w:r>
              <w:rPr>
                <w:rFonts w:hint="eastAsia" w:cs="Times New Roman"/>
                <w:color w:val="auto"/>
                <w:szCs w:val="24"/>
                <w:highlight w:val="none"/>
              </w:rPr>
              <w:t>、废活性炭；</w:t>
            </w:r>
            <w:r>
              <w:rPr>
                <w:rFonts w:cs="Times New Roman"/>
                <w:color w:val="auto"/>
                <w:szCs w:val="24"/>
                <w:highlight w:val="none"/>
              </w:rPr>
              <w:t>一般固废主要包括：</w:t>
            </w:r>
            <w:r>
              <w:rPr>
                <w:rFonts w:hint="eastAsia" w:cs="Times New Roman"/>
                <w:color w:val="auto"/>
                <w:szCs w:val="24"/>
                <w:highlight w:val="none"/>
              </w:rPr>
              <w:t>生活垃圾、</w:t>
            </w:r>
            <w:r>
              <w:rPr>
                <w:rFonts w:cs="Times New Roman"/>
                <w:color w:val="auto"/>
                <w:szCs w:val="24"/>
                <w:highlight w:val="none"/>
              </w:rPr>
              <w:t>未沾染药品废包装物。</w:t>
            </w:r>
          </w:p>
          <w:p>
            <w:pPr>
              <w:pStyle w:val="34"/>
              <w:widowControl/>
              <w:adjustRightInd/>
              <w:rPr>
                <w:rFonts w:cs="Times New Roman"/>
                <w:color w:val="auto"/>
                <w:szCs w:val="24"/>
                <w:highlight w:val="none"/>
              </w:rPr>
            </w:pPr>
            <w:r>
              <w:rPr>
                <w:rFonts w:hint="eastAsia" w:cs="Times New Roman"/>
                <w:color w:val="auto"/>
                <w:szCs w:val="24"/>
                <w:highlight w:val="none"/>
              </w:rPr>
              <w:t>本</w:t>
            </w:r>
            <w:r>
              <w:rPr>
                <w:rFonts w:cs="Times New Roman"/>
                <w:color w:val="auto"/>
                <w:szCs w:val="24"/>
                <w:highlight w:val="none"/>
              </w:rPr>
              <w:t>项目产生的未沾染药品废包装物</w:t>
            </w:r>
            <w:r>
              <w:rPr>
                <w:rFonts w:hint="eastAsia" w:cs="Times New Roman"/>
                <w:color w:val="auto"/>
                <w:highlight w:val="none"/>
              </w:rPr>
              <w:t>收集后</w:t>
            </w:r>
            <w:r>
              <w:rPr>
                <w:rFonts w:cs="Times New Roman"/>
                <w:color w:val="auto"/>
                <w:szCs w:val="24"/>
                <w:highlight w:val="none"/>
              </w:rPr>
              <w:t>外售物资回收单位</w:t>
            </w:r>
            <w:r>
              <w:rPr>
                <w:rFonts w:hint="eastAsia" w:cs="Times New Roman"/>
                <w:color w:val="auto"/>
                <w:szCs w:val="24"/>
                <w:highlight w:val="none"/>
              </w:rPr>
              <w:t>，生活垃圾</w:t>
            </w:r>
            <w:r>
              <w:rPr>
                <w:rFonts w:cs="Times New Roman"/>
                <w:color w:val="auto"/>
                <w:szCs w:val="24"/>
                <w:highlight w:val="none"/>
              </w:rPr>
              <w:t>由环卫部门定期清运处理</w:t>
            </w:r>
            <w:r>
              <w:rPr>
                <w:rFonts w:hint="eastAsia" w:cs="Times New Roman"/>
                <w:color w:val="auto"/>
                <w:szCs w:val="24"/>
                <w:highlight w:val="none"/>
              </w:rPr>
              <w:t>；</w:t>
            </w:r>
            <w:r>
              <w:rPr>
                <w:rFonts w:hint="eastAsia" w:cs="Times New Roman"/>
                <w:color w:val="auto"/>
                <w:highlight w:val="none"/>
              </w:rPr>
              <w:t>实验废物（</w:t>
            </w:r>
            <w:r>
              <w:rPr>
                <w:rFonts w:hint="eastAsia" w:cs="Times New Roman"/>
                <w:color w:val="auto"/>
                <w:szCs w:val="24"/>
                <w:highlight w:val="none"/>
              </w:rPr>
              <w:t>沾染试剂的废包装物、废试剂瓶、废手套等</w:t>
            </w:r>
            <w:r>
              <w:rPr>
                <w:rFonts w:hint="eastAsia" w:cs="Times New Roman"/>
                <w:color w:val="auto"/>
                <w:highlight w:val="none"/>
              </w:rPr>
              <w:t>）、实验废液（废流动相、实验后器皿前两次清洗废水等）</w:t>
            </w:r>
            <w:r>
              <w:rPr>
                <w:rFonts w:hint="eastAsia" w:cs="Times New Roman"/>
                <w:color w:val="auto"/>
                <w:szCs w:val="24"/>
                <w:highlight w:val="none"/>
              </w:rPr>
              <w:t>、废活性炭收集后暂存于危废间，委托山东朋光环保科技有限公司处置。</w:t>
            </w:r>
          </w:p>
          <w:p>
            <w:pPr>
              <w:pStyle w:val="34"/>
              <w:widowControl/>
              <w:adjustRightInd/>
              <w:rPr>
                <w:rFonts w:cs="Times New Roman"/>
                <w:color w:val="auto"/>
                <w:szCs w:val="24"/>
                <w:highlight w:val="none"/>
              </w:rPr>
            </w:pPr>
            <w:r>
              <w:rPr>
                <w:rFonts w:cs="Times New Roman"/>
                <w:color w:val="auto"/>
                <w:szCs w:val="24"/>
                <w:highlight w:val="none"/>
              </w:rPr>
              <w:t>建设单位已与</w:t>
            </w:r>
            <w:r>
              <w:rPr>
                <w:rFonts w:hint="eastAsia" w:cs="Times New Roman"/>
                <w:color w:val="auto"/>
                <w:szCs w:val="24"/>
                <w:highlight w:val="none"/>
              </w:rPr>
              <w:t>山东朋光环保科技有限公司</w:t>
            </w:r>
            <w:r>
              <w:rPr>
                <w:rFonts w:cs="Times New Roman"/>
                <w:color w:val="auto"/>
                <w:szCs w:val="24"/>
                <w:highlight w:val="none"/>
              </w:rPr>
              <w:t>签订危废委托处理协议。</w:t>
            </w:r>
          </w:p>
          <w:p>
            <w:pPr>
              <w:pStyle w:val="34"/>
              <w:snapToGrid w:val="0"/>
              <w:jc w:val="both"/>
              <w:rPr>
                <w:rFonts w:cs="Times New Roman"/>
                <w:color w:val="auto"/>
                <w:szCs w:val="24"/>
                <w:highlight w:val="none"/>
              </w:rPr>
            </w:pPr>
            <w:r>
              <w:rPr>
                <w:rFonts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34"/>
              <w:widowControl/>
              <w:numPr>
                <w:ilvl w:val="255"/>
                <w:numId w:val="0"/>
              </w:numPr>
              <w:adjustRightInd/>
              <w:spacing w:line="240" w:lineRule="auto"/>
              <w:ind w:firstLine="482" w:firstLineChars="200"/>
              <w:rPr>
                <w:rFonts w:cs="Times New Roman"/>
                <w:b/>
                <w:bCs/>
                <w:color w:val="auto"/>
                <w:szCs w:val="24"/>
                <w:highlight w:val="none"/>
              </w:rPr>
            </w:pPr>
            <w:r>
              <w:rPr>
                <w:rFonts w:hint="eastAsia" w:cs="Times New Roman"/>
                <w:b/>
                <w:bCs/>
                <w:color w:val="auto"/>
                <w:szCs w:val="24"/>
                <w:highlight w:val="none"/>
              </w:rPr>
              <w:t>4、污染物排放总量</w:t>
            </w:r>
          </w:p>
          <w:p>
            <w:pPr>
              <w:pStyle w:val="34"/>
              <w:widowControl/>
              <w:adjustRightInd/>
              <w:rPr>
                <w:rFonts w:cs="Times New Roman"/>
                <w:color w:val="auto"/>
                <w:szCs w:val="24"/>
                <w:highlight w:val="none"/>
              </w:rPr>
            </w:pPr>
            <w:r>
              <w:rPr>
                <w:rFonts w:hint="eastAsia" w:cs="Times New Roman"/>
                <w:color w:val="auto"/>
                <w:highlight w:val="none"/>
              </w:rPr>
              <w:t>废气：根据现场调查和实际生产情况，仅在合成工序、分析工序产生有机废气，以上工序年排气时间合计为11</w:t>
            </w:r>
            <w:r>
              <w:rPr>
                <w:rFonts w:hint="eastAsia" w:cs="Times New Roman"/>
                <w:color w:val="auto"/>
                <w:highlight w:val="none"/>
                <w:lang w:eastAsia="zh-CN"/>
              </w:rPr>
              <w:t>0</w:t>
            </w:r>
            <w:r>
              <w:rPr>
                <w:rFonts w:hint="eastAsia" w:cs="Times New Roman"/>
                <w:color w:val="auto"/>
                <w:highlight w:val="none"/>
              </w:rPr>
              <w:t>0小时，根据验收监测结果核算，项目VOCs排放量为</w:t>
            </w:r>
            <w:r>
              <w:rPr>
                <w:rFonts w:hint="eastAsia" w:cs="Times New Roman"/>
                <w:color w:val="auto"/>
                <w:highlight w:val="none"/>
                <w:lang w:eastAsia="zh-CN"/>
              </w:rPr>
              <w:t>0</w:t>
            </w:r>
            <w:r>
              <w:rPr>
                <w:rFonts w:hint="eastAsia" w:cs="Times New Roman"/>
                <w:color w:val="auto"/>
                <w:highlight w:val="none"/>
                <w:lang w:val="en-US" w:eastAsia="zh-CN"/>
              </w:rPr>
              <w:t>.0594</w:t>
            </w:r>
            <w:r>
              <w:rPr>
                <w:rFonts w:hint="eastAsia" w:cs="Times New Roman"/>
                <w:color w:val="auto"/>
                <w:highlight w:val="none"/>
              </w:rPr>
              <w:t>t/a，满足VOCs总量控制要求0.064t/a（低于环评文件测算总量）。</w:t>
            </w:r>
          </w:p>
          <w:p>
            <w:pPr>
              <w:pStyle w:val="34"/>
              <w:widowControl/>
              <w:adjustRightInd/>
              <w:ind w:firstLine="482"/>
              <w:rPr>
                <w:rFonts w:cs="Times New Roman"/>
                <w:b/>
                <w:bCs/>
                <w:color w:val="auto"/>
                <w:szCs w:val="24"/>
                <w:highlight w:val="none"/>
              </w:rPr>
            </w:pPr>
            <w:r>
              <w:rPr>
                <w:rFonts w:hint="eastAsia" w:cs="Times New Roman"/>
                <w:b/>
                <w:bCs/>
                <w:color w:val="auto"/>
                <w:szCs w:val="24"/>
                <w:highlight w:val="none"/>
              </w:rPr>
              <w:t>5、环保设施去除效率</w:t>
            </w:r>
          </w:p>
          <w:p>
            <w:pPr>
              <w:pStyle w:val="34"/>
              <w:snapToGrid w:val="0"/>
              <w:rPr>
                <w:rFonts w:cs="Times New Roman"/>
                <w:color w:val="auto"/>
                <w:szCs w:val="24"/>
                <w:highlight w:val="none"/>
              </w:rPr>
            </w:pPr>
            <w:r>
              <w:rPr>
                <w:rFonts w:hint="eastAsia" w:cs="Times New Roman"/>
                <w:color w:val="auto"/>
                <w:szCs w:val="24"/>
                <w:highlight w:val="none"/>
              </w:rPr>
              <w:t>废气：“碱喷淋+活性炭吸附装置”进口因生产安全原因，不具备检测条件，进口未检测，只进行了出口达标检测，本次验收未进行去除效率计算。不具备检测条件现场照片见附件</w:t>
            </w:r>
            <w:r>
              <w:rPr>
                <w:rFonts w:hint="eastAsia" w:cs="Times New Roman"/>
                <w:color w:val="auto"/>
                <w:szCs w:val="24"/>
                <w:highlight w:val="none"/>
                <w:lang w:val="en-US" w:eastAsia="zh-CN"/>
              </w:rPr>
              <w:t>6。</w:t>
            </w:r>
          </w:p>
          <w:p>
            <w:pPr>
              <w:ind w:firstLine="480"/>
              <w:rPr>
                <w:color w:val="auto"/>
                <w:highlight w:val="none"/>
              </w:rPr>
            </w:pPr>
            <w:r>
              <w:rPr>
                <w:rFonts w:hint="eastAsia"/>
                <w:color w:val="auto"/>
                <w:highlight w:val="none"/>
              </w:rPr>
              <w:t>废水：根据验收监测结果核算，污水处理设备对废水中主要污染物氨氮、化学需氧量平均去除效率分别为48.6%、49.5%。根据环评意见，不纳入环境总量管理。</w:t>
            </w:r>
          </w:p>
          <w:p>
            <w:pPr>
              <w:numPr>
                <w:ilvl w:val="255"/>
                <w:numId w:val="0"/>
              </w:numPr>
              <w:ind w:firstLine="482"/>
              <w:rPr>
                <w:b/>
                <w:bCs/>
                <w:color w:val="auto"/>
                <w:highlight w:val="none"/>
              </w:rPr>
            </w:pPr>
            <w:r>
              <w:rPr>
                <w:rFonts w:hint="eastAsia"/>
                <w:b/>
                <w:bCs/>
                <w:color w:val="auto"/>
                <w:highlight w:val="none"/>
              </w:rPr>
              <w:t>6、</w:t>
            </w:r>
            <w:r>
              <w:rPr>
                <w:b/>
                <w:color w:val="auto"/>
                <w:highlight w:val="none"/>
              </w:rPr>
              <w:t>工程建设对环境的影响</w:t>
            </w:r>
          </w:p>
          <w:p>
            <w:pPr>
              <w:pStyle w:val="34"/>
              <w:jc w:val="both"/>
              <w:rPr>
                <w:rFonts w:cs="Times New Roman"/>
                <w:color w:val="auto"/>
                <w:szCs w:val="24"/>
                <w:highlight w:val="none"/>
              </w:rPr>
            </w:pPr>
            <w:r>
              <w:rPr>
                <w:rFonts w:cs="Times New Roman"/>
                <w:color w:val="auto"/>
                <w:szCs w:val="24"/>
                <w:highlight w:val="none"/>
              </w:rPr>
              <w:t>本项目位于</w:t>
            </w:r>
            <w:r>
              <w:rPr>
                <w:rFonts w:hint="eastAsia" w:cs="Times New Roman"/>
                <w:color w:val="auto"/>
                <w:szCs w:val="24"/>
                <w:highlight w:val="none"/>
              </w:rPr>
              <w:t>济南市高新区春兰路1177号银丰国际生物城B7-02楼</w:t>
            </w:r>
            <w:r>
              <w:rPr>
                <w:rFonts w:cs="Times New Roman"/>
                <w:color w:val="auto"/>
                <w:szCs w:val="24"/>
                <w:highlight w:val="none"/>
              </w:rPr>
              <w:t>，监测结果表明，本项目废气、</w:t>
            </w:r>
            <w:r>
              <w:rPr>
                <w:rFonts w:hint="eastAsia" w:cs="Times New Roman"/>
                <w:color w:val="auto"/>
                <w:szCs w:val="24"/>
                <w:highlight w:val="none"/>
              </w:rPr>
              <w:t>废水、</w:t>
            </w:r>
            <w:r>
              <w:rPr>
                <w:rFonts w:cs="Times New Roman"/>
                <w:color w:val="auto"/>
                <w:szCs w:val="24"/>
                <w:highlight w:val="none"/>
              </w:rPr>
              <w:t>噪声均符合国家标准要求，达标排放，固体废物均合理处置，对周围环境影响较小。</w:t>
            </w:r>
          </w:p>
          <w:p>
            <w:pPr>
              <w:pStyle w:val="34"/>
              <w:jc w:val="both"/>
              <w:rPr>
                <w:rFonts w:cs="Times New Roman"/>
                <w:color w:val="auto"/>
                <w:szCs w:val="24"/>
                <w:highlight w:val="none"/>
              </w:rPr>
            </w:pPr>
            <w:r>
              <w:rPr>
                <w:rFonts w:cs="Times New Roman"/>
                <w:color w:val="auto"/>
                <w:szCs w:val="24"/>
                <w:highlight w:val="none"/>
              </w:rPr>
              <w:t>根据监测及调查结果分析，项目建设对环境的影响可以接受，不会造成环境质量的恶化。</w:t>
            </w:r>
          </w:p>
          <w:p>
            <w:pPr>
              <w:pStyle w:val="34"/>
              <w:ind w:firstLine="482"/>
              <w:rPr>
                <w:rFonts w:cs="Times New Roman"/>
                <w:b/>
                <w:bCs/>
                <w:color w:val="auto"/>
                <w:szCs w:val="24"/>
                <w:highlight w:val="none"/>
              </w:rPr>
            </w:pPr>
            <w:r>
              <w:rPr>
                <w:rFonts w:hint="eastAsia" w:cs="Times New Roman"/>
                <w:b/>
                <w:bCs/>
                <w:color w:val="auto"/>
                <w:szCs w:val="24"/>
                <w:highlight w:val="none"/>
              </w:rPr>
              <w:t>7、</w:t>
            </w:r>
            <w:r>
              <w:rPr>
                <w:rFonts w:cs="Times New Roman"/>
                <w:b/>
                <w:bCs/>
                <w:color w:val="auto"/>
                <w:szCs w:val="24"/>
                <w:highlight w:val="none"/>
              </w:rPr>
              <w:t>验收结论</w:t>
            </w:r>
          </w:p>
          <w:p>
            <w:pPr>
              <w:pStyle w:val="34"/>
              <w:jc w:val="both"/>
              <w:rPr>
                <w:rFonts w:cs="Times New Roman"/>
                <w:color w:val="auto"/>
                <w:szCs w:val="24"/>
                <w:highlight w:val="none"/>
              </w:rPr>
            </w:pPr>
            <w:r>
              <w:rPr>
                <w:rFonts w:hint="eastAsia" w:cs="Times New Roman"/>
                <w:color w:val="auto"/>
                <w:kern w:val="21"/>
                <w:szCs w:val="24"/>
                <w:highlight w:val="none"/>
              </w:rPr>
              <w:t>济南久隆医药科技有限公司实验室建设项目</w:t>
            </w:r>
            <w:r>
              <w:rPr>
                <w:rFonts w:cs="Times New Roman"/>
                <w:color w:val="auto"/>
                <w:szCs w:val="24"/>
                <w:highlight w:val="none"/>
              </w:rPr>
              <w:t>环评手续完备，技术资料基本齐全。项目主体及环境保护设施等总体按环评及批复要求建成，</w:t>
            </w:r>
            <w:r>
              <w:rPr>
                <w:rFonts w:hint="eastAsia" w:cs="Times New Roman"/>
                <w:color w:val="auto"/>
                <w:szCs w:val="24"/>
                <w:highlight w:val="none"/>
              </w:rPr>
              <w:t>具备</w:t>
            </w:r>
            <w:r>
              <w:rPr>
                <w:rFonts w:cs="Times New Roman"/>
                <w:color w:val="auto"/>
                <w:szCs w:val="24"/>
                <w:highlight w:val="none"/>
              </w:rPr>
              <w:t>正常运行条件，无重大变动。验收监测结果表明，项目各项污染物能够达标排放，基本具备建设项目竣工环境保护验收条件</w:t>
            </w:r>
            <w:r>
              <w:rPr>
                <w:rFonts w:hint="eastAsia" w:cs="Times New Roman"/>
                <w:color w:val="auto"/>
                <w:szCs w:val="24"/>
                <w:highlight w:val="none"/>
              </w:rPr>
              <w:t>。</w:t>
            </w:r>
          </w:p>
          <w:p>
            <w:pPr>
              <w:ind w:firstLine="482"/>
              <w:rPr>
                <w:b/>
                <w:bCs/>
                <w:color w:val="auto"/>
                <w:highlight w:val="none"/>
              </w:rPr>
            </w:pPr>
            <w:r>
              <w:rPr>
                <w:b/>
                <w:bCs/>
                <w:color w:val="auto"/>
                <w:highlight w:val="none"/>
              </w:rPr>
              <w:t>二、建议：</w:t>
            </w:r>
          </w:p>
          <w:p>
            <w:pPr>
              <w:snapToGrid w:val="0"/>
              <w:ind w:right="113" w:firstLine="480"/>
              <w:rPr>
                <w:color w:val="auto"/>
                <w:highlight w:val="none"/>
              </w:rPr>
            </w:pPr>
            <w:r>
              <w:rPr>
                <w:color w:val="auto"/>
                <w:highlight w:val="none"/>
              </w:rPr>
              <w:t>（1）加强废气处理设施的管理与维护，建立并落实日常运行管理台账，确保废气环保设施的稳定运行和污染物长期稳定达标排放；</w:t>
            </w:r>
          </w:p>
          <w:p>
            <w:pPr>
              <w:pStyle w:val="34"/>
              <w:spacing w:line="240" w:lineRule="auto"/>
              <w:rPr>
                <w:rFonts w:cs="Times New Roman"/>
                <w:color w:val="auto"/>
                <w:szCs w:val="24"/>
                <w:highlight w:val="none"/>
              </w:rPr>
            </w:pPr>
            <w:r>
              <w:rPr>
                <w:rFonts w:cs="Times New Roman"/>
                <w:color w:val="auto"/>
                <w:szCs w:val="24"/>
                <w:highlight w:val="none"/>
              </w:rPr>
              <w:t>（2）加强高噪音设备的维修和保养，降低噪声污染，维持噪声排放达标。</w:t>
            </w:r>
          </w:p>
          <w:p>
            <w:pPr>
              <w:pStyle w:val="34"/>
              <w:spacing w:line="240" w:lineRule="auto"/>
              <w:rPr>
                <w:rFonts w:cs="Times New Roman"/>
                <w:color w:val="auto"/>
                <w:szCs w:val="24"/>
                <w:highlight w:val="none"/>
              </w:rPr>
            </w:pPr>
          </w:p>
          <w:p>
            <w:pPr>
              <w:pStyle w:val="34"/>
              <w:spacing w:line="240" w:lineRule="auto"/>
              <w:rPr>
                <w:rFonts w:cs="Times New Roman"/>
                <w:color w:val="auto"/>
                <w:szCs w:val="24"/>
                <w:highlight w:val="none"/>
              </w:rPr>
            </w:pPr>
          </w:p>
          <w:p>
            <w:pPr>
              <w:pStyle w:val="34"/>
              <w:spacing w:line="240" w:lineRule="auto"/>
              <w:rPr>
                <w:rFonts w:cs="Times New Roman"/>
                <w:color w:val="auto"/>
                <w:szCs w:val="24"/>
                <w:highlight w:val="none"/>
              </w:rPr>
            </w:pPr>
          </w:p>
        </w:tc>
      </w:tr>
    </w:tbl>
    <w:p>
      <w:pPr>
        <w:ind w:firstLine="480"/>
        <w:rPr>
          <w:color w:val="auto"/>
          <w:highlight w:val="none"/>
        </w:rPr>
      </w:pPr>
    </w:p>
    <w:sectPr>
      <w:footerReference r:id="rId6"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025" o:spid="_x0000_s204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02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E9CD2FC"/>
    <w:multiLevelType w:val="singleLevel"/>
    <w:tmpl w:val="DE9CD2F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2">
    <w:nsid w:val="44DB2C60"/>
    <w:multiLevelType w:val="singleLevel"/>
    <w:tmpl w:val="44DB2C60"/>
    <w:lvl w:ilvl="0" w:tentative="0">
      <w:start w:val="2"/>
      <w:numFmt w:val="chineseCounting"/>
      <w:suff w:val="nothing"/>
      <w:lvlText w:val="%1、"/>
      <w:lvlJc w:val="left"/>
      <w:rPr>
        <w:rFonts w:hint="eastAsia"/>
      </w:rPr>
    </w:lvl>
  </w:abstractNum>
  <w:abstractNum w:abstractNumId="3">
    <w:nsid w:val="4517F584"/>
    <w:multiLevelType w:val="singleLevel"/>
    <w:tmpl w:val="4517F584"/>
    <w:lvl w:ilvl="0" w:tentative="0">
      <w:start w:val="3"/>
      <w:numFmt w:val="chineseCounting"/>
      <w:suff w:val="nothing"/>
      <w:lvlText w:val="%1、"/>
      <w:lvlJc w:val="left"/>
      <w:rPr>
        <w:rFonts w:hint="eastAsia"/>
      </w:rPr>
    </w:lvl>
  </w:abstractNum>
  <w:abstractNum w:abstractNumId="4">
    <w:nsid w:val="677197B0"/>
    <w:multiLevelType w:val="singleLevel"/>
    <w:tmpl w:val="677197B0"/>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NotTrackMoves/>
  <w:trackRevisions w:val="1"/>
  <w:documentProtection w:enforcement="0"/>
  <w:defaultTabStop w:val="420"/>
  <w:drawingGridVerticalSpacing w:val="156"/>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7D5F1A"/>
    <w:rsid w:val="00133537"/>
    <w:rsid w:val="00185EE8"/>
    <w:rsid w:val="00190655"/>
    <w:rsid w:val="001F1E2C"/>
    <w:rsid w:val="00216040"/>
    <w:rsid w:val="00297FFC"/>
    <w:rsid w:val="00336321"/>
    <w:rsid w:val="00377076"/>
    <w:rsid w:val="004E17CF"/>
    <w:rsid w:val="00507809"/>
    <w:rsid w:val="00511B6B"/>
    <w:rsid w:val="00625CD1"/>
    <w:rsid w:val="007D5F1A"/>
    <w:rsid w:val="009052D3"/>
    <w:rsid w:val="00913FF8"/>
    <w:rsid w:val="00A16973"/>
    <w:rsid w:val="00A3254D"/>
    <w:rsid w:val="00AC3EC8"/>
    <w:rsid w:val="00B2492E"/>
    <w:rsid w:val="00BD0AB6"/>
    <w:rsid w:val="00BE504F"/>
    <w:rsid w:val="00DE7EF5"/>
    <w:rsid w:val="00E27009"/>
    <w:rsid w:val="00F929B5"/>
    <w:rsid w:val="010E11FA"/>
    <w:rsid w:val="013D04D4"/>
    <w:rsid w:val="01400946"/>
    <w:rsid w:val="015206A9"/>
    <w:rsid w:val="01662125"/>
    <w:rsid w:val="01796CFC"/>
    <w:rsid w:val="01825D28"/>
    <w:rsid w:val="01CD70A4"/>
    <w:rsid w:val="0235533A"/>
    <w:rsid w:val="02431E27"/>
    <w:rsid w:val="02662CBA"/>
    <w:rsid w:val="027A7982"/>
    <w:rsid w:val="027E4268"/>
    <w:rsid w:val="02A35F83"/>
    <w:rsid w:val="02A76009"/>
    <w:rsid w:val="02B32508"/>
    <w:rsid w:val="02D65E4B"/>
    <w:rsid w:val="02DD598C"/>
    <w:rsid w:val="02EE4716"/>
    <w:rsid w:val="02EF2D80"/>
    <w:rsid w:val="03036C83"/>
    <w:rsid w:val="031D70B2"/>
    <w:rsid w:val="03303A6C"/>
    <w:rsid w:val="035328CF"/>
    <w:rsid w:val="03C21B8E"/>
    <w:rsid w:val="03ED38B6"/>
    <w:rsid w:val="03F21E0D"/>
    <w:rsid w:val="03F86B1C"/>
    <w:rsid w:val="04212714"/>
    <w:rsid w:val="04876F6C"/>
    <w:rsid w:val="049715D3"/>
    <w:rsid w:val="04F3565F"/>
    <w:rsid w:val="05B43FA6"/>
    <w:rsid w:val="05B6327C"/>
    <w:rsid w:val="05BF1BC8"/>
    <w:rsid w:val="05E22866"/>
    <w:rsid w:val="05EA345B"/>
    <w:rsid w:val="05F860E5"/>
    <w:rsid w:val="061544E1"/>
    <w:rsid w:val="069536E9"/>
    <w:rsid w:val="06A30146"/>
    <w:rsid w:val="06A825F4"/>
    <w:rsid w:val="06D51D6A"/>
    <w:rsid w:val="07090C52"/>
    <w:rsid w:val="07462294"/>
    <w:rsid w:val="079E53C5"/>
    <w:rsid w:val="07AE738B"/>
    <w:rsid w:val="07B92DF8"/>
    <w:rsid w:val="07EA3C15"/>
    <w:rsid w:val="07EC732D"/>
    <w:rsid w:val="08223887"/>
    <w:rsid w:val="083A2F63"/>
    <w:rsid w:val="08602EE2"/>
    <w:rsid w:val="08903093"/>
    <w:rsid w:val="08E83851"/>
    <w:rsid w:val="090D69D4"/>
    <w:rsid w:val="09366EE9"/>
    <w:rsid w:val="09423105"/>
    <w:rsid w:val="097275F8"/>
    <w:rsid w:val="09AA6B0A"/>
    <w:rsid w:val="09BA2B89"/>
    <w:rsid w:val="09C74070"/>
    <w:rsid w:val="09CB32BC"/>
    <w:rsid w:val="09DC6FDC"/>
    <w:rsid w:val="0A1C1AFC"/>
    <w:rsid w:val="0A2C7F98"/>
    <w:rsid w:val="0A7A7F5F"/>
    <w:rsid w:val="0AB143FE"/>
    <w:rsid w:val="0AD176D7"/>
    <w:rsid w:val="0B1910AC"/>
    <w:rsid w:val="0B2A5B1C"/>
    <w:rsid w:val="0B3A70C3"/>
    <w:rsid w:val="0B4D5DA2"/>
    <w:rsid w:val="0B82583D"/>
    <w:rsid w:val="0B89325F"/>
    <w:rsid w:val="0BF23B46"/>
    <w:rsid w:val="0BF83554"/>
    <w:rsid w:val="0C356E6A"/>
    <w:rsid w:val="0C4F54B4"/>
    <w:rsid w:val="0C503F46"/>
    <w:rsid w:val="0C7D381D"/>
    <w:rsid w:val="0C935C3C"/>
    <w:rsid w:val="0D6D580F"/>
    <w:rsid w:val="0D7379F4"/>
    <w:rsid w:val="0D9413D8"/>
    <w:rsid w:val="0DB717F6"/>
    <w:rsid w:val="0DD24057"/>
    <w:rsid w:val="0E3258FD"/>
    <w:rsid w:val="0E582966"/>
    <w:rsid w:val="0E8536A2"/>
    <w:rsid w:val="0EAB00C6"/>
    <w:rsid w:val="0EDE1763"/>
    <w:rsid w:val="0EFF52AD"/>
    <w:rsid w:val="0F275BBC"/>
    <w:rsid w:val="0F2B795D"/>
    <w:rsid w:val="0F2F200D"/>
    <w:rsid w:val="0F4B19BF"/>
    <w:rsid w:val="0F4C0664"/>
    <w:rsid w:val="0F4F7E54"/>
    <w:rsid w:val="0F5624FB"/>
    <w:rsid w:val="0F82537E"/>
    <w:rsid w:val="0FDE601F"/>
    <w:rsid w:val="0FF131C4"/>
    <w:rsid w:val="100B2D56"/>
    <w:rsid w:val="101544EB"/>
    <w:rsid w:val="102A4B9D"/>
    <w:rsid w:val="102F3443"/>
    <w:rsid w:val="104739AC"/>
    <w:rsid w:val="105B06CE"/>
    <w:rsid w:val="10AE274A"/>
    <w:rsid w:val="1150402C"/>
    <w:rsid w:val="11BE0997"/>
    <w:rsid w:val="11C137B8"/>
    <w:rsid w:val="11E13F9B"/>
    <w:rsid w:val="120325DE"/>
    <w:rsid w:val="1218726C"/>
    <w:rsid w:val="128D3425"/>
    <w:rsid w:val="12B22989"/>
    <w:rsid w:val="12E91559"/>
    <w:rsid w:val="131D034D"/>
    <w:rsid w:val="13A47873"/>
    <w:rsid w:val="13AD482F"/>
    <w:rsid w:val="13B55962"/>
    <w:rsid w:val="13CA6CD3"/>
    <w:rsid w:val="13E869A1"/>
    <w:rsid w:val="1415355C"/>
    <w:rsid w:val="14437B44"/>
    <w:rsid w:val="1460135C"/>
    <w:rsid w:val="148C21B0"/>
    <w:rsid w:val="14A17B90"/>
    <w:rsid w:val="14C33DB7"/>
    <w:rsid w:val="14F744C9"/>
    <w:rsid w:val="15261ADB"/>
    <w:rsid w:val="156113E2"/>
    <w:rsid w:val="15737602"/>
    <w:rsid w:val="158D5AC0"/>
    <w:rsid w:val="15914368"/>
    <w:rsid w:val="15923FA2"/>
    <w:rsid w:val="159A3ED7"/>
    <w:rsid w:val="159F2051"/>
    <w:rsid w:val="15A7091D"/>
    <w:rsid w:val="15B40634"/>
    <w:rsid w:val="15B84334"/>
    <w:rsid w:val="15BF5987"/>
    <w:rsid w:val="15CC123F"/>
    <w:rsid w:val="15FF213F"/>
    <w:rsid w:val="16186768"/>
    <w:rsid w:val="163C029A"/>
    <w:rsid w:val="16414AC9"/>
    <w:rsid w:val="164803CE"/>
    <w:rsid w:val="164C7AF9"/>
    <w:rsid w:val="16773610"/>
    <w:rsid w:val="16865A4A"/>
    <w:rsid w:val="16FE2D5E"/>
    <w:rsid w:val="17147A18"/>
    <w:rsid w:val="1732013F"/>
    <w:rsid w:val="17595A97"/>
    <w:rsid w:val="1772528B"/>
    <w:rsid w:val="177A4E90"/>
    <w:rsid w:val="1813303D"/>
    <w:rsid w:val="1847039F"/>
    <w:rsid w:val="187825D6"/>
    <w:rsid w:val="18797892"/>
    <w:rsid w:val="18A0088A"/>
    <w:rsid w:val="18D06021"/>
    <w:rsid w:val="18DC2DEE"/>
    <w:rsid w:val="18EA1E36"/>
    <w:rsid w:val="18F07354"/>
    <w:rsid w:val="190776DD"/>
    <w:rsid w:val="1930525F"/>
    <w:rsid w:val="195B2DEE"/>
    <w:rsid w:val="197720A3"/>
    <w:rsid w:val="198A6E34"/>
    <w:rsid w:val="19B062B6"/>
    <w:rsid w:val="1A685C6A"/>
    <w:rsid w:val="1A8E059C"/>
    <w:rsid w:val="1AA03F29"/>
    <w:rsid w:val="1AA43E0E"/>
    <w:rsid w:val="1AAF3571"/>
    <w:rsid w:val="1AD772FB"/>
    <w:rsid w:val="1AE53683"/>
    <w:rsid w:val="1AE55B64"/>
    <w:rsid w:val="1AFB060E"/>
    <w:rsid w:val="1AFB6971"/>
    <w:rsid w:val="1B094EDD"/>
    <w:rsid w:val="1B28788F"/>
    <w:rsid w:val="1B2C1F36"/>
    <w:rsid w:val="1B3B0ABD"/>
    <w:rsid w:val="1B3D20D5"/>
    <w:rsid w:val="1B3E509E"/>
    <w:rsid w:val="1B4D5379"/>
    <w:rsid w:val="1B854865"/>
    <w:rsid w:val="1B854FDF"/>
    <w:rsid w:val="1B98337D"/>
    <w:rsid w:val="1B993D30"/>
    <w:rsid w:val="1B9C45A8"/>
    <w:rsid w:val="1BAE0AE9"/>
    <w:rsid w:val="1BE64BA3"/>
    <w:rsid w:val="1C0F399F"/>
    <w:rsid w:val="1C360715"/>
    <w:rsid w:val="1C3C7EA9"/>
    <w:rsid w:val="1C582DE0"/>
    <w:rsid w:val="1C5F1D2A"/>
    <w:rsid w:val="1CB22D3B"/>
    <w:rsid w:val="1CD049D0"/>
    <w:rsid w:val="1CEC2C59"/>
    <w:rsid w:val="1D2152F1"/>
    <w:rsid w:val="1D7068D1"/>
    <w:rsid w:val="1D7C7C8B"/>
    <w:rsid w:val="1D8C3E58"/>
    <w:rsid w:val="1DA94F92"/>
    <w:rsid w:val="1DF45C16"/>
    <w:rsid w:val="1E141307"/>
    <w:rsid w:val="1E2A6526"/>
    <w:rsid w:val="1E375B49"/>
    <w:rsid w:val="1E433BDE"/>
    <w:rsid w:val="1E8C4D72"/>
    <w:rsid w:val="1ED455F9"/>
    <w:rsid w:val="1F0C3E04"/>
    <w:rsid w:val="1F1F2C34"/>
    <w:rsid w:val="1F271546"/>
    <w:rsid w:val="1FC17C12"/>
    <w:rsid w:val="1FC6340A"/>
    <w:rsid w:val="1FDE59B1"/>
    <w:rsid w:val="200415C4"/>
    <w:rsid w:val="2006563C"/>
    <w:rsid w:val="20306BD1"/>
    <w:rsid w:val="206041BD"/>
    <w:rsid w:val="209E3C88"/>
    <w:rsid w:val="20B03D83"/>
    <w:rsid w:val="20DA79B4"/>
    <w:rsid w:val="20EF2BFD"/>
    <w:rsid w:val="20F3473B"/>
    <w:rsid w:val="213A06E6"/>
    <w:rsid w:val="213E6B87"/>
    <w:rsid w:val="215B468B"/>
    <w:rsid w:val="21607D16"/>
    <w:rsid w:val="21870F94"/>
    <w:rsid w:val="218D668D"/>
    <w:rsid w:val="21B34266"/>
    <w:rsid w:val="21BE085D"/>
    <w:rsid w:val="21C415C4"/>
    <w:rsid w:val="21DC30F5"/>
    <w:rsid w:val="22094132"/>
    <w:rsid w:val="220B7216"/>
    <w:rsid w:val="22160FB3"/>
    <w:rsid w:val="2240296C"/>
    <w:rsid w:val="22600B99"/>
    <w:rsid w:val="22713E52"/>
    <w:rsid w:val="229C0074"/>
    <w:rsid w:val="22BB4EC8"/>
    <w:rsid w:val="22D762F3"/>
    <w:rsid w:val="22DC0ADE"/>
    <w:rsid w:val="22EF38AF"/>
    <w:rsid w:val="22FE4BEA"/>
    <w:rsid w:val="231E4892"/>
    <w:rsid w:val="2322454C"/>
    <w:rsid w:val="232B591D"/>
    <w:rsid w:val="2339743D"/>
    <w:rsid w:val="234279B0"/>
    <w:rsid w:val="23AA1FE5"/>
    <w:rsid w:val="23CC579C"/>
    <w:rsid w:val="23E31D17"/>
    <w:rsid w:val="23E85757"/>
    <w:rsid w:val="23F154FF"/>
    <w:rsid w:val="240F4A2D"/>
    <w:rsid w:val="24581193"/>
    <w:rsid w:val="24A81235"/>
    <w:rsid w:val="24D01010"/>
    <w:rsid w:val="24E64EBF"/>
    <w:rsid w:val="250E6E30"/>
    <w:rsid w:val="25184258"/>
    <w:rsid w:val="251B7141"/>
    <w:rsid w:val="2531151D"/>
    <w:rsid w:val="255E6A17"/>
    <w:rsid w:val="259D37E8"/>
    <w:rsid w:val="25DB6CBC"/>
    <w:rsid w:val="261455E0"/>
    <w:rsid w:val="261761A2"/>
    <w:rsid w:val="264358A9"/>
    <w:rsid w:val="265F757B"/>
    <w:rsid w:val="26690A17"/>
    <w:rsid w:val="267D5105"/>
    <w:rsid w:val="26993785"/>
    <w:rsid w:val="26CF4A60"/>
    <w:rsid w:val="26ED18E9"/>
    <w:rsid w:val="27003BC0"/>
    <w:rsid w:val="2708239D"/>
    <w:rsid w:val="270F5B8F"/>
    <w:rsid w:val="274F4A0F"/>
    <w:rsid w:val="27640B66"/>
    <w:rsid w:val="2771791E"/>
    <w:rsid w:val="2780222C"/>
    <w:rsid w:val="27F03715"/>
    <w:rsid w:val="27F64F8D"/>
    <w:rsid w:val="280D3597"/>
    <w:rsid w:val="2892400F"/>
    <w:rsid w:val="28DC5EA4"/>
    <w:rsid w:val="28E56758"/>
    <w:rsid w:val="28F30D41"/>
    <w:rsid w:val="293F0351"/>
    <w:rsid w:val="29793709"/>
    <w:rsid w:val="298C18C1"/>
    <w:rsid w:val="29AF345F"/>
    <w:rsid w:val="29C56B78"/>
    <w:rsid w:val="2A0D172C"/>
    <w:rsid w:val="2A4022D4"/>
    <w:rsid w:val="2A580712"/>
    <w:rsid w:val="2A9F38E6"/>
    <w:rsid w:val="2AA35117"/>
    <w:rsid w:val="2AA53FB3"/>
    <w:rsid w:val="2ACB7F37"/>
    <w:rsid w:val="2AD97A87"/>
    <w:rsid w:val="2ADC6CD0"/>
    <w:rsid w:val="2AF20BB1"/>
    <w:rsid w:val="2B0B1799"/>
    <w:rsid w:val="2B1453E4"/>
    <w:rsid w:val="2B3D3B5E"/>
    <w:rsid w:val="2B67525B"/>
    <w:rsid w:val="2B6B4A2F"/>
    <w:rsid w:val="2B853825"/>
    <w:rsid w:val="2B893600"/>
    <w:rsid w:val="2BDD74C0"/>
    <w:rsid w:val="2BF9498F"/>
    <w:rsid w:val="2BFB7326"/>
    <w:rsid w:val="2C046E7B"/>
    <w:rsid w:val="2C081860"/>
    <w:rsid w:val="2C0D0BE9"/>
    <w:rsid w:val="2C1313E8"/>
    <w:rsid w:val="2C2461F3"/>
    <w:rsid w:val="2C3562B0"/>
    <w:rsid w:val="2C6A7F59"/>
    <w:rsid w:val="2CA406D6"/>
    <w:rsid w:val="2CD158B5"/>
    <w:rsid w:val="2CF3508A"/>
    <w:rsid w:val="2D0E3978"/>
    <w:rsid w:val="2D2212E5"/>
    <w:rsid w:val="2D347475"/>
    <w:rsid w:val="2D627770"/>
    <w:rsid w:val="2DC413B6"/>
    <w:rsid w:val="2DD3461D"/>
    <w:rsid w:val="2E5B4739"/>
    <w:rsid w:val="2E5C63AE"/>
    <w:rsid w:val="2E5D4969"/>
    <w:rsid w:val="2E7078E1"/>
    <w:rsid w:val="2E836001"/>
    <w:rsid w:val="2E90284D"/>
    <w:rsid w:val="2E9A689E"/>
    <w:rsid w:val="2EA46655"/>
    <w:rsid w:val="2EDF4686"/>
    <w:rsid w:val="2EE203AF"/>
    <w:rsid w:val="2EF05FE7"/>
    <w:rsid w:val="2F027601"/>
    <w:rsid w:val="2F0C1127"/>
    <w:rsid w:val="2F207B0D"/>
    <w:rsid w:val="2F266266"/>
    <w:rsid w:val="2F603F3E"/>
    <w:rsid w:val="2F8D6403"/>
    <w:rsid w:val="2FBA585A"/>
    <w:rsid w:val="2FBC2890"/>
    <w:rsid w:val="2FF10027"/>
    <w:rsid w:val="300541EB"/>
    <w:rsid w:val="307862DE"/>
    <w:rsid w:val="308556FC"/>
    <w:rsid w:val="30E52671"/>
    <w:rsid w:val="312B7C81"/>
    <w:rsid w:val="313568B9"/>
    <w:rsid w:val="31442EA9"/>
    <w:rsid w:val="314E4ADE"/>
    <w:rsid w:val="31502DEF"/>
    <w:rsid w:val="31730030"/>
    <w:rsid w:val="318B1DD8"/>
    <w:rsid w:val="318C4312"/>
    <w:rsid w:val="3195076F"/>
    <w:rsid w:val="31A02ABC"/>
    <w:rsid w:val="31DA602E"/>
    <w:rsid w:val="31E66087"/>
    <w:rsid w:val="31FC3722"/>
    <w:rsid w:val="321815DB"/>
    <w:rsid w:val="321A0060"/>
    <w:rsid w:val="32286688"/>
    <w:rsid w:val="323E33C3"/>
    <w:rsid w:val="330B1693"/>
    <w:rsid w:val="334F03CF"/>
    <w:rsid w:val="3360174A"/>
    <w:rsid w:val="3375198A"/>
    <w:rsid w:val="33870C1A"/>
    <w:rsid w:val="338D1111"/>
    <w:rsid w:val="33A6015F"/>
    <w:rsid w:val="33F63C33"/>
    <w:rsid w:val="342C28E4"/>
    <w:rsid w:val="34405969"/>
    <w:rsid w:val="345E221D"/>
    <w:rsid w:val="346B74BB"/>
    <w:rsid w:val="349E5EEA"/>
    <w:rsid w:val="34A61090"/>
    <w:rsid w:val="34AB6B6B"/>
    <w:rsid w:val="34AD4A64"/>
    <w:rsid w:val="34B83161"/>
    <w:rsid w:val="34BC595C"/>
    <w:rsid w:val="34E3550C"/>
    <w:rsid w:val="34EA2E3B"/>
    <w:rsid w:val="3504246A"/>
    <w:rsid w:val="35072491"/>
    <w:rsid w:val="350E307A"/>
    <w:rsid w:val="352112E0"/>
    <w:rsid w:val="352970EB"/>
    <w:rsid w:val="353214BB"/>
    <w:rsid w:val="35436D6F"/>
    <w:rsid w:val="35852C22"/>
    <w:rsid w:val="358C6C6C"/>
    <w:rsid w:val="35CE05E0"/>
    <w:rsid w:val="35ED64F8"/>
    <w:rsid w:val="36150E2C"/>
    <w:rsid w:val="366F766B"/>
    <w:rsid w:val="36C07833"/>
    <w:rsid w:val="36C57E2E"/>
    <w:rsid w:val="36C715D4"/>
    <w:rsid w:val="37032093"/>
    <w:rsid w:val="370E0375"/>
    <w:rsid w:val="37164613"/>
    <w:rsid w:val="37396C25"/>
    <w:rsid w:val="373E0B7B"/>
    <w:rsid w:val="37467467"/>
    <w:rsid w:val="37947DDC"/>
    <w:rsid w:val="380C1EEC"/>
    <w:rsid w:val="38225F97"/>
    <w:rsid w:val="382A14D1"/>
    <w:rsid w:val="382A2BB6"/>
    <w:rsid w:val="382A30A3"/>
    <w:rsid w:val="38665A54"/>
    <w:rsid w:val="38D64CA0"/>
    <w:rsid w:val="38F35D01"/>
    <w:rsid w:val="38FE152C"/>
    <w:rsid w:val="39023647"/>
    <w:rsid w:val="39327A82"/>
    <w:rsid w:val="3937132F"/>
    <w:rsid w:val="395B0800"/>
    <w:rsid w:val="398529CA"/>
    <w:rsid w:val="39E01568"/>
    <w:rsid w:val="3A014B0F"/>
    <w:rsid w:val="3A250ED1"/>
    <w:rsid w:val="3A36183C"/>
    <w:rsid w:val="3A572C4A"/>
    <w:rsid w:val="3A6B3E1F"/>
    <w:rsid w:val="3A6C08F8"/>
    <w:rsid w:val="3ABB16DC"/>
    <w:rsid w:val="3ABC7A16"/>
    <w:rsid w:val="3AE93483"/>
    <w:rsid w:val="3AEC6CA1"/>
    <w:rsid w:val="3B1E418A"/>
    <w:rsid w:val="3B1E4B89"/>
    <w:rsid w:val="3B263102"/>
    <w:rsid w:val="3B420B2B"/>
    <w:rsid w:val="3B6E6CB9"/>
    <w:rsid w:val="3B6F55C4"/>
    <w:rsid w:val="3B7A2FA3"/>
    <w:rsid w:val="3B833BB7"/>
    <w:rsid w:val="3B963EE5"/>
    <w:rsid w:val="3BCB3E96"/>
    <w:rsid w:val="3BD30F78"/>
    <w:rsid w:val="3BE51A90"/>
    <w:rsid w:val="3BF55FA0"/>
    <w:rsid w:val="3C464A9E"/>
    <w:rsid w:val="3C5630B2"/>
    <w:rsid w:val="3C5B3E6A"/>
    <w:rsid w:val="3C6F02CC"/>
    <w:rsid w:val="3C7E23E0"/>
    <w:rsid w:val="3CB46DFB"/>
    <w:rsid w:val="3CCB06E2"/>
    <w:rsid w:val="3CF41FEF"/>
    <w:rsid w:val="3CFC6E71"/>
    <w:rsid w:val="3D4F0C4B"/>
    <w:rsid w:val="3D705902"/>
    <w:rsid w:val="3D804F53"/>
    <w:rsid w:val="3D8F5805"/>
    <w:rsid w:val="3D9E19D5"/>
    <w:rsid w:val="3DCF0A88"/>
    <w:rsid w:val="3DF5641B"/>
    <w:rsid w:val="3E267B22"/>
    <w:rsid w:val="3E4147B1"/>
    <w:rsid w:val="3E763C97"/>
    <w:rsid w:val="3E987E51"/>
    <w:rsid w:val="3EB5668D"/>
    <w:rsid w:val="3EBE20D4"/>
    <w:rsid w:val="3EC42FFD"/>
    <w:rsid w:val="3EED6C06"/>
    <w:rsid w:val="3EF766CB"/>
    <w:rsid w:val="3F07392F"/>
    <w:rsid w:val="3F201483"/>
    <w:rsid w:val="3F2C4D37"/>
    <w:rsid w:val="3F4F4652"/>
    <w:rsid w:val="3F753CD1"/>
    <w:rsid w:val="3FB5734D"/>
    <w:rsid w:val="401A4FAB"/>
    <w:rsid w:val="40344207"/>
    <w:rsid w:val="40455BCC"/>
    <w:rsid w:val="40B51486"/>
    <w:rsid w:val="40C63BE4"/>
    <w:rsid w:val="40D07A35"/>
    <w:rsid w:val="40D21130"/>
    <w:rsid w:val="40D53C89"/>
    <w:rsid w:val="40D8343F"/>
    <w:rsid w:val="40E25BA0"/>
    <w:rsid w:val="40FB4651"/>
    <w:rsid w:val="410F7EE8"/>
    <w:rsid w:val="411B7DB6"/>
    <w:rsid w:val="415467CA"/>
    <w:rsid w:val="41646749"/>
    <w:rsid w:val="41AE5BA6"/>
    <w:rsid w:val="41AF35D7"/>
    <w:rsid w:val="41B373D1"/>
    <w:rsid w:val="41BF47EC"/>
    <w:rsid w:val="420C4083"/>
    <w:rsid w:val="42215E03"/>
    <w:rsid w:val="42583943"/>
    <w:rsid w:val="42673750"/>
    <w:rsid w:val="427001D7"/>
    <w:rsid w:val="428A6A3E"/>
    <w:rsid w:val="42AD0832"/>
    <w:rsid w:val="42B93B1E"/>
    <w:rsid w:val="42C5722F"/>
    <w:rsid w:val="42C6302C"/>
    <w:rsid w:val="42D2275B"/>
    <w:rsid w:val="431B55A6"/>
    <w:rsid w:val="4331199B"/>
    <w:rsid w:val="433C1AFE"/>
    <w:rsid w:val="434D3D80"/>
    <w:rsid w:val="437A522B"/>
    <w:rsid w:val="437B0938"/>
    <w:rsid w:val="437E52D3"/>
    <w:rsid w:val="439876BD"/>
    <w:rsid w:val="43A27485"/>
    <w:rsid w:val="43CA1F96"/>
    <w:rsid w:val="43D043B4"/>
    <w:rsid w:val="43D269A9"/>
    <w:rsid w:val="43D60CB9"/>
    <w:rsid w:val="43D7416E"/>
    <w:rsid w:val="43DF6FF0"/>
    <w:rsid w:val="43E066A9"/>
    <w:rsid w:val="43F753F8"/>
    <w:rsid w:val="44093084"/>
    <w:rsid w:val="440C1383"/>
    <w:rsid w:val="440D6ED6"/>
    <w:rsid w:val="441445A5"/>
    <w:rsid w:val="44310893"/>
    <w:rsid w:val="447C4823"/>
    <w:rsid w:val="448A40A1"/>
    <w:rsid w:val="449F59C2"/>
    <w:rsid w:val="44B23C8E"/>
    <w:rsid w:val="44E40468"/>
    <w:rsid w:val="45057BE4"/>
    <w:rsid w:val="45065071"/>
    <w:rsid w:val="451470F8"/>
    <w:rsid w:val="458626FF"/>
    <w:rsid w:val="45B606E7"/>
    <w:rsid w:val="45DF32B3"/>
    <w:rsid w:val="46034E21"/>
    <w:rsid w:val="46222152"/>
    <w:rsid w:val="46290FF1"/>
    <w:rsid w:val="462D6710"/>
    <w:rsid w:val="463B7681"/>
    <w:rsid w:val="464C34D6"/>
    <w:rsid w:val="466D6214"/>
    <w:rsid w:val="467474C9"/>
    <w:rsid w:val="469E39D0"/>
    <w:rsid w:val="46CA3926"/>
    <w:rsid w:val="46F830B9"/>
    <w:rsid w:val="47282AD0"/>
    <w:rsid w:val="478231AF"/>
    <w:rsid w:val="4787232B"/>
    <w:rsid w:val="47CB382A"/>
    <w:rsid w:val="47CC1DDE"/>
    <w:rsid w:val="47DA5463"/>
    <w:rsid w:val="47DF6A6D"/>
    <w:rsid w:val="47ED6313"/>
    <w:rsid w:val="47F1446D"/>
    <w:rsid w:val="47F6304E"/>
    <w:rsid w:val="484F67FB"/>
    <w:rsid w:val="4896623E"/>
    <w:rsid w:val="489A1EBB"/>
    <w:rsid w:val="48A51C70"/>
    <w:rsid w:val="48C24DE3"/>
    <w:rsid w:val="48E965B6"/>
    <w:rsid w:val="49281C38"/>
    <w:rsid w:val="494A0752"/>
    <w:rsid w:val="49575B00"/>
    <w:rsid w:val="496031C8"/>
    <w:rsid w:val="496725F4"/>
    <w:rsid w:val="496D642E"/>
    <w:rsid w:val="497B12BD"/>
    <w:rsid w:val="498C1751"/>
    <w:rsid w:val="498E08FD"/>
    <w:rsid w:val="49927573"/>
    <w:rsid w:val="499F7D81"/>
    <w:rsid w:val="49CB686E"/>
    <w:rsid w:val="49D64976"/>
    <w:rsid w:val="49E51A63"/>
    <w:rsid w:val="4A10021B"/>
    <w:rsid w:val="4A162A08"/>
    <w:rsid w:val="4A2B57BD"/>
    <w:rsid w:val="4A3C67B2"/>
    <w:rsid w:val="4A420BA1"/>
    <w:rsid w:val="4A4B4A9E"/>
    <w:rsid w:val="4A5B0D24"/>
    <w:rsid w:val="4A7F346C"/>
    <w:rsid w:val="4A864349"/>
    <w:rsid w:val="4AAC21B0"/>
    <w:rsid w:val="4AAC4A41"/>
    <w:rsid w:val="4AB90E63"/>
    <w:rsid w:val="4B363E9F"/>
    <w:rsid w:val="4B697A44"/>
    <w:rsid w:val="4BBC1F9B"/>
    <w:rsid w:val="4BE21160"/>
    <w:rsid w:val="4BFF088F"/>
    <w:rsid w:val="4C0B1D5F"/>
    <w:rsid w:val="4C3454A0"/>
    <w:rsid w:val="4C364BEC"/>
    <w:rsid w:val="4C3920CB"/>
    <w:rsid w:val="4C397865"/>
    <w:rsid w:val="4C5D75CA"/>
    <w:rsid w:val="4C623CEF"/>
    <w:rsid w:val="4C6E36B7"/>
    <w:rsid w:val="4C7F28E5"/>
    <w:rsid w:val="4C8112ED"/>
    <w:rsid w:val="4C9362A9"/>
    <w:rsid w:val="4CA04AED"/>
    <w:rsid w:val="4CC429A7"/>
    <w:rsid w:val="4CC823D1"/>
    <w:rsid w:val="4CCB33EC"/>
    <w:rsid w:val="4CCC1953"/>
    <w:rsid w:val="4CD00D23"/>
    <w:rsid w:val="4CDE27F3"/>
    <w:rsid w:val="4CF3695A"/>
    <w:rsid w:val="4CF67FD1"/>
    <w:rsid w:val="4D084231"/>
    <w:rsid w:val="4D0E6A50"/>
    <w:rsid w:val="4D642C30"/>
    <w:rsid w:val="4D9927AF"/>
    <w:rsid w:val="4DA11831"/>
    <w:rsid w:val="4DA90454"/>
    <w:rsid w:val="4DC9561A"/>
    <w:rsid w:val="4DE537A1"/>
    <w:rsid w:val="4DEC1CC7"/>
    <w:rsid w:val="4E293CD0"/>
    <w:rsid w:val="4E372CB3"/>
    <w:rsid w:val="4E3B474E"/>
    <w:rsid w:val="4E6F2D41"/>
    <w:rsid w:val="4E8A160E"/>
    <w:rsid w:val="4E9A408E"/>
    <w:rsid w:val="4F0545D2"/>
    <w:rsid w:val="4F0E2BF9"/>
    <w:rsid w:val="4F142475"/>
    <w:rsid w:val="4F195957"/>
    <w:rsid w:val="4F253FEC"/>
    <w:rsid w:val="4F6071CE"/>
    <w:rsid w:val="4F84721C"/>
    <w:rsid w:val="4F9E3727"/>
    <w:rsid w:val="4FC13833"/>
    <w:rsid w:val="4FC52EF0"/>
    <w:rsid w:val="4FD67643"/>
    <w:rsid w:val="4FE31002"/>
    <w:rsid w:val="50293DB5"/>
    <w:rsid w:val="50502C8E"/>
    <w:rsid w:val="50591CBD"/>
    <w:rsid w:val="50EC5FC6"/>
    <w:rsid w:val="50ED5EFD"/>
    <w:rsid w:val="50F91DD4"/>
    <w:rsid w:val="511225FA"/>
    <w:rsid w:val="514253CD"/>
    <w:rsid w:val="51742987"/>
    <w:rsid w:val="517767E1"/>
    <w:rsid w:val="518B2758"/>
    <w:rsid w:val="51AE6D95"/>
    <w:rsid w:val="51AF71F5"/>
    <w:rsid w:val="51C94CD2"/>
    <w:rsid w:val="51D13AD5"/>
    <w:rsid w:val="51D2331D"/>
    <w:rsid w:val="51EF6F14"/>
    <w:rsid w:val="5206316B"/>
    <w:rsid w:val="523948DD"/>
    <w:rsid w:val="525B0C34"/>
    <w:rsid w:val="527201F1"/>
    <w:rsid w:val="52AE36F0"/>
    <w:rsid w:val="52AE3F73"/>
    <w:rsid w:val="52C21540"/>
    <w:rsid w:val="52C8559F"/>
    <w:rsid w:val="52C9184B"/>
    <w:rsid w:val="52D4295D"/>
    <w:rsid w:val="5305035F"/>
    <w:rsid w:val="53103B3F"/>
    <w:rsid w:val="531A47F4"/>
    <w:rsid w:val="53243A3B"/>
    <w:rsid w:val="53254DF5"/>
    <w:rsid w:val="532708C5"/>
    <w:rsid w:val="533C5358"/>
    <w:rsid w:val="534E106C"/>
    <w:rsid w:val="53625171"/>
    <w:rsid w:val="53654297"/>
    <w:rsid w:val="5370717B"/>
    <w:rsid w:val="538B3BC4"/>
    <w:rsid w:val="53C90757"/>
    <w:rsid w:val="53E16DD7"/>
    <w:rsid w:val="53E61085"/>
    <w:rsid w:val="541774AA"/>
    <w:rsid w:val="542B1BC3"/>
    <w:rsid w:val="54664FFC"/>
    <w:rsid w:val="54B91A16"/>
    <w:rsid w:val="54CA05DF"/>
    <w:rsid w:val="54D65852"/>
    <w:rsid w:val="54E57452"/>
    <w:rsid w:val="55057555"/>
    <w:rsid w:val="553654F1"/>
    <w:rsid w:val="55403DB8"/>
    <w:rsid w:val="55456520"/>
    <w:rsid w:val="554E7EC4"/>
    <w:rsid w:val="55820CAC"/>
    <w:rsid w:val="559B0619"/>
    <w:rsid w:val="55AF5177"/>
    <w:rsid w:val="55B07ADD"/>
    <w:rsid w:val="55B54084"/>
    <w:rsid w:val="55D33A01"/>
    <w:rsid w:val="55D40C5C"/>
    <w:rsid w:val="561E7639"/>
    <w:rsid w:val="56437F80"/>
    <w:rsid w:val="565F3DA6"/>
    <w:rsid w:val="56715929"/>
    <w:rsid w:val="56784C3B"/>
    <w:rsid w:val="5679268D"/>
    <w:rsid w:val="56A201A1"/>
    <w:rsid w:val="56A84A65"/>
    <w:rsid w:val="56BA722E"/>
    <w:rsid w:val="56DC2E8E"/>
    <w:rsid w:val="56E27E0B"/>
    <w:rsid w:val="56E3313F"/>
    <w:rsid w:val="56F4704A"/>
    <w:rsid w:val="56FA4F51"/>
    <w:rsid w:val="57275B7E"/>
    <w:rsid w:val="57427C5A"/>
    <w:rsid w:val="576E673F"/>
    <w:rsid w:val="57846A6D"/>
    <w:rsid w:val="578B2DF8"/>
    <w:rsid w:val="578D0B61"/>
    <w:rsid w:val="57960082"/>
    <w:rsid w:val="57C044FC"/>
    <w:rsid w:val="57C53AC2"/>
    <w:rsid w:val="57F52B59"/>
    <w:rsid w:val="58000968"/>
    <w:rsid w:val="580B26F7"/>
    <w:rsid w:val="58263D40"/>
    <w:rsid w:val="584F160A"/>
    <w:rsid w:val="585A1BB6"/>
    <w:rsid w:val="58612827"/>
    <w:rsid w:val="58707BE8"/>
    <w:rsid w:val="587B7B5D"/>
    <w:rsid w:val="58855EB2"/>
    <w:rsid w:val="58B104E2"/>
    <w:rsid w:val="58CD5907"/>
    <w:rsid w:val="58DA5965"/>
    <w:rsid w:val="58FF3061"/>
    <w:rsid w:val="591C42FE"/>
    <w:rsid w:val="592F1F7D"/>
    <w:rsid w:val="593E233D"/>
    <w:rsid w:val="5985283B"/>
    <w:rsid w:val="59C0225F"/>
    <w:rsid w:val="59CA7151"/>
    <w:rsid w:val="5A2E0BBE"/>
    <w:rsid w:val="5A3D2FCA"/>
    <w:rsid w:val="5A8C21A3"/>
    <w:rsid w:val="5AB316B1"/>
    <w:rsid w:val="5AC57957"/>
    <w:rsid w:val="5AD12D2F"/>
    <w:rsid w:val="5B1517EF"/>
    <w:rsid w:val="5B314370"/>
    <w:rsid w:val="5B3E176E"/>
    <w:rsid w:val="5B452533"/>
    <w:rsid w:val="5B5A7634"/>
    <w:rsid w:val="5B6F7110"/>
    <w:rsid w:val="5BC375D6"/>
    <w:rsid w:val="5C1709E1"/>
    <w:rsid w:val="5C3369BA"/>
    <w:rsid w:val="5C595EA3"/>
    <w:rsid w:val="5C75020C"/>
    <w:rsid w:val="5C8619C1"/>
    <w:rsid w:val="5CFF3B9A"/>
    <w:rsid w:val="5D2C3F0B"/>
    <w:rsid w:val="5D3564FD"/>
    <w:rsid w:val="5D39431C"/>
    <w:rsid w:val="5D5B391D"/>
    <w:rsid w:val="5D804D2D"/>
    <w:rsid w:val="5D8245E6"/>
    <w:rsid w:val="5D8607BA"/>
    <w:rsid w:val="5D926DCE"/>
    <w:rsid w:val="5DAE1EDC"/>
    <w:rsid w:val="5E0276B2"/>
    <w:rsid w:val="5E1C257C"/>
    <w:rsid w:val="5E312A07"/>
    <w:rsid w:val="5E4B342A"/>
    <w:rsid w:val="5E630089"/>
    <w:rsid w:val="5E745CBD"/>
    <w:rsid w:val="5EBA12C4"/>
    <w:rsid w:val="5ECA4AF3"/>
    <w:rsid w:val="5F0E5EA3"/>
    <w:rsid w:val="5F101C07"/>
    <w:rsid w:val="5F374274"/>
    <w:rsid w:val="5F5819C1"/>
    <w:rsid w:val="5F67740E"/>
    <w:rsid w:val="5F6C1D22"/>
    <w:rsid w:val="5F8853CD"/>
    <w:rsid w:val="5F9171DB"/>
    <w:rsid w:val="5F984F2E"/>
    <w:rsid w:val="5FA315F5"/>
    <w:rsid w:val="5FB25CB8"/>
    <w:rsid w:val="5FD5300A"/>
    <w:rsid w:val="60097F77"/>
    <w:rsid w:val="600C1AA2"/>
    <w:rsid w:val="601B0F31"/>
    <w:rsid w:val="60980B11"/>
    <w:rsid w:val="60CB71DC"/>
    <w:rsid w:val="611773D2"/>
    <w:rsid w:val="61187462"/>
    <w:rsid w:val="614E3D64"/>
    <w:rsid w:val="61D31BC1"/>
    <w:rsid w:val="621B5F23"/>
    <w:rsid w:val="62340155"/>
    <w:rsid w:val="62374AA8"/>
    <w:rsid w:val="624D42CA"/>
    <w:rsid w:val="625F40AA"/>
    <w:rsid w:val="626A4288"/>
    <w:rsid w:val="62800180"/>
    <w:rsid w:val="629923ED"/>
    <w:rsid w:val="62AD6DCB"/>
    <w:rsid w:val="62E10795"/>
    <w:rsid w:val="62F6339C"/>
    <w:rsid w:val="62FC78FF"/>
    <w:rsid w:val="6314602D"/>
    <w:rsid w:val="63202BCA"/>
    <w:rsid w:val="633F27E5"/>
    <w:rsid w:val="63927751"/>
    <w:rsid w:val="63A02ED7"/>
    <w:rsid w:val="63B63F09"/>
    <w:rsid w:val="63F84F14"/>
    <w:rsid w:val="63F95B02"/>
    <w:rsid w:val="64094949"/>
    <w:rsid w:val="64207BFC"/>
    <w:rsid w:val="64395C36"/>
    <w:rsid w:val="644B6D13"/>
    <w:rsid w:val="64881FF6"/>
    <w:rsid w:val="64DB504D"/>
    <w:rsid w:val="64E4321D"/>
    <w:rsid w:val="64E576F7"/>
    <w:rsid w:val="65092D1D"/>
    <w:rsid w:val="6521632B"/>
    <w:rsid w:val="65230138"/>
    <w:rsid w:val="65711691"/>
    <w:rsid w:val="65BF017A"/>
    <w:rsid w:val="65D26342"/>
    <w:rsid w:val="65DB0D7A"/>
    <w:rsid w:val="65EA544A"/>
    <w:rsid w:val="66040158"/>
    <w:rsid w:val="661477AD"/>
    <w:rsid w:val="664B3FFA"/>
    <w:rsid w:val="666002B1"/>
    <w:rsid w:val="66686B7C"/>
    <w:rsid w:val="670B5473"/>
    <w:rsid w:val="671B0AE4"/>
    <w:rsid w:val="67206486"/>
    <w:rsid w:val="67226B22"/>
    <w:rsid w:val="67292D3C"/>
    <w:rsid w:val="67564D51"/>
    <w:rsid w:val="679D0811"/>
    <w:rsid w:val="67D70C3C"/>
    <w:rsid w:val="67DC2276"/>
    <w:rsid w:val="67DD1216"/>
    <w:rsid w:val="67E1728F"/>
    <w:rsid w:val="683D44EE"/>
    <w:rsid w:val="683E1CF9"/>
    <w:rsid w:val="68A2071A"/>
    <w:rsid w:val="68A563A7"/>
    <w:rsid w:val="68CF7B0C"/>
    <w:rsid w:val="68D371F1"/>
    <w:rsid w:val="68E30C38"/>
    <w:rsid w:val="690804F2"/>
    <w:rsid w:val="69392368"/>
    <w:rsid w:val="696B7830"/>
    <w:rsid w:val="69AF0461"/>
    <w:rsid w:val="69B05439"/>
    <w:rsid w:val="69C450F7"/>
    <w:rsid w:val="69CF44BC"/>
    <w:rsid w:val="69DD2A9A"/>
    <w:rsid w:val="69DF2175"/>
    <w:rsid w:val="6A26751E"/>
    <w:rsid w:val="6A421040"/>
    <w:rsid w:val="6A4C1EF1"/>
    <w:rsid w:val="6A4F56A9"/>
    <w:rsid w:val="6A505F51"/>
    <w:rsid w:val="6A594925"/>
    <w:rsid w:val="6A7555EA"/>
    <w:rsid w:val="6A99742E"/>
    <w:rsid w:val="6AAD7E56"/>
    <w:rsid w:val="6AC8586F"/>
    <w:rsid w:val="6AE91BF7"/>
    <w:rsid w:val="6AF66948"/>
    <w:rsid w:val="6AFF2CEE"/>
    <w:rsid w:val="6B273C97"/>
    <w:rsid w:val="6B4D1CA7"/>
    <w:rsid w:val="6B533A81"/>
    <w:rsid w:val="6B65177B"/>
    <w:rsid w:val="6B83675A"/>
    <w:rsid w:val="6BAB287A"/>
    <w:rsid w:val="6C3041B5"/>
    <w:rsid w:val="6C4C4D83"/>
    <w:rsid w:val="6C5D03E7"/>
    <w:rsid w:val="6C5E7622"/>
    <w:rsid w:val="6C6304A7"/>
    <w:rsid w:val="6C7C5D15"/>
    <w:rsid w:val="6CB419CF"/>
    <w:rsid w:val="6CF04C05"/>
    <w:rsid w:val="6CFE3812"/>
    <w:rsid w:val="6D006BE4"/>
    <w:rsid w:val="6D4F64CA"/>
    <w:rsid w:val="6D516D02"/>
    <w:rsid w:val="6D533129"/>
    <w:rsid w:val="6D6E42EF"/>
    <w:rsid w:val="6D764863"/>
    <w:rsid w:val="6D89250E"/>
    <w:rsid w:val="6D9B26DD"/>
    <w:rsid w:val="6DAE66B7"/>
    <w:rsid w:val="6DFF074B"/>
    <w:rsid w:val="6E236E02"/>
    <w:rsid w:val="6E4327AC"/>
    <w:rsid w:val="6E9B7FC3"/>
    <w:rsid w:val="6ED6311E"/>
    <w:rsid w:val="6F0F0CE1"/>
    <w:rsid w:val="6F727E3E"/>
    <w:rsid w:val="6F9B2424"/>
    <w:rsid w:val="6FAC5870"/>
    <w:rsid w:val="6FC43A30"/>
    <w:rsid w:val="6FF52413"/>
    <w:rsid w:val="706031C2"/>
    <w:rsid w:val="709134B3"/>
    <w:rsid w:val="709E583F"/>
    <w:rsid w:val="71015D2D"/>
    <w:rsid w:val="710363FD"/>
    <w:rsid w:val="71057760"/>
    <w:rsid w:val="71075128"/>
    <w:rsid w:val="71281B9C"/>
    <w:rsid w:val="714A297D"/>
    <w:rsid w:val="714C6039"/>
    <w:rsid w:val="717F16E3"/>
    <w:rsid w:val="71A32611"/>
    <w:rsid w:val="71C60C26"/>
    <w:rsid w:val="71CB5A97"/>
    <w:rsid w:val="71CF76A5"/>
    <w:rsid w:val="71D522F9"/>
    <w:rsid w:val="71DB5C9D"/>
    <w:rsid w:val="71EE0781"/>
    <w:rsid w:val="71FC2EA2"/>
    <w:rsid w:val="724051E8"/>
    <w:rsid w:val="724539F8"/>
    <w:rsid w:val="72990D92"/>
    <w:rsid w:val="72B573A8"/>
    <w:rsid w:val="72B63417"/>
    <w:rsid w:val="72D7797A"/>
    <w:rsid w:val="735E2627"/>
    <w:rsid w:val="736C1A84"/>
    <w:rsid w:val="738C7A05"/>
    <w:rsid w:val="73B70891"/>
    <w:rsid w:val="73F80ACF"/>
    <w:rsid w:val="743D0984"/>
    <w:rsid w:val="74765673"/>
    <w:rsid w:val="747D74C9"/>
    <w:rsid w:val="748A76D2"/>
    <w:rsid w:val="74B97D3E"/>
    <w:rsid w:val="74C57177"/>
    <w:rsid w:val="74CE2672"/>
    <w:rsid w:val="74E42C3B"/>
    <w:rsid w:val="75882C0C"/>
    <w:rsid w:val="758C7D84"/>
    <w:rsid w:val="759325C0"/>
    <w:rsid w:val="75A9738B"/>
    <w:rsid w:val="75B84C9E"/>
    <w:rsid w:val="75CC26D6"/>
    <w:rsid w:val="75E32AAA"/>
    <w:rsid w:val="75EB7168"/>
    <w:rsid w:val="75FA634C"/>
    <w:rsid w:val="76493E64"/>
    <w:rsid w:val="76652245"/>
    <w:rsid w:val="76867411"/>
    <w:rsid w:val="76AB3CFA"/>
    <w:rsid w:val="76DE5A8F"/>
    <w:rsid w:val="76EA1497"/>
    <w:rsid w:val="76F4280D"/>
    <w:rsid w:val="76F732C9"/>
    <w:rsid w:val="76FB15A5"/>
    <w:rsid w:val="76FC12ED"/>
    <w:rsid w:val="77191A35"/>
    <w:rsid w:val="77470212"/>
    <w:rsid w:val="775178C8"/>
    <w:rsid w:val="777B0ED9"/>
    <w:rsid w:val="778841F7"/>
    <w:rsid w:val="77B21BDE"/>
    <w:rsid w:val="77BB17EE"/>
    <w:rsid w:val="783100D7"/>
    <w:rsid w:val="78452678"/>
    <w:rsid w:val="78940B0A"/>
    <w:rsid w:val="78AA485E"/>
    <w:rsid w:val="78BC55B0"/>
    <w:rsid w:val="78D610F1"/>
    <w:rsid w:val="78DF0647"/>
    <w:rsid w:val="78E94929"/>
    <w:rsid w:val="790B3277"/>
    <w:rsid w:val="79143A2E"/>
    <w:rsid w:val="7929591E"/>
    <w:rsid w:val="79843224"/>
    <w:rsid w:val="798D541A"/>
    <w:rsid w:val="798F7999"/>
    <w:rsid w:val="79982DC8"/>
    <w:rsid w:val="799F04AD"/>
    <w:rsid w:val="79BC6C95"/>
    <w:rsid w:val="79CF5DBB"/>
    <w:rsid w:val="79FA59D1"/>
    <w:rsid w:val="7A4E4E1E"/>
    <w:rsid w:val="7A63392F"/>
    <w:rsid w:val="7A836286"/>
    <w:rsid w:val="7A93214F"/>
    <w:rsid w:val="7ABB6C39"/>
    <w:rsid w:val="7B007457"/>
    <w:rsid w:val="7B36582E"/>
    <w:rsid w:val="7B5B24C6"/>
    <w:rsid w:val="7B5C1712"/>
    <w:rsid w:val="7B605E1E"/>
    <w:rsid w:val="7B727DD7"/>
    <w:rsid w:val="7B850FA0"/>
    <w:rsid w:val="7B9D2AF7"/>
    <w:rsid w:val="7BED7766"/>
    <w:rsid w:val="7BFB56C1"/>
    <w:rsid w:val="7C4A4251"/>
    <w:rsid w:val="7C4F3DF1"/>
    <w:rsid w:val="7C7376BB"/>
    <w:rsid w:val="7C7A3690"/>
    <w:rsid w:val="7CE015FE"/>
    <w:rsid w:val="7D1C17A5"/>
    <w:rsid w:val="7D315F9B"/>
    <w:rsid w:val="7D730B4C"/>
    <w:rsid w:val="7D785951"/>
    <w:rsid w:val="7D8F5316"/>
    <w:rsid w:val="7DB172C4"/>
    <w:rsid w:val="7E153E08"/>
    <w:rsid w:val="7E38519C"/>
    <w:rsid w:val="7E603F35"/>
    <w:rsid w:val="7E7A7D18"/>
    <w:rsid w:val="7E817ACB"/>
    <w:rsid w:val="7EAD60AE"/>
    <w:rsid w:val="7EB35BF6"/>
    <w:rsid w:val="7EC55300"/>
    <w:rsid w:val="7EFB7192"/>
    <w:rsid w:val="7F097845"/>
    <w:rsid w:val="7F1232AF"/>
    <w:rsid w:val="7F147A5B"/>
    <w:rsid w:val="7F404F2D"/>
    <w:rsid w:val="7F417C68"/>
    <w:rsid w:val="7F6B621B"/>
    <w:rsid w:val="7FD96ABC"/>
    <w:rsid w:val="7FE568A7"/>
    <w:rsid w:val="7FED0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6">
    <w:name w:val="heading 1"/>
    <w:basedOn w:val="1"/>
    <w:next w:val="1"/>
    <w:qFormat/>
    <w:uiPriority w:val="0"/>
    <w:pPr>
      <w:keepNext/>
      <w:ind w:firstLine="0" w:firstLineChars="0"/>
      <w:jc w:val="center"/>
      <w:outlineLvl w:val="0"/>
    </w:pPr>
    <w:rPr>
      <w:b/>
      <w:sz w:val="28"/>
      <w:szCs w:val="20"/>
    </w:rPr>
  </w:style>
  <w:style w:type="paragraph" w:styleId="7">
    <w:name w:val="heading 2"/>
    <w:basedOn w:val="1"/>
    <w:next w:val="1"/>
    <w:qFormat/>
    <w:uiPriority w:val="0"/>
    <w:pPr>
      <w:keepNext/>
      <w:ind w:firstLine="0" w:firstLineChars="0"/>
      <w:outlineLvl w:val="1"/>
    </w:pPr>
    <w:rPr>
      <w:b/>
      <w:bCs/>
      <w:sz w:val="28"/>
    </w:rPr>
  </w:style>
  <w:style w:type="paragraph" w:styleId="8">
    <w:name w:val="heading 3"/>
    <w:basedOn w:val="1"/>
    <w:next w:val="1"/>
    <w:unhideWhenUsed/>
    <w:qFormat/>
    <w:uiPriority w:val="0"/>
    <w:pPr>
      <w:keepNext/>
      <w:keepLines/>
      <w:spacing w:before="260" w:after="260" w:line="413" w:lineRule="auto"/>
      <w:outlineLvl w:val="2"/>
    </w:pPr>
    <w:rPr>
      <w:b/>
      <w:sz w:val="32"/>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4"/>
    <w:qFormat/>
    <w:uiPriority w:val="0"/>
    <w:pPr>
      <w:ind w:firstLine="570"/>
    </w:pPr>
    <w:rPr>
      <w:rFonts w:ascii="宋体" w:hAnsi="宋体"/>
      <w:color w:val="000000"/>
      <w:sz w:val="28"/>
    </w:rPr>
  </w:style>
  <w:style w:type="paragraph" w:customStyle="1" w:styleId="4">
    <w:name w:val="样式 正文文本缩进 + 行距: 1.5 倍行距"/>
    <w:basedOn w:val="5"/>
    <w:next w:val="1"/>
    <w:qFormat/>
    <w:uiPriority w:val="0"/>
    <w:pPr>
      <w:ind w:left="90" w:leftChars="32"/>
    </w:pPr>
    <w:rPr>
      <w:rFonts w:cs="宋体"/>
    </w:rPr>
  </w:style>
  <w:style w:type="paragraph" w:customStyle="1" w:styleId="5">
    <w:name w:val="正文文本缩进1"/>
    <w:basedOn w:val="1"/>
    <w:next w:val="4"/>
    <w:qFormat/>
    <w:uiPriority w:val="0"/>
    <w:pPr>
      <w:spacing w:after="120"/>
      <w:ind w:left="420" w:leftChars="200"/>
    </w:pPr>
  </w:style>
  <w:style w:type="paragraph" w:styleId="9">
    <w:name w:val="Normal Indent"/>
    <w:basedOn w:val="1"/>
    <w:next w:val="1"/>
    <w:qFormat/>
    <w:uiPriority w:val="0"/>
    <w:pPr>
      <w:ind w:firstLine="420"/>
    </w:pPr>
    <w:rPr>
      <w:szCs w:val="20"/>
    </w:rPr>
  </w:style>
  <w:style w:type="paragraph" w:styleId="10">
    <w:name w:val="annotation text"/>
    <w:basedOn w:val="1"/>
    <w:link w:val="68"/>
    <w:qFormat/>
    <w:uiPriority w:val="0"/>
    <w:pPr>
      <w:jc w:val="left"/>
    </w:pPr>
  </w:style>
  <w:style w:type="paragraph" w:styleId="11">
    <w:name w:val="Body Text"/>
    <w:basedOn w:val="1"/>
    <w:next w:val="12"/>
    <w:qFormat/>
    <w:uiPriority w:val="0"/>
    <w:rPr>
      <w:rFonts w:hint="eastAsia" w:eastAsia="华文宋体"/>
      <w:szCs w:val="20"/>
    </w:rPr>
  </w:style>
  <w:style w:type="paragraph" w:customStyle="1" w:styleId="12">
    <w:name w:val="Date1"/>
    <w:basedOn w:val="1"/>
    <w:next w:val="1"/>
    <w:qFormat/>
    <w:uiPriority w:val="0"/>
    <w:rPr>
      <w:sz w:val="21"/>
      <w:szCs w:val="20"/>
    </w:rPr>
  </w:style>
  <w:style w:type="paragraph" w:styleId="13">
    <w:name w:val="List Bullet 5"/>
    <w:basedOn w:val="1"/>
    <w:qFormat/>
    <w:uiPriority w:val="0"/>
    <w:pPr>
      <w:numPr>
        <w:ilvl w:val="0"/>
        <w:numId w:val="1"/>
      </w:numPr>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rPr>
  </w:style>
  <w:style w:type="paragraph" w:styleId="16">
    <w:name w:val="Body Text 2"/>
    <w:basedOn w:val="1"/>
    <w:qFormat/>
    <w:uiPriority w:val="0"/>
    <w:pPr>
      <w:spacing w:after="120" w:line="480" w:lineRule="auto"/>
    </w:pPr>
  </w:style>
  <w:style w:type="paragraph" w:styleId="17">
    <w:name w:val="Balloon Text"/>
    <w:basedOn w:val="1"/>
    <w:link w:val="67"/>
    <w:qFormat/>
    <w:uiPriority w:val="0"/>
    <w:pPr>
      <w:spacing w:line="240" w:lineRule="auto"/>
    </w:pPr>
    <w:rPr>
      <w:sz w:val="18"/>
      <w:szCs w:val="18"/>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next w:val="20"/>
    <w:qFormat/>
    <w:uiPriority w:val="99"/>
    <w:pPr>
      <w:pBdr>
        <w:bottom w:val="single" w:color="auto" w:sz="6" w:space="1"/>
      </w:pBdr>
      <w:tabs>
        <w:tab w:val="center" w:pos="4153"/>
        <w:tab w:val="right" w:pos="8306"/>
      </w:tabs>
      <w:snapToGrid w:val="0"/>
      <w:jc w:val="center"/>
    </w:pPr>
    <w:rPr>
      <w:sz w:val="18"/>
      <w:szCs w:val="18"/>
    </w:rPr>
  </w:style>
  <w:style w:type="paragraph" w:customStyle="1" w:styleId="20">
    <w:name w:val="样式5"/>
    <w:basedOn w:val="21"/>
    <w:next w:val="1"/>
    <w:qFormat/>
    <w:uiPriority w:val="0"/>
    <w:pPr>
      <w:spacing w:line="360" w:lineRule="auto"/>
      <w:ind w:firstLine="510"/>
    </w:pPr>
  </w:style>
  <w:style w:type="paragraph" w:customStyle="1" w:styleId="21">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2">
    <w:name w:val="toc 1"/>
    <w:basedOn w:val="1"/>
    <w:next w:val="1"/>
    <w:qFormat/>
    <w:uiPriority w:val="99"/>
    <w:pPr>
      <w:tabs>
        <w:tab w:val="right" w:leader="dot" w:pos="8836"/>
      </w:tabs>
      <w:jc w:val="center"/>
    </w:pPr>
    <w:rPr>
      <w:rFonts w:ascii="宋体" w:hAnsi="宋体"/>
      <w:sz w:val="32"/>
    </w:rPr>
  </w:style>
  <w:style w:type="paragraph" w:styleId="23">
    <w:name w:val="toc 2"/>
    <w:basedOn w:val="1"/>
    <w:next w:val="1"/>
    <w:qFormat/>
    <w:uiPriority w:val="0"/>
    <w:pPr>
      <w:ind w:left="420" w:leftChars="200"/>
    </w:pPr>
  </w:style>
  <w:style w:type="paragraph" w:styleId="24">
    <w:name w:val="annotation subject"/>
    <w:basedOn w:val="10"/>
    <w:next w:val="10"/>
    <w:link w:val="69"/>
    <w:qFormat/>
    <w:uiPriority w:val="0"/>
    <w:rPr>
      <w:b/>
      <w:bCs/>
    </w:rPr>
  </w:style>
  <w:style w:type="paragraph" w:styleId="25">
    <w:name w:val="Body Text First Indent"/>
    <w:basedOn w:val="11"/>
    <w:next w:val="1"/>
    <w:qFormat/>
    <w:uiPriority w:val="0"/>
    <w:pPr>
      <w:spacing w:after="120"/>
      <w:ind w:firstLine="420" w:firstLineChars="1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0"/>
    <w:rPr>
      <w:b/>
    </w:rPr>
  </w:style>
  <w:style w:type="character" w:styleId="30">
    <w:name w:val="annotation reference"/>
    <w:qFormat/>
    <w:uiPriority w:val="0"/>
    <w:rPr>
      <w:sz w:val="21"/>
      <w:szCs w:val="21"/>
    </w:rPr>
  </w:style>
  <w:style w:type="paragraph" w:customStyle="1" w:styleId="31">
    <w:name w:val="Default"/>
    <w:basedOn w:val="32"/>
    <w:next w:val="33"/>
    <w:unhideWhenUsed/>
    <w:qFormat/>
    <w:uiPriority w:val="99"/>
    <w:pPr>
      <w:autoSpaceDE w:val="0"/>
      <w:autoSpaceDN w:val="0"/>
      <w:adjustRightInd w:val="0"/>
    </w:pPr>
    <w:rPr>
      <w:rFonts w:ascii="宋体" w:hAnsi="宋体"/>
      <w:sz w:val="24"/>
    </w:rPr>
  </w:style>
  <w:style w:type="paragraph" w:customStyle="1" w:styleId="32">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3">
    <w:name w:val="样式35"/>
    <w:basedOn w:val="1"/>
    <w:next w:val="1"/>
    <w:qFormat/>
    <w:uiPriority w:val="0"/>
    <w:pPr>
      <w:spacing w:line="312" w:lineRule="auto"/>
      <w:ind w:firstLine="567"/>
    </w:pPr>
    <w:rPr>
      <w:rFonts w:ascii="宋体"/>
      <w:sz w:val="28"/>
    </w:rPr>
  </w:style>
  <w:style w:type="paragraph" w:customStyle="1" w:styleId="34">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5">
    <w:name w:val="正文文本缩进11"/>
    <w:basedOn w:val="1"/>
    <w:next w:val="4"/>
    <w:qFormat/>
    <w:uiPriority w:val="0"/>
    <w:pPr>
      <w:spacing w:after="120"/>
      <w:ind w:left="420" w:leftChars="200"/>
    </w:pPr>
  </w:style>
  <w:style w:type="paragraph" w:customStyle="1" w:styleId="36">
    <w:name w:val="Body Text First Indent 21"/>
    <w:basedOn w:val="37"/>
    <w:qFormat/>
    <w:uiPriority w:val="0"/>
    <w:pPr>
      <w:ind w:firstLine="420"/>
    </w:pPr>
  </w:style>
  <w:style w:type="paragraph" w:customStyle="1" w:styleId="37">
    <w:name w:val="Body Text Indent1"/>
    <w:basedOn w:val="1"/>
    <w:qFormat/>
    <w:uiPriority w:val="0"/>
    <w:pPr>
      <w:spacing w:after="120"/>
      <w:ind w:left="420" w:leftChars="200"/>
    </w:pPr>
  </w:style>
  <w:style w:type="character" w:customStyle="1" w:styleId="38">
    <w:name w:val="font31"/>
    <w:qFormat/>
    <w:uiPriority w:val="0"/>
    <w:rPr>
      <w:rFonts w:hint="default" w:ascii="Times New Roman" w:hAnsi="Times New Roman" w:cs="Times New Roman"/>
      <w:b/>
      <w:color w:val="000000"/>
      <w:sz w:val="24"/>
      <w:szCs w:val="24"/>
      <w:u w:val="none"/>
    </w:rPr>
  </w:style>
  <w:style w:type="character" w:customStyle="1" w:styleId="39">
    <w:name w:val="font41"/>
    <w:qFormat/>
    <w:uiPriority w:val="0"/>
    <w:rPr>
      <w:rFonts w:hint="default" w:ascii="Times New Roman" w:hAnsi="Times New Roman" w:cs="Times New Roman"/>
      <w:b/>
      <w:color w:val="000000"/>
      <w:sz w:val="22"/>
      <w:szCs w:val="22"/>
      <w:u w:val="none"/>
    </w:rPr>
  </w:style>
  <w:style w:type="character" w:customStyle="1" w:styleId="40">
    <w:name w:val="font21"/>
    <w:qFormat/>
    <w:uiPriority w:val="0"/>
    <w:rPr>
      <w:rFonts w:hint="eastAsia" w:ascii="宋体" w:hAnsi="宋体" w:eastAsia="宋体" w:cs="宋体"/>
      <w:color w:val="0000FF"/>
      <w:sz w:val="18"/>
      <w:szCs w:val="18"/>
      <w:u w:val="none"/>
    </w:rPr>
  </w:style>
  <w:style w:type="paragraph" w:customStyle="1" w:styleId="41">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2">
    <w:name w:val="Table Paragraph"/>
    <w:basedOn w:val="1"/>
    <w:unhideWhenUsed/>
    <w:qFormat/>
    <w:uiPriority w:val="1"/>
    <w:pPr>
      <w:spacing w:line="240" w:lineRule="auto"/>
      <w:ind w:firstLine="0" w:firstLineChars="0"/>
      <w:jc w:val="center"/>
    </w:pPr>
    <w:rPr>
      <w:sz w:val="21"/>
    </w:rPr>
  </w:style>
  <w:style w:type="paragraph" w:customStyle="1" w:styleId="43">
    <w:name w:val="Other|1"/>
    <w:basedOn w:val="1"/>
    <w:qFormat/>
    <w:uiPriority w:val="0"/>
    <w:pPr>
      <w:spacing w:line="420" w:lineRule="auto"/>
      <w:ind w:firstLine="400"/>
    </w:pPr>
    <w:rPr>
      <w:rFonts w:ascii="宋体" w:hAnsi="宋体" w:cs="宋体"/>
      <w:lang w:val="zh-TW" w:eastAsia="zh-TW" w:bidi="zh-TW"/>
    </w:rPr>
  </w:style>
  <w:style w:type="paragraph" w:customStyle="1" w:styleId="44">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5">
    <w:name w:val="普通(网站)1"/>
    <w:basedOn w:val="1"/>
    <w:qFormat/>
    <w:uiPriority w:val="0"/>
    <w:pPr>
      <w:spacing w:before="100" w:beforeAutospacing="1" w:after="100" w:afterAutospacing="1"/>
    </w:pPr>
    <w:rPr>
      <w:rFonts w:ascii="宋体" w:hAnsi="宋体" w:cs="宋体"/>
    </w:rPr>
  </w:style>
  <w:style w:type="paragraph" w:customStyle="1" w:styleId="46">
    <w:name w:val="表格文字"/>
    <w:basedOn w:val="1"/>
    <w:next w:val="1"/>
    <w:qFormat/>
    <w:uiPriority w:val="0"/>
    <w:pPr>
      <w:spacing w:beforeLines="30" w:afterLines="30"/>
      <w:jc w:val="center"/>
    </w:pPr>
    <w:rPr>
      <w:spacing w:val="10"/>
      <w:kern w:val="0"/>
      <w:szCs w:val="21"/>
    </w:rPr>
  </w:style>
  <w:style w:type="paragraph" w:customStyle="1" w:styleId="47">
    <w:name w:val="Body text|3"/>
    <w:basedOn w:val="1"/>
    <w:qFormat/>
    <w:uiPriority w:val="0"/>
    <w:pPr>
      <w:ind w:firstLine="140"/>
    </w:pPr>
    <w:rPr>
      <w:sz w:val="20"/>
      <w:szCs w:val="20"/>
    </w:rPr>
  </w:style>
  <w:style w:type="paragraph" w:customStyle="1" w:styleId="48">
    <w:name w:val="文本内容"/>
    <w:basedOn w:val="1"/>
    <w:qFormat/>
    <w:uiPriority w:val="0"/>
    <w:pPr>
      <w:adjustRightInd w:val="0"/>
      <w:snapToGrid w:val="0"/>
      <w:ind w:firstLine="546"/>
    </w:pPr>
    <w:rPr>
      <w:rFonts w:cs="宋体"/>
      <w:sz w:val="28"/>
    </w:rPr>
  </w:style>
  <w:style w:type="paragraph" w:customStyle="1" w:styleId="49">
    <w:name w:val="表格1"/>
    <w:basedOn w:val="1"/>
    <w:qFormat/>
    <w:uiPriority w:val="0"/>
    <w:pPr>
      <w:jc w:val="center"/>
    </w:pPr>
    <w:rPr>
      <w:sz w:val="18"/>
      <w:szCs w:val="18"/>
    </w:rPr>
  </w:style>
  <w:style w:type="paragraph" w:customStyle="1" w:styleId="50">
    <w:name w:val="表格文字两端对齐"/>
    <w:basedOn w:val="1"/>
    <w:qFormat/>
    <w:uiPriority w:val="0"/>
    <w:pPr>
      <w:spacing w:line="240" w:lineRule="auto"/>
      <w:ind w:firstLine="0" w:firstLineChars="0"/>
      <w:jc w:val="center"/>
    </w:pPr>
    <w:rPr>
      <w:sz w:val="21"/>
    </w:rPr>
  </w:style>
  <w:style w:type="paragraph" w:customStyle="1" w:styleId="51">
    <w:name w:val="Body text|6"/>
    <w:basedOn w:val="1"/>
    <w:qFormat/>
    <w:uiPriority w:val="0"/>
    <w:pPr>
      <w:spacing w:after="170" w:line="317" w:lineRule="auto"/>
      <w:ind w:firstLine="370"/>
    </w:pPr>
  </w:style>
  <w:style w:type="paragraph" w:customStyle="1" w:styleId="52">
    <w:name w:val="正文小四"/>
    <w:basedOn w:val="1"/>
    <w:qFormat/>
    <w:uiPriority w:val="0"/>
    <w:pPr>
      <w:spacing w:line="460" w:lineRule="exact"/>
      <w:ind w:firstLine="600"/>
    </w:pPr>
    <w:rPr>
      <w:rFonts w:ascii="宋体" w:hAnsi="宋体" w:cs="宋体"/>
      <w:spacing w:val="30"/>
      <w:kern w:val="24"/>
    </w:rPr>
  </w:style>
  <w:style w:type="paragraph" w:customStyle="1" w:styleId="53">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4">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5">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56">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57">
    <w:name w:val="表格文字1.0"/>
    <w:basedOn w:val="1"/>
    <w:qFormat/>
    <w:uiPriority w:val="0"/>
    <w:pPr>
      <w:adjustRightInd w:val="0"/>
      <w:snapToGrid w:val="0"/>
      <w:jc w:val="center"/>
    </w:pPr>
    <w:rPr>
      <w:kern w:val="0"/>
      <w:sz w:val="21"/>
    </w:rPr>
  </w:style>
  <w:style w:type="paragraph" w:customStyle="1" w:styleId="58">
    <w:name w:val="框架内容"/>
    <w:basedOn w:val="21"/>
    <w:qFormat/>
    <w:uiPriority w:val="0"/>
  </w:style>
  <w:style w:type="character" w:customStyle="1" w:styleId="59">
    <w:name w:val="15"/>
    <w:qFormat/>
    <w:uiPriority w:val="0"/>
    <w:rPr>
      <w:rFonts w:hint="default" w:ascii="Times New Roman" w:hAnsi="Times New Roman" w:cs="Times New Roman"/>
      <w:color w:val="000000"/>
      <w:sz w:val="22"/>
      <w:szCs w:val="22"/>
    </w:rPr>
  </w:style>
  <w:style w:type="paragraph" w:customStyle="1" w:styleId="60">
    <w:name w:val="表1111111111"/>
    <w:basedOn w:val="1"/>
    <w:qFormat/>
    <w:uiPriority w:val="0"/>
    <w:pPr>
      <w:jc w:val="center"/>
    </w:pPr>
  </w:style>
  <w:style w:type="paragraph" w:customStyle="1" w:styleId="61">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2">
    <w:name w:val="内部文字"/>
    <w:basedOn w:val="1"/>
    <w:qFormat/>
    <w:uiPriority w:val="0"/>
    <w:pPr>
      <w:adjustRightInd w:val="0"/>
      <w:snapToGrid w:val="0"/>
      <w:ind w:firstLine="200"/>
    </w:pPr>
  </w:style>
  <w:style w:type="paragraph" w:customStyle="1" w:styleId="63">
    <w:name w:val="lh-表格文字-报告表"/>
    <w:basedOn w:val="1"/>
    <w:qFormat/>
    <w:uiPriority w:val="0"/>
    <w:pPr>
      <w:jc w:val="center"/>
    </w:pPr>
    <w:rPr>
      <w:kern w:val="0"/>
    </w:rPr>
  </w:style>
  <w:style w:type="paragraph" w:customStyle="1" w:styleId="64">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5">
    <w:name w:val="font01"/>
    <w:qFormat/>
    <w:uiPriority w:val="0"/>
    <w:rPr>
      <w:rFonts w:hint="default" w:ascii="Times New Roman" w:hAnsi="Times New Roman" w:cs="Times New Roman"/>
      <w:color w:val="000000"/>
      <w:sz w:val="21"/>
      <w:szCs w:val="21"/>
      <w:u w:val="none"/>
      <w:vertAlign w:val="superscript"/>
    </w:rPr>
  </w:style>
  <w:style w:type="paragraph" w:customStyle="1" w:styleId="66">
    <w:name w:val="表内容"/>
    <w:basedOn w:val="1"/>
    <w:qFormat/>
    <w:uiPriority w:val="0"/>
    <w:pPr>
      <w:adjustRightInd w:val="0"/>
      <w:snapToGrid w:val="0"/>
      <w:jc w:val="center"/>
    </w:pPr>
    <w:rPr>
      <w:snapToGrid w:val="0"/>
      <w:szCs w:val="21"/>
    </w:rPr>
  </w:style>
  <w:style w:type="character" w:customStyle="1" w:styleId="67">
    <w:name w:val="批注框文本 Char"/>
    <w:link w:val="17"/>
    <w:qFormat/>
    <w:uiPriority w:val="0"/>
    <w:rPr>
      <w:kern w:val="2"/>
      <w:sz w:val="18"/>
      <w:szCs w:val="18"/>
    </w:rPr>
  </w:style>
  <w:style w:type="character" w:customStyle="1" w:styleId="68">
    <w:name w:val="批注文字 Char"/>
    <w:link w:val="10"/>
    <w:qFormat/>
    <w:uiPriority w:val="0"/>
    <w:rPr>
      <w:kern w:val="2"/>
      <w:sz w:val="24"/>
      <w:szCs w:val="24"/>
    </w:rPr>
  </w:style>
  <w:style w:type="character" w:customStyle="1" w:styleId="69">
    <w:name w:val="批注主题 Char"/>
    <w:link w:val="24"/>
    <w:qFormat/>
    <w:uiPriority w:val="0"/>
    <w:rPr>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17.jpeg"/><Relationship Id="rId27" Type="http://schemas.openxmlformats.org/officeDocument/2006/relationships/image" Target="media/image16.jpeg"/><Relationship Id="rId26" Type="http://schemas.openxmlformats.org/officeDocument/2006/relationships/image" Target="media/image15.jpeg"/><Relationship Id="rId25" Type="http://schemas.openxmlformats.org/officeDocument/2006/relationships/image" Target="media/image14.jpeg"/><Relationship Id="rId24" Type="http://schemas.openxmlformats.org/officeDocument/2006/relationships/image" Target="media/image13.jpeg"/><Relationship Id="rId23" Type="http://schemas.openxmlformats.org/officeDocument/2006/relationships/image" Target="http://117.73.252.128:9025/company/20220422/acd0939d-6408-4c0e-9da9-398fa1f280d5/1650596962026_1650596966662.jpg" TargetMode="External"/><Relationship Id="rId22" Type="http://schemas.openxmlformats.org/officeDocument/2006/relationships/image" Target="media/image12.jpeg"/><Relationship Id="rId21" Type="http://schemas.openxmlformats.org/officeDocument/2006/relationships/image" Target="http://117.73.252.128:9025/company/20220110/569d8cd2-a02f-4b3d-abbc-5cd4aae07856/1641782466654_1641782473016.jpg" TargetMode="External"/><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http://117.73.252.128:9025/company/20220421/f46b9e02-4446-4075-bd7c-ab25a4a75826/1650507276570_1650507285705.jpg" TargetMode="External"/><Relationship Id="rId18" Type="http://schemas.openxmlformats.org/officeDocument/2006/relationships/image" Target="media/image10.jpeg"/><Relationship Id="rId17" Type="http://schemas.openxmlformats.org/officeDocument/2006/relationships/image" Target="http://117.73.252.128:9025/company/20220421/b9c02089-dc92-492b-abd0-dfad8cda7eca/1650511934567_1650511952306.jpg" TargetMode="External"/><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091"/>
    <customShpInfo spid="_x0000_s1092"/>
    <customShpInfo spid="_x0000_s1090"/>
    <customShpInfo spid="_x0000_s1094"/>
    <customShpInfo spid="_x0000_s1095"/>
    <customShpInfo spid="_x0000_s1093"/>
    <customShpInfo spid="_x0000_s1089"/>
    <customShpInfo spid="_x0000_s1078"/>
    <customShpInfo spid="_x0000_s1074"/>
    <customShpInfo spid="_x0000_s1097"/>
    <customShpInfo spid="_x0000_s1098"/>
    <customShpInfo spid="_x0000_s1096"/>
    <customShpInfo spid="_x0000_s1075"/>
    <customShpInfo spid="_x0000_s1076"/>
    <customShpInfo spid="_x0000_s1077"/>
  </customShpExts>
  <extobjs>
    <extobj name="ECB019B1-382A-4266-B25C-5B523AA43C14-1">
      <extobjdata type="ECB019B1-382A-4266-B25C-5B523AA43C14" data="ewoJIkZpbGVJZCIgOiAiMTM5NjI0NTg3ODIxIiwKCSJHcm91cElkIiA6ICI0MTc4Mzk5NjciLAoJIkltYWdlIiA6ICJpVkJPUncwS0dnb0FBQUFOU1VoRVVnQUFBaVVBQUFDV0NBWUFBQUFCclBnWkFBQUFDWEJJV1hNQUFBc1RBQUFMRXdFQW1wd1lBQUFlQ1VsRVFWUjRuTzNkZVZ5VTVmNy84ZGRBbXFMZ2R0eFFYTkpPV3BxaEthR2xwbEZ5MU53NmxIdmt5dU5Zb3Bibi9MUk1MWExwWUNSSm11WmVHcVVab0J3WHpLM01QTXFqeUVMTnBSVDNCV1FSQnAzNS9jRjM3c01JS2lBeWc3eWZqMGVQWnVhKzc3bXVHei8zekdldTY3cXZDMF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34492</Words>
  <Characters>41902</Characters>
  <Lines>337</Lines>
  <Paragraphs>95</Paragraphs>
  <TotalTime>0</TotalTime>
  <ScaleCrop>false</ScaleCrop>
  <LinksUpToDate>false</LinksUpToDate>
  <CharactersWithSpaces>42196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2023-04-19T08:17:27Z</cp:lastPrinted>
  <dcterms:modified xsi:type="dcterms:W3CDTF">2023-04-19T08:17:40Z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7A1B6DF1F5A749A19E8F6B429C7139C7</vt:lpwstr>
  </property>
</Properties>
</file>