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bCs/>
          <w:sz w:val="32"/>
          <w:szCs w:val="32"/>
        </w:rPr>
      </w:pPr>
    </w:p>
    <w:p>
      <w:pPr>
        <w:spacing w:line="360" w:lineRule="auto"/>
        <w:jc w:val="center"/>
        <w:rPr>
          <w:rFonts w:ascii="宋体" w:hAnsi="宋体" w:cs="宋体"/>
          <w:b/>
          <w:bCs/>
          <w:sz w:val="32"/>
          <w:szCs w:val="32"/>
        </w:rPr>
      </w:pPr>
    </w:p>
    <w:p>
      <w:pPr>
        <w:spacing w:line="360" w:lineRule="auto"/>
        <w:jc w:val="center"/>
        <w:rPr>
          <w:rFonts w:ascii="宋体" w:hAnsi="宋体" w:cs="宋体"/>
          <w:b/>
          <w:bCs/>
          <w:sz w:val="32"/>
          <w:szCs w:val="32"/>
        </w:rPr>
      </w:pPr>
      <w:r>
        <w:rPr>
          <w:rFonts w:hint="eastAsia" w:ascii="宋体" w:hAnsi="宋体" w:cs="宋体"/>
          <w:b/>
          <w:bCs/>
          <w:sz w:val="32"/>
          <w:szCs w:val="32"/>
        </w:rPr>
        <w:t>四川东博轨道科技有限公司新增1.5万吨/年紧固件生产扩建项目竣工环境保护验收监测报告表</w:t>
      </w:r>
    </w:p>
    <w:p>
      <w:pPr>
        <w:spacing w:line="360" w:lineRule="auto"/>
        <w:jc w:val="center"/>
        <w:rPr>
          <w:b/>
          <w:bCs/>
          <w:sz w:val="36"/>
          <w:szCs w:val="36"/>
        </w:rPr>
      </w:pPr>
    </w:p>
    <w:p>
      <w:pPr>
        <w:spacing w:line="360" w:lineRule="auto"/>
        <w:jc w:val="center"/>
        <w:rPr>
          <w:b/>
          <w:bCs/>
          <w:sz w:val="36"/>
          <w:szCs w:val="36"/>
        </w:rPr>
      </w:pPr>
    </w:p>
    <w:p>
      <w:pPr>
        <w:spacing w:line="360" w:lineRule="auto"/>
        <w:jc w:val="center"/>
        <w:rPr>
          <w:b/>
          <w:bCs/>
          <w:sz w:val="36"/>
          <w:szCs w:val="36"/>
        </w:rPr>
      </w:pPr>
    </w:p>
    <w:p>
      <w:pPr>
        <w:spacing w:line="360" w:lineRule="auto"/>
        <w:jc w:val="center"/>
        <w:rPr>
          <w:b/>
          <w:bCs/>
          <w:sz w:val="36"/>
          <w:szCs w:val="36"/>
        </w:rPr>
      </w:pPr>
    </w:p>
    <w:p>
      <w:pPr>
        <w:spacing w:line="360" w:lineRule="auto"/>
        <w:jc w:val="center"/>
        <w:rPr>
          <w:b/>
          <w:bCs/>
          <w:sz w:val="36"/>
          <w:szCs w:val="36"/>
        </w:rPr>
      </w:pPr>
    </w:p>
    <w:p>
      <w:pPr>
        <w:spacing w:line="360" w:lineRule="auto"/>
        <w:jc w:val="center"/>
        <w:rPr>
          <w:b/>
          <w:bCs/>
          <w:sz w:val="36"/>
          <w:szCs w:val="36"/>
        </w:rPr>
      </w:pPr>
    </w:p>
    <w:p>
      <w:pPr>
        <w:spacing w:line="360" w:lineRule="auto"/>
        <w:jc w:val="center"/>
        <w:rPr>
          <w:b/>
          <w:bCs/>
          <w:sz w:val="36"/>
          <w:szCs w:val="36"/>
        </w:rPr>
      </w:pPr>
    </w:p>
    <w:p>
      <w:pPr>
        <w:pStyle w:val="6"/>
        <w:ind w:left="0" w:leftChars="0"/>
        <w:jc w:val="center"/>
      </w:pPr>
    </w:p>
    <w:p>
      <w:pPr>
        <w:spacing w:line="360" w:lineRule="auto"/>
        <w:jc w:val="center"/>
        <w:rPr>
          <w:b/>
          <w:bCs/>
          <w:sz w:val="36"/>
          <w:szCs w:val="36"/>
        </w:rPr>
      </w:pPr>
    </w:p>
    <w:p>
      <w:pPr>
        <w:spacing w:line="360" w:lineRule="auto"/>
        <w:jc w:val="center"/>
        <w:rPr>
          <w:rFonts w:ascii="宋体" w:hAnsi="宋体" w:cs="宋体"/>
          <w:b/>
          <w:bCs/>
          <w:sz w:val="32"/>
          <w:szCs w:val="32"/>
          <w:u w:val="single"/>
        </w:rPr>
      </w:pPr>
      <w:r>
        <w:rPr>
          <w:rFonts w:hint="eastAsia"/>
          <w:b/>
          <w:bCs/>
          <w:sz w:val="32"/>
          <w:szCs w:val="32"/>
        </w:rPr>
        <w:t>建设单位：</w:t>
      </w:r>
      <w:r>
        <w:rPr>
          <w:rFonts w:hint="eastAsia" w:ascii="宋体" w:hAnsi="宋体" w:cs="宋体"/>
          <w:b/>
          <w:bCs/>
          <w:sz w:val="32"/>
          <w:szCs w:val="32"/>
          <w:u w:val="single"/>
        </w:rPr>
        <w:t>四川东博轨道科技有限公司</w:t>
      </w:r>
    </w:p>
    <w:p>
      <w:pPr>
        <w:spacing w:line="360" w:lineRule="auto"/>
        <w:jc w:val="center"/>
        <w:rPr>
          <w:b/>
          <w:bCs/>
          <w:sz w:val="32"/>
          <w:szCs w:val="32"/>
          <w:u w:val="single"/>
        </w:rPr>
      </w:pPr>
      <w:r>
        <w:rPr>
          <w:rFonts w:hint="eastAsia"/>
          <w:b/>
          <w:bCs/>
          <w:sz w:val="32"/>
          <w:szCs w:val="32"/>
        </w:rPr>
        <w:t>编制单位：</w:t>
      </w:r>
      <w:r>
        <w:rPr>
          <w:rFonts w:hint="eastAsia" w:ascii="宋体" w:hAnsi="宋体" w:cs="宋体"/>
          <w:b/>
          <w:bCs/>
          <w:sz w:val="32"/>
          <w:szCs w:val="32"/>
          <w:u w:val="single"/>
        </w:rPr>
        <w:t>四川东博轨道科技有限公司</w:t>
      </w:r>
    </w:p>
    <w:p>
      <w:pPr>
        <w:spacing w:line="360" w:lineRule="auto"/>
        <w:jc w:val="center"/>
      </w:pPr>
    </w:p>
    <w:p>
      <w:pPr>
        <w:spacing w:line="360" w:lineRule="auto"/>
        <w:jc w:val="center"/>
      </w:pPr>
    </w:p>
    <w:p>
      <w:pPr>
        <w:spacing w:line="360" w:lineRule="auto"/>
        <w:jc w:val="center"/>
        <w:rPr>
          <w:rFonts w:ascii="宋体" w:hAnsi="宋体" w:cs="宋体"/>
          <w:b/>
          <w:bCs/>
          <w:sz w:val="32"/>
          <w:szCs w:val="32"/>
        </w:rPr>
      </w:pPr>
      <w:r>
        <w:rPr>
          <w:rFonts w:hint="eastAsia" w:ascii="宋体" w:hAnsi="宋体" w:cs="宋体"/>
          <w:b/>
          <w:bCs/>
          <w:sz w:val="32"/>
          <w:szCs w:val="32"/>
        </w:rPr>
        <w:t>二零二二年八月</w:t>
      </w:r>
    </w:p>
    <w:p>
      <w:pPr>
        <w:rPr>
          <w:rFonts w:ascii="宋体" w:hAnsi="宋体" w:cs="宋体"/>
          <w:b/>
          <w:bCs/>
          <w:sz w:val="32"/>
          <w:szCs w:val="32"/>
        </w:rPr>
      </w:pPr>
      <w:r>
        <w:rPr>
          <w:rFonts w:hint="eastAsia" w:ascii="宋体" w:hAnsi="宋体" w:cs="宋体"/>
          <w:b/>
          <w:bCs/>
          <w:sz w:val="32"/>
          <w:szCs w:val="32"/>
        </w:rPr>
        <w:br w:type="page"/>
      </w:r>
    </w:p>
    <w:p>
      <w:pPr>
        <w:spacing w:line="360" w:lineRule="auto"/>
        <w:rPr>
          <w:rFonts w:ascii="宋体" w:hAnsi="宋体" w:cs="宋体"/>
          <w:b/>
          <w:sz w:val="24"/>
        </w:rPr>
      </w:pPr>
      <w:r>
        <w:rPr>
          <w:rFonts w:hint="eastAsia" w:ascii="宋体" w:hAnsi="宋体" w:cs="宋体"/>
          <w:b/>
          <w:sz w:val="24"/>
        </w:rPr>
        <w:t>建设单位：</w:t>
      </w:r>
      <w:r>
        <w:rPr>
          <w:rFonts w:hint="eastAsia"/>
          <w:b/>
          <w:bCs/>
          <w:sz w:val="24"/>
        </w:rPr>
        <w:t>四川东博轨道科技有限公司</w:t>
      </w:r>
    </w:p>
    <w:p>
      <w:pPr>
        <w:spacing w:line="360" w:lineRule="auto"/>
        <w:rPr>
          <w:rFonts w:ascii="宋体" w:hAnsi="宋体" w:cs="宋体"/>
          <w:b/>
          <w:sz w:val="24"/>
        </w:rPr>
      </w:pPr>
      <w:r>
        <w:rPr>
          <w:rFonts w:hint="eastAsia" w:ascii="宋体" w:hAnsi="宋体" w:cs="宋体"/>
          <w:b/>
          <w:sz w:val="24"/>
        </w:rPr>
        <w:t>建设单位法人代表：邱杰</w:t>
      </w:r>
    </w:p>
    <w:p>
      <w:pPr>
        <w:spacing w:line="360" w:lineRule="auto"/>
        <w:rPr>
          <w:rFonts w:ascii="宋体" w:hAnsi="宋体" w:cs="宋体"/>
          <w:b/>
          <w:sz w:val="24"/>
        </w:rPr>
      </w:pPr>
      <w:r>
        <w:rPr>
          <w:rFonts w:hint="eastAsia" w:ascii="宋体" w:hAnsi="宋体" w:cs="宋体"/>
          <w:b/>
          <w:sz w:val="24"/>
        </w:rPr>
        <w:t>电话:13684405999</w:t>
      </w:r>
    </w:p>
    <w:p>
      <w:pPr>
        <w:spacing w:line="360" w:lineRule="auto"/>
        <w:rPr>
          <w:rFonts w:ascii="宋体" w:hAnsi="宋体" w:cs="宋体"/>
          <w:b/>
          <w:sz w:val="24"/>
        </w:rPr>
      </w:pPr>
      <w:r>
        <w:rPr>
          <w:rFonts w:hint="eastAsia" w:ascii="宋体" w:hAnsi="宋体" w:cs="宋体"/>
          <w:b/>
          <w:sz w:val="24"/>
        </w:rPr>
        <w:t>传真:  /</w:t>
      </w:r>
    </w:p>
    <w:p>
      <w:pPr>
        <w:spacing w:line="360" w:lineRule="auto"/>
        <w:rPr>
          <w:rFonts w:ascii="宋体" w:hAnsi="宋体" w:cs="宋体"/>
          <w:b/>
          <w:sz w:val="24"/>
        </w:rPr>
      </w:pPr>
      <w:r>
        <w:rPr>
          <w:rFonts w:hint="eastAsia" w:ascii="宋体" w:hAnsi="宋体" w:cs="宋体"/>
          <w:b/>
          <w:sz w:val="24"/>
        </w:rPr>
        <w:t>邮编: 642150</w:t>
      </w:r>
    </w:p>
    <w:p>
      <w:pPr>
        <w:spacing w:line="360" w:lineRule="auto"/>
        <w:rPr>
          <w:rFonts w:ascii="宋体" w:hAnsi="宋体" w:cs="宋体"/>
          <w:b/>
          <w:sz w:val="28"/>
          <w:szCs w:val="28"/>
        </w:rPr>
      </w:pPr>
      <w:r>
        <w:rPr>
          <w:rFonts w:hint="eastAsia" w:ascii="宋体" w:hAnsi="宋体" w:cs="宋体"/>
          <w:b/>
          <w:sz w:val="24"/>
        </w:rPr>
        <w:t>地址: 隆昌市环城东路203号</w:t>
      </w:r>
    </w:p>
    <w:p>
      <w:pPr>
        <w:pStyle w:val="6"/>
        <w:ind w:left="440"/>
        <w:rPr>
          <w:rFonts w:ascii="宋体" w:hAnsi="宋体" w:cs="宋体"/>
          <w:b/>
          <w:sz w:val="28"/>
          <w:szCs w:val="28"/>
        </w:rPr>
      </w:pPr>
    </w:p>
    <w:p>
      <w:pPr>
        <w:pStyle w:val="6"/>
        <w:ind w:left="440"/>
        <w:rPr>
          <w:rFonts w:ascii="宋体" w:hAnsi="宋体" w:cs="宋体"/>
          <w:b/>
          <w:sz w:val="28"/>
          <w:szCs w:val="28"/>
        </w:rPr>
      </w:pPr>
    </w:p>
    <w:p>
      <w:pPr>
        <w:pStyle w:val="6"/>
        <w:ind w:left="440"/>
        <w:rPr>
          <w:rFonts w:ascii="宋体" w:hAnsi="宋体" w:cs="宋体"/>
          <w:b/>
          <w:sz w:val="28"/>
          <w:szCs w:val="28"/>
        </w:rPr>
      </w:pPr>
    </w:p>
    <w:p>
      <w:pPr>
        <w:pStyle w:val="6"/>
        <w:ind w:left="440"/>
        <w:rPr>
          <w:rFonts w:ascii="宋体" w:hAnsi="宋体" w:cs="宋体"/>
          <w:b/>
          <w:sz w:val="28"/>
          <w:szCs w:val="28"/>
        </w:rPr>
      </w:pPr>
    </w:p>
    <w:p>
      <w:pPr>
        <w:pStyle w:val="6"/>
        <w:ind w:left="440"/>
        <w:rPr>
          <w:rFonts w:ascii="宋体" w:hAnsi="宋体" w:cs="宋体"/>
          <w:b/>
          <w:sz w:val="28"/>
          <w:szCs w:val="28"/>
        </w:rPr>
      </w:pPr>
    </w:p>
    <w:p>
      <w:pPr>
        <w:pStyle w:val="6"/>
        <w:ind w:left="440"/>
        <w:rPr>
          <w:rFonts w:ascii="宋体" w:hAnsi="宋体" w:cs="宋体"/>
          <w:b/>
          <w:sz w:val="28"/>
          <w:szCs w:val="28"/>
        </w:rPr>
      </w:pPr>
    </w:p>
    <w:p>
      <w:pPr>
        <w:spacing w:line="360" w:lineRule="auto"/>
        <w:rPr>
          <w:rFonts w:ascii="宋体" w:hAnsi="宋体" w:cs="宋体"/>
          <w:b/>
          <w:sz w:val="28"/>
          <w:szCs w:val="28"/>
        </w:rPr>
      </w:pPr>
    </w:p>
    <w:p>
      <w:pPr>
        <w:spacing w:line="360" w:lineRule="auto"/>
        <w:rPr>
          <w:rFonts w:ascii="宋体" w:hAnsi="宋体" w:cs="宋体"/>
          <w:b/>
          <w:sz w:val="24"/>
        </w:rPr>
      </w:pPr>
      <w:r>
        <w:rPr>
          <w:rFonts w:hint="eastAsia" w:ascii="宋体" w:hAnsi="宋体" w:cs="宋体"/>
          <w:b/>
          <w:sz w:val="24"/>
        </w:rPr>
        <w:t>编制单位：</w:t>
      </w:r>
    </w:p>
    <w:p>
      <w:pPr>
        <w:spacing w:line="360" w:lineRule="auto"/>
        <w:rPr>
          <w:rFonts w:ascii="宋体" w:hAnsi="宋体" w:cs="宋体"/>
          <w:b/>
          <w:sz w:val="24"/>
        </w:rPr>
      </w:pPr>
      <w:r>
        <w:rPr>
          <w:rFonts w:hint="eastAsia" w:ascii="宋体" w:hAnsi="宋体" w:cs="宋体"/>
          <w:b/>
          <w:sz w:val="24"/>
        </w:rPr>
        <w:t>编制单位法人代表:</w:t>
      </w:r>
    </w:p>
    <w:p>
      <w:pPr>
        <w:spacing w:line="360" w:lineRule="auto"/>
        <w:rPr>
          <w:rFonts w:ascii="宋体" w:hAnsi="宋体" w:cs="宋体"/>
          <w:b/>
          <w:sz w:val="24"/>
        </w:rPr>
      </w:pPr>
      <w:r>
        <w:rPr>
          <w:rFonts w:hint="eastAsia" w:ascii="宋体" w:hAnsi="宋体" w:cs="宋体"/>
          <w:b/>
          <w:sz w:val="24"/>
        </w:rPr>
        <w:t>项目负责人:</w:t>
      </w:r>
    </w:p>
    <w:p>
      <w:pPr>
        <w:spacing w:line="360" w:lineRule="auto"/>
        <w:rPr>
          <w:rFonts w:ascii="宋体" w:hAnsi="宋体" w:cs="宋体"/>
          <w:b/>
          <w:sz w:val="24"/>
        </w:rPr>
      </w:pPr>
      <w:r>
        <w:rPr>
          <w:rFonts w:hint="eastAsia" w:ascii="宋体" w:hAnsi="宋体" w:cs="宋体"/>
          <w:b/>
          <w:sz w:val="24"/>
        </w:rPr>
        <w:t>填 表 人：</w:t>
      </w:r>
    </w:p>
    <w:p>
      <w:pPr>
        <w:spacing w:line="360" w:lineRule="auto"/>
        <w:rPr>
          <w:rFonts w:ascii="宋体" w:hAnsi="宋体" w:cs="宋体"/>
          <w:b/>
          <w:sz w:val="24"/>
        </w:rPr>
      </w:pPr>
      <w:r>
        <w:rPr>
          <w:rFonts w:hint="eastAsia" w:ascii="宋体" w:hAnsi="宋体" w:cs="宋体"/>
          <w:b/>
          <w:sz w:val="24"/>
        </w:rPr>
        <w:t xml:space="preserve">电话: </w:t>
      </w:r>
    </w:p>
    <w:p>
      <w:pPr>
        <w:spacing w:line="360" w:lineRule="auto"/>
        <w:rPr>
          <w:rFonts w:ascii="宋体" w:hAnsi="宋体" w:cs="宋体"/>
          <w:b/>
          <w:sz w:val="24"/>
        </w:rPr>
      </w:pPr>
      <w:r>
        <w:rPr>
          <w:rFonts w:hint="eastAsia" w:ascii="宋体" w:hAnsi="宋体" w:cs="宋体"/>
          <w:b/>
          <w:sz w:val="24"/>
        </w:rPr>
        <w:t xml:space="preserve">传真: </w:t>
      </w:r>
    </w:p>
    <w:p>
      <w:pPr>
        <w:spacing w:line="360" w:lineRule="auto"/>
        <w:rPr>
          <w:rFonts w:ascii="宋体" w:hAnsi="宋体" w:cs="宋体"/>
          <w:b/>
          <w:sz w:val="24"/>
        </w:rPr>
      </w:pPr>
      <w:r>
        <w:rPr>
          <w:rFonts w:hint="eastAsia" w:ascii="宋体" w:hAnsi="宋体" w:cs="宋体"/>
          <w:b/>
          <w:sz w:val="24"/>
        </w:rPr>
        <w:t xml:space="preserve">邮编: </w:t>
      </w:r>
    </w:p>
    <w:p>
      <w:pPr>
        <w:spacing w:line="360" w:lineRule="auto"/>
        <w:rPr>
          <w:rFonts w:ascii="宋体" w:hAnsi="宋体" w:cs="宋体"/>
          <w:b/>
          <w:sz w:val="24"/>
        </w:rPr>
      </w:pPr>
      <w:r>
        <w:rPr>
          <w:rFonts w:hint="eastAsia" w:ascii="宋体" w:hAnsi="宋体" w:cs="宋体"/>
          <w:b/>
          <w:sz w:val="24"/>
        </w:rPr>
        <w:t xml:space="preserve">地址: </w:t>
      </w:r>
    </w:p>
    <w:p>
      <w:pPr>
        <w:pStyle w:val="2"/>
        <w:sectPr>
          <w:footerReference r:id="rId3" w:type="default"/>
          <w:pgSz w:w="11850" w:h="16783"/>
          <w:pgMar w:top="1440" w:right="1800" w:bottom="1440" w:left="1800" w:header="851" w:footer="992" w:gutter="0"/>
          <w:pgNumType w:start="1"/>
          <w:cols w:space="425" w:num="1"/>
          <w:docGrid w:type="lines" w:linePitch="312" w:charSpace="0"/>
        </w:sectPr>
      </w:pPr>
    </w:p>
    <w:sdt>
      <w:sdtPr>
        <w:rPr>
          <w:rFonts w:ascii="宋体" w:hAnsi="宋体"/>
          <w:sz w:val="21"/>
        </w:rPr>
        <w:id w:val="147454884"/>
        <w:docPartObj>
          <w:docPartGallery w:val="Table of Contents"/>
          <w:docPartUnique/>
        </w:docPartObj>
      </w:sdtPr>
      <w:sdtEndPr>
        <w:rPr>
          <w:rFonts w:ascii="宋体" w:hAnsi="宋体"/>
          <w:b/>
          <w:sz w:val="21"/>
        </w:rPr>
      </w:sdtEndPr>
      <w:sdtContent>
        <w:p>
          <w:pPr>
            <w:spacing w:line="360" w:lineRule="auto"/>
            <w:jc w:val="center"/>
            <w:rPr>
              <w:rFonts w:hint="eastAsia" w:asciiTheme="minorEastAsia" w:hAnsiTheme="minorEastAsia" w:eastAsiaTheme="minorEastAsia" w:cstheme="minorEastAsia"/>
              <w:b/>
              <w:bCs/>
              <w:sz w:val="28"/>
              <w:szCs w:val="28"/>
            </w:rPr>
          </w:pPr>
          <w:bookmarkStart w:id="0" w:name="_Toc17584_WPSOffice_Level1"/>
          <w:r>
            <w:rPr>
              <w:rFonts w:hint="eastAsia" w:asciiTheme="minorEastAsia" w:hAnsiTheme="minorEastAsia" w:eastAsiaTheme="minorEastAsia" w:cstheme="minorEastAsia"/>
              <w:b/>
              <w:bCs/>
              <w:sz w:val="28"/>
              <w:szCs w:val="28"/>
            </w:rPr>
            <w:t>目录</w:t>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TOC \o "1-2" \h \u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_Toc22807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前  言</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_Toc22807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1</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_Toc25332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表一 验收项目概括、验收范围、依据</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_Toc25332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3</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_Toc28946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表二 项目工程情况</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_Toc28946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6</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_Toc22410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表三 生产工艺、产污、治理措施</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_Toc22410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17</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_Toc30170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表四 环境影响评价主要结论和环评批复</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_Toc30170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28</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_Toc22839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表五 质量控制及质量保证</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_Toc22839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30</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_Toc6629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表六 验收监测内容</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_Toc6629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33</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_Toc26230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表七 验收监测结果</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_Toc26230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36</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_Toc10274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表八 环保检查结果</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_Toc10274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43</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_Toc13171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表九 验收监测结论</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_Toc13171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46</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pStyle w:val="9"/>
            <w:tabs>
              <w:tab w:val="right" w:leader="dot" w:pos="8250"/>
            </w:tabs>
            <w:spacing w:line="360" w:lineRule="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HYPERLINK \l _Toc3380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项目工程竣工环境保护“三同时”验收登记表</w:t>
          </w:r>
          <w:r>
            <w:rPr>
              <w:rFonts w:hint="eastAsia" w:asciiTheme="minorEastAsia" w:hAnsiTheme="minorEastAsia" w:eastAsiaTheme="minorEastAsia" w:cstheme="minorEastAsia"/>
              <w:b/>
              <w:bCs/>
              <w:sz w:val="28"/>
              <w:szCs w:val="28"/>
            </w:rPr>
            <w:tab/>
          </w:r>
          <w:r>
            <w:rPr>
              <w:rFonts w:hint="eastAsia" w:asciiTheme="minorEastAsia" w:hAnsiTheme="minorEastAsia" w:eastAsiaTheme="minorEastAsia" w:cstheme="minorEastAsia"/>
              <w:b/>
              <w:bCs/>
              <w:sz w:val="28"/>
              <w:szCs w:val="28"/>
            </w:rPr>
            <w:fldChar w:fldCharType="begin"/>
          </w:r>
          <w:r>
            <w:rPr>
              <w:rFonts w:hint="eastAsia" w:asciiTheme="minorEastAsia" w:hAnsiTheme="minorEastAsia" w:eastAsiaTheme="minorEastAsia" w:cstheme="minorEastAsia"/>
              <w:b/>
              <w:bCs/>
              <w:sz w:val="28"/>
              <w:szCs w:val="28"/>
            </w:rPr>
            <w:instrText xml:space="preserve"> PAGEREF _Toc3380 \h </w:instrText>
          </w:r>
          <w:r>
            <w:rPr>
              <w:rFonts w:hint="eastAsia" w:asciiTheme="minorEastAsia" w:hAnsiTheme="minorEastAsia" w:eastAsiaTheme="minorEastAsia" w:cstheme="minorEastAsia"/>
              <w:b/>
              <w:bCs/>
              <w:sz w:val="28"/>
              <w:szCs w:val="28"/>
            </w:rPr>
            <w:fldChar w:fldCharType="separate"/>
          </w:r>
          <w:r>
            <w:rPr>
              <w:rFonts w:hint="eastAsia" w:asciiTheme="minorEastAsia" w:hAnsiTheme="minorEastAsia" w:eastAsiaTheme="minorEastAsia" w:cstheme="minorEastAsia"/>
              <w:b/>
              <w:bCs/>
              <w:sz w:val="28"/>
              <w:szCs w:val="28"/>
            </w:rPr>
            <w:t>48</w:t>
          </w:r>
          <w:r>
            <w:rPr>
              <w:rFonts w:hint="eastAsia" w:asciiTheme="minorEastAsia" w:hAnsiTheme="minorEastAsia" w:eastAsiaTheme="minorEastAsia" w:cstheme="minorEastAsia"/>
              <w:b/>
              <w:bCs/>
              <w:sz w:val="28"/>
              <w:szCs w:val="28"/>
            </w:rPr>
            <w:fldChar w:fldCharType="end"/>
          </w:r>
          <w:r>
            <w:rPr>
              <w:rFonts w:hint="eastAsia" w:asciiTheme="minorEastAsia" w:hAnsiTheme="minorEastAsia" w:eastAsiaTheme="minorEastAsia" w:cstheme="minorEastAsia"/>
              <w:b/>
              <w:bCs/>
              <w:sz w:val="28"/>
              <w:szCs w:val="28"/>
            </w:rPr>
            <w:fldChar w:fldCharType="end"/>
          </w:r>
        </w:p>
        <w:p>
          <w:pPr>
            <w:spacing w:line="360" w:lineRule="auto"/>
          </w:pPr>
          <w:r>
            <w:rPr>
              <w:rFonts w:hint="eastAsia" w:asciiTheme="minorEastAsia" w:hAnsiTheme="minorEastAsia" w:eastAsiaTheme="minorEastAsia" w:cstheme="minorEastAsia"/>
              <w:b/>
              <w:bCs/>
              <w:sz w:val="28"/>
              <w:szCs w:val="28"/>
            </w:rPr>
            <w:fldChar w:fldCharType="end"/>
          </w:r>
        </w:p>
      </w:sdtContent>
    </w:sdt>
    <w:p>
      <w:pPr>
        <w:tabs>
          <w:tab w:val="left" w:pos="2871"/>
        </w:tabs>
        <w:spacing w:line="360" w:lineRule="auto"/>
        <w:jc w:val="center"/>
        <w:outlineLvl w:val="0"/>
        <w:rPr>
          <w:rFonts w:ascii="宋体" w:hAnsi="宋体" w:cs="宋体"/>
          <w:b/>
          <w:bCs/>
          <w:sz w:val="24"/>
        </w:rPr>
        <w:sectPr>
          <w:footerReference r:id="rId4" w:type="default"/>
          <w:pgSz w:w="11850" w:h="16783"/>
          <w:pgMar w:top="1440" w:right="1800" w:bottom="1440" w:left="1800" w:header="851" w:footer="992" w:gutter="0"/>
          <w:cols w:space="425" w:num="1"/>
          <w:docGrid w:type="lines" w:linePitch="312" w:charSpace="0"/>
        </w:sectPr>
      </w:pPr>
    </w:p>
    <w:p>
      <w:pPr>
        <w:tabs>
          <w:tab w:val="left" w:pos="2871"/>
        </w:tabs>
        <w:spacing w:line="360" w:lineRule="auto"/>
        <w:jc w:val="center"/>
        <w:outlineLvl w:val="0"/>
        <w:rPr>
          <w:rFonts w:ascii="宋体" w:hAnsi="宋体" w:cs="宋体"/>
          <w:b/>
          <w:bCs/>
          <w:sz w:val="24"/>
        </w:rPr>
      </w:pPr>
      <w:bookmarkStart w:id="1" w:name="_Toc22807"/>
      <w:r>
        <w:rPr>
          <w:rFonts w:hint="eastAsia" w:ascii="宋体" w:hAnsi="宋体" w:cs="宋体"/>
          <w:b/>
          <w:bCs/>
          <w:sz w:val="24"/>
        </w:rPr>
        <w:t>前  言</w:t>
      </w:r>
      <w:bookmarkEnd w:id="0"/>
      <w:bookmarkEnd w:id="1"/>
    </w:p>
    <w:p>
      <w:pPr>
        <w:spacing w:line="360" w:lineRule="auto"/>
        <w:ind w:firstLine="480" w:firstLineChars="200"/>
        <w:outlineLvl w:val="9"/>
        <w:rPr>
          <w:rFonts w:ascii="宋体" w:hAnsi="宋体" w:cs="宋体"/>
          <w:sz w:val="24"/>
        </w:rPr>
      </w:pPr>
      <w:r>
        <w:rPr>
          <w:rFonts w:hint="eastAsia" w:ascii="宋体" w:hAnsi="宋体" w:cs="宋体"/>
          <w:sz w:val="24"/>
        </w:rPr>
        <w:t xml:space="preserve">四川东博轨道科技有限公司（以下简称“东博公司”）成立于 </w:t>
      </w:r>
      <w:r>
        <w:rPr>
          <w:rFonts w:ascii="宋体" w:hAnsi="宋体" w:cs="宋体"/>
          <w:sz w:val="24"/>
        </w:rPr>
        <w:t xml:space="preserve">2018 </w:t>
      </w:r>
      <w:r>
        <w:rPr>
          <w:rFonts w:hint="eastAsia" w:ascii="宋体" w:hAnsi="宋体" w:cs="宋体"/>
          <w:sz w:val="24"/>
        </w:rPr>
        <w:t xml:space="preserve">年 </w:t>
      </w:r>
      <w:r>
        <w:rPr>
          <w:rFonts w:ascii="宋体" w:hAnsi="宋体" w:cs="宋体"/>
          <w:sz w:val="24"/>
        </w:rPr>
        <w:t xml:space="preserve">9 </w:t>
      </w:r>
      <w:r>
        <w:rPr>
          <w:rFonts w:hint="eastAsia" w:ascii="宋体" w:hAnsi="宋体" w:cs="宋体"/>
          <w:sz w:val="24"/>
        </w:rPr>
        <w:t>月，是一家集铁路产品研发、生产、销售、服务于一体的轨道配件生产企业。东博公司于当年收购四川富凯印务包装有限公司位于隆昌市环城东路</w:t>
      </w:r>
      <w:r>
        <w:rPr>
          <w:rFonts w:ascii="宋体" w:hAnsi="宋体" w:cs="宋体"/>
          <w:sz w:val="24"/>
        </w:rPr>
        <w:t>203</w:t>
      </w:r>
      <w:r>
        <w:rPr>
          <w:rFonts w:hint="eastAsia" w:ascii="宋体" w:hAnsi="宋体" w:cs="宋体"/>
          <w:sz w:val="24"/>
        </w:rPr>
        <w:t>号的空置厂区及厂房建设而成。</w:t>
      </w:r>
      <w:r>
        <w:rPr>
          <w:rFonts w:hint="eastAsia" w:ascii="宋体" w:hAnsi="宋体" w:cs="宋体"/>
          <w:sz w:val="24"/>
          <w:szCs w:val="24"/>
        </w:rPr>
        <w:t>2019年4月苏州合巨环保技术有限公司（国环评证乙字第1998号）承担并编制完成了《四川东博轨道科技有限公司新建年产2000万件轨道器材项目环境影响报告表》</w:t>
      </w:r>
      <w:r>
        <w:rPr>
          <w:rFonts w:hint="eastAsia" w:ascii="宋体" w:hAnsi="宋体" w:cs="宋体"/>
          <w:sz w:val="24"/>
        </w:rPr>
        <w:t>，并于同年</w:t>
      </w:r>
      <w:r>
        <w:rPr>
          <w:rFonts w:ascii="宋体" w:hAnsi="宋体" w:cs="宋体"/>
          <w:sz w:val="24"/>
        </w:rPr>
        <w:t>5</w:t>
      </w:r>
      <w:r>
        <w:rPr>
          <w:rFonts w:hint="eastAsia" w:ascii="宋体" w:hAnsi="宋体" w:cs="宋体"/>
          <w:sz w:val="24"/>
        </w:rPr>
        <w:t>月取得了隆昌市环境保护局的批复</w:t>
      </w:r>
      <w:r>
        <w:rPr>
          <w:rFonts w:ascii="宋体" w:hAnsi="宋体" w:cs="宋体"/>
          <w:sz w:val="24"/>
        </w:rPr>
        <w:t>[</w:t>
      </w:r>
      <w:r>
        <w:rPr>
          <w:rFonts w:hint="eastAsia" w:ascii="宋体" w:hAnsi="宋体" w:cs="宋体"/>
          <w:sz w:val="24"/>
        </w:rPr>
        <w:t>隆环建（</w:t>
      </w:r>
      <w:r>
        <w:rPr>
          <w:rFonts w:ascii="宋体" w:hAnsi="宋体" w:cs="宋体"/>
          <w:sz w:val="24"/>
        </w:rPr>
        <w:t>2019</w:t>
      </w:r>
      <w:r>
        <w:rPr>
          <w:rFonts w:hint="eastAsia" w:ascii="宋体" w:hAnsi="宋体" w:cs="宋体"/>
          <w:sz w:val="24"/>
        </w:rPr>
        <w:t>）</w:t>
      </w:r>
      <w:r>
        <w:rPr>
          <w:rFonts w:ascii="宋体" w:hAnsi="宋体" w:cs="宋体"/>
          <w:sz w:val="24"/>
        </w:rPr>
        <w:t xml:space="preserve">14 </w:t>
      </w:r>
      <w:r>
        <w:rPr>
          <w:rFonts w:hint="eastAsia" w:ascii="宋体" w:hAnsi="宋体" w:cs="宋体"/>
          <w:sz w:val="24"/>
        </w:rPr>
        <w:t>号，该项目分两期建设，并于2019年由四川福德昌环保科技有限公司完成了该项目一期竣工环境保护验收工作（详见附件），该项目二期（</w:t>
      </w:r>
      <w:r>
        <w:rPr>
          <w:rFonts w:hint="eastAsia"/>
          <w:szCs w:val="21"/>
        </w:rPr>
        <w:t>热处理生产线</w:t>
      </w:r>
      <w:r>
        <w:rPr>
          <w:rFonts w:hint="eastAsia" w:ascii="宋体" w:hAnsi="宋体" w:cs="宋体"/>
          <w:sz w:val="24"/>
        </w:rPr>
        <w:t>）竣工环境保护验收和《新建年加工</w:t>
      </w:r>
      <w:r>
        <w:rPr>
          <w:rFonts w:ascii="宋体" w:hAnsi="宋体" w:cs="宋体"/>
          <w:sz w:val="24"/>
        </w:rPr>
        <w:t>1</w:t>
      </w:r>
      <w:r>
        <w:rPr>
          <w:rFonts w:hint="eastAsia" w:ascii="宋体" w:hAnsi="宋体" w:cs="宋体"/>
          <w:sz w:val="24"/>
        </w:rPr>
        <w:t>万吨环保涂覆生产线项目》竣工环境保护验收合并一起进行；2020年4月四川华易工程技术有限责任公司承担并编制完成了《年加工3万吨环保涂覆生产线及年注塑300万件生产线扩建项目环境影响报告表》，于2020年4月17日取得内江市隆昌生态环境局关于该项目的环评批复（隆环建【2020】19 号），该项目注塑300万件项目未建设，于2020年8月完成了该项目分期（</w:t>
      </w:r>
      <w:r>
        <w:rPr>
          <w:szCs w:val="21"/>
        </w:rPr>
        <w:t>喷塑能力</w:t>
      </w:r>
      <w:r>
        <w:rPr>
          <w:rFonts w:hint="eastAsia"/>
          <w:szCs w:val="21"/>
        </w:rPr>
        <w:t>0.5万t/a；合金原子渗处理能力2.5万t/a</w:t>
      </w:r>
      <w:r>
        <w:rPr>
          <w:rFonts w:hint="eastAsia"/>
          <w:snapToGrid w:val="0"/>
          <w:szCs w:val="21"/>
        </w:rPr>
        <w:t xml:space="preserve"> </w:t>
      </w:r>
      <w:r>
        <w:rPr>
          <w:rFonts w:hint="eastAsia" w:ascii="宋体" w:hAnsi="宋体" w:cs="宋体"/>
          <w:sz w:val="24"/>
        </w:rPr>
        <w:t>）验收工作（详见附件）；2020年12月，信息产业电子第十一设计研究院科技工程股份有限公司承担并编制完成了《新建年加工</w:t>
      </w:r>
      <w:r>
        <w:rPr>
          <w:rFonts w:ascii="宋体" w:hAnsi="宋体" w:cs="宋体"/>
          <w:sz w:val="24"/>
        </w:rPr>
        <w:t>1</w:t>
      </w:r>
      <w:r>
        <w:rPr>
          <w:rFonts w:hint="eastAsia" w:ascii="宋体" w:hAnsi="宋体" w:cs="宋体"/>
          <w:sz w:val="24"/>
        </w:rPr>
        <w:t>万吨环保涂覆生产线项目环境影响报告表》，并于2020年12月30日取得内江市隆昌生态环境局关于该项目的环评批复（隆环建【2020】47号），该项目2021年11月完成竣工环境保护验收（详见附件）；</w:t>
      </w:r>
    </w:p>
    <w:p>
      <w:pPr>
        <w:pStyle w:val="2"/>
        <w:spacing w:line="360" w:lineRule="auto"/>
        <w:ind w:firstLine="442" w:firstLineChars="200"/>
        <w:outlineLvl w:val="9"/>
        <w:rPr>
          <w:rFonts w:ascii="宋体" w:hAnsi="宋体" w:cs="宋体"/>
          <w:b/>
          <w:bCs/>
          <w:sz w:val="22"/>
        </w:rPr>
      </w:pPr>
      <w:r>
        <w:rPr>
          <w:rFonts w:hint="eastAsia" w:ascii="宋体" w:hAnsi="宋体" w:cs="宋体"/>
          <w:b/>
          <w:bCs/>
          <w:sz w:val="22"/>
        </w:rPr>
        <w:t>注：四川东博轨道科技有限公司《新建年产2000万件轨道器材项目》实际分为两期建设，在前期建设过程中，热处理生产线未建设完成，故在项目竣工环境保护验收过程中未对热处理生产线进行验收。</w:t>
      </w:r>
    </w:p>
    <w:p>
      <w:pPr>
        <w:spacing w:line="360" w:lineRule="auto"/>
        <w:ind w:firstLine="442" w:firstLineChars="200"/>
        <w:outlineLvl w:val="9"/>
        <w:rPr>
          <w:rFonts w:ascii="宋体" w:hAnsi="宋体" w:cs="宋体"/>
          <w:b/>
          <w:bCs/>
          <w:kern w:val="2"/>
        </w:rPr>
      </w:pPr>
      <w:r>
        <w:rPr>
          <w:rFonts w:hint="eastAsia" w:ascii="宋体" w:hAnsi="宋体" w:cs="宋体"/>
          <w:b/>
          <w:bCs/>
        </w:rPr>
        <w:t>四川东博轨道科技有限公司</w:t>
      </w:r>
      <w:r>
        <w:rPr>
          <w:rFonts w:hint="eastAsia" w:ascii="宋体" w:hAnsi="宋体" w:cs="宋体"/>
          <w:b/>
          <w:bCs/>
          <w:kern w:val="2"/>
        </w:rPr>
        <w:t>《年加工3万吨环保涂覆生产线及年注塑300万件生产线扩建项目》建设过程中未建设300万件铁路紧固件配套注塑品生产线，故在项目竣工环境保护验收过程中仅验收已建成投产的铁路紧固件半自动合金原子渗生产线、全自动合金原子渗生产线、全自动喷涂生产线，后期铁路紧固件配套注塑品生产线建成后需单独进行项目竣工环境保护验收工作。</w:t>
      </w:r>
    </w:p>
    <w:p>
      <w:pPr>
        <w:spacing w:line="360" w:lineRule="auto"/>
        <w:ind w:firstLine="442" w:firstLineChars="200"/>
        <w:outlineLvl w:val="9"/>
        <w:rPr>
          <w:rFonts w:ascii="宋体" w:hAnsi="宋体" w:cs="宋体"/>
          <w:b/>
          <w:bCs/>
          <w:kern w:val="2"/>
        </w:rPr>
      </w:pPr>
      <w:r>
        <w:rPr>
          <w:rFonts w:hint="eastAsia" w:ascii="宋体" w:hAnsi="宋体" w:cs="宋体"/>
          <w:b/>
          <w:bCs/>
        </w:rPr>
        <w:t>四川东博轨道科技有限公司</w:t>
      </w:r>
      <w:r>
        <w:rPr>
          <w:rFonts w:hint="eastAsia" w:ascii="宋体" w:hAnsi="宋体" w:cs="宋体"/>
          <w:b/>
          <w:bCs/>
          <w:kern w:val="2"/>
        </w:rPr>
        <w:t>项目《新建年加工1万吨环保涂覆生产线项目》竣工环境保护验收包含</w:t>
      </w:r>
      <w:r>
        <w:rPr>
          <w:rFonts w:hint="eastAsia" w:ascii="宋体" w:hAnsi="宋体" w:cs="宋体"/>
          <w:b/>
          <w:bCs/>
        </w:rPr>
        <w:t>四川东博轨道科技有限公司《新建年产2000万件轨道器材项目》中</w:t>
      </w:r>
      <w:r>
        <w:rPr>
          <w:rFonts w:hint="eastAsia" w:ascii="宋体" w:hAnsi="宋体" w:cs="宋体"/>
          <w:b/>
          <w:bCs/>
          <w:kern w:val="2"/>
        </w:rPr>
        <w:t>热处理生产线所涉相关建设内容。</w:t>
      </w:r>
    </w:p>
    <w:p>
      <w:pPr>
        <w:pStyle w:val="15"/>
        <w:spacing w:beforeLines="0"/>
        <w:ind w:firstLine="480"/>
        <w:outlineLvl w:val="9"/>
        <w:rPr>
          <w:rFonts w:ascii="宋体" w:hAnsi="宋体" w:cs="宋体"/>
        </w:rPr>
      </w:pPr>
      <w:r>
        <w:rPr>
          <w:rFonts w:hint="eastAsia" w:ascii="宋体" w:hAnsi="宋体" w:cs="宋体"/>
          <w:color w:val="000000"/>
        </w:rPr>
        <w:t>四川东博轨道科技有限公司的产品因部分客户要求，需要进行镀锌处理。为扩大产能和完善产品方案，四川东博轨道科技有限公司在隆昌市环城东路203号（隆昌经济开发区黄土坡组团）现厂区实施“新增1.5万吨/年紧固件生产扩建项目”，依托现有紧固件生产设备设施扩大紧固件产量，并新增热镀锌生产线，新增年加工1.5万吨热镀锌（不含钝化处理）紧固件的产能；全厂紧固件产能达到5.5万吨/年。</w:t>
      </w:r>
      <w:r>
        <w:rPr>
          <w:rFonts w:hint="eastAsia" w:ascii="宋体" w:hAnsi="宋体" w:cs="宋体"/>
        </w:rPr>
        <w:t>项目于2021年8月17日在隆昌市经济和信息化局进行了项目备案，备案号:川投资备【2108-511028-07-02-131127】JXQB-0258号。</w:t>
      </w:r>
      <w:r>
        <w:rPr>
          <w:rFonts w:hint="eastAsia" w:ascii="宋体" w:hAnsi="宋体" w:cs="宋体"/>
          <w:color w:val="000000"/>
        </w:rPr>
        <w:t>根据《中华人民共和国环境保护法》、《中华人民共和国环境影响评价法》、《建设项目环境保护管理条列》、《建设项目环境影响评价分类管理目录》等相关规定，</w:t>
      </w:r>
      <w:r>
        <w:rPr>
          <w:rFonts w:hint="eastAsia" w:ascii="宋体" w:hAnsi="宋体" w:cs="宋体"/>
        </w:rPr>
        <w:t>2021年11月，信息产业电子第十一设计研究院科技工程股份有限公司承担并编制完成了《</w:t>
      </w:r>
      <w:r>
        <w:rPr>
          <w:rFonts w:hint="eastAsia" w:ascii="宋体" w:hAnsi="宋体" w:cs="宋体"/>
          <w:szCs w:val="24"/>
        </w:rPr>
        <w:t>四川东博轨道科技有限公司</w:t>
      </w:r>
      <w:r>
        <w:t>新增</w:t>
      </w:r>
      <w:r>
        <w:rPr>
          <w:rFonts w:hint="eastAsia"/>
        </w:rPr>
        <w:t>1.5万吨/年紧固件生产扩建项目</w:t>
      </w:r>
      <w:r>
        <w:rPr>
          <w:rFonts w:hint="eastAsia" w:ascii="宋体" w:hAnsi="宋体" w:cs="宋体"/>
          <w:szCs w:val="24"/>
        </w:rPr>
        <w:t>环境影响报告表</w:t>
      </w:r>
      <w:r>
        <w:rPr>
          <w:rFonts w:hint="eastAsia" w:ascii="宋体" w:hAnsi="宋体" w:cs="宋体"/>
        </w:rPr>
        <w:t>》，并于2022年2月7日取得了内江生态环境局批复内市环隆审批【2022】2号</w:t>
      </w:r>
      <w:r>
        <w:rPr>
          <w:rFonts w:hint="eastAsia" w:ascii="宋体" w:hAnsi="宋体" w:cs="宋体"/>
          <w:color w:val="000000"/>
        </w:rPr>
        <w:t>。</w:t>
      </w:r>
      <w:r>
        <w:rPr>
          <w:rFonts w:hint="eastAsia" w:ascii="宋体" w:hAnsi="宋体" w:cs="宋体"/>
        </w:rPr>
        <w:t>项目于2022年2月开工建设，于2022年7月建成投产试运行。根据调查，项目投产试运行至今未发生过环境污染投诉及相关行政处罚。目前项目主要设备和环保设施运行正常，具备验收监测条件。（项目已进行排污登记管理：登记编号：91511028MA67MUK70B001W）</w:t>
      </w:r>
    </w:p>
    <w:p>
      <w:pPr>
        <w:spacing w:line="360" w:lineRule="auto"/>
        <w:ind w:firstLine="480" w:firstLineChars="200"/>
        <w:outlineLvl w:val="9"/>
        <w:rPr>
          <w:rFonts w:ascii="宋体" w:hAnsi="宋体" w:cs="宋体"/>
          <w:sz w:val="24"/>
        </w:rPr>
      </w:pPr>
      <w:r>
        <w:rPr>
          <w:rFonts w:hint="eastAsia" w:ascii="宋体" w:hAnsi="宋体" w:cs="宋体"/>
          <w:sz w:val="24"/>
        </w:rPr>
        <w:t>依据《建设项目环境保护管理条例》、</w:t>
      </w:r>
      <w:r>
        <w:rPr>
          <w:rFonts w:hint="eastAsia" w:ascii="宋体" w:hAnsi="宋体" w:cs="宋体"/>
          <w:sz w:val="24"/>
          <w:lang w:val="zh-CN"/>
        </w:rPr>
        <w:t>《建设项目竣工环境保护验收暂行办法》、《建设项目竣工环境保护验收技术指南污染影响类》等规定；</w:t>
      </w:r>
      <w:r>
        <w:rPr>
          <w:rFonts w:hint="eastAsia" w:ascii="宋体" w:hAnsi="宋体" w:cs="宋体"/>
          <w:sz w:val="24"/>
        </w:rPr>
        <w:t>2022年7月，四川东博轨道科技有限公司对该项目进行竣工环境保护验收工作，编制了《</w:t>
      </w:r>
      <w:r>
        <w:rPr>
          <w:rFonts w:hint="eastAsia" w:ascii="宋体" w:hAnsi="宋体" w:cs="宋体"/>
          <w:sz w:val="24"/>
          <w:szCs w:val="24"/>
        </w:rPr>
        <w:t>四川东博轨道科技有限公司</w:t>
      </w:r>
      <w:r>
        <w:rPr>
          <w:sz w:val="24"/>
        </w:rPr>
        <w:t>新增</w:t>
      </w:r>
      <w:r>
        <w:rPr>
          <w:rFonts w:hint="eastAsia"/>
          <w:sz w:val="24"/>
        </w:rPr>
        <w:t>1.5万吨/年紧固件生产扩建项目</w:t>
      </w:r>
      <w:r>
        <w:rPr>
          <w:rFonts w:hint="eastAsia" w:ascii="宋体" w:hAnsi="宋体" w:cs="宋体"/>
          <w:sz w:val="24"/>
        </w:rPr>
        <w:t>竣工环境保护验收监测方案》。根据监测方案，委托四川析谱科技（成都）有限公司于</w:t>
      </w:r>
      <w:r>
        <w:rPr>
          <w:rFonts w:hint="eastAsia" w:ascii="宋体" w:hAnsi="宋体" w:cs="宋体"/>
          <w:color w:val="000000" w:themeColor="text1"/>
          <w:sz w:val="24"/>
        </w:rPr>
        <w:t>2022年8月04日至12</w:t>
      </w:r>
      <w:r>
        <w:rPr>
          <w:rFonts w:hint="eastAsia" w:ascii="宋体" w:hAnsi="宋体" w:cs="宋体"/>
          <w:sz w:val="24"/>
        </w:rPr>
        <w:t>日进行了现场监测和采样分析检测。根据监测结果，编制完成了本竣工环境保护验收监测报告表。</w:t>
      </w:r>
    </w:p>
    <w:p>
      <w:pPr>
        <w:spacing w:line="360" w:lineRule="auto"/>
        <w:ind w:firstLine="480" w:firstLineChars="200"/>
        <w:outlineLvl w:val="9"/>
        <w:rPr>
          <w:rFonts w:ascii="宋体" w:hAnsi="宋体" w:cs="宋体"/>
          <w:sz w:val="24"/>
        </w:rPr>
        <w:sectPr>
          <w:footerReference r:id="rId5" w:type="default"/>
          <w:pgSz w:w="11850" w:h="16783"/>
          <w:pgMar w:top="1440" w:right="1800" w:bottom="1440" w:left="1800" w:header="851" w:footer="992" w:gutter="0"/>
          <w:pgNumType w:start="1"/>
          <w:cols w:space="425" w:num="1"/>
          <w:docGrid w:type="lines" w:linePitch="312" w:charSpace="0"/>
        </w:sectPr>
      </w:pPr>
    </w:p>
    <w:p>
      <w:pPr>
        <w:pStyle w:val="6"/>
        <w:spacing w:line="240" w:lineRule="auto"/>
        <w:ind w:left="0" w:leftChars="0"/>
        <w:outlineLvl w:val="0"/>
        <w:rPr>
          <w:rFonts w:asciiTheme="majorEastAsia" w:hAnsiTheme="majorEastAsia" w:eastAsiaTheme="majorEastAsia" w:cstheme="majorEastAsia"/>
          <w:b/>
          <w:sz w:val="28"/>
          <w:szCs w:val="28"/>
        </w:rPr>
      </w:pPr>
      <w:bookmarkStart w:id="2" w:name="_Toc10150_WPSOffice_Level1"/>
      <w:bookmarkStart w:id="3" w:name="_Toc19127"/>
      <w:bookmarkStart w:id="4" w:name="_Toc25332"/>
      <w:bookmarkStart w:id="5" w:name="_Toc20844_WPSOffice_Level1"/>
      <w:bookmarkStart w:id="6" w:name="_Toc24944"/>
      <w:r>
        <w:rPr>
          <w:rFonts w:hint="eastAsia" w:asciiTheme="majorEastAsia" w:hAnsiTheme="majorEastAsia" w:eastAsiaTheme="majorEastAsia" w:cstheme="majorEastAsia"/>
          <w:b/>
          <w:sz w:val="28"/>
          <w:szCs w:val="28"/>
        </w:rPr>
        <w:t>表一 验收项目概括、验收范围、依据</w:t>
      </w:r>
      <w:bookmarkEnd w:id="2"/>
      <w:bookmarkEnd w:id="3"/>
      <w:bookmarkEnd w:id="4"/>
      <w:bookmarkEnd w:id="5"/>
      <w:bookmarkEnd w:id="6"/>
    </w:p>
    <w:tbl>
      <w:tblPr>
        <w:tblStyle w:val="12"/>
        <w:tblpPr w:leftFromText="180" w:rightFromText="180" w:vertAnchor="text" w:tblpX="1"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9"/>
        <w:gridCol w:w="2075"/>
        <w:gridCol w:w="699"/>
        <w:gridCol w:w="1461"/>
        <w:gridCol w:w="728"/>
        <w:gridCol w:w="637"/>
        <w:gridCol w:w="765"/>
        <w:gridCol w:w="12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建设项目名称</w:t>
            </w:r>
          </w:p>
        </w:tc>
        <w:tc>
          <w:tcPr>
            <w:tcW w:w="7609" w:type="dxa"/>
            <w:gridSpan w:val="7"/>
            <w:vAlign w:val="center"/>
          </w:tcPr>
          <w:p>
            <w:pPr>
              <w:jc w:val="center"/>
              <w:outlineLvl w:val="9"/>
              <w:rPr>
                <w:rFonts w:asciiTheme="majorEastAsia" w:hAnsiTheme="majorEastAsia" w:eastAsiaTheme="majorEastAsia" w:cstheme="majorEastAsia"/>
                <w:sz w:val="24"/>
              </w:rPr>
            </w:pPr>
            <w:r>
              <w:rPr>
                <w:sz w:val="24"/>
              </w:rPr>
              <w:t>新增</w:t>
            </w:r>
            <w:r>
              <w:rPr>
                <w:rFonts w:hint="eastAsia"/>
                <w:sz w:val="24"/>
              </w:rPr>
              <w:t>1.5万吨/年紧固件生产扩建项目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建设单位名称</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imes New Roman" w:hAnsi="Times New Roman"/>
                <w:sz w:val="24"/>
              </w:rPr>
              <w:t>四川东博轨道科技有限公司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建设项目性质</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新建  改扩建√  技改  迁建（划√）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法人代表</w:t>
            </w:r>
          </w:p>
        </w:tc>
        <w:tc>
          <w:tcPr>
            <w:tcW w:w="2774" w:type="dxa"/>
            <w:gridSpan w:val="2"/>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邱杰</w:t>
            </w:r>
          </w:p>
        </w:tc>
        <w:tc>
          <w:tcPr>
            <w:tcW w:w="2189"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联系人</w:t>
            </w:r>
          </w:p>
        </w:tc>
        <w:tc>
          <w:tcPr>
            <w:tcW w:w="2646" w:type="dxa"/>
            <w:gridSpan w:val="3"/>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邱杰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联系电话</w:t>
            </w:r>
          </w:p>
        </w:tc>
        <w:tc>
          <w:tcPr>
            <w:tcW w:w="2774" w:type="dxa"/>
            <w:gridSpan w:val="2"/>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13684405999</w:t>
            </w:r>
          </w:p>
        </w:tc>
        <w:tc>
          <w:tcPr>
            <w:tcW w:w="2189"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邮编</w:t>
            </w:r>
          </w:p>
        </w:tc>
        <w:tc>
          <w:tcPr>
            <w:tcW w:w="2646" w:type="dxa"/>
            <w:gridSpan w:val="3"/>
            <w:vAlign w:val="center"/>
          </w:tcPr>
          <w:p>
            <w:pPr>
              <w:tabs>
                <w:tab w:val="left" w:pos="877"/>
              </w:tabs>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642150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建设地点</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隆昌市环城东路203号（隆昌黄土坡工业园区内）</w:t>
            </w:r>
          </w:p>
          <w:p>
            <w:pPr>
              <w:jc w:val="center"/>
              <w:outlineLvl w:val="9"/>
              <w:rPr>
                <w:sz w:val="24"/>
              </w:rPr>
            </w:pPr>
            <w:r>
              <w:rPr>
                <w:rFonts w:hint="eastAsia" w:asciiTheme="majorEastAsia" w:hAnsiTheme="majorEastAsia" w:eastAsiaTheme="majorEastAsia" w:cstheme="majorEastAsia"/>
                <w:sz w:val="24"/>
              </w:rPr>
              <w:t>（东经 105.310356︒，北纬 29.342874︒）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行业类别及代码</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铁路专用设备及器材、配件制造C3716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设计生产能力</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年加工1.5万吨热镀锌（不含钝化处理）紧固件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实际生产能力</w:t>
            </w:r>
          </w:p>
        </w:tc>
        <w:tc>
          <w:tcPr>
            <w:tcW w:w="7609" w:type="dxa"/>
            <w:gridSpan w:val="7"/>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年加工1.5万吨热镀锌（不含钝化处理）紧固件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项目环评时间</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2021年11月</w:t>
            </w:r>
          </w:p>
        </w:tc>
        <w:tc>
          <w:tcPr>
            <w:tcW w:w="2160"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开工建设时间</w:t>
            </w:r>
          </w:p>
        </w:tc>
        <w:tc>
          <w:tcPr>
            <w:tcW w:w="3374" w:type="dxa"/>
            <w:gridSpan w:val="4"/>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color w:val="000000" w:themeColor="text1"/>
                <w:sz w:val="24"/>
                <w:shd w:val="clear" w:color="auto" w:fill="FFFFFF" w:themeFill="background1"/>
              </w:rPr>
              <w:t>2022年2月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调试时间/</w:t>
            </w:r>
          </w:p>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投入运行时间</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2022年7月</w:t>
            </w:r>
          </w:p>
        </w:tc>
        <w:tc>
          <w:tcPr>
            <w:tcW w:w="2160" w:type="dxa"/>
            <w:gridSpan w:val="2"/>
            <w:vAlign w:val="center"/>
          </w:tcPr>
          <w:p>
            <w:pPr>
              <w:jc w:val="center"/>
              <w:outlineLvl w:val="9"/>
              <w:rPr>
                <w:rFonts w:asciiTheme="majorEastAsia" w:hAnsiTheme="majorEastAsia" w:eastAsiaTheme="majorEastAsia" w:cstheme="majorEastAsia"/>
                <w:b/>
                <w:color w:val="000000" w:themeColor="text1"/>
                <w:sz w:val="24"/>
              </w:rPr>
            </w:pPr>
            <w:r>
              <w:rPr>
                <w:rFonts w:hint="eastAsia" w:asciiTheme="majorEastAsia" w:hAnsiTheme="majorEastAsia" w:eastAsiaTheme="majorEastAsia" w:cstheme="majorEastAsia"/>
                <w:b/>
                <w:color w:val="000000" w:themeColor="text1"/>
                <w:sz w:val="24"/>
              </w:rPr>
              <w:t>验收现场监测时间</w:t>
            </w:r>
          </w:p>
        </w:tc>
        <w:tc>
          <w:tcPr>
            <w:tcW w:w="3374" w:type="dxa"/>
            <w:gridSpan w:val="4"/>
            <w:vAlign w:val="center"/>
          </w:tcPr>
          <w:p>
            <w:pPr>
              <w:jc w:val="center"/>
              <w:outlineLvl w:val="9"/>
              <w:rPr>
                <w:rFonts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t>2022年8月4日至8月12日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环评报告表</w:t>
            </w:r>
          </w:p>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审批部门</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内江市隆昌</w:t>
            </w:r>
          </w:p>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生态环境局</w:t>
            </w:r>
          </w:p>
        </w:tc>
        <w:tc>
          <w:tcPr>
            <w:tcW w:w="2160"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危废处置单位及经营许可证编号</w:t>
            </w:r>
          </w:p>
        </w:tc>
        <w:tc>
          <w:tcPr>
            <w:tcW w:w="3374" w:type="dxa"/>
            <w:gridSpan w:val="4"/>
            <w:vAlign w:val="center"/>
          </w:tcPr>
          <w:p>
            <w:pPr>
              <w:jc w:val="center"/>
              <w:outlineLvl w:val="9"/>
              <w:rPr>
                <w:rFonts w:ascii="宋体" w:hAnsi="宋体" w:cs="宋体"/>
                <w:sz w:val="24"/>
              </w:rPr>
            </w:pPr>
            <w:r>
              <w:rPr>
                <w:rFonts w:hint="eastAsia" w:ascii="宋体" w:hAnsi="宋体" w:cs="宋体"/>
                <w:sz w:val="24"/>
              </w:rPr>
              <w:t>成都兴蓉环保科技股份有限公司；危废处置单号：川环危第510112052号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环评报告表</w:t>
            </w:r>
          </w:p>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编制单位</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宋体" w:hAnsi="宋体" w:cs="宋体"/>
                <w:color w:val="000000"/>
                <w:sz w:val="24"/>
              </w:rPr>
              <w:t>信息产业电子第十一设计研究院科技工程股份有限公司</w:t>
            </w:r>
          </w:p>
        </w:tc>
        <w:tc>
          <w:tcPr>
            <w:tcW w:w="2160"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环评证书编号</w:t>
            </w:r>
          </w:p>
        </w:tc>
        <w:tc>
          <w:tcPr>
            <w:tcW w:w="3374" w:type="dxa"/>
            <w:gridSpan w:val="4"/>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环保设计单位</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w:t>
            </w:r>
          </w:p>
        </w:tc>
        <w:tc>
          <w:tcPr>
            <w:tcW w:w="2160"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环保设施施工单位</w:t>
            </w:r>
          </w:p>
        </w:tc>
        <w:tc>
          <w:tcPr>
            <w:tcW w:w="3374" w:type="dxa"/>
            <w:gridSpan w:val="4"/>
            <w:vAlign w:val="center"/>
          </w:tcPr>
          <w:p>
            <w:pPr>
              <w:jc w:val="center"/>
              <w:outlineLvl w:val="9"/>
              <w:rPr>
                <w:rFonts w:asciiTheme="majorEastAsia" w:hAnsiTheme="majorEastAsia" w:eastAsiaTheme="majorEastAsia" w:cstheme="majorEastAsia"/>
                <w:sz w:val="24"/>
              </w:rPr>
            </w:pPr>
            <w:r>
              <w:rPr>
                <w:rFonts w:hint="eastAsia" w:ascii="Times New Roman" w:hAnsi="Times New Roman"/>
                <w:sz w:val="24"/>
              </w:rPr>
              <w:t>四川东博轨道科技有限公司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投资总概算</w:t>
            </w:r>
          </w:p>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（万元）</w:t>
            </w:r>
          </w:p>
        </w:tc>
        <w:tc>
          <w:tcPr>
            <w:tcW w:w="2075"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2000</w:t>
            </w:r>
          </w:p>
        </w:tc>
        <w:tc>
          <w:tcPr>
            <w:tcW w:w="2160" w:type="dxa"/>
            <w:gridSpan w:val="2"/>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环保投资总概算（万元）</w:t>
            </w:r>
          </w:p>
        </w:tc>
        <w:tc>
          <w:tcPr>
            <w:tcW w:w="1365" w:type="dxa"/>
            <w:gridSpan w:val="2"/>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98</w:t>
            </w:r>
          </w:p>
        </w:tc>
        <w:tc>
          <w:tcPr>
            <w:tcW w:w="765"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比例</w:t>
            </w:r>
          </w:p>
        </w:tc>
        <w:tc>
          <w:tcPr>
            <w:tcW w:w="1244" w:type="dxa"/>
            <w:vAlign w:val="center"/>
          </w:tcPr>
          <w:p>
            <w:pPr>
              <w:jc w:val="center"/>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79" w:type="dxa"/>
            <w:vAlign w:val="center"/>
          </w:tcPr>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实际总概算</w:t>
            </w:r>
          </w:p>
          <w:p>
            <w:pPr>
              <w:jc w:val="center"/>
              <w:outlineLvl w:val="9"/>
              <w:rPr>
                <w:rFonts w:asciiTheme="majorEastAsia" w:hAnsiTheme="majorEastAsia" w:eastAsiaTheme="majorEastAsia" w:cstheme="majorEastAsia"/>
                <w:b/>
                <w:sz w:val="24"/>
              </w:rPr>
            </w:pPr>
            <w:r>
              <w:rPr>
                <w:rFonts w:hint="eastAsia" w:asciiTheme="majorEastAsia" w:hAnsiTheme="majorEastAsia" w:eastAsiaTheme="majorEastAsia" w:cstheme="majorEastAsia"/>
                <w:b/>
                <w:sz w:val="24"/>
              </w:rPr>
              <w:t>（万元）</w:t>
            </w:r>
          </w:p>
        </w:tc>
        <w:tc>
          <w:tcPr>
            <w:tcW w:w="2075" w:type="dxa"/>
            <w:vAlign w:val="center"/>
          </w:tcPr>
          <w:p>
            <w:pPr>
              <w:jc w:val="center"/>
              <w:outlineLvl w:val="9"/>
              <w:rPr>
                <w:rFonts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color w:val="000000" w:themeColor="text1"/>
                <w:sz w:val="24"/>
              </w:rPr>
              <w:t>2000</w:t>
            </w:r>
          </w:p>
        </w:tc>
        <w:tc>
          <w:tcPr>
            <w:tcW w:w="2160" w:type="dxa"/>
            <w:gridSpan w:val="2"/>
            <w:vAlign w:val="center"/>
          </w:tcPr>
          <w:p>
            <w:pPr>
              <w:jc w:val="center"/>
              <w:outlineLvl w:val="9"/>
              <w:rPr>
                <w:rFonts w:asciiTheme="majorEastAsia" w:hAnsiTheme="majorEastAsia" w:eastAsiaTheme="majorEastAsia" w:cstheme="majorEastAsia"/>
                <w:b/>
                <w:color w:val="000000" w:themeColor="text1"/>
                <w:sz w:val="24"/>
              </w:rPr>
            </w:pPr>
            <w:r>
              <w:rPr>
                <w:rFonts w:hint="eastAsia" w:asciiTheme="majorEastAsia" w:hAnsiTheme="majorEastAsia" w:eastAsiaTheme="majorEastAsia" w:cstheme="majorEastAsia"/>
                <w:b/>
                <w:color w:val="000000" w:themeColor="text1"/>
                <w:sz w:val="24"/>
              </w:rPr>
              <w:t>环保投资（万元）</w:t>
            </w:r>
          </w:p>
        </w:tc>
        <w:tc>
          <w:tcPr>
            <w:tcW w:w="1365" w:type="dxa"/>
            <w:gridSpan w:val="2"/>
            <w:vAlign w:val="center"/>
          </w:tcPr>
          <w:p>
            <w:pPr>
              <w:jc w:val="center"/>
              <w:outlineLvl w:val="9"/>
              <w:rPr>
                <w:rFonts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sz w:val="24"/>
              </w:rPr>
              <w:t>98</w:t>
            </w:r>
          </w:p>
        </w:tc>
        <w:tc>
          <w:tcPr>
            <w:tcW w:w="765" w:type="dxa"/>
            <w:vAlign w:val="center"/>
          </w:tcPr>
          <w:p>
            <w:pPr>
              <w:jc w:val="center"/>
              <w:outlineLvl w:val="9"/>
              <w:rPr>
                <w:rFonts w:asciiTheme="majorEastAsia" w:hAnsiTheme="majorEastAsia" w:eastAsiaTheme="majorEastAsia" w:cstheme="majorEastAsia"/>
                <w:b/>
                <w:color w:val="000000" w:themeColor="text1"/>
                <w:sz w:val="24"/>
              </w:rPr>
            </w:pPr>
            <w:r>
              <w:rPr>
                <w:rFonts w:hint="eastAsia" w:asciiTheme="majorEastAsia" w:hAnsiTheme="majorEastAsia" w:eastAsiaTheme="majorEastAsia" w:cstheme="majorEastAsia"/>
                <w:b/>
                <w:color w:val="000000" w:themeColor="text1"/>
                <w:sz w:val="24"/>
              </w:rPr>
              <w:t>比例</w:t>
            </w:r>
          </w:p>
        </w:tc>
        <w:tc>
          <w:tcPr>
            <w:tcW w:w="1244" w:type="dxa"/>
            <w:vAlign w:val="center"/>
          </w:tcPr>
          <w:p>
            <w:pPr>
              <w:jc w:val="center"/>
              <w:outlineLvl w:val="9"/>
              <w:rPr>
                <w:rFonts w:asciiTheme="majorEastAsia" w:hAnsiTheme="majorEastAsia" w:eastAsiaTheme="majorEastAsia" w:cstheme="majorEastAsia"/>
                <w:color w:val="000000" w:themeColor="text1"/>
                <w:sz w:val="24"/>
              </w:rPr>
            </w:pPr>
            <w:r>
              <w:rPr>
                <w:rFonts w:hint="eastAsia" w:asciiTheme="majorEastAsia" w:hAnsiTheme="majorEastAsia" w:eastAsiaTheme="majorEastAsia" w:cstheme="majorEastAsia"/>
                <w:sz w:val="24"/>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1779" w:type="dxa"/>
            <w:vAlign w:val="center"/>
          </w:tcPr>
          <w:p>
            <w:pPr>
              <w:spacing w:line="360" w:lineRule="auto"/>
              <w:jc w:val="center"/>
              <w:outlineLvl w:val="9"/>
              <w:rPr>
                <w:rFonts w:asciiTheme="majorEastAsia" w:hAnsiTheme="majorEastAsia" w:eastAsiaTheme="majorEastAsia" w:cstheme="majorEastAsia"/>
                <w:b/>
                <w:color w:val="000000"/>
                <w:sz w:val="24"/>
              </w:rPr>
            </w:pPr>
            <w:r>
              <w:rPr>
                <w:rFonts w:hint="eastAsia" w:asciiTheme="majorEastAsia" w:hAnsiTheme="majorEastAsia" w:eastAsiaTheme="majorEastAsia" w:cstheme="majorEastAsia"/>
                <w:b/>
                <w:color w:val="000000"/>
                <w:sz w:val="24"/>
              </w:rPr>
              <w:t>验收监测依据</w:t>
            </w:r>
          </w:p>
        </w:tc>
        <w:tc>
          <w:tcPr>
            <w:tcW w:w="7609" w:type="dxa"/>
            <w:gridSpan w:val="7"/>
          </w:tcPr>
          <w:p>
            <w:pPr>
              <w:spacing w:line="360" w:lineRule="auto"/>
              <w:ind w:firstLine="480" w:firstLineChars="200"/>
              <w:outlineLvl w:val="9"/>
              <w:rPr>
                <w:rFonts w:ascii="宋体" w:hAnsi="宋体" w:cs="宋体"/>
                <w:bCs/>
                <w:color w:val="000000"/>
                <w:sz w:val="24"/>
                <w:lang w:val="zh-CN"/>
              </w:rPr>
            </w:pPr>
            <w:r>
              <w:rPr>
                <w:rFonts w:hint="eastAsia" w:ascii="宋体" w:hAnsi="宋体" w:cs="宋体"/>
                <w:bCs/>
                <w:color w:val="000000"/>
                <w:sz w:val="24"/>
                <w:lang w:val="zh-CN"/>
              </w:rPr>
              <w:t>（1）《建设项目环境保护管理条例》（国务院令第682号，2017.08.01）；</w:t>
            </w:r>
          </w:p>
          <w:p>
            <w:pPr>
              <w:spacing w:line="360" w:lineRule="auto"/>
              <w:ind w:firstLine="480" w:firstLineChars="200"/>
              <w:outlineLvl w:val="9"/>
              <w:rPr>
                <w:rFonts w:ascii="宋体" w:hAnsi="宋体" w:cs="宋体"/>
                <w:bCs/>
                <w:color w:val="000000"/>
                <w:sz w:val="24"/>
                <w:lang w:val="zh-CN"/>
              </w:rPr>
            </w:pPr>
            <w:r>
              <w:rPr>
                <w:rFonts w:hint="eastAsia" w:ascii="宋体" w:hAnsi="宋体" w:cs="宋体"/>
                <w:bCs/>
                <w:color w:val="000000"/>
                <w:sz w:val="24"/>
                <w:lang w:val="zh-CN"/>
              </w:rPr>
              <w:t>（2）《建设项目竣工环境保护验收暂行办法》（环境保护部，国环规环评[2017]4号，2017.11.20）；</w:t>
            </w:r>
          </w:p>
          <w:p>
            <w:pPr>
              <w:spacing w:line="360" w:lineRule="auto"/>
              <w:ind w:firstLine="480" w:firstLineChars="200"/>
              <w:outlineLvl w:val="9"/>
              <w:rPr>
                <w:rFonts w:ascii="宋体" w:hAnsi="宋体" w:cs="宋体"/>
                <w:bCs/>
                <w:color w:val="000000"/>
                <w:sz w:val="24"/>
                <w:lang w:val="zh-CN"/>
              </w:rPr>
            </w:pPr>
            <w:r>
              <w:rPr>
                <w:rFonts w:hint="eastAsia" w:ascii="宋体" w:hAnsi="宋体" w:cs="宋体"/>
                <w:bCs/>
                <w:color w:val="000000"/>
                <w:sz w:val="24"/>
                <w:lang w:val="zh-CN"/>
              </w:rPr>
              <w:t>（3）《关于进一步加强环境影响评价管理防范环境风险的通知》（国家环保部环发[2012]77号，2012.7.3）；</w:t>
            </w:r>
          </w:p>
          <w:p>
            <w:pPr>
              <w:spacing w:line="360" w:lineRule="auto"/>
              <w:ind w:firstLine="480" w:firstLineChars="200"/>
              <w:outlineLvl w:val="9"/>
              <w:rPr>
                <w:rFonts w:ascii="宋体" w:hAnsi="宋体" w:cs="宋体"/>
                <w:bCs/>
                <w:color w:val="000000"/>
                <w:sz w:val="24"/>
                <w:lang w:val="zh-CN"/>
              </w:rPr>
            </w:pPr>
            <w:r>
              <w:rPr>
                <w:rFonts w:hint="eastAsia" w:ascii="宋体" w:hAnsi="宋体" w:cs="宋体"/>
                <w:bCs/>
                <w:color w:val="000000"/>
                <w:sz w:val="24"/>
                <w:lang w:val="zh-CN"/>
              </w:rPr>
              <w:t>（4）《建设项目竣工环境保护验收技术指南污染影响类》（生态环境部，2018年第9号公告，2018.5.15）；</w:t>
            </w:r>
          </w:p>
          <w:p>
            <w:pPr>
              <w:spacing w:line="360" w:lineRule="auto"/>
              <w:ind w:firstLine="480" w:firstLineChars="200"/>
              <w:outlineLvl w:val="9"/>
              <w:rPr>
                <w:rFonts w:ascii="宋体" w:hAnsi="宋体" w:cs="宋体"/>
                <w:bCs/>
                <w:color w:val="000000"/>
                <w:sz w:val="24"/>
              </w:rPr>
            </w:pPr>
            <w:r>
              <w:rPr>
                <w:rFonts w:hint="eastAsia" w:ascii="宋体" w:hAnsi="宋体" w:cs="宋体"/>
                <w:bCs/>
                <w:color w:val="000000"/>
                <w:sz w:val="24"/>
              </w:rPr>
              <w:t>（5）</w:t>
            </w:r>
            <w:r>
              <w:rPr>
                <w:rFonts w:hint="eastAsia" w:ascii="宋体" w:hAnsi="宋体" w:cs="宋体"/>
                <w:bCs/>
                <w:color w:val="000000"/>
                <w:sz w:val="24"/>
                <w:lang w:val="zh-CN"/>
              </w:rPr>
              <w:t>隆昌市发展和改革局关于该项目的备案，备案号：</w:t>
            </w:r>
            <w:r>
              <w:rPr>
                <w:rFonts w:hint="eastAsia" w:ascii="宋体" w:hAnsi="宋体" w:cs="宋体"/>
                <w:bCs/>
                <w:color w:val="000000"/>
                <w:sz w:val="24"/>
              </w:rPr>
              <w:t>川投资备【2108-511028-07-02-131127】JXQB-0258号（2021.8.7）；</w:t>
            </w:r>
          </w:p>
          <w:p>
            <w:pPr>
              <w:spacing w:line="360" w:lineRule="auto"/>
              <w:ind w:firstLine="480" w:firstLineChars="200"/>
              <w:outlineLvl w:val="9"/>
              <w:rPr>
                <w:rFonts w:ascii="宋体" w:hAnsi="宋体" w:cs="宋体"/>
                <w:bCs/>
                <w:color w:val="000000"/>
                <w:sz w:val="24"/>
              </w:rPr>
            </w:pPr>
            <w:r>
              <w:rPr>
                <w:rFonts w:hint="eastAsia" w:ascii="宋体" w:hAnsi="宋体" w:cs="宋体"/>
                <w:bCs/>
                <w:color w:val="000000"/>
                <w:sz w:val="24"/>
              </w:rPr>
              <w:t>（6）信息产业电子第十一设计研究院科技工程股份有限公司编制《四川东博轨道科技有限公司新增1.5万吨/年紧固件生产扩建项目环境影响报告表》（2021年11月）；</w:t>
            </w:r>
          </w:p>
          <w:p>
            <w:pPr>
              <w:spacing w:line="360" w:lineRule="auto"/>
              <w:ind w:firstLine="480" w:firstLineChars="200"/>
              <w:outlineLvl w:val="9"/>
              <w:rPr>
                <w:rFonts w:ascii="宋体" w:hAnsi="宋体" w:cs="宋体"/>
                <w:bCs/>
                <w:color w:val="000000"/>
                <w:sz w:val="24"/>
              </w:rPr>
            </w:pPr>
            <w:r>
              <w:rPr>
                <w:rFonts w:hint="eastAsia" w:ascii="宋体" w:hAnsi="宋体" w:cs="宋体"/>
                <w:bCs/>
                <w:color w:val="000000"/>
                <w:sz w:val="24"/>
              </w:rPr>
              <w:t>（7）内江市隆昌生态环境局的批复，批号：内市环隆审批【2022】2号（2022.2.7）。</w:t>
            </w:r>
          </w:p>
          <w:p>
            <w:pPr>
              <w:spacing w:line="360" w:lineRule="auto"/>
              <w:ind w:firstLine="480" w:firstLineChars="200"/>
              <w:outlineLvl w:val="9"/>
              <w:rPr>
                <w:rFonts w:asciiTheme="majorEastAsia" w:hAnsiTheme="majorEastAsia" w:eastAsiaTheme="majorEastAsia" w:cstheme="majorEastAsia"/>
                <w:color w:val="000000"/>
                <w:sz w:val="24"/>
                <w:szCs w:val="24"/>
              </w:rPr>
            </w:pPr>
            <w:r>
              <w:rPr>
                <w:rFonts w:hint="eastAsia" w:ascii="宋体" w:hAnsi="宋体" w:cs="宋体"/>
                <w:bCs/>
                <w:color w:val="000000"/>
                <w:sz w:val="24"/>
              </w:rPr>
              <w:t>（8）其他相关资料。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79" w:type="dxa"/>
            <w:vAlign w:val="center"/>
          </w:tcPr>
          <w:p>
            <w:pPr>
              <w:spacing w:line="360" w:lineRule="auto"/>
              <w:jc w:val="center"/>
              <w:outlineLvl w:val="9"/>
              <w:rPr>
                <w:rFonts w:asciiTheme="majorEastAsia" w:hAnsiTheme="majorEastAsia" w:eastAsiaTheme="majorEastAsia" w:cstheme="majorEastAsia"/>
                <w:b/>
                <w:bCs/>
                <w:color w:val="000000"/>
                <w:sz w:val="24"/>
              </w:rPr>
            </w:pPr>
            <w:r>
              <w:rPr>
                <w:rFonts w:hint="eastAsia" w:asciiTheme="majorEastAsia" w:hAnsiTheme="majorEastAsia" w:eastAsiaTheme="majorEastAsia" w:cstheme="majorEastAsia"/>
                <w:b/>
                <w:bCs/>
                <w:color w:val="000000"/>
                <w:sz w:val="24"/>
              </w:rPr>
              <w:t>验收监测评价标准、标号、级别</w:t>
            </w:r>
          </w:p>
        </w:tc>
        <w:tc>
          <w:tcPr>
            <w:tcW w:w="7609" w:type="dxa"/>
            <w:gridSpan w:val="7"/>
            <w:vAlign w:val="center"/>
          </w:tcPr>
          <w:p>
            <w:pPr>
              <w:spacing w:line="360" w:lineRule="auto"/>
              <w:ind w:firstLine="480" w:firstLineChars="200"/>
              <w:outlineLvl w:val="9"/>
              <w:rPr>
                <w:rFonts w:ascii="宋体" w:hAnsi="宋体" w:cs="宋体"/>
                <w:bCs/>
                <w:color w:val="000000"/>
                <w:sz w:val="24"/>
              </w:rPr>
            </w:pPr>
            <w:r>
              <w:rPr>
                <w:rFonts w:hint="eastAsia" w:ascii="宋体" w:hAnsi="宋体" w:cs="宋体"/>
                <w:bCs/>
                <w:color w:val="000000"/>
                <w:sz w:val="24"/>
              </w:rPr>
              <w:t>有组织废气氯化氢、颗粒物物排放执行《大气污染物综合排放标准》（GB8978-1996）二级标准要求、4#排气筒中VOCs（以非甲烷总烃计）执行《四川省固定污染源大气挥发性有机物排放标准》（DB51、2377—2017）表3中表面涂装行业标准限值。颗粒物、氮氧化物、二氧化硫执行《四川省工业炉窑大气污染物综合治理实施清单》相关要求</w:t>
            </w:r>
            <w:r>
              <w:rPr>
                <w:rFonts w:ascii="宋体" w:hAnsi="宋体" w:cs="宋体"/>
                <w:bCs/>
                <w:color w:val="000000"/>
                <w:sz w:val="24"/>
              </w:rPr>
              <w:t>。</w:t>
            </w:r>
          </w:p>
          <w:p>
            <w:pPr>
              <w:spacing w:line="360" w:lineRule="auto"/>
              <w:ind w:firstLine="480" w:firstLineChars="200"/>
              <w:outlineLvl w:val="9"/>
              <w:rPr>
                <w:rFonts w:ascii="宋体" w:hAnsi="宋体" w:cs="宋体"/>
                <w:bCs/>
                <w:color w:val="000000"/>
                <w:sz w:val="24"/>
              </w:rPr>
            </w:pPr>
            <w:r>
              <w:rPr>
                <w:rFonts w:ascii="宋体" w:hAnsi="宋体" w:cs="宋体"/>
                <w:bCs/>
                <w:color w:val="000000"/>
                <w:sz w:val="24"/>
              </w:rPr>
              <w:t>无组织废气</w:t>
            </w:r>
            <w:r>
              <w:rPr>
                <w:rFonts w:hint="eastAsia" w:ascii="宋体" w:hAnsi="宋体" w:cs="宋体"/>
                <w:bCs/>
                <w:color w:val="000000"/>
                <w:sz w:val="24"/>
              </w:rPr>
              <w:t>氯化氢、颗粒物、氮氧化物、二氧化硫排放执行《大气污染物综合排放标准》（GB8978-1996）二级标准要求；VOCs（以非甲烷总烃计）执行《四川省固定污染源大气挥发性有机物排放标准》（DB51、2377—2017）中表5标准</w:t>
            </w:r>
            <w:r>
              <w:rPr>
                <w:rFonts w:ascii="宋体" w:hAnsi="宋体" w:cs="宋体"/>
                <w:bCs/>
                <w:color w:val="000000"/>
                <w:sz w:val="24"/>
              </w:rPr>
              <w:t>。</w:t>
            </w:r>
          </w:p>
          <w:p>
            <w:pPr>
              <w:spacing w:line="360" w:lineRule="auto"/>
              <w:ind w:firstLine="480" w:firstLineChars="200"/>
              <w:outlineLvl w:val="9"/>
              <w:rPr>
                <w:rFonts w:ascii="宋体" w:hAnsi="宋体" w:cs="宋体"/>
                <w:bCs/>
                <w:color w:val="000000"/>
                <w:sz w:val="24"/>
              </w:rPr>
            </w:pPr>
            <w:r>
              <w:rPr>
                <w:rFonts w:ascii="宋体" w:hAnsi="宋体" w:cs="宋体"/>
                <w:bCs/>
                <w:color w:val="000000"/>
                <w:sz w:val="24"/>
              </w:rPr>
              <w:t>厂界噪声执行《工业企业厂界环境噪声排放标准》（GB 12348-2008）表1中3类功能区标准限值</w:t>
            </w:r>
            <w:r>
              <w:rPr>
                <w:rFonts w:hint="eastAsia" w:ascii="宋体" w:hAnsi="宋体" w:cs="宋体"/>
                <w:bCs/>
                <w:color w:val="000000"/>
                <w:sz w:val="24"/>
              </w:rPr>
              <w:t>；敏感点噪声</w:t>
            </w:r>
            <w:r>
              <w:rPr>
                <w:rFonts w:ascii="宋体" w:hAnsi="宋体" w:cs="宋体"/>
                <w:bCs/>
                <w:color w:val="000000"/>
                <w:sz w:val="24"/>
              </w:rPr>
              <w:t>执行《声环境质量标准》（GB 3096-2008）表1中</w:t>
            </w:r>
            <w:r>
              <w:rPr>
                <w:rFonts w:hint="eastAsia" w:ascii="宋体" w:hAnsi="宋体" w:cs="宋体"/>
                <w:bCs/>
                <w:color w:val="000000"/>
                <w:sz w:val="24"/>
              </w:rPr>
              <w:t>2</w:t>
            </w:r>
            <w:r>
              <w:rPr>
                <w:rFonts w:ascii="宋体" w:hAnsi="宋体" w:cs="宋体"/>
                <w:bCs/>
                <w:color w:val="000000"/>
                <w:sz w:val="24"/>
              </w:rPr>
              <w:t>类功能区标准限值。</w:t>
            </w:r>
          </w:p>
          <w:p>
            <w:pPr>
              <w:spacing w:line="360" w:lineRule="auto"/>
              <w:ind w:firstLine="480" w:firstLineChars="200"/>
              <w:outlineLvl w:val="9"/>
              <w:rPr>
                <w:rFonts w:ascii="宋体" w:hAnsi="宋体" w:cs="宋体"/>
                <w:bCs/>
                <w:color w:val="000000"/>
                <w:sz w:val="24"/>
              </w:rPr>
            </w:pPr>
            <w:r>
              <w:rPr>
                <w:rFonts w:hint="eastAsia" w:ascii="宋体" w:hAnsi="宋体" w:cs="宋体"/>
                <w:bCs/>
                <w:color w:val="000000"/>
                <w:sz w:val="24"/>
              </w:rPr>
              <w:t>废水执行《污水综合排放标准》（GB8978-1996）表4中三级排放标准。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88" w:type="dxa"/>
            <w:gridSpan w:val="8"/>
            <w:vAlign w:val="center"/>
          </w:tcPr>
          <w:p>
            <w:pPr>
              <w:spacing w:before="100" w:after="100" w:line="360" w:lineRule="auto"/>
              <w:ind w:right="-329"/>
              <w:outlineLvl w:val="9"/>
              <w:rPr>
                <w:sz w:val="24"/>
                <w:lang w:val="zh-CN"/>
              </w:rPr>
            </w:pPr>
            <w:r>
              <w:rPr>
                <w:rFonts w:hint="eastAsia"/>
                <w:sz w:val="24"/>
                <w:lang w:val="zh-CN"/>
              </w:rPr>
              <w:t>验收监测范围：</w:t>
            </w:r>
          </w:p>
          <w:p>
            <w:pPr>
              <w:spacing w:line="360" w:lineRule="auto"/>
              <w:ind w:firstLine="480" w:firstLineChars="200"/>
              <w:outlineLvl w:val="9"/>
              <w:rPr>
                <w:sz w:val="24"/>
                <w:lang w:val="zh-CN"/>
              </w:rPr>
            </w:pPr>
            <w:r>
              <w:rPr>
                <w:rFonts w:hint="eastAsia"/>
                <w:sz w:val="24"/>
              </w:rPr>
              <w:t>本次验收监测范围为</w:t>
            </w:r>
            <w:r>
              <w:rPr>
                <w:rFonts w:hint="eastAsia" w:ascii="宋体" w:hAnsi="宋体" w:cs="宋体"/>
                <w:bCs/>
                <w:color w:val="000000"/>
                <w:sz w:val="24"/>
              </w:rPr>
              <w:t>《四川东博轨道科技有限公司新增1.5万吨/年紧固件生产扩建项目环境影响报告表》</w:t>
            </w:r>
            <w:r>
              <w:rPr>
                <w:rFonts w:hint="eastAsia"/>
                <w:sz w:val="24"/>
              </w:rPr>
              <w:t>中所提</w:t>
            </w:r>
            <w:r>
              <w:rPr>
                <w:rFonts w:hint="eastAsia" w:ascii="Times New Roman" w:hAnsi="Times New Roman"/>
                <w:sz w:val="24"/>
              </w:rPr>
              <w:t>建设内容及原一期项目中热处理生产</w:t>
            </w:r>
            <w:r>
              <w:rPr>
                <w:rFonts w:hint="eastAsia"/>
                <w:sz w:val="24"/>
                <w:lang w:val="zh-CN"/>
              </w:rPr>
              <w:t>，主要内容为：主体工程、辅助工程、</w:t>
            </w:r>
            <w:r>
              <w:rPr>
                <w:rFonts w:hint="eastAsia"/>
                <w:sz w:val="24"/>
              </w:rPr>
              <w:t>公用工程、仓储工程、</w:t>
            </w:r>
            <w:r>
              <w:rPr>
                <w:rFonts w:hint="eastAsia"/>
                <w:sz w:val="24"/>
                <w:lang w:val="zh-CN"/>
              </w:rPr>
              <w:t>环保工程、安全防护距离检查、环境风险检查等。</w:t>
            </w:r>
          </w:p>
          <w:p>
            <w:pPr>
              <w:spacing w:line="360" w:lineRule="auto"/>
              <w:outlineLvl w:val="9"/>
              <w:rPr>
                <w:sz w:val="24"/>
              </w:rPr>
            </w:pPr>
            <w:r>
              <w:rPr>
                <w:rFonts w:hint="eastAsia"/>
                <w:sz w:val="24"/>
              </w:rPr>
              <w:t>验收监测内容：</w:t>
            </w:r>
          </w:p>
          <w:p>
            <w:pPr>
              <w:spacing w:line="360" w:lineRule="auto"/>
              <w:ind w:left="34" w:firstLine="432" w:firstLineChars="180"/>
              <w:outlineLvl w:val="9"/>
              <w:rPr>
                <w:rFonts w:ascii="宋体" w:hAnsi="宋体" w:cs="宋体"/>
                <w:sz w:val="24"/>
              </w:rPr>
            </w:pPr>
            <w:r>
              <w:rPr>
                <w:rFonts w:hint="eastAsia" w:ascii="宋体" w:hAnsi="宋体" w:cs="宋体"/>
                <w:sz w:val="24"/>
              </w:rPr>
              <w:t>1.废水</w:t>
            </w:r>
            <w:r>
              <w:rPr>
                <w:rFonts w:hint="eastAsia" w:asciiTheme="majorEastAsia" w:hAnsiTheme="majorEastAsia" w:eastAsiaTheme="majorEastAsia" w:cstheme="majorEastAsia"/>
                <w:sz w:val="24"/>
              </w:rPr>
              <w:t>检测</w:t>
            </w:r>
            <w:r>
              <w:rPr>
                <w:rFonts w:hint="eastAsia" w:ascii="宋体" w:hAnsi="宋体" w:cs="宋体"/>
                <w:sz w:val="24"/>
              </w:rPr>
              <w:t>；</w:t>
            </w:r>
          </w:p>
          <w:p>
            <w:pPr>
              <w:spacing w:line="360" w:lineRule="auto"/>
              <w:ind w:left="34" w:firstLine="432" w:firstLineChars="180"/>
              <w:outlineLvl w:val="9"/>
              <w:rPr>
                <w:rFonts w:ascii="宋体" w:hAnsi="宋体" w:cs="宋体"/>
                <w:sz w:val="24"/>
              </w:rPr>
            </w:pPr>
            <w:r>
              <w:rPr>
                <w:rFonts w:hint="eastAsia" w:ascii="宋体" w:hAnsi="宋体" w:cs="宋体"/>
                <w:sz w:val="24"/>
              </w:rPr>
              <w:t>2.废气</w:t>
            </w:r>
            <w:r>
              <w:rPr>
                <w:rFonts w:hint="eastAsia" w:asciiTheme="majorEastAsia" w:hAnsiTheme="majorEastAsia" w:eastAsiaTheme="majorEastAsia" w:cstheme="majorEastAsia"/>
                <w:sz w:val="24"/>
              </w:rPr>
              <w:t>检测</w:t>
            </w:r>
            <w:r>
              <w:rPr>
                <w:rFonts w:hint="eastAsia" w:ascii="宋体" w:hAnsi="宋体" w:cs="宋体"/>
                <w:sz w:val="24"/>
              </w:rPr>
              <w:t>；</w:t>
            </w:r>
          </w:p>
          <w:p>
            <w:pPr>
              <w:spacing w:line="360" w:lineRule="auto"/>
              <w:ind w:left="34" w:firstLine="432" w:firstLineChars="180"/>
              <w:outlineLvl w:val="9"/>
              <w:rPr>
                <w:rFonts w:ascii="宋体" w:hAnsi="宋体" w:cs="宋体"/>
                <w:sz w:val="24"/>
              </w:rPr>
            </w:pPr>
            <w:r>
              <w:rPr>
                <w:rFonts w:hint="eastAsia" w:ascii="宋体" w:hAnsi="宋体" w:cs="宋体"/>
                <w:sz w:val="24"/>
              </w:rPr>
              <w:t>3.噪声</w:t>
            </w:r>
            <w:r>
              <w:rPr>
                <w:rFonts w:hint="eastAsia" w:asciiTheme="majorEastAsia" w:hAnsiTheme="majorEastAsia" w:eastAsiaTheme="majorEastAsia" w:cstheme="majorEastAsia"/>
                <w:sz w:val="24"/>
              </w:rPr>
              <w:t>检测</w:t>
            </w:r>
            <w:r>
              <w:rPr>
                <w:rFonts w:hint="eastAsia" w:ascii="宋体" w:hAnsi="宋体" w:cs="宋体"/>
                <w:sz w:val="24"/>
              </w:rPr>
              <w:t>；</w:t>
            </w:r>
          </w:p>
          <w:p>
            <w:pPr>
              <w:spacing w:line="360" w:lineRule="auto"/>
              <w:ind w:left="34" w:firstLine="432" w:firstLineChars="180"/>
              <w:outlineLvl w:val="9"/>
              <w:rPr>
                <w:rFonts w:ascii="宋体" w:hAnsi="宋体" w:cs="宋体"/>
                <w:sz w:val="24"/>
              </w:rPr>
            </w:pPr>
            <w:r>
              <w:rPr>
                <w:rFonts w:hint="eastAsia" w:ascii="宋体" w:hAnsi="宋体" w:cs="宋体"/>
                <w:sz w:val="24"/>
              </w:rPr>
              <w:t>4.固体废弃物处置检查；</w:t>
            </w:r>
          </w:p>
          <w:p>
            <w:pPr>
              <w:spacing w:line="360" w:lineRule="auto"/>
              <w:ind w:left="34" w:firstLine="432" w:firstLineChars="180"/>
              <w:outlineLvl w:val="9"/>
              <w:rPr>
                <w:rFonts w:ascii="宋体" w:hAnsi="宋体" w:cs="宋体"/>
                <w:sz w:val="24"/>
              </w:rPr>
            </w:pPr>
            <w:r>
              <w:rPr>
                <w:rFonts w:hint="eastAsia" w:ascii="宋体" w:hAnsi="宋体" w:cs="宋体"/>
                <w:sz w:val="24"/>
              </w:rPr>
              <w:t>5.环境管理检查；</w:t>
            </w:r>
          </w:p>
          <w:p>
            <w:pPr>
              <w:spacing w:line="360" w:lineRule="auto"/>
              <w:ind w:left="34" w:firstLine="432" w:firstLineChars="180"/>
              <w:outlineLvl w:val="9"/>
              <w:rPr>
                <w:rFonts w:ascii="宋体" w:hAnsi="宋体" w:cs="宋体"/>
                <w:sz w:val="24"/>
              </w:rPr>
            </w:pPr>
            <w:r>
              <w:rPr>
                <w:rFonts w:hint="eastAsia" w:ascii="宋体" w:hAnsi="宋体" w:cs="宋体"/>
                <w:sz w:val="24"/>
              </w:rPr>
              <w:t>6.卫生防护距离检查；</w:t>
            </w:r>
          </w:p>
          <w:p>
            <w:pPr>
              <w:spacing w:line="360" w:lineRule="auto"/>
              <w:ind w:left="34" w:firstLine="432" w:firstLineChars="180"/>
              <w:outlineLvl w:val="9"/>
              <w:rPr>
                <w:rFonts w:asciiTheme="majorEastAsia" w:hAnsiTheme="majorEastAsia" w:eastAsiaTheme="majorEastAsia" w:cstheme="majorEastAsia"/>
                <w:color w:val="000000"/>
                <w:sz w:val="24"/>
              </w:rPr>
            </w:pPr>
            <w:r>
              <w:rPr>
                <w:rFonts w:hint="eastAsia" w:ascii="宋体" w:hAnsi="宋体" w:cs="宋体"/>
                <w:sz w:val="24"/>
              </w:rPr>
              <w:t>7.环境风险检查</w:t>
            </w:r>
          </w:p>
        </w:tc>
      </w:tr>
    </w:tbl>
    <w:p>
      <w:r>
        <w:br w:type="page"/>
      </w:r>
    </w:p>
    <w:p>
      <w:pPr>
        <w:outlineLvl w:val="0"/>
        <w:rPr>
          <w:rFonts w:asciiTheme="majorEastAsia" w:hAnsiTheme="majorEastAsia" w:eastAsiaTheme="majorEastAsia" w:cstheme="majorEastAsia"/>
          <w:b/>
          <w:sz w:val="28"/>
          <w:szCs w:val="28"/>
        </w:rPr>
      </w:pPr>
      <w:bookmarkStart w:id="7" w:name="_Toc28946"/>
      <w:bookmarkStart w:id="8" w:name="_Toc9131_WPSOffice_Level1"/>
      <w:bookmarkStart w:id="9" w:name="_Toc21907_WPSOffice_Level1"/>
      <w:bookmarkStart w:id="10" w:name="_Toc32665"/>
      <w:bookmarkStart w:id="11" w:name="_Toc26154"/>
      <w:bookmarkStart w:id="12" w:name="_Toc27844_WPSOffice_Level1"/>
      <w:r>
        <w:rPr>
          <w:rFonts w:hint="eastAsia" w:asciiTheme="majorEastAsia" w:hAnsiTheme="majorEastAsia" w:eastAsiaTheme="majorEastAsia" w:cstheme="majorEastAsia"/>
          <w:b/>
          <w:sz w:val="28"/>
          <w:szCs w:val="28"/>
        </w:rPr>
        <w:t>表二 项目工程情况</w:t>
      </w:r>
      <w:bookmarkEnd w:id="7"/>
      <w:bookmarkEnd w:id="8"/>
      <w:bookmarkEnd w:id="9"/>
      <w:bookmarkEnd w:id="10"/>
      <w:bookmarkEnd w:id="11"/>
      <w:bookmarkEnd w:id="12"/>
    </w:p>
    <w:tbl>
      <w:tblPr>
        <w:tblStyle w:val="12"/>
        <w:tblpPr w:leftFromText="180" w:rightFromText="180" w:vertAnchor="text" w:tblpX="1"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7" w:hRule="atLeast"/>
        </w:trPr>
        <w:tc>
          <w:tcPr>
            <w:tcW w:w="9388" w:type="dxa"/>
            <w:shd w:val="clear" w:color="auto" w:fill="auto"/>
          </w:tcPr>
          <w:p>
            <w:pPr>
              <w:spacing w:line="360" w:lineRule="auto"/>
              <w:outlineLvl w:val="9"/>
              <w:rPr>
                <w:rFonts w:asciiTheme="majorEastAsia" w:hAnsiTheme="majorEastAsia" w:eastAsiaTheme="majorEastAsia" w:cstheme="majorEastAsia"/>
              </w:rPr>
            </w:pPr>
            <w:bookmarkStart w:id="13" w:name="_Toc6368"/>
            <w:r>
              <w:rPr>
                <w:rFonts w:hint="eastAsia" w:asciiTheme="majorEastAsia" w:hAnsiTheme="majorEastAsia" w:eastAsiaTheme="majorEastAsia" w:cstheme="majorEastAsia"/>
              </w:rPr>
              <w:t>2.1项目地理位置及外环境关系</w:t>
            </w:r>
            <w:bookmarkEnd w:id="13"/>
          </w:p>
          <w:p>
            <w:pPr>
              <w:spacing w:line="360" w:lineRule="auto"/>
              <w:ind w:firstLine="480" w:firstLineChars="200"/>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本项目位于隆昌市环城东路203号，项目区外200m范围内无自然保护区、风景名胜区、文化遗产保护区、世界文化自然遗产和森林公园、地质公园、湿地公园等保护地以及饮用水水源保护区。项目外环境关系见表2-1，详见附图。</w:t>
            </w:r>
          </w:p>
          <w:p>
            <w:pPr>
              <w:tabs>
                <w:tab w:val="left" w:pos="2659"/>
              </w:tabs>
              <w:jc w:val="center"/>
              <w:outlineLvl w:val="9"/>
              <w:rPr>
                <w:rFonts w:ascii="宋体" w:hAnsi="宋体" w:cs="宋体"/>
                <w:sz w:val="24"/>
              </w:rPr>
            </w:pPr>
            <w:r>
              <w:rPr>
                <w:rFonts w:hint="eastAsia" w:ascii="宋体" w:hAnsi="宋体" w:cs="宋体"/>
                <w:b/>
                <w:bCs/>
                <w:sz w:val="24"/>
              </w:rPr>
              <w:t>表2-1  项目外环境情况一览表</w:t>
            </w:r>
          </w:p>
          <w:tbl>
            <w:tblPr>
              <w:tblStyle w:val="12"/>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09"/>
              <w:gridCol w:w="3623"/>
              <w:gridCol w:w="976"/>
              <w:gridCol w:w="1948"/>
              <w:gridCol w:w="20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shd w:val="clear" w:color="auto" w:fill="CCFFFF"/>
                  <w:vAlign w:val="center"/>
                </w:tcPr>
                <w:p>
                  <w:pPr>
                    <w:pStyle w:val="17"/>
                    <w:spacing w:before="2" w:line="237" w:lineRule="exact"/>
                    <w:ind w:left="139" w:right="133"/>
                    <w:outlineLvl w:val="9"/>
                    <w:rPr>
                      <w:rFonts w:ascii="宋体" w:hAnsi="宋体" w:eastAsia="宋体" w:cs="宋体"/>
                      <w:b/>
                      <w:bCs/>
                      <w:sz w:val="20"/>
                    </w:rPr>
                  </w:pPr>
                  <w:r>
                    <w:rPr>
                      <w:rFonts w:hint="eastAsia" w:ascii="宋体" w:hAnsi="宋体" w:eastAsia="宋体" w:cs="宋体"/>
                      <w:b/>
                      <w:bCs/>
                      <w:sz w:val="20"/>
                    </w:rPr>
                    <w:t>序号</w:t>
                  </w:r>
                </w:p>
              </w:tc>
              <w:tc>
                <w:tcPr>
                  <w:tcW w:w="1942" w:type="pct"/>
                  <w:shd w:val="clear" w:color="auto" w:fill="CCFFFF"/>
                  <w:vAlign w:val="center"/>
                </w:tcPr>
                <w:p>
                  <w:pPr>
                    <w:pStyle w:val="17"/>
                    <w:spacing w:before="2" w:line="237" w:lineRule="exact"/>
                    <w:ind w:left="120" w:right="117"/>
                    <w:outlineLvl w:val="9"/>
                    <w:rPr>
                      <w:rFonts w:ascii="宋体" w:hAnsi="宋体" w:eastAsia="宋体" w:cs="宋体"/>
                      <w:b/>
                      <w:bCs/>
                      <w:sz w:val="20"/>
                    </w:rPr>
                  </w:pPr>
                  <w:r>
                    <w:rPr>
                      <w:rFonts w:hint="eastAsia" w:ascii="宋体" w:hAnsi="宋体" w:eastAsia="宋体" w:cs="宋体"/>
                      <w:b/>
                      <w:bCs/>
                      <w:sz w:val="20"/>
                    </w:rPr>
                    <w:t>企业名称</w:t>
                  </w:r>
                </w:p>
              </w:tc>
              <w:tc>
                <w:tcPr>
                  <w:tcW w:w="523" w:type="pct"/>
                  <w:shd w:val="clear" w:color="auto" w:fill="CCFFFF"/>
                  <w:vAlign w:val="center"/>
                </w:tcPr>
                <w:p>
                  <w:pPr>
                    <w:pStyle w:val="17"/>
                    <w:spacing w:before="2" w:line="237" w:lineRule="exact"/>
                    <w:ind w:left="72" w:right="69"/>
                    <w:outlineLvl w:val="9"/>
                    <w:rPr>
                      <w:rFonts w:ascii="宋体" w:hAnsi="宋体" w:eastAsia="宋体" w:cs="宋体"/>
                      <w:b/>
                      <w:bCs/>
                      <w:sz w:val="20"/>
                    </w:rPr>
                  </w:pPr>
                  <w:r>
                    <w:rPr>
                      <w:rFonts w:hint="eastAsia" w:ascii="宋体" w:hAnsi="宋体" w:eastAsia="宋体" w:cs="宋体"/>
                      <w:b/>
                      <w:bCs/>
                      <w:sz w:val="20"/>
                    </w:rPr>
                    <w:t>位置</w:t>
                  </w:r>
                </w:p>
              </w:tc>
              <w:tc>
                <w:tcPr>
                  <w:tcW w:w="1044" w:type="pct"/>
                  <w:shd w:val="clear" w:color="auto" w:fill="CCFFFF"/>
                  <w:vAlign w:val="center"/>
                </w:tcPr>
                <w:p>
                  <w:pPr>
                    <w:pStyle w:val="17"/>
                    <w:spacing w:before="2" w:line="237" w:lineRule="exact"/>
                    <w:ind w:left="68" w:right="63"/>
                    <w:outlineLvl w:val="9"/>
                    <w:rPr>
                      <w:rFonts w:ascii="宋体" w:hAnsi="宋体" w:eastAsia="宋体" w:cs="宋体"/>
                      <w:b/>
                      <w:bCs/>
                      <w:sz w:val="20"/>
                    </w:rPr>
                  </w:pPr>
                  <w:r>
                    <w:rPr>
                      <w:rFonts w:hint="eastAsia" w:ascii="宋体" w:hAnsi="宋体" w:eastAsia="宋体" w:cs="宋体"/>
                      <w:b/>
                      <w:bCs/>
                      <w:sz w:val="20"/>
                    </w:rPr>
                    <w:t>距离（m）</w:t>
                  </w:r>
                </w:p>
              </w:tc>
              <w:tc>
                <w:tcPr>
                  <w:tcW w:w="1109" w:type="pct"/>
                  <w:shd w:val="clear" w:color="auto" w:fill="CCFFFF"/>
                  <w:vAlign w:val="center"/>
                </w:tcPr>
                <w:p>
                  <w:pPr>
                    <w:pStyle w:val="17"/>
                    <w:spacing w:before="2" w:line="237" w:lineRule="exact"/>
                    <w:ind w:left="128" w:right="125"/>
                    <w:outlineLvl w:val="9"/>
                    <w:rPr>
                      <w:rFonts w:ascii="宋体" w:hAnsi="宋体" w:eastAsia="宋体" w:cs="宋体"/>
                      <w:b/>
                      <w:bCs/>
                      <w:sz w:val="20"/>
                    </w:rPr>
                  </w:pPr>
                  <w:r>
                    <w:rPr>
                      <w:rFonts w:hint="eastAsia" w:ascii="宋体" w:hAnsi="宋体" w:eastAsia="宋体" w:cs="宋体"/>
                      <w:b/>
                      <w:bCs/>
                      <w:sz w:val="20"/>
                    </w:rPr>
                    <w:t>经营内容或产品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5"/>
                    <w:outlineLvl w:val="9"/>
                    <w:rPr>
                      <w:rFonts w:ascii="宋体" w:hAnsi="宋体" w:eastAsia="宋体" w:cs="宋体"/>
                      <w:sz w:val="20"/>
                    </w:rPr>
                  </w:pPr>
                  <w:r>
                    <w:rPr>
                      <w:rFonts w:hint="eastAsia" w:ascii="宋体" w:hAnsi="宋体" w:eastAsia="宋体" w:cs="宋体"/>
                      <w:w w:val="99"/>
                      <w:sz w:val="20"/>
                    </w:rPr>
                    <w:t>1</w:t>
                  </w:r>
                </w:p>
              </w:tc>
              <w:tc>
                <w:tcPr>
                  <w:tcW w:w="1942" w:type="pct"/>
                  <w:vAlign w:val="center"/>
                </w:tcPr>
                <w:p>
                  <w:pPr>
                    <w:pStyle w:val="17"/>
                    <w:spacing w:before="1" w:line="240" w:lineRule="exact"/>
                    <w:ind w:left="119" w:right="117"/>
                    <w:outlineLvl w:val="9"/>
                    <w:rPr>
                      <w:rFonts w:ascii="宋体" w:hAnsi="宋体" w:eastAsia="宋体" w:cs="宋体"/>
                      <w:sz w:val="20"/>
                    </w:rPr>
                  </w:pPr>
                  <w:r>
                    <w:rPr>
                      <w:rFonts w:hint="eastAsia" w:ascii="宋体" w:hAnsi="宋体" w:eastAsia="宋体" w:cs="宋体"/>
                      <w:sz w:val="20"/>
                    </w:rPr>
                    <w:t>四川羽玺新材料有限公司</w:t>
                  </w:r>
                </w:p>
              </w:tc>
              <w:tc>
                <w:tcPr>
                  <w:tcW w:w="523" w:type="pct"/>
                  <w:vAlign w:val="center"/>
                </w:tcPr>
                <w:p>
                  <w:pPr>
                    <w:pStyle w:val="17"/>
                    <w:spacing w:before="1" w:line="240" w:lineRule="exact"/>
                    <w:ind w:left="6"/>
                    <w:outlineLvl w:val="9"/>
                    <w:rPr>
                      <w:rFonts w:ascii="宋体" w:hAnsi="宋体" w:eastAsia="宋体" w:cs="宋体"/>
                      <w:sz w:val="20"/>
                    </w:rPr>
                  </w:pPr>
                  <w:r>
                    <w:rPr>
                      <w:rFonts w:hint="eastAsia" w:ascii="宋体" w:hAnsi="宋体" w:eastAsia="宋体" w:cs="宋体"/>
                      <w:w w:val="99"/>
                      <w:sz w:val="20"/>
                    </w:rPr>
                    <w:t>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50</w:t>
                  </w:r>
                </w:p>
              </w:tc>
              <w:tc>
                <w:tcPr>
                  <w:tcW w:w="1109" w:type="pct"/>
                  <w:vAlign w:val="center"/>
                </w:tcPr>
                <w:p>
                  <w:pPr>
                    <w:pStyle w:val="17"/>
                    <w:spacing w:before="1" w:line="240" w:lineRule="exact"/>
                    <w:ind w:left="128" w:right="127"/>
                    <w:outlineLvl w:val="9"/>
                    <w:rPr>
                      <w:rFonts w:ascii="宋体" w:hAnsi="宋体" w:eastAsia="宋体" w:cs="宋体"/>
                      <w:sz w:val="20"/>
                    </w:rPr>
                  </w:pPr>
                  <w:r>
                    <w:rPr>
                      <w:rFonts w:hint="eastAsia" w:ascii="宋体" w:hAnsi="宋体" w:eastAsia="宋体" w:cs="宋体"/>
                      <w:sz w:val="20"/>
                    </w:rPr>
                    <w:t>塑料制品、胶黏制品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37"/>
                    <w:ind w:left="5"/>
                    <w:outlineLvl w:val="9"/>
                    <w:rPr>
                      <w:rFonts w:ascii="宋体" w:hAnsi="宋体" w:eastAsia="宋体" w:cs="宋体"/>
                      <w:sz w:val="20"/>
                    </w:rPr>
                  </w:pPr>
                  <w:r>
                    <w:rPr>
                      <w:rFonts w:hint="eastAsia" w:ascii="宋体" w:hAnsi="宋体" w:eastAsia="宋体" w:cs="宋体"/>
                      <w:w w:val="99"/>
                      <w:sz w:val="20"/>
                    </w:rPr>
                    <w:t>2</w:t>
                  </w:r>
                </w:p>
              </w:tc>
              <w:tc>
                <w:tcPr>
                  <w:tcW w:w="1942" w:type="pct"/>
                  <w:vAlign w:val="center"/>
                </w:tcPr>
                <w:p>
                  <w:pPr>
                    <w:pStyle w:val="17"/>
                    <w:spacing w:before="131"/>
                    <w:ind w:left="119" w:right="117"/>
                    <w:outlineLvl w:val="9"/>
                    <w:rPr>
                      <w:rFonts w:ascii="宋体" w:hAnsi="宋体" w:eastAsia="宋体" w:cs="宋体"/>
                      <w:sz w:val="20"/>
                    </w:rPr>
                  </w:pPr>
                  <w:r>
                    <w:rPr>
                      <w:rFonts w:hint="eastAsia" w:ascii="宋体" w:hAnsi="宋体" w:eastAsia="宋体" w:cs="宋体"/>
                      <w:sz w:val="20"/>
                    </w:rPr>
                    <w:t>隆昌双创示范园（在建）</w:t>
                  </w:r>
                </w:p>
              </w:tc>
              <w:tc>
                <w:tcPr>
                  <w:tcW w:w="523" w:type="pct"/>
                  <w:vAlign w:val="center"/>
                </w:tcPr>
                <w:p>
                  <w:pPr>
                    <w:pStyle w:val="17"/>
                    <w:spacing w:before="131"/>
                    <w:ind w:left="6"/>
                    <w:outlineLvl w:val="9"/>
                    <w:rPr>
                      <w:rFonts w:ascii="宋体" w:hAnsi="宋体" w:eastAsia="宋体" w:cs="宋体"/>
                      <w:sz w:val="20"/>
                    </w:rPr>
                  </w:pPr>
                  <w:r>
                    <w:rPr>
                      <w:rFonts w:hint="eastAsia" w:ascii="宋体" w:hAnsi="宋体" w:eastAsia="宋体" w:cs="宋体"/>
                      <w:w w:val="99"/>
                      <w:sz w:val="20"/>
                    </w:rPr>
                    <w:t>北</w:t>
                  </w:r>
                </w:p>
              </w:tc>
              <w:tc>
                <w:tcPr>
                  <w:tcW w:w="1044" w:type="pct"/>
                  <w:vAlign w:val="center"/>
                </w:tcPr>
                <w:p>
                  <w:pPr>
                    <w:pStyle w:val="17"/>
                    <w:spacing w:before="137"/>
                    <w:ind w:left="70" w:right="57"/>
                    <w:outlineLvl w:val="9"/>
                    <w:rPr>
                      <w:rFonts w:ascii="宋体" w:hAnsi="宋体" w:eastAsia="宋体" w:cs="宋体"/>
                      <w:sz w:val="20"/>
                    </w:rPr>
                  </w:pPr>
                  <w:r>
                    <w:rPr>
                      <w:rFonts w:hint="eastAsia" w:ascii="宋体" w:hAnsi="宋体" w:eastAsia="宋体" w:cs="宋体"/>
                      <w:sz w:val="20"/>
                    </w:rPr>
                    <w:t>190</w:t>
                  </w:r>
                </w:p>
              </w:tc>
              <w:tc>
                <w:tcPr>
                  <w:tcW w:w="1109" w:type="pct"/>
                  <w:vAlign w:val="center"/>
                </w:tcPr>
                <w:p>
                  <w:pPr>
                    <w:pStyle w:val="17"/>
                    <w:spacing w:before="1"/>
                    <w:ind w:left="128" w:right="127"/>
                    <w:outlineLvl w:val="9"/>
                    <w:rPr>
                      <w:rFonts w:ascii="宋体" w:hAnsi="宋体" w:eastAsia="宋体" w:cs="宋体"/>
                      <w:sz w:val="20"/>
                    </w:rPr>
                  </w:pPr>
                  <w:r>
                    <w:rPr>
                      <w:rFonts w:hint="eastAsia" w:ascii="宋体" w:hAnsi="宋体" w:eastAsia="宋体" w:cs="宋体"/>
                      <w:sz w:val="20"/>
                    </w:rPr>
                    <w:t>综合性创业就业中心综合体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5"/>
                    <w:outlineLvl w:val="9"/>
                    <w:rPr>
                      <w:rFonts w:ascii="宋体" w:hAnsi="宋体" w:eastAsia="宋体" w:cs="宋体"/>
                      <w:sz w:val="20"/>
                    </w:rPr>
                  </w:pPr>
                  <w:r>
                    <w:rPr>
                      <w:rFonts w:hint="eastAsia" w:ascii="宋体" w:hAnsi="宋体" w:eastAsia="宋体" w:cs="宋体"/>
                      <w:w w:val="99"/>
                      <w:sz w:val="20"/>
                    </w:rPr>
                    <w:t>3</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中铁隆昌铁路器材有限公司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w w:val="99"/>
                      <w:sz w:val="20"/>
                    </w:rPr>
                    <w:t>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420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铁路器材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37"/>
                    <w:ind w:left="5"/>
                    <w:outlineLvl w:val="9"/>
                    <w:rPr>
                      <w:rFonts w:ascii="宋体" w:hAnsi="宋体" w:eastAsia="宋体" w:cs="宋体"/>
                      <w:sz w:val="20"/>
                    </w:rPr>
                  </w:pPr>
                  <w:r>
                    <w:rPr>
                      <w:rFonts w:hint="eastAsia" w:ascii="宋体" w:hAnsi="宋体" w:eastAsia="宋体" w:cs="宋体"/>
                      <w:w w:val="99"/>
                      <w:sz w:val="20"/>
                    </w:rPr>
                    <w:t>4</w:t>
                  </w:r>
                </w:p>
              </w:tc>
              <w:tc>
                <w:tcPr>
                  <w:tcW w:w="1942" w:type="pct"/>
                  <w:vAlign w:val="center"/>
                </w:tcPr>
                <w:p>
                  <w:pPr>
                    <w:pStyle w:val="17"/>
                    <w:spacing w:before="131"/>
                    <w:ind w:left="117" w:right="117"/>
                    <w:outlineLvl w:val="9"/>
                    <w:rPr>
                      <w:rFonts w:ascii="宋体" w:hAnsi="宋体" w:eastAsia="宋体" w:cs="宋体"/>
                      <w:sz w:val="20"/>
                    </w:rPr>
                  </w:pPr>
                  <w:r>
                    <w:rPr>
                      <w:rFonts w:hint="eastAsia" w:ascii="宋体" w:hAnsi="宋体" w:eastAsia="宋体" w:cs="宋体"/>
                      <w:sz w:val="20"/>
                    </w:rPr>
                    <w:t>四川中农致远生物科技公司</w:t>
                  </w:r>
                </w:p>
              </w:tc>
              <w:tc>
                <w:tcPr>
                  <w:tcW w:w="523" w:type="pct"/>
                  <w:vAlign w:val="center"/>
                </w:tcPr>
                <w:p>
                  <w:pPr>
                    <w:pStyle w:val="17"/>
                    <w:spacing w:before="131"/>
                    <w:ind w:left="72" w:right="69"/>
                    <w:outlineLvl w:val="9"/>
                    <w:rPr>
                      <w:rFonts w:ascii="宋体" w:hAnsi="宋体" w:eastAsia="宋体" w:cs="宋体"/>
                      <w:sz w:val="20"/>
                    </w:rPr>
                  </w:pPr>
                  <w:r>
                    <w:rPr>
                      <w:rFonts w:hint="eastAsia" w:ascii="宋体" w:hAnsi="宋体" w:eastAsia="宋体" w:cs="宋体"/>
                      <w:sz w:val="20"/>
                    </w:rPr>
                    <w:t>东北</w:t>
                  </w:r>
                </w:p>
              </w:tc>
              <w:tc>
                <w:tcPr>
                  <w:tcW w:w="1044" w:type="pct"/>
                  <w:vAlign w:val="center"/>
                </w:tcPr>
                <w:p>
                  <w:pPr>
                    <w:pStyle w:val="17"/>
                    <w:spacing w:before="1"/>
                    <w:ind w:left="70" w:right="63"/>
                    <w:outlineLvl w:val="9"/>
                    <w:rPr>
                      <w:rFonts w:ascii="宋体" w:hAnsi="宋体" w:eastAsia="宋体" w:cs="宋体"/>
                      <w:sz w:val="20"/>
                    </w:rPr>
                  </w:pPr>
                  <w:r>
                    <w:rPr>
                      <w:rFonts w:hint="eastAsia" w:ascii="宋体" w:hAnsi="宋体" w:eastAsia="宋体" w:cs="宋体"/>
                      <w:sz w:val="20"/>
                    </w:rPr>
                    <w:t>50（与本项目车间最</w:t>
                  </w:r>
                </w:p>
                <w:p>
                  <w:pPr>
                    <w:pStyle w:val="17"/>
                    <w:spacing w:before="3" w:line="237" w:lineRule="exact"/>
                    <w:ind w:left="70" w:right="62"/>
                    <w:outlineLvl w:val="9"/>
                    <w:rPr>
                      <w:rFonts w:ascii="宋体" w:hAnsi="宋体" w:eastAsia="宋体" w:cs="宋体"/>
                      <w:sz w:val="20"/>
                    </w:rPr>
                  </w:pPr>
                  <w:r>
                    <w:rPr>
                      <w:rFonts w:hint="eastAsia" w:ascii="宋体" w:hAnsi="宋体" w:eastAsia="宋体" w:cs="宋体"/>
                      <w:sz w:val="20"/>
                    </w:rPr>
                    <w:t>近距离约 130m）</w:t>
                  </w:r>
                </w:p>
              </w:tc>
              <w:tc>
                <w:tcPr>
                  <w:tcW w:w="1109" w:type="pct"/>
                  <w:vAlign w:val="center"/>
                </w:tcPr>
                <w:p>
                  <w:pPr>
                    <w:pStyle w:val="17"/>
                    <w:spacing w:before="131"/>
                    <w:ind w:left="128" w:right="124"/>
                    <w:outlineLvl w:val="9"/>
                    <w:rPr>
                      <w:rFonts w:ascii="宋体" w:hAnsi="宋体" w:eastAsia="宋体" w:cs="宋体"/>
                      <w:sz w:val="20"/>
                    </w:rPr>
                  </w:pPr>
                  <w:r>
                    <w:rPr>
                      <w:rFonts w:hint="eastAsia" w:ascii="宋体" w:hAnsi="宋体" w:eastAsia="宋体" w:cs="宋体"/>
                      <w:sz w:val="20"/>
                    </w:rPr>
                    <w:t>饲料添加剂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5"/>
                    <w:outlineLvl w:val="9"/>
                    <w:rPr>
                      <w:rFonts w:ascii="宋体" w:hAnsi="宋体" w:eastAsia="宋体" w:cs="宋体"/>
                      <w:sz w:val="20"/>
                    </w:rPr>
                  </w:pPr>
                  <w:r>
                    <w:rPr>
                      <w:rFonts w:hint="eastAsia" w:ascii="宋体" w:hAnsi="宋体" w:eastAsia="宋体" w:cs="宋体"/>
                      <w:w w:val="99"/>
                      <w:sz w:val="20"/>
                    </w:rPr>
                    <w:t>5</w:t>
                  </w:r>
                </w:p>
              </w:tc>
              <w:tc>
                <w:tcPr>
                  <w:tcW w:w="1942" w:type="pct"/>
                  <w:vAlign w:val="center"/>
                </w:tcPr>
                <w:p>
                  <w:pPr>
                    <w:pStyle w:val="17"/>
                    <w:spacing w:before="3" w:line="237" w:lineRule="exact"/>
                    <w:ind w:left="119" w:right="117"/>
                    <w:outlineLvl w:val="9"/>
                    <w:rPr>
                      <w:rFonts w:ascii="宋体" w:hAnsi="宋体" w:eastAsia="宋体" w:cs="宋体"/>
                      <w:sz w:val="20"/>
                    </w:rPr>
                  </w:pPr>
                  <w:r>
                    <w:rPr>
                      <w:rFonts w:hint="eastAsia" w:ascii="宋体" w:hAnsi="宋体" w:eastAsia="宋体" w:cs="宋体"/>
                      <w:sz w:val="20"/>
                    </w:rPr>
                    <w:t>四川省隆昌市海燕橡胶有限公司</w:t>
                  </w:r>
                </w:p>
              </w:tc>
              <w:tc>
                <w:tcPr>
                  <w:tcW w:w="523" w:type="pct"/>
                  <w:vAlign w:val="center"/>
                </w:tcPr>
                <w:p>
                  <w:pPr>
                    <w:pStyle w:val="17"/>
                    <w:spacing w:before="3" w:line="237" w:lineRule="exact"/>
                    <w:ind w:left="72" w:right="69"/>
                    <w:outlineLvl w:val="9"/>
                    <w:rPr>
                      <w:rFonts w:ascii="宋体" w:hAnsi="宋体" w:eastAsia="宋体" w:cs="宋体"/>
                      <w:sz w:val="20"/>
                    </w:rPr>
                  </w:pPr>
                  <w:r>
                    <w:rPr>
                      <w:rFonts w:hint="eastAsia" w:ascii="宋体" w:hAnsi="宋体" w:eastAsia="宋体" w:cs="宋体"/>
                      <w:sz w:val="20"/>
                    </w:rPr>
                    <w:t>东北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130</w:t>
                  </w:r>
                </w:p>
              </w:tc>
              <w:tc>
                <w:tcPr>
                  <w:tcW w:w="1109" w:type="pct"/>
                  <w:vAlign w:val="center"/>
                </w:tcPr>
                <w:p>
                  <w:pPr>
                    <w:pStyle w:val="17"/>
                    <w:spacing w:before="3" w:line="237" w:lineRule="exact"/>
                    <w:ind w:left="128" w:right="124"/>
                    <w:outlineLvl w:val="9"/>
                    <w:rPr>
                      <w:rFonts w:ascii="宋体" w:hAnsi="宋体" w:eastAsia="宋体" w:cs="宋体"/>
                      <w:sz w:val="20"/>
                    </w:rPr>
                  </w:pPr>
                  <w:r>
                    <w:rPr>
                      <w:rFonts w:hint="eastAsia" w:ascii="宋体" w:hAnsi="宋体" w:eastAsia="宋体" w:cs="宋体"/>
                      <w:sz w:val="20"/>
                    </w:rPr>
                    <w:t>橡胶制品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5"/>
                    <w:outlineLvl w:val="9"/>
                    <w:rPr>
                      <w:rFonts w:ascii="宋体" w:hAnsi="宋体" w:eastAsia="宋体" w:cs="宋体"/>
                      <w:sz w:val="20"/>
                    </w:rPr>
                  </w:pPr>
                  <w:r>
                    <w:rPr>
                      <w:rFonts w:hint="eastAsia" w:ascii="宋体" w:hAnsi="宋体" w:eastAsia="宋体" w:cs="宋体"/>
                      <w:w w:val="99"/>
                      <w:sz w:val="20"/>
                    </w:rPr>
                    <w:t>6</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四川均易润泽食品有限公司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东北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270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核桃制品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5"/>
                    <w:outlineLvl w:val="9"/>
                    <w:rPr>
                      <w:rFonts w:ascii="宋体" w:hAnsi="宋体" w:eastAsia="宋体" w:cs="宋体"/>
                      <w:sz w:val="20"/>
                    </w:rPr>
                  </w:pPr>
                  <w:r>
                    <w:rPr>
                      <w:rFonts w:hint="eastAsia" w:ascii="宋体" w:hAnsi="宋体" w:eastAsia="宋体" w:cs="宋体"/>
                      <w:w w:val="99"/>
                      <w:sz w:val="20"/>
                    </w:rPr>
                    <w:t>7</w:t>
                  </w:r>
                </w:p>
              </w:tc>
              <w:tc>
                <w:tcPr>
                  <w:tcW w:w="1942" w:type="pct"/>
                  <w:vAlign w:val="center"/>
                </w:tcPr>
                <w:p>
                  <w:pPr>
                    <w:pStyle w:val="17"/>
                    <w:spacing w:before="1" w:line="237" w:lineRule="exact"/>
                    <w:ind w:left="120" w:right="116"/>
                    <w:outlineLvl w:val="9"/>
                    <w:rPr>
                      <w:rFonts w:ascii="宋体" w:hAnsi="宋体" w:eastAsia="宋体" w:cs="宋体"/>
                      <w:sz w:val="20"/>
                    </w:rPr>
                  </w:pPr>
                  <w:r>
                    <w:fldChar w:fldCharType="begin"/>
                  </w:r>
                  <w:r>
                    <w:instrText xml:space="preserve"> HYPERLINK "https://www.baidu.com/link?url=k2cNecUZ7nCCGdJtR7YxzTGTDKOrrU4FUS8A3A_0W-LaWdZGMATlOFMVtVKtE5w6pdCnZWn1_ZAtvOUzE4avKK&amp;wd&amp;eqid=cd17b13500007100000000065c7255e8" \h </w:instrText>
                  </w:r>
                  <w:r>
                    <w:fldChar w:fldCharType="separate"/>
                  </w:r>
                  <w:r>
                    <w:rPr>
                      <w:rFonts w:hint="eastAsia" w:ascii="宋体" w:hAnsi="宋体" w:eastAsia="宋体" w:cs="宋体"/>
                      <w:sz w:val="20"/>
                    </w:rPr>
                    <w:t>四川省隆昌棉纺织业有限公司</w:t>
                  </w:r>
                  <w:r>
                    <w:rPr>
                      <w:rFonts w:hint="eastAsia" w:ascii="宋体" w:hAnsi="宋体" w:eastAsia="宋体" w:cs="宋体"/>
                      <w:sz w:val="20"/>
                    </w:rPr>
                    <w:fldChar w:fldCharType="end"/>
                  </w:r>
                </w:p>
              </w:tc>
              <w:tc>
                <w:tcPr>
                  <w:tcW w:w="523" w:type="pct"/>
                  <w:vAlign w:val="center"/>
                </w:tcPr>
                <w:p>
                  <w:pPr>
                    <w:pStyle w:val="17"/>
                    <w:spacing w:before="1" w:line="237" w:lineRule="exact"/>
                    <w:ind w:left="75" w:right="69"/>
                    <w:outlineLvl w:val="9"/>
                    <w:rPr>
                      <w:rFonts w:ascii="宋体" w:hAnsi="宋体" w:eastAsia="宋体" w:cs="宋体"/>
                      <w:sz w:val="20"/>
                    </w:rPr>
                  </w:pPr>
                  <w:r>
                    <w:rPr>
                      <w:rFonts w:hint="eastAsia" w:ascii="宋体" w:hAnsi="宋体" w:eastAsia="宋体" w:cs="宋体"/>
                      <w:sz w:val="20"/>
                    </w:rPr>
                    <w:t>东侧外</w:t>
                  </w:r>
                </w:p>
              </w:tc>
              <w:tc>
                <w:tcPr>
                  <w:tcW w:w="1044" w:type="pct"/>
                  <w:vAlign w:val="center"/>
                </w:tcPr>
                <w:p>
                  <w:pPr>
                    <w:pStyle w:val="17"/>
                    <w:spacing w:before="7"/>
                    <w:ind w:left="7"/>
                    <w:outlineLvl w:val="9"/>
                    <w:rPr>
                      <w:rFonts w:ascii="宋体" w:hAnsi="宋体" w:eastAsia="宋体" w:cs="宋体"/>
                      <w:sz w:val="20"/>
                    </w:rPr>
                  </w:pPr>
                  <w:r>
                    <w:rPr>
                      <w:rFonts w:hint="eastAsia" w:ascii="宋体" w:hAnsi="宋体" w:eastAsia="宋体" w:cs="宋体"/>
                      <w:w w:val="99"/>
                      <w:sz w:val="20"/>
                    </w:rPr>
                    <w:t>0</w:t>
                  </w:r>
                </w:p>
              </w:tc>
              <w:tc>
                <w:tcPr>
                  <w:tcW w:w="1109" w:type="pct"/>
                  <w:vAlign w:val="center"/>
                </w:tcPr>
                <w:p>
                  <w:pPr>
                    <w:pStyle w:val="17"/>
                    <w:spacing w:before="1" w:line="237" w:lineRule="exact"/>
                    <w:ind w:left="128" w:right="127"/>
                    <w:outlineLvl w:val="9"/>
                    <w:rPr>
                      <w:rFonts w:ascii="宋体" w:hAnsi="宋体" w:eastAsia="宋体" w:cs="宋体"/>
                      <w:sz w:val="20"/>
                    </w:rPr>
                  </w:pPr>
                  <w:r>
                    <w:rPr>
                      <w:rFonts w:hint="eastAsia" w:ascii="宋体" w:hAnsi="宋体" w:eastAsia="宋体" w:cs="宋体"/>
                      <w:sz w:val="20"/>
                    </w:rPr>
                    <w:t>棉织品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5"/>
                    <w:outlineLvl w:val="9"/>
                    <w:rPr>
                      <w:rFonts w:ascii="宋体" w:hAnsi="宋体" w:eastAsia="宋体" w:cs="宋体"/>
                      <w:sz w:val="20"/>
                    </w:rPr>
                  </w:pPr>
                  <w:r>
                    <w:rPr>
                      <w:rFonts w:hint="eastAsia" w:ascii="宋体" w:hAnsi="宋体" w:eastAsia="宋体" w:cs="宋体"/>
                      <w:w w:val="99"/>
                      <w:sz w:val="20"/>
                    </w:rPr>
                    <w:t>8</w:t>
                  </w:r>
                </w:p>
              </w:tc>
              <w:tc>
                <w:tcPr>
                  <w:tcW w:w="1942" w:type="pct"/>
                  <w:vAlign w:val="center"/>
                </w:tcPr>
                <w:p>
                  <w:pPr>
                    <w:pStyle w:val="17"/>
                    <w:spacing w:before="1" w:line="237" w:lineRule="exact"/>
                    <w:ind w:left="120" w:right="116"/>
                    <w:outlineLvl w:val="9"/>
                    <w:rPr>
                      <w:rFonts w:ascii="宋体" w:hAnsi="宋体" w:eastAsia="宋体" w:cs="宋体"/>
                      <w:sz w:val="20"/>
                    </w:rPr>
                  </w:pPr>
                  <w:r>
                    <w:rPr>
                      <w:rFonts w:hint="eastAsia" w:ascii="宋体" w:hAnsi="宋体" w:eastAsia="宋体" w:cs="宋体"/>
                      <w:sz w:val="20"/>
                    </w:rPr>
                    <w:t>四川省嘉艺玻璃制品有限公司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w w:val="99"/>
                      <w:sz w:val="20"/>
                    </w:rPr>
                    <w:t>东</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150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玻璃制品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5"/>
                    <w:outlineLvl w:val="9"/>
                    <w:rPr>
                      <w:rFonts w:ascii="宋体" w:hAnsi="宋体" w:eastAsia="宋体" w:cs="宋体"/>
                      <w:sz w:val="20"/>
                    </w:rPr>
                  </w:pPr>
                  <w:r>
                    <w:rPr>
                      <w:rFonts w:hint="eastAsia" w:ascii="宋体" w:hAnsi="宋体" w:eastAsia="宋体" w:cs="宋体"/>
                      <w:w w:val="99"/>
                      <w:sz w:val="20"/>
                    </w:rPr>
                    <w:t>9</w:t>
                  </w:r>
                </w:p>
              </w:tc>
              <w:tc>
                <w:tcPr>
                  <w:tcW w:w="1942" w:type="pct"/>
                  <w:vAlign w:val="center"/>
                </w:tcPr>
                <w:p>
                  <w:pPr>
                    <w:pStyle w:val="17"/>
                    <w:spacing w:before="3" w:line="237" w:lineRule="exact"/>
                    <w:ind w:left="119" w:right="117"/>
                    <w:outlineLvl w:val="9"/>
                    <w:rPr>
                      <w:rFonts w:ascii="宋体" w:hAnsi="宋体" w:eastAsia="宋体" w:cs="宋体"/>
                      <w:sz w:val="20"/>
                    </w:rPr>
                  </w:pPr>
                  <w:r>
                    <w:rPr>
                      <w:rFonts w:hint="eastAsia" w:ascii="宋体" w:hAnsi="宋体" w:eastAsia="宋体" w:cs="宋体"/>
                      <w:sz w:val="20"/>
                    </w:rPr>
                    <w:t>绿洁科技有限公司</w:t>
                  </w:r>
                </w:p>
              </w:tc>
              <w:tc>
                <w:tcPr>
                  <w:tcW w:w="523" w:type="pct"/>
                  <w:vAlign w:val="center"/>
                </w:tcPr>
                <w:p>
                  <w:pPr>
                    <w:pStyle w:val="17"/>
                    <w:spacing w:before="3" w:line="237" w:lineRule="exact"/>
                    <w:ind w:left="6"/>
                    <w:outlineLvl w:val="9"/>
                    <w:rPr>
                      <w:rFonts w:ascii="宋体" w:hAnsi="宋体" w:eastAsia="宋体" w:cs="宋体"/>
                      <w:sz w:val="20"/>
                    </w:rPr>
                  </w:pPr>
                  <w:r>
                    <w:rPr>
                      <w:rFonts w:hint="eastAsia" w:ascii="宋体" w:hAnsi="宋体" w:eastAsia="宋体" w:cs="宋体"/>
                      <w:w w:val="99"/>
                      <w:sz w:val="20"/>
                    </w:rPr>
                    <w:t>南</w:t>
                  </w:r>
                </w:p>
              </w:tc>
              <w:tc>
                <w:tcPr>
                  <w:tcW w:w="1044" w:type="pct"/>
                  <w:vAlign w:val="center"/>
                </w:tcPr>
                <w:p>
                  <w:pPr>
                    <w:pStyle w:val="17"/>
                    <w:spacing w:before="10"/>
                    <w:ind w:left="7"/>
                    <w:outlineLvl w:val="9"/>
                    <w:rPr>
                      <w:rFonts w:ascii="宋体" w:hAnsi="宋体" w:eastAsia="宋体" w:cs="宋体"/>
                      <w:sz w:val="20"/>
                    </w:rPr>
                  </w:pPr>
                  <w:r>
                    <w:rPr>
                      <w:rFonts w:hint="eastAsia" w:ascii="宋体" w:hAnsi="宋体" w:eastAsia="宋体" w:cs="宋体"/>
                      <w:w w:val="99"/>
                      <w:sz w:val="20"/>
                    </w:rPr>
                    <w:t>0</w:t>
                  </w:r>
                </w:p>
              </w:tc>
              <w:tc>
                <w:tcPr>
                  <w:tcW w:w="1109" w:type="pct"/>
                  <w:vAlign w:val="center"/>
                </w:tcPr>
                <w:p>
                  <w:pPr>
                    <w:pStyle w:val="17"/>
                    <w:spacing w:before="3" w:line="237" w:lineRule="exact"/>
                    <w:ind w:left="128" w:right="124"/>
                    <w:outlineLvl w:val="9"/>
                    <w:rPr>
                      <w:rFonts w:ascii="宋体" w:hAnsi="宋体" w:eastAsia="宋体" w:cs="宋体"/>
                      <w:sz w:val="20"/>
                    </w:rPr>
                  </w:pPr>
                  <w:r>
                    <w:rPr>
                      <w:rFonts w:hint="eastAsia" w:ascii="宋体" w:hAnsi="宋体" w:eastAsia="宋体" w:cs="宋体"/>
                      <w:sz w:val="20"/>
                    </w:rPr>
                    <w:t>塑料制品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10</w:t>
                  </w:r>
                </w:p>
              </w:tc>
              <w:tc>
                <w:tcPr>
                  <w:tcW w:w="1942" w:type="pct"/>
                  <w:vAlign w:val="center"/>
                </w:tcPr>
                <w:p>
                  <w:pPr>
                    <w:pStyle w:val="17"/>
                    <w:spacing w:before="1" w:line="237" w:lineRule="exact"/>
                    <w:ind w:left="120" w:right="117"/>
                    <w:outlineLvl w:val="9"/>
                    <w:rPr>
                      <w:rFonts w:ascii="宋体" w:hAnsi="宋体" w:eastAsia="宋体" w:cs="宋体"/>
                      <w:sz w:val="20"/>
                    </w:rPr>
                  </w:pPr>
                  <w:r>
                    <w:rPr>
                      <w:rFonts w:hint="eastAsia" w:ascii="宋体" w:hAnsi="宋体" w:eastAsia="宋体" w:cs="宋体"/>
                      <w:sz w:val="20"/>
                    </w:rPr>
                    <w:t>乘龙汽车特约维修服务中心（已停业）</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w w:val="99"/>
                      <w:sz w:val="20"/>
                    </w:rPr>
                    <w:t>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50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汽车维修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5" w:right="133"/>
                    <w:outlineLvl w:val="9"/>
                    <w:rPr>
                      <w:rFonts w:ascii="宋体" w:hAnsi="宋体" w:eastAsia="宋体" w:cs="宋体"/>
                      <w:sz w:val="20"/>
                    </w:rPr>
                  </w:pPr>
                  <w:r>
                    <w:rPr>
                      <w:rFonts w:hint="eastAsia" w:ascii="宋体" w:hAnsi="宋体" w:eastAsia="宋体" w:cs="宋体"/>
                      <w:sz w:val="20"/>
                    </w:rPr>
                    <w:t>11</w:t>
                  </w:r>
                </w:p>
              </w:tc>
              <w:tc>
                <w:tcPr>
                  <w:tcW w:w="1942" w:type="pct"/>
                  <w:vAlign w:val="center"/>
                </w:tcPr>
                <w:p>
                  <w:pPr>
                    <w:pStyle w:val="17"/>
                    <w:spacing w:before="1" w:line="237" w:lineRule="exact"/>
                    <w:ind w:left="118" w:right="117"/>
                    <w:outlineLvl w:val="9"/>
                    <w:rPr>
                      <w:rFonts w:ascii="宋体" w:hAnsi="宋体" w:eastAsia="宋体" w:cs="宋体"/>
                      <w:sz w:val="20"/>
                    </w:rPr>
                  </w:pPr>
                  <w:r>
                    <w:rPr>
                      <w:rFonts w:hint="eastAsia" w:ascii="宋体" w:hAnsi="宋体" w:eastAsia="宋体" w:cs="宋体"/>
                      <w:sz w:val="20"/>
                    </w:rPr>
                    <w:t>国网金鹅 220kV 变电站</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w w:val="99"/>
                      <w:sz w:val="20"/>
                    </w:rPr>
                    <w:t>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53</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电力供应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8"/>
                    <w:ind w:left="139" w:right="128"/>
                    <w:outlineLvl w:val="9"/>
                    <w:rPr>
                      <w:rFonts w:ascii="宋体" w:hAnsi="宋体" w:eastAsia="宋体" w:cs="宋体"/>
                      <w:sz w:val="20"/>
                    </w:rPr>
                  </w:pPr>
                  <w:r>
                    <w:rPr>
                      <w:rFonts w:hint="eastAsia" w:ascii="宋体" w:hAnsi="宋体" w:eastAsia="宋体" w:cs="宋体"/>
                      <w:sz w:val="20"/>
                    </w:rPr>
                    <w:t>12</w:t>
                  </w:r>
                </w:p>
              </w:tc>
              <w:tc>
                <w:tcPr>
                  <w:tcW w:w="1942" w:type="pct"/>
                  <w:vAlign w:val="center"/>
                </w:tcPr>
                <w:p>
                  <w:pPr>
                    <w:pStyle w:val="17"/>
                    <w:spacing w:before="1" w:line="237" w:lineRule="exact"/>
                    <w:ind w:left="120" w:right="117"/>
                    <w:outlineLvl w:val="9"/>
                    <w:rPr>
                      <w:rFonts w:ascii="宋体" w:hAnsi="宋体" w:eastAsia="宋体" w:cs="宋体"/>
                      <w:sz w:val="20"/>
                    </w:rPr>
                  </w:pPr>
                  <w:r>
                    <w:rPr>
                      <w:rFonts w:hint="eastAsia" w:ascii="宋体" w:hAnsi="宋体" w:eastAsia="宋体" w:cs="宋体"/>
                      <w:sz w:val="20"/>
                    </w:rPr>
                    <w:t>隆昌配气站</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8"/>
                    <w:ind w:left="70" w:right="57"/>
                    <w:outlineLvl w:val="9"/>
                    <w:rPr>
                      <w:rFonts w:ascii="宋体" w:hAnsi="宋体" w:eastAsia="宋体" w:cs="宋体"/>
                      <w:sz w:val="20"/>
                    </w:rPr>
                  </w:pPr>
                  <w:r>
                    <w:rPr>
                      <w:rFonts w:hint="eastAsia" w:ascii="宋体" w:hAnsi="宋体" w:eastAsia="宋体" w:cs="宋体"/>
                      <w:sz w:val="20"/>
                    </w:rPr>
                    <w:t>150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燃气供应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139" w:right="128"/>
                    <w:outlineLvl w:val="9"/>
                    <w:rPr>
                      <w:rFonts w:ascii="宋体" w:hAnsi="宋体" w:eastAsia="宋体" w:cs="宋体"/>
                      <w:sz w:val="20"/>
                    </w:rPr>
                  </w:pPr>
                  <w:r>
                    <w:rPr>
                      <w:rFonts w:hint="eastAsia" w:ascii="宋体" w:hAnsi="宋体" w:eastAsia="宋体" w:cs="宋体"/>
                      <w:sz w:val="20"/>
                    </w:rPr>
                    <w:t>13</w:t>
                  </w:r>
                </w:p>
              </w:tc>
              <w:tc>
                <w:tcPr>
                  <w:tcW w:w="1942" w:type="pct"/>
                  <w:vAlign w:val="center"/>
                </w:tcPr>
                <w:p>
                  <w:pPr>
                    <w:pStyle w:val="17"/>
                    <w:spacing w:before="1" w:line="240" w:lineRule="exact"/>
                    <w:ind w:left="119" w:right="117"/>
                    <w:outlineLvl w:val="9"/>
                    <w:rPr>
                      <w:rFonts w:ascii="宋体" w:hAnsi="宋体" w:eastAsia="宋体" w:cs="宋体"/>
                      <w:sz w:val="20"/>
                    </w:rPr>
                  </w:pPr>
                  <w:r>
                    <w:rPr>
                      <w:rFonts w:hint="eastAsia" w:ascii="宋体" w:hAnsi="宋体" w:eastAsia="宋体" w:cs="宋体"/>
                      <w:sz w:val="20"/>
                    </w:rPr>
                    <w:t>隆昌市电子商务示范园</w:t>
                  </w:r>
                </w:p>
              </w:tc>
              <w:tc>
                <w:tcPr>
                  <w:tcW w:w="523" w:type="pct"/>
                  <w:vAlign w:val="center"/>
                </w:tcPr>
                <w:p>
                  <w:pPr>
                    <w:pStyle w:val="17"/>
                    <w:spacing w:before="1" w:line="240"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275</w:t>
                  </w:r>
                </w:p>
              </w:tc>
              <w:tc>
                <w:tcPr>
                  <w:tcW w:w="1109" w:type="pct"/>
                  <w:vAlign w:val="center"/>
                </w:tcPr>
                <w:p>
                  <w:pPr>
                    <w:pStyle w:val="17"/>
                    <w:spacing w:before="1" w:line="240" w:lineRule="exact"/>
                    <w:ind w:left="128" w:right="125"/>
                    <w:outlineLvl w:val="9"/>
                    <w:rPr>
                      <w:rFonts w:ascii="宋体" w:hAnsi="宋体" w:eastAsia="宋体" w:cs="宋体"/>
                      <w:sz w:val="20"/>
                    </w:rPr>
                  </w:pPr>
                  <w:r>
                    <w:rPr>
                      <w:rFonts w:hint="eastAsia" w:ascii="宋体" w:hAnsi="宋体" w:eastAsia="宋体" w:cs="宋体"/>
                      <w:sz w:val="20"/>
                    </w:rPr>
                    <w:t>内有电商相关企业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14</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隆昌福润禽类食品有限公司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355</w:t>
                  </w:r>
                </w:p>
              </w:tc>
              <w:tc>
                <w:tcPr>
                  <w:tcW w:w="1109" w:type="pct"/>
                  <w:vAlign w:val="center"/>
                </w:tcPr>
                <w:p>
                  <w:pPr>
                    <w:pStyle w:val="17"/>
                    <w:spacing w:before="1" w:line="237" w:lineRule="exact"/>
                    <w:ind w:left="128" w:right="126"/>
                    <w:outlineLvl w:val="9"/>
                    <w:rPr>
                      <w:rFonts w:ascii="宋体" w:hAnsi="宋体" w:eastAsia="宋体" w:cs="宋体"/>
                      <w:sz w:val="20"/>
                    </w:rPr>
                  </w:pPr>
                  <w:r>
                    <w:rPr>
                      <w:rFonts w:hint="eastAsia" w:ascii="宋体" w:hAnsi="宋体" w:eastAsia="宋体" w:cs="宋体"/>
                      <w:sz w:val="20"/>
                    </w:rPr>
                    <w:t>禽类产品加工、储存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15</w:t>
                  </w:r>
                </w:p>
              </w:tc>
              <w:tc>
                <w:tcPr>
                  <w:tcW w:w="1942" w:type="pct"/>
                  <w:vAlign w:val="center"/>
                </w:tcPr>
                <w:p>
                  <w:pPr>
                    <w:pStyle w:val="17"/>
                    <w:spacing w:before="1" w:line="237" w:lineRule="exact"/>
                    <w:ind w:left="119" w:right="117"/>
                    <w:outlineLvl w:val="9"/>
                    <w:rPr>
                      <w:rFonts w:ascii="宋体" w:hAnsi="宋体" w:eastAsia="宋体" w:cs="宋体"/>
                      <w:sz w:val="20"/>
                    </w:rPr>
                  </w:pPr>
                  <w:r>
                    <w:rPr>
                      <w:rFonts w:hint="eastAsia" w:ascii="宋体" w:hAnsi="宋体" w:eastAsia="宋体" w:cs="宋体"/>
                      <w:sz w:val="20"/>
                    </w:rPr>
                    <w:t>内江中正电工有限公司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7"/>
                    <w:ind w:left="70" w:right="59"/>
                    <w:outlineLvl w:val="9"/>
                    <w:rPr>
                      <w:rFonts w:ascii="宋体" w:hAnsi="宋体" w:eastAsia="宋体" w:cs="宋体"/>
                      <w:sz w:val="20"/>
                    </w:rPr>
                  </w:pPr>
                  <w:r>
                    <w:rPr>
                      <w:rFonts w:hint="eastAsia" w:ascii="宋体" w:hAnsi="宋体" w:eastAsia="宋体" w:cs="宋体"/>
                      <w:sz w:val="20"/>
                    </w:rPr>
                    <w:t>395</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电工器材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16</w:t>
                  </w:r>
                </w:p>
              </w:tc>
              <w:tc>
                <w:tcPr>
                  <w:tcW w:w="1942" w:type="pct"/>
                  <w:vAlign w:val="center"/>
                </w:tcPr>
                <w:p>
                  <w:pPr>
                    <w:pStyle w:val="17"/>
                    <w:spacing w:before="1" w:line="237" w:lineRule="exact"/>
                    <w:ind w:left="119" w:right="117"/>
                    <w:outlineLvl w:val="9"/>
                    <w:rPr>
                      <w:rFonts w:ascii="宋体" w:hAnsi="宋体" w:eastAsia="宋体" w:cs="宋体"/>
                      <w:sz w:val="20"/>
                    </w:rPr>
                  </w:pPr>
                  <w:r>
                    <w:rPr>
                      <w:rFonts w:hint="eastAsia" w:ascii="宋体" w:hAnsi="宋体" w:eastAsia="宋体" w:cs="宋体"/>
                      <w:sz w:val="20"/>
                    </w:rPr>
                    <w:t>威隆钢铁制品公司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480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钢铁制品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139" w:right="128"/>
                    <w:outlineLvl w:val="9"/>
                    <w:rPr>
                      <w:rFonts w:ascii="宋体" w:hAnsi="宋体" w:eastAsia="宋体" w:cs="宋体"/>
                      <w:sz w:val="20"/>
                    </w:rPr>
                  </w:pPr>
                  <w:r>
                    <w:rPr>
                      <w:rFonts w:hint="eastAsia" w:ascii="宋体" w:hAnsi="宋体" w:eastAsia="宋体" w:cs="宋体"/>
                      <w:sz w:val="20"/>
                    </w:rPr>
                    <w:t>17</w:t>
                  </w:r>
                </w:p>
              </w:tc>
              <w:tc>
                <w:tcPr>
                  <w:tcW w:w="1942" w:type="pct"/>
                  <w:vAlign w:val="center"/>
                </w:tcPr>
                <w:p>
                  <w:pPr>
                    <w:pStyle w:val="17"/>
                    <w:spacing w:before="1" w:line="240" w:lineRule="exact"/>
                    <w:ind w:left="117" w:right="117"/>
                    <w:outlineLvl w:val="9"/>
                    <w:rPr>
                      <w:rFonts w:ascii="宋体" w:hAnsi="宋体" w:eastAsia="宋体" w:cs="宋体"/>
                      <w:sz w:val="20"/>
                    </w:rPr>
                  </w:pPr>
                  <w:r>
                    <w:rPr>
                      <w:rFonts w:hint="eastAsia" w:ascii="宋体" w:hAnsi="宋体" w:eastAsia="宋体" w:cs="宋体"/>
                      <w:sz w:val="20"/>
                    </w:rPr>
                    <w:t>四川隆昌云川酒业有限公司</w:t>
                  </w:r>
                </w:p>
              </w:tc>
              <w:tc>
                <w:tcPr>
                  <w:tcW w:w="523" w:type="pct"/>
                  <w:vAlign w:val="center"/>
                </w:tcPr>
                <w:p>
                  <w:pPr>
                    <w:pStyle w:val="17"/>
                    <w:spacing w:before="1" w:line="240" w:lineRule="exact"/>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565</w:t>
                  </w:r>
                </w:p>
              </w:tc>
              <w:tc>
                <w:tcPr>
                  <w:tcW w:w="1109" w:type="pct"/>
                  <w:vAlign w:val="center"/>
                </w:tcPr>
                <w:p>
                  <w:pPr>
                    <w:pStyle w:val="17"/>
                    <w:spacing w:before="1" w:line="240" w:lineRule="exact"/>
                    <w:ind w:left="128" w:right="124"/>
                    <w:outlineLvl w:val="9"/>
                    <w:rPr>
                      <w:rFonts w:ascii="宋体" w:hAnsi="宋体" w:eastAsia="宋体" w:cs="宋体"/>
                      <w:sz w:val="20"/>
                    </w:rPr>
                  </w:pPr>
                  <w:r>
                    <w:rPr>
                      <w:rFonts w:hint="eastAsia" w:ascii="宋体" w:hAnsi="宋体" w:eastAsia="宋体" w:cs="宋体"/>
                      <w:sz w:val="20"/>
                    </w:rPr>
                    <w:t>酒品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37"/>
                    <w:ind w:left="139" w:right="128"/>
                    <w:outlineLvl w:val="9"/>
                    <w:rPr>
                      <w:rFonts w:ascii="宋体" w:hAnsi="宋体" w:eastAsia="宋体" w:cs="宋体"/>
                      <w:sz w:val="20"/>
                    </w:rPr>
                  </w:pPr>
                  <w:r>
                    <w:rPr>
                      <w:rFonts w:hint="eastAsia" w:ascii="宋体" w:hAnsi="宋体" w:eastAsia="宋体" w:cs="宋体"/>
                      <w:sz w:val="20"/>
                    </w:rPr>
                    <w:t>18</w:t>
                  </w:r>
                </w:p>
              </w:tc>
              <w:tc>
                <w:tcPr>
                  <w:tcW w:w="1942" w:type="pct"/>
                  <w:vAlign w:val="center"/>
                </w:tcPr>
                <w:p>
                  <w:pPr>
                    <w:pStyle w:val="17"/>
                    <w:spacing w:before="131"/>
                    <w:ind w:left="119" w:right="117"/>
                    <w:outlineLvl w:val="9"/>
                    <w:rPr>
                      <w:rFonts w:ascii="宋体" w:hAnsi="宋体" w:eastAsia="宋体" w:cs="宋体"/>
                      <w:sz w:val="20"/>
                    </w:rPr>
                  </w:pPr>
                  <w:r>
                    <w:rPr>
                      <w:rFonts w:hint="eastAsia" w:ascii="宋体" w:hAnsi="宋体" w:eastAsia="宋体" w:cs="宋体"/>
                      <w:sz w:val="20"/>
                    </w:rPr>
                    <w:t>四川宏术汽车钢板弹簧有限公司</w:t>
                  </w:r>
                </w:p>
              </w:tc>
              <w:tc>
                <w:tcPr>
                  <w:tcW w:w="523" w:type="pct"/>
                  <w:vAlign w:val="center"/>
                </w:tcPr>
                <w:p>
                  <w:pPr>
                    <w:pStyle w:val="17"/>
                    <w:spacing w:before="131"/>
                    <w:ind w:left="72" w:right="69"/>
                    <w:outlineLvl w:val="9"/>
                    <w:rPr>
                      <w:rFonts w:ascii="宋体" w:hAnsi="宋体" w:eastAsia="宋体" w:cs="宋体"/>
                      <w:sz w:val="20"/>
                    </w:rPr>
                  </w:pPr>
                  <w:r>
                    <w:rPr>
                      <w:rFonts w:hint="eastAsia" w:ascii="宋体" w:hAnsi="宋体" w:eastAsia="宋体" w:cs="宋体"/>
                      <w:sz w:val="20"/>
                    </w:rPr>
                    <w:t>西南</w:t>
                  </w:r>
                </w:p>
              </w:tc>
              <w:tc>
                <w:tcPr>
                  <w:tcW w:w="1044" w:type="pct"/>
                  <w:vAlign w:val="center"/>
                </w:tcPr>
                <w:p>
                  <w:pPr>
                    <w:pStyle w:val="17"/>
                    <w:spacing w:before="137"/>
                    <w:ind w:left="70" w:right="57"/>
                    <w:outlineLvl w:val="9"/>
                    <w:rPr>
                      <w:rFonts w:ascii="宋体" w:hAnsi="宋体" w:eastAsia="宋体" w:cs="宋体"/>
                      <w:sz w:val="20"/>
                    </w:rPr>
                  </w:pPr>
                  <w:r>
                    <w:rPr>
                      <w:rFonts w:hint="eastAsia" w:ascii="宋体" w:hAnsi="宋体" w:eastAsia="宋体" w:cs="宋体"/>
                      <w:sz w:val="20"/>
                    </w:rPr>
                    <w:t>582</w:t>
                  </w:r>
                </w:p>
              </w:tc>
              <w:tc>
                <w:tcPr>
                  <w:tcW w:w="1109" w:type="pct"/>
                  <w:vAlign w:val="center"/>
                </w:tcPr>
                <w:p>
                  <w:pPr>
                    <w:pStyle w:val="17"/>
                    <w:spacing w:before="1"/>
                    <w:ind w:left="128" w:right="127"/>
                    <w:outlineLvl w:val="9"/>
                    <w:rPr>
                      <w:rFonts w:ascii="宋体" w:hAnsi="宋体" w:eastAsia="宋体" w:cs="宋体"/>
                      <w:sz w:val="20"/>
                    </w:rPr>
                  </w:pPr>
                  <w:r>
                    <w:rPr>
                      <w:rFonts w:hint="eastAsia" w:ascii="宋体" w:hAnsi="宋体" w:eastAsia="宋体" w:cs="宋体"/>
                      <w:sz w:val="20"/>
                    </w:rPr>
                    <w:t>汽车钢板弹簧、汽车</w:t>
                  </w:r>
                </w:p>
                <w:p>
                  <w:pPr>
                    <w:pStyle w:val="17"/>
                    <w:spacing w:before="3" w:line="237" w:lineRule="exact"/>
                    <w:ind w:left="128" w:right="127"/>
                    <w:outlineLvl w:val="9"/>
                    <w:rPr>
                      <w:rFonts w:ascii="宋体" w:hAnsi="宋体" w:eastAsia="宋体" w:cs="宋体"/>
                      <w:sz w:val="20"/>
                    </w:rPr>
                  </w:pPr>
                  <w:r>
                    <w:rPr>
                      <w:rFonts w:hint="eastAsia" w:ascii="宋体" w:hAnsi="宋体" w:eastAsia="宋体" w:cs="宋体"/>
                      <w:sz w:val="20"/>
                    </w:rPr>
                    <w:t>零部件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37"/>
                    <w:ind w:left="139" w:right="128"/>
                    <w:outlineLvl w:val="9"/>
                    <w:rPr>
                      <w:rFonts w:ascii="宋体" w:hAnsi="宋体" w:eastAsia="宋体" w:cs="宋体"/>
                      <w:sz w:val="20"/>
                    </w:rPr>
                  </w:pPr>
                  <w:r>
                    <w:rPr>
                      <w:rFonts w:hint="eastAsia" w:ascii="宋体" w:hAnsi="宋体" w:eastAsia="宋体" w:cs="宋体"/>
                      <w:sz w:val="20"/>
                    </w:rPr>
                    <w:t>19</w:t>
                  </w:r>
                </w:p>
              </w:tc>
              <w:tc>
                <w:tcPr>
                  <w:tcW w:w="1942" w:type="pct"/>
                  <w:vAlign w:val="center"/>
                </w:tcPr>
                <w:p>
                  <w:pPr>
                    <w:pStyle w:val="17"/>
                    <w:spacing w:before="131"/>
                    <w:ind w:left="119" w:right="117"/>
                    <w:outlineLvl w:val="9"/>
                    <w:rPr>
                      <w:rFonts w:ascii="宋体" w:hAnsi="宋体" w:eastAsia="宋体" w:cs="宋体"/>
                      <w:sz w:val="20"/>
                    </w:rPr>
                  </w:pPr>
                  <w:r>
                    <w:rPr>
                      <w:rFonts w:hint="eastAsia" w:ascii="宋体" w:hAnsi="宋体" w:eastAsia="宋体" w:cs="宋体"/>
                      <w:sz w:val="20"/>
                    </w:rPr>
                    <w:t>四川山古坊食品有限公司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sz w:val="20"/>
                    </w:rPr>
                    <w:t>西</w:t>
                  </w:r>
                </w:p>
              </w:tc>
              <w:tc>
                <w:tcPr>
                  <w:tcW w:w="1044" w:type="pct"/>
                  <w:vAlign w:val="center"/>
                </w:tcPr>
                <w:p>
                  <w:pPr>
                    <w:pStyle w:val="17"/>
                    <w:spacing w:before="1"/>
                    <w:ind w:left="70" w:right="63"/>
                    <w:outlineLvl w:val="9"/>
                    <w:rPr>
                      <w:rFonts w:ascii="宋体" w:hAnsi="宋体" w:eastAsia="宋体" w:cs="宋体"/>
                      <w:sz w:val="20"/>
                    </w:rPr>
                  </w:pPr>
                  <w:r>
                    <w:rPr>
                      <w:rFonts w:hint="eastAsia" w:ascii="宋体" w:hAnsi="宋体" w:eastAsia="宋体" w:cs="宋体"/>
                      <w:sz w:val="20"/>
                    </w:rPr>
                    <w:t>20（与本项目车间最</w:t>
                  </w:r>
                </w:p>
                <w:p>
                  <w:pPr>
                    <w:pStyle w:val="17"/>
                    <w:spacing w:before="3" w:line="237" w:lineRule="exact"/>
                    <w:ind w:left="68" w:right="63"/>
                    <w:outlineLvl w:val="9"/>
                    <w:rPr>
                      <w:rFonts w:ascii="宋体" w:hAnsi="宋体" w:eastAsia="宋体" w:cs="宋体"/>
                      <w:sz w:val="20"/>
                    </w:rPr>
                  </w:pPr>
                  <w:r>
                    <w:rPr>
                      <w:rFonts w:hint="eastAsia" w:ascii="宋体" w:hAnsi="宋体" w:eastAsia="宋体" w:cs="宋体"/>
                      <w:sz w:val="20"/>
                    </w:rPr>
                    <w:t>近距离约 35m）</w:t>
                  </w:r>
                </w:p>
              </w:tc>
              <w:tc>
                <w:tcPr>
                  <w:tcW w:w="1109" w:type="pct"/>
                  <w:vAlign w:val="center"/>
                </w:tcPr>
                <w:p>
                  <w:pPr>
                    <w:pStyle w:val="17"/>
                    <w:spacing w:before="131"/>
                    <w:ind w:left="128" w:right="127"/>
                    <w:outlineLvl w:val="9"/>
                    <w:rPr>
                      <w:rFonts w:ascii="宋体" w:hAnsi="宋体" w:eastAsia="宋体" w:cs="宋体"/>
                      <w:sz w:val="20"/>
                    </w:rPr>
                  </w:pPr>
                  <w:r>
                    <w:rPr>
                      <w:rFonts w:hint="eastAsia" w:ascii="宋体" w:hAnsi="宋体" w:eastAsia="宋体" w:cs="宋体"/>
                      <w:sz w:val="20"/>
                    </w:rPr>
                    <w:t>豆制品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20</w:t>
                  </w:r>
                </w:p>
              </w:tc>
              <w:tc>
                <w:tcPr>
                  <w:tcW w:w="1942" w:type="pct"/>
                  <w:vAlign w:val="center"/>
                </w:tcPr>
                <w:p>
                  <w:pPr>
                    <w:pStyle w:val="17"/>
                    <w:spacing w:before="1" w:line="237" w:lineRule="exact"/>
                    <w:ind w:left="120" w:right="116"/>
                    <w:outlineLvl w:val="9"/>
                    <w:rPr>
                      <w:rFonts w:ascii="宋体" w:hAnsi="宋体" w:eastAsia="宋体" w:cs="宋体"/>
                      <w:sz w:val="20"/>
                    </w:rPr>
                  </w:pPr>
                  <w:r>
                    <w:rPr>
                      <w:rFonts w:hint="eastAsia" w:ascii="宋体" w:hAnsi="宋体" w:eastAsia="宋体" w:cs="宋体"/>
                      <w:sz w:val="20"/>
                    </w:rPr>
                    <w:t>四川英格瑞生物科技有限公司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sz w:val="20"/>
                    </w:rPr>
                    <w:t>西</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140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兽药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139" w:right="128"/>
                    <w:outlineLvl w:val="9"/>
                    <w:rPr>
                      <w:rFonts w:ascii="宋体" w:hAnsi="宋体" w:eastAsia="宋体" w:cs="宋体"/>
                      <w:sz w:val="20"/>
                    </w:rPr>
                  </w:pPr>
                  <w:r>
                    <w:rPr>
                      <w:rFonts w:hint="eastAsia" w:ascii="宋体" w:hAnsi="宋体" w:eastAsia="宋体" w:cs="宋体"/>
                      <w:sz w:val="20"/>
                    </w:rPr>
                    <w:t>21</w:t>
                  </w:r>
                </w:p>
              </w:tc>
              <w:tc>
                <w:tcPr>
                  <w:tcW w:w="1942" w:type="pct"/>
                  <w:vAlign w:val="center"/>
                </w:tcPr>
                <w:p>
                  <w:pPr>
                    <w:pStyle w:val="17"/>
                    <w:spacing w:before="3" w:line="237" w:lineRule="exact"/>
                    <w:ind w:left="117" w:right="117"/>
                    <w:outlineLvl w:val="9"/>
                    <w:rPr>
                      <w:rFonts w:ascii="宋体" w:hAnsi="宋体" w:eastAsia="宋体" w:cs="宋体"/>
                      <w:sz w:val="20"/>
                    </w:rPr>
                  </w:pPr>
                  <w:r>
                    <w:rPr>
                      <w:rFonts w:hint="eastAsia" w:ascii="宋体" w:hAnsi="宋体" w:eastAsia="宋体" w:cs="宋体"/>
                      <w:sz w:val="20"/>
                    </w:rPr>
                    <w:t>隆昌中欧油气能源有限公司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sz w:val="20"/>
                    </w:rPr>
                    <w:t>西</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165</w:t>
                  </w:r>
                </w:p>
              </w:tc>
              <w:tc>
                <w:tcPr>
                  <w:tcW w:w="1109" w:type="pct"/>
                  <w:vAlign w:val="center"/>
                </w:tcPr>
                <w:p>
                  <w:pPr>
                    <w:pStyle w:val="17"/>
                    <w:spacing w:before="3" w:line="237" w:lineRule="exact"/>
                    <w:ind w:left="128" w:right="127"/>
                    <w:outlineLvl w:val="9"/>
                    <w:rPr>
                      <w:rFonts w:ascii="宋体" w:hAnsi="宋体" w:eastAsia="宋体" w:cs="宋体"/>
                      <w:sz w:val="20"/>
                    </w:rPr>
                  </w:pPr>
                  <w:r>
                    <w:rPr>
                      <w:rFonts w:hint="eastAsia" w:ascii="宋体" w:hAnsi="宋体" w:eastAsia="宋体" w:cs="宋体"/>
                      <w:sz w:val="20"/>
                    </w:rPr>
                    <w:t>燃气管道设备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22</w:t>
                  </w:r>
                </w:p>
              </w:tc>
              <w:tc>
                <w:tcPr>
                  <w:tcW w:w="1942" w:type="pct"/>
                  <w:vAlign w:val="center"/>
                </w:tcPr>
                <w:p>
                  <w:pPr>
                    <w:pStyle w:val="17"/>
                    <w:spacing w:before="1" w:line="237" w:lineRule="exact"/>
                    <w:ind w:left="119" w:right="117"/>
                    <w:outlineLvl w:val="9"/>
                    <w:rPr>
                      <w:rFonts w:ascii="宋体" w:hAnsi="宋体" w:eastAsia="宋体" w:cs="宋体"/>
                      <w:sz w:val="20"/>
                    </w:rPr>
                  </w:pPr>
                  <w:r>
                    <w:rPr>
                      <w:rFonts w:hint="eastAsia" w:ascii="宋体" w:hAnsi="宋体" w:eastAsia="宋体" w:cs="宋体"/>
                      <w:sz w:val="20"/>
                    </w:rPr>
                    <w:t>隆昌立旺食品有限公司</w:t>
                  </w:r>
                </w:p>
              </w:tc>
              <w:tc>
                <w:tcPr>
                  <w:tcW w:w="523" w:type="pct"/>
                  <w:vAlign w:val="center"/>
                </w:tcPr>
                <w:p>
                  <w:pPr>
                    <w:pStyle w:val="17"/>
                    <w:spacing w:before="1" w:line="237" w:lineRule="exact"/>
                    <w:ind w:left="6"/>
                    <w:outlineLvl w:val="9"/>
                    <w:rPr>
                      <w:rFonts w:ascii="宋体" w:hAnsi="宋体" w:eastAsia="宋体" w:cs="宋体"/>
                      <w:sz w:val="20"/>
                    </w:rPr>
                  </w:pPr>
                  <w:r>
                    <w:rPr>
                      <w:rFonts w:hint="eastAsia" w:ascii="宋体" w:hAnsi="宋体" w:eastAsia="宋体" w:cs="宋体"/>
                      <w:sz w:val="20"/>
                    </w:rPr>
                    <w:t>西</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335</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23</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四川兵牌农业科技有限公司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370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调料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8"/>
                    <w:ind w:left="139" w:right="128"/>
                    <w:outlineLvl w:val="9"/>
                    <w:rPr>
                      <w:rFonts w:ascii="宋体" w:hAnsi="宋体" w:eastAsia="宋体" w:cs="宋体"/>
                      <w:sz w:val="20"/>
                    </w:rPr>
                  </w:pPr>
                  <w:r>
                    <w:rPr>
                      <w:rFonts w:hint="eastAsia" w:ascii="宋体" w:hAnsi="宋体" w:eastAsia="宋体" w:cs="宋体"/>
                      <w:sz w:val="20"/>
                    </w:rPr>
                    <w:t>24</w:t>
                  </w:r>
                </w:p>
              </w:tc>
              <w:tc>
                <w:tcPr>
                  <w:tcW w:w="1942" w:type="pct"/>
                  <w:vAlign w:val="center"/>
                </w:tcPr>
                <w:p>
                  <w:pPr>
                    <w:pStyle w:val="17"/>
                    <w:spacing w:before="2" w:line="237" w:lineRule="exact"/>
                    <w:ind w:left="117" w:right="117"/>
                    <w:outlineLvl w:val="9"/>
                    <w:rPr>
                      <w:rFonts w:ascii="宋体" w:hAnsi="宋体" w:eastAsia="宋体" w:cs="宋体"/>
                      <w:sz w:val="20"/>
                    </w:rPr>
                  </w:pPr>
                  <w:r>
                    <w:rPr>
                      <w:rFonts w:hint="eastAsia" w:ascii="宋体" w:hAnsi="宋体" w:eastAsia="宋体" w:cs="宋体"/>
                      <w:sz w:val="20"/>
                    </w:rPr>
                    <w:t>四川铭浩旅游用品有限公司</w:t>
                  </w:r>
                </w:p>
              </w:tc>
              <w:tc>
                <w:tcPr>
                  <w:tcW w:w="523" w:type="pct"/>
                  <w:vAlign w:val="center"/>
                </w:tcPr>
                <w:p>
                  <w:pPr>
                    <w:pStyle w:val="17"/>
                    <w:spacing w:before="2"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8"/>
                    <w:ind w:left="70" w:right="57"/>
                    <w:outlineLvl w:val="9"/>
                    <w:rPr>
                      <w:rFonts w:ascii="宋体" w:hAnsi="宋体" w:eastAsia="宋体" w:cs="宋体"/>
                      <w:sz w:val="20"/>
                    </w:rPr>
                  </w:pPr>
                  <w:r>
                    <w:rPr>
                      <w:rFonts w:hint="eastAsia" w:ascii="宋体" w:hAnsi="宋体" w:eastAsia="宋体" w:cs="宋体"/>
                      <w:sz w:val="20"/>
                    </w:rPr>
                    <w:t>490</w:t>
                  </w:r>
                </w:p>
              </w:tc>
              <w:tc>
                <w:tcPr>
                  <w:tcW w:w="1109" w:type="pct"/>
                  <w:vAlign w:val="center"/>
                </w:tcPr>
                <w:p>
                  <w:pPr>
                    <w:pStyle w:val="17"/>
                    <w:spacing w:before="2" w:line="237" w:lineRule="exact"/>
                    <w:ind w:left="128" w:right="127"/>
                    <w:outlineLvl w:val="9"/>
                    <w:rPr>
                      <w:rFonts w:ascii="宋体" w:hAnsi="宋体" w:eastAsia="宋体" w:cs="宋体"/>
                      <w:sz w:val="20"/>
                    </w:rPr>
                  </w:pPr>
                  <w:r>
                    <w:rPr>
                      <w:rFonts w:hint="eastAsia" w:ascii="宋体" w:hAnsi="宋体" w:eastAsia="宋体" w:cs="宋体"/>
                      <w:sz w:val="20"/>
                    </w:rPr>
                    <w:t>纺织品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139" w:right="128"/>
                    <w:outlineLvl w:val="9"/>
                    <w:rPr>
                      <w:rFonts w:ascii="宋体" w:hAnsi="宋体" w:eastAsia="宋体" w:cs="宋体"/>
                      <w:sz w:val="20"/>
                    </w:rPr>
                  </w:pPr>
                  <w:r>
                    <w:rPr>
                      <w:rFonts w:hint="eastAsia" w:ascii="宋体" w:hAnsi="宋体" w:eastAsia="宋体" w:cs="宋体"/>
                      <w:sz w:val="20"/>
                    </w:rPr>
                    <w:t>25</w:t>
                  </w:r>
                </w:p>
              </w:tc>
              <w:tc>
                <w:tcPr>
                  <w:tcW w:w="1942" w:type="pct"/>
                  <w:vAlign w:val="center"/>
                </w:tcPr>
                <w:p>
                  <w:pPr>
                    <w:pStyle w:val="17"/>
                    <w:spacing w:before="1" w:line="240" w:lineRule="exact"/>
                    <w:ind w:left="118" w:right="117"/>
                    <w:outlineLvl w:val="9"/>
                    <w:rPr>
                      <w:rFonts w:ascii="宋体" w:hAnsi="宋体" w:eastAsia="宋体" w:cs="宋体"/>
                      <w:sz w:val="20"/>
                    </w:rPr>
                  </w:pPr>
                  <w:r>
                    <w:rPr>
                      <w:rFonts w:hint="eastAsia" w:ascii="宋体" w:hAnsi="宋体" w:eastAsia="宋体" w:cs="宋体"/>
                      <w:sz w:val="20"/>
                    </w:rPr>
                    <w:t>四川省喜庆郎酿酒有限公司</w:t>
                  </w:r>
                </w:p>
              </w:tc>
              <w:tc>
                <w:tcPr>
                  <w:tcW w:w="523" w:type="pct"/>
                  <w:vAlign w:val="center"/>
                </w:tcPr>
                <w:p>
                  <w:pPr>
                    <w:pStyle w:val="17"/>
                    <w:spacing w:before="1" w:line="240"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540</w:t>
                  </w:r>
                </w:p>
              </w:tc>
              <w:tc>
                <w:tcPr>
                  <w:tcW w:w="1109" w:type="pct"/>
                  <w:vAlign w:val="center"/>
                </w:tcPr>
                <w:p>
                  <w:pPr>
                    <w:pStyle w:val="17"/>
                    <w:spacing w:before="1" w:line="240" w:lineRule="exact"/>
                    <w:ind w:left="128" w:right="124"/>
                    <w:outlineLvl w:val="9"/>
                    <w:rPr>
                      <w:rFonts w:ascii="宋体" w:hAnsi="宋体" w:eastAsia="宋体" w:cs="宋体"/>
                      <w:sz w:val="20"/>
                    </w:rPr>
                  </w:pPr>
                  <w:r>
                    <w:rPr>
                      <w:rFonts w:hint="eastAsia" w:ascii="宋体" w:hAnsi="宋体" w:eastAsia="宋体" w:cs="宋体"/>
                      <w:sz w:val="20"/>
                    </w:rPr>
                    <w:t>酒品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26</w:t>
                  </w:r>
                </w:p>
              </w:tc>
              <w:tc>
                <w:tcPr>
                  <w:tcW w:w="1942" w:type="pct"/>
                  <w:vAlign w:val="center"/>
                </w:tcPr>
                <w:p>
                  <w:pPr>
                    <w:pStyle w:val="17"/>
                    <w:spacing w:before="1" w:line="237" w:lineRule="exact"/>
                    <w:ind w:left="119" w:right="117"/>
                    <w:outlineLvl w:val="9"/>
                    <w:rPr>
                      <w:rFonts w:ascii="宋体" w:hAnsi="宋体" w:eastAsia="宋体" w:cs="宋体"/>
                      <w:sz w:val="20"/>
                    </w:rPr>
                  </w:pPr>
                  <w:r>
                    <w:rPr>
                      <w:rFonts w:hint="eastAsia" w:ascii="宋体" w:hAnsi="宋体" w:eastAsia="宋体" w:cs="宋体"/>
                      <w:sz w:val="20"/>
                    </w:rPr>
                    <w:t>隆昌明旺乳业有限公司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600</w:t>
                  </w:r>
                </w:p>
              </w:tc>
              <w:tc>
                <w:tcPr>
                  <w:tcW w:w="1109" w:type="pct"/>
                  <w:vAlign w:val="center"/>
                </w:tcPr>
                <w:p>
                  <w:pPr>
                    <w:pStyle w:val="17"/>
                    <w:spacing w:before="1" w:line="237" w:lineRule="exact"/>
                    <w:ind w:left="128" w:right="127"/>
                    <w:outlineLvl w:val="9"/>
                    <w:rPr>
                      <w:rFonts w:ascii="宋体" w:hAnsi="宋体" w:eastAsia="宋体" w:cs="宋体"/>
                      <w:sz w:val="20"/>
                    </w:rPr>
                  </w:pPr>
                  <w:r>
                    <w:rPr>
                      <w:rFonts w:hint="eastAsia" w:ascii="宋体" w:hAnsi="宋体" w:eastAsia="宋体" w:cs="宋体"/>
                      <w:sz w:val="20"/>
                    </w:rPr>
                    <w:t>饮料、乳制品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27</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四川省万林冷食品有限公司</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620</w:t>
                  </w:r>
                </w:p>
              </w:tc>
              <w:tc>
                <w:tcPr>
                  <w:tcW w:w="1109" w:type="pct"/>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食品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28</w:t>
                  </w:r>
                </w:p>
              </w:tc>
              <w:tc>
                <w:tcPr>
                  <w:tcW w:w="1942" w:type="pct"/>
                  <w:vAlign w:val="center"/>
                </w:tcPr>
                <w:p>
                  <w:pPr>
                    <w:pStyle w:val="17"/>
                    <w:spacing w:before="1" w:line="237" w:lineRule="exact"/>
                    <w:ind w:left="117" w:right="117"/>
                    <w:outlineLvl w:val="9"/>
                    <w:rPr>
                      <w:rFonts w:ascii="宋体" w:hAnsi="宋体" w:eastAsia="宋体" w:cs="宋体"/>
                      <w:sz w:val="20"/>
                    </w:rPr>
                  </w:pPr>
                  <w:r>
                    <w:rPr>
                      <w:rFonts w:hint="eastAsia" w:ascii="宋体" w:hAnsi="宋体" w:eastAsia="宋体" w:cs="宋体"/>
                      <w:sz w:val="20"/>
                    </w:rPr>
                    <w:t>隆昌高新技术创业服务中心</w:t>
                  </w:r>
                </w:p>
              </w:tc>
              <w:tc>
                <w:tcPr>
                  <w:tcW w:w="523" w:type="pct"/>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640</w:t>
                  </w:r>
                </w:p>
              </w:tc>
              <w:tc>
                <w:tcPr>
                  <w:tcW w:w="1109" w:type="pct"/>
                  <w:vAlign w:val="center"/>
                </w:tcPr>
                <w:p>
                  <w:pPr>
                    <w:pStyle w:val="17"/>
                    <w:spacing w:before="1" w:line="237" w:lineRule="exact"/>
                    <w:ind w:left="128" w:right="127"/>
                    <w:outlineLvl w:val="9"/>
                    <w:rPr>
                      <w:rFonts w:ascii="宋体" w:hAnsi="宋体" w:eastAsia="宋体" w:cs="宋体"/>
                      <w:sz w:val="20"/>
                    </w:rPr>
                  </w:pPr>
                  <w:r>
                    <w:rPr>
                      <w:rFonts w:hint="eastAsia" w:ascii="宋体" w:hAnsi="宋体" w:eastAsia="宋体" w:cs="宋体"/>
                      <w:sz w:val="20"/>
                    </w:rPr>
                    <w:t>服务中小企业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vAlign w:val="center"/>
                </w:tcPr>
                <w:p>
                  <w:pPr>
                    <w:pStyle w:val="17"/>
                    <w:spacing w:before="10"/>
                    <w:ind w:left="139" w:right="128"/>
                    <w:outlineLvl w:val="9"/>
                    <w:rPr>
                      <w:rFonts w:ascii="宋体" w:hAnsi="宋体" w:eastAsia="宋体" w:cs="宋体"/>
                      <w:sz w:val="20"/>
                    </w:rPr>
                  </w:pPr>
                  <w:r>
                    <w:rPr>
                      <w:rFonts w:hint="eastAsia" w:ascii="宋体" w:hAnsi="宋体" w:eastAsia="宋体" w:cs="宋体"/>
                      <w:sz w:val="20"/>
                    </w:rPr>
                    <w:t>29</w:t>
                  </w:r>
                </w:p>
              </w:tc>
              <w:tc>
                <w:tcPr>
                  <w:tcW w:w="1942" w:type="pct"/>
                  <w:vAlign w:val="center"/>
                </w:tcPr>
                <w:p>
                  <w:pPr>
                    <w:pStyle w:val="17"/>
                    <w:spacing w:before="1" w:line="240" w:lineRule="exact"/>
                    <w:ind w:left="119" w:right="117"/>
                    <w:outlineLvl w:val="9"/>
                    <w:rPr>
                      <w:rFonts w:ascii="宋体" w:hAnsi="宋体" w:eastAsia="宋体" w:cs="宋体"/>
                      <w:sz w:val="20"/>
                    </w:rPr>
                  </w:pPr>
                  <w:r>
                    <w:rPr>
                      <w:rFonts w:hint="eastAsia" w:ascii="宋体" w:hAnsi="宋体" w:eastAsia="宋体" w:cs="宋体"/>
                      <w:sz w:val="20"/>
                    </w:rPr>
                    <w:t>四川正华纺织有限公司</w:t>
                  </w:r>
                </w:p>
              </w:tc>
              <w:tc>
                <w:tcPr>
                  <w:tcW w:w="523" w:type="pct"/>
                  <w:vAlign w:val="center"/>
                </w:tcPr>
                <w:p>
                  <w:pPr>
                    <w:pStyle w:val="17"/>
                    <w:spacing w:before="1" w:line="240"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vAlign w:val="center"/>
                </w:tcPr>
                <w:p>
                  <w:pPr>
                    <w:pStyle w:val="17"/>
                    <w:spacing w:before="10"/>
                    <w:ind w:left="70" w:right="57"/>
                    <w:outlineLvl w:val="9"/>
                    <w:rPr>
                      <w:rFonts w:ascii="宋体" w:hAnsi="宋体" w:eastAsia="宋体" w:cs="宋体"/>
                      <w:sz w:val="20"/>
                    </w:rPr>
                  </w:pPr>
                  <w:r>
                    <w:rPr>
                      <w:rFonts w:hint="eastAsia" w:ascii="宋体" w:hAnsi="宋体" w:eastAsia="宋体" w:cs="宋体"/>
                      <w:sz w:val="20"/>
                    </w:rPr>
                    <w:t>765</w:t>
                  </w:r>
                </w:p>
              </w:tc>
              <w:tc>
                <w:tcPr>
                  <w:tcW w:w="1109" w:type="pct"/>
                  <w:vAlign w:val="center"/>
                </w:tcPr>
                <w:p>
                  <w:pPr>
                    <w:pStyle w:val="17"/>
                    <w:spacing w:before="1" w:line="240" w:lineRule="exact"/>
                    <w:ind w:left="128" w:right="127"/>
                    <w:outlineLvl w:val="9"/>
                    <w:rPr>
                      <w:rFonts w:ascii="宋体" w:hAnsi="宋体" w:eastAsia="宋体" w:cs="宋体"/>
                      <w:sz w:val="20"/>
                    </w:rPr>
                  </w:pPr>
                  <w:r>
                    <w:rPr>
                      <w:rFonts w:hint="eastAsia" w:ascii="宋体" w:hAnsi="宋体" w:eastAsia="宋体" w:cs="宋体"/>
                      <w:sz w:val="20"/>
                    </w:rPr>
                    <w:t>纺织品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6" w:hRule="atLeast"/>
                <w:jc w:val="center"/>
              </w:trPr>
              <w:tc>
                <w:tcPr>
                  <w:tcW w:w="380" w:type="pct"/>
                  <w:tcBorders>
                    <w:bottom w:val="single" w:color="000000" w:sz="8" w:space="0"/>
                  </w:tcBorders>
                  <w:vAlign w:val="center"/>
                </w:tcPr>
                <w:p>
                  <w:pPr>
                    <w:pStyle w:val="17"/>
                    <w:spacing w:before="7"/>
                    <w:ind w:left="139" w:right="128"/>
                    <w:outlineLvl w:val="9"/>
                    <w:rPr>
                      <w:rFonts w:ascii="宋体" w:hAnsi="宋体" w:eastAsia="宋体" w:cs="宋体"/>
                      <w:sz w:val="20"/>
                    </w:rPr>
                  </w:pPr>
                  <w:r>
                    <w:rPr>
                      <w:rFonts w:hint="eastAsia" w:ascii="宋体" w:hAnsi="宋体" w:eastAsia="宋体" w:cs="宋体"/>
                      <w:sz w:val="20"/>
                    </w:rPr>
                    <w:t>30</w:t>
                  </w:r>
                </w:p>
              </w:tc>
              <w:tc>
                <w:tcPr>
                  <w:tcW w:w="1942" w:type="pct"/>
                  <w:tcBorders>
                    <w:bottom w:val="single" w:color="000000" w:sz="8" w:space="0"/>
                  </w:tcBorders>
                  <w:vAlign w:val="center"/>
                </w:tcPr>
                <w:p>
                  <w:pPr>
                    <w:pStyle w:val="17"/>
                    <w:spacing w:before="1" w:line="237" w:lineRule="exact"/>
                    <w:ind w:left="119" w:right="117"/>
                    <w:outlineLvl w:val="9"/>
                    <w:rPr>
                      <w:rFonts w:ascii="宋体" w:hAnsi="宋体" w:eastAsia="宋体" w:cs="宋体"/>
                      <w:sz w:val="20"/>
                    </w:rPr>
                  </w:pPr>
                  <w:r>
                    <w:rPr>
                      <w:rFonts w:hint="eastAsia" w:ascii="宋体" w:hAnsi="宋体" w:eastAsia="宋体" w:cs="宋体"/>
                      <w:sz w:val="20"/>
                    </w:rPr>
                    <w:t>蜀桑源公司（已停产）</w:t>
                  </w:r>
                </w:p>
              </w:tc>
              <w:tc>
                <w:tcPr>
                  <w:tcW w:w="523" w:type="pct"/>
                  <w:tcBorders>
                    <w:bottom w:val="single" w:color="000000" w:sz="8" w:space="0"/>
                  </w:tcBorders>
                  <w:vAlign w:val="center"/>
                </w:tcPr>
                <w:p>
                  <w:pPr>
                    <w:pStyle w:val="17"/>
                    <w:spacing w:before="1" w:line="237" w:lineRule="exact"/>
                    <w:ind w:left="72" w:right="69"/>
                    <w:outlineLvl w:val="9"/>
                    <w:rPr>
                      <w:rFonts w:ascii="宋体" w:hAnsi="宋体" w:eastAsia="宋体" w:cs="宋体"/>
                      <w:sz w:val="20"/>
                    </w:rPr>
                  </w:pPr>
                  <w:r>
                    <w:rPr>
                      <w:rFonts w:hint="eastAsia" w:ascii="宋体" w:hAnsi="宋体" w:eastAsia="宋体" w:cs="宋体"/>
                      <w:sz w:val="20"/>
                    </w:rPr>
                    <w:t>西北</w:t>
                  </w:r>
                </w:p>
              </w:tc>
              <w:tc>
                <w:tcPr>
                  <w:tcW w:w="1044" w:type="pct"/>
                  <w:tcBorders>
                    <w:bottom w:val="single" w:color="000000" w:sz="8" w:space="0"/>
                  </w:tcBorders>
                  <w:vAlign w:val="center"/>
                </w:tcPr>
                <w:p>
                  <w:pPr>
                    <w:pStyle w:val="17"/>
                    <w:spacing w:before="7"/>
                    <w:ind w:left="70" w:right="57"/>
                    <w:outlineLvl w:val="9"/>
                    <w:rPr>
                      <w:rFonts w:ascii="宋体" w:hAnsi="宋体" w:eastAsia="宋体" w:cs="宋体"/>
                      <w:sz w:val="20"/>
                    </w:rPr>
                  </w:pPr>
                  <w:r>
                    <w:rPr>
                      <w:rFonts w:hint="eastAsia" w:ascii="宋体" w:hAnsi="宋体" w:eastAsia="宋体" w:cs="宋体"/>
                      <w:sz w:val="20"/>
                    </w:rPr>
                    <w:t>900</w:t>
                  </w:r>
                </w:p>
              </w:tc>
              <w:tc>
                <w:tcPr>
                  <w:tcW w:w="1109" w:type="pct"/>
                  <w:tcBorders>
                    <w:bottom w:val="single" w:color="000000" w:sz="8" w:space="0"/>
                  </w:tcBorders>
                  <w:vAlign w:val="center"/>
                </w:tcPr>
                <w:p>
                  <w:pPr>
                    <w:pStyle w:val="17"/>
                    <w:spacing w:before="1" w:line="237" w:lineRule="exact"/>
                    <w:ind w:left="128" w:right="124"/>
                    <w:outlineLvl w:val="9"/>
                    <w:rPr>
                      <w:rFonts w:ascii="宋体" w:hAnsi="宋体" w:eastAsia="宋体" w:cs="宋体"/>
                      <w:sz w:val="20"/>
                    </w:rPr>
                  </w:pPr>
                  <w:r>
                    <w:rPr>
                      <w:rFonts w:hint="eastAsia" w:ascii="宋体" w:hAnsi="宋体" w:eastAsia="宋体" w:cs="宋体"/>
                      <w:sz w:val="20"/>
                    </w:rPr>
                    <w:t>农副食品</w:t>
                  </w:r>
                </w:p>
              </w:tc>
            </w:tr>
          </w:tbl>
          <w:p>
            <w:pPr>
              <w:spacing w:line="360" w:lineRule="auto"/>
              <w:outlineLvl w:val="9"/>
              <w:rPr>
                <w:rFonts w:ascii="宋体" w:hAnsi="宋体" w:cs="宋体"/>
              </w:rPr>
            </w:pPr>
            <w:bookmarkStart w:id="14" w:name="_Toc28041"/>
            <w:r>
              <w:rPr>
                <w:rFonts w:hint="eastAsia" w:ascii="宋体" w:hAnsi="宋体" w:cs="宋体"/>
              </w:rPr>
              <w:t>2.2工程基本情况</w:t>
            </w:r>
            <w:bookmarkEnd w:id="14"/>
          </w:p>
          <w:p>
            <w:pPr>
              <w:spacing w:line="360" w:lineRule="auto"/>
              <w:ind w:firstLine="480" w:firstLineChars="200"/>
              <w:outlineLvl w:val="9"/>
              <w:rPr>
                <w:sz w:val="24"/>
              </w:rPr>
            </w:pPr>
            <w:r>
              <w:rPr>
                <w:rFonts w:hint="eastAsia" w:ascii="宋体" w:hAnsi="宋体" w:cs="宋体"/>
                <w:sz w:val="24"/>
              </w:rPr>
              <w:t>项目名称：</w:t>
            </w:r>
            <w:r>
              <w:rPr>
                <w:sz w:val="24"/>
              </w:rPr>
              <w:t>新增</w:t>
            </w:r>
            <w:r>
              <w:rPr>
                <w:rFonts w:hint="eastAsia"/>
                <w:sz w:val="24"/>
              </w:rPr>
              <w:t>1.5万吨/年紧固件生产扩建项目</w:t>
            </w:r>
          </w:p>
          <w:p>
            <w:pPr>
              <w:spacing w:line="360" w:lineRule="auto"/>
              <w:ind w:firstLine="480" w:firstLineChars="200"/>
              <w:outlineLvl w:val="9"/>
              <w:rPr>
                <w:rFonts w:ascii="宋体" w:hAnsi="宋体" w:cs="宋体"/>
                <w:sz w:val="24"/>
              </w:rPr>
            </w:pPr>
            <w:r>
              <w:rPr>
                <w:rFonts w:hint="eastAsia" w:ascii="宋体" w:hAnsi="宋体" w:cs="宋体"/>
                <w:sz w:val="24"/>
              </w:rPr>
              <w:t>建设单位：</w:t>
            </w:r>
            <w:r>
              <w:rPr>
                <w:rFonts w:hint="eastAsia" w:ascii="Times New Roman" w:hAnsi="Times New Roman"/>
                <w:sz w:val="24"/>
              </w:rPr>
              <w:t>四川东博轨道科技有限公司</w:t>
            </w:r>
          </w:p>
          <w:p>
            <w:pPr>
              <w:spacing w:line="360" w:lineRule="auto"/>
              <w:ind w:firstLine="480" w:firstLineChars="200"/>
              <w:outlineLvl w:val="9"/>
              <w:rPr>
                <w:rFonts w:ascii="宋体" w:hAnsi="宋体" w:cs="宋体"/>
                <w:sz w:val="24"/>
              </w:rPr>
            </w:pPr>
            <w:r>
              <w:rPr>
                <w:rFonts w:hint="eastAsia" w:ascii="宋体" w:hAnsi="宋体" w:cs="宋体"/>
                <w:sz w:val="24"/>
              </w:rPr>
              <w:t>工程性质：</w:t>
            </w:r>
            <w:r>
              <w:rPr>
                <w:rFonts w:hint="eastAsia" w:ascii="宋体" w:hAnsi="宋体" w:cs="宋体"/>
                <w:color w:val="000000" w:themeColor="text1"/>
                <w:sz w:val="24"/>
              </w:rPr>
              <w:t>改扩建</w:t>
            </w:r>
          </w:p>
          <w:p>
            <w:pPr>
              <w:spacing w:line="360" w:lineRule="auto"/>
              <w:ind w:firstLine="480" w:firstLineChars="200"/>
              <w:outlineLvl w:val="9"/>
              <w:rPr>
                <w:rFonts w:ascii="宋体" w:hAnsi="宋体" w:cs="宋体"/>
                <w:sz w:val="24"/>
              </w:rPr>
            </w:pPr>
            <w:r>
              <w:rPr>
                <w:rFonts w:hint="eastAsia" w:ascii="宋体" w:hAnsi="宋体" w:cs="宋体"/>
                <w:sz w:val="24"/>
              </w:rPr>
              <w:t>建设地点：隆昌市环城东路203号（隆昌黄土坡工业园区内）</w:t>
            </w:r>
          </w:p>
          <w:p>
            <w:pPr>
              <w:spacing w:line="360" w:lineRule="auto"/>
              <w:ind w:firstLine="480" w:firstLineChars="200"/>
              <w:outlineLvl w:val="9"/>
              <w:rPr>
                <w:rFonts w:ascii="宋体" w:hAnsi="宋体" w:cs="宋体"/>
                <w:sz w:val="24"/>
              </w:rPr>
            </w:pPr>
            <w:r>
              <w:rPr>
                <w:rFonts w:hint="eastAsia" w:ascii="宋体" w:hAnsi="宋体" w:cs="宋体"/>
                <w:sz w:val="24"/>
              </w:rPr>
              <w:t>建设规模：</w:t>
            </w:r>
            <w:r>
              <w:rPr>
                <w:rFonts w:hint="eastAsia"/>
                <w:sz w:val="24"/>
              </w:rPr>
              <w:t>利用现有机加工设备，通过增加运行时间，增加紧固件生产量1.5万吨/年；新增抛丸机1台，新建1条热镀锌线，对1.5万吨/年紧固件热镀锌处理；东博公司承诺将QPQ盐浴处理设备拆除（见附件），直接外售紧固件（不进行表面处理）</w:t>
            </w:r>
            <w:r>
              <w:rPr>
                <w:rFonts w:hint="eastAsia" w:ascii="宋体" w:hAnsi="宋体" w:cs="宋体"/>
                <w:sz w:val="24"/>
              </w:rPr>
              <w:t>。</w:t>
            </w:r>
          </w:p>
          <w:p>
            <w:pPr>
              <w:spacing w:line="360" w:lineRule="auto"/>
              <w:ind w:firstLine="480" w:firstLineChars="200"/>
              <w:outlineLvl w:val="9"/>
              <w:rPr>
                <w:rFonts w:ascii="宋体" w:hAnsi="宋体" w:cs="宋体"/>
                <w:color w:val="000000" w:themeColor="text1"/>
                <w:sz w:val="24"/>
              </w:rPr>
            </w:pPr>
            <w:r>
              <w:rPr>
                <w:rFonts w:hint="eastAsia" w:ascii="宋体" w:hAnsi="宋体" w:cs="宋体"/>
                <w:sz w:val="24"/>
              </w:rPr>
              <w:t>项目投资：总投资200</w:t>
            </w:r>
            <w:r>
              <w:rPr>
                <w:rFonts w:hint="eastAsia" w:ascii="宋体" w:hAnsi="宋体" w:cs="宋体"/>
                <w:color w:val="000000" w:themeColor="text1"/>
                <w:sz w:val="24"/>
              </w:rPr>
              <w:t>0万，环保投资98万元，约占工程总投资的4.9%。</w:t>
            </w:r>
          </w:p>
          <w:p>
            <w:pPr>
              <w:spacing w:line="360" w:lineRule="auto"/>
              <w:ind w:firstLine="480" w:firstLineChars="200"/>
              <w:outlineLvl w:val="9"/>
              <w:rPr>
                <w:rFonts w:ascii="宋体" w:hAnsi="宋体" w:cs="宋体"/>
                <w:sz w:val="24"/>
              </w:rPr>
            </w:pPr>
            <w:r>
              <w:rPr>
                <w:rFonts w:hint="eastAsia" w:ascii="宋体" w:hAnsi="宋体" w:cs="宋体"/>
                <w:sz w:val="24"/>
              </w:rPr>
              <w:t>劳动定员及工作制度：</w:t>
            </w:r>
            <w:r>
              <w:rPr>
                <w:rFonts w:hint="eastAsia" w:hAnsi="宋体"/>
                <w:sz w:val="24"/>
              </w:rPr>
              <w:t>本项目新增劳动定员20人，新增住宿人员5人</w:t>
            </w:r>
            <w:r>
              <w:rPr>
                <w:rFonts w:hint="eastAsia" w:ascii="宋体" w:hAnsi="宋体" w:cs="宋体"/>
                <w:sz w:val="24"/>
              </w:rPr>
              <w:t>，</w:t>
            </w:r>
            <w:r>
              <w:rPr>
                <w:rFonts w:hint="eastAsia" w:hAnsi="宋体"/>
                <w:sz w:val="24"/>
              </w:rPr>
              <w:t>现厂紧固件生产和热处理设备运行时间为10小时/天，本项目依托增加运行时间4小时/天，总运行时间约14小时/天。本项目新增的抛丸机运行时间每天运行时间约16小时。热镀锌生产线运行时间16-17小时/天，年运行时间5000小时</w:t>
            </w:r>
            <w:r>
              <w:rPr>
                <w:rFonts w:hint="eastAsia" w:ascii="宋体" w:hAnsi="宋体" w:cs="宋体"/>
                <w:sz w:val="24"/>
              </w:rPr>
              <w:t>，设有食宿。</w:t>
            </w:r>
          </w:p>
          <w:p>
            <w:pPr>
              <w:spacing w:line="360" w:lineRule="auto"/>
              <w:outlineLvl w:val="9"/>
              <w:rPr>
                <w:rFonts w:ascii="宋体" w:hAnsi="宋体" w:cs="宋体"/>
              </w:rPr>
            </w:pPr>
            <w:bookmarkStart w:id="15" w:name="_Toc9828"/>
            <w:r>
              <w:rPr>
                <w:rFonts w:hint="eastAsia" w:ascii="宋体" w:hAnsi="宋体" w:cs="宋体"/>
              </w:rPr>
              <w:t>2.3建设内容及项目组成</w:t>
            </w:r>
            <w:bookmarkEnd w:id="15"/>
          </w:p>
          <w:p>
            <w:pPr>
              <w:tabs>
                <w:tab w:val="left" w:pos="2659"/>
              </w:tabs>
              <w:jc w:val="center"/>
              <w:outlineLvl w:val="9"/>
              <w:rPr>
                <w:rFonts w:ascii="宋体" w:hAnsi="宋体" w:cs="宋体"/>
                <w:b/>
                <w:bCs/>
                <w:sz w:val="24"/>
              </w:rPr>
            </w:pPr>
            <w:r>
              <w:rPr>
                <w:rFonts w:hint="eastAsia" w:ascii="宋体" w:hAnsi="宋体" w:cs="宋体"/>
                <w:b/>
                <w:bCs/>
                <w:sz w:val="24"/>
              </w:rPr>
              <w:t>表2-2  主要建构筑物</w:t>
            </w:r>
          </w:p>
          <w:tbl>
            <w:tblPr>
              <w:tblStyle w:val="1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875"/>
              <w:gridCol w:w="1156"/>
              <w:gridCol w:w="1341"/>
              <w:gridCol w:w="935"/>
              <w:gridCol w:w="4016"/>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308" w:hRule="atLeast"/>
                <w:jc w:val="center"/>
              </w:trPr>
              <w:tc>
                <w:tcPr>
                  <w:tcW w:w="0" w:type="auto"/>
                  <w:shd w:val="clear" w:color="auto" w:fill="CCFFFF"/>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建构筑物名称</w:t>
                  </w:r>
                </w:p>
              </w:tc>
              <w:tc>
                <w:tcPr>
                  <w:tcW w:w="0" w:type="auto"/>
                  <w:shd w:val="clear" w:color="auto" w:fill="CCFFFF"/>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建筑面积m2</w:t>
                  </w:r>
                </w:p>
              </w:tc>
              <w:tc>
                <w:tcPr>
                  <w:tcW w:w="0" w:type="auto"/>
                  <w:tcBorders>
                    <w:right w:val="single" w:color="auto" w:sz="4" w:space="0"/>
                  </w:tcBorders>
                  <w:shd w:val="clear" w:color="auto" w:fill="CCFFFF"/>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层数</w:t>
                  </w:r>
                </w:p>
              </w:tc>
              <w:tc>
                <w:tcPr>
                  <w:tcW w:w="0" w:type="auto"/>
                  <w:tcBorders>
                    <w:left w:val="single" w:color="auto" w:sz="4" w:space="0"/>
                  </w:tcBorders>
                  <w:shd w:val="clear" w:color="auto" w:fill="CCFFFF"/>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结构</w:t>
                  </w:r>
                </w:p>
              </w:tc>
              <w:tc>
                <w:tcPr>
                  <w:tcW w:w="0" w:type="auto"/>
                  <w:tcBorders>
                    <w:left w:val="single" w:color="auto" w:sz="4" w:space="0"/>
                  </w:tcBorders>
                  <w:shd w:val="clear" w:color="auto" w:fill="CCFFFF"/>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功能</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紧固件生产车间</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2580</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部分1F、部分2F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已建，主要安装有机加工设备，进行紧固件、模具的生产及设备的维修</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表面处理车间</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1290</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已建，布置为达克罗、喷塑和合金原子渗生产线和水性喷漆房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拉丝切断车间</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1290</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已建，主要安装有锯床、切断机、抛丸机和拉丝机等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1"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热处理车间</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1144</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已建，布置热处理生产线和紧固件QPQ盐浴复合处理生产线</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91"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成品库房（调整为热镀锌车间）</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936</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已建，用于产品的暂存，由于产品及时外销，库房内基本空置。本次建设调整为热镀锌车间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91"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成品库房</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120</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本次新增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仓库</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280</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彩钢结构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已建，位于办公楼和热处理车间之间，用于产品存放</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办公楼</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753</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3F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砖混结构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已建，主要进行办公作业</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综合楼</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2155</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部分5F、部分1F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砖混结构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已建，作为宿舍、食堂、检验等使用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316" w:hRule="atLeast"/>
                <w:jc w:val="center"/>
              </w:trPr>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厕所</w:t>
                  </w:r>
                </w:p>
              </w:tc>
              <w:tc>
                <w:tcPr>
                  <w:tcW w:w="0" w:type="auto"/>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45</w:t>
                  </w:r>
                </w:p>
              </w:tc>
              <w:tc>
                <w:tcPr>
                  <w:tcW w:w="0" w:type="auto"/>
                  <w:tcBorders>
                    <w:righ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1F</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砖混结构</w:t>
                  </w:r>
                </w:p>
              </w:tc>
              <w:tc>
                <w:tcPr>
                  <w:tcW w:w="0" w:type="auto"/>
                  <w:tcBorders>
                    <w:left w:val="single" w:color="auto" w:sz="4" w:space="0"/>
                  </w:tcBorders>
                  <w:shd w:val="clear" w:color="auto" w:fill="auto"/>
                  <w:vAlign w:val="center"/>
                </w:tcPr>
                <w:p>
                  <w:pPr>
                    <w:pStyle w:val="17"/>
                    <w:spacing w:before="2" w:line="237" w:lineRule="exact"/>
                    <w:ind w:left="139" w:right="133"/>
                    <w:outlineLvl w:val="9"/>
                    <w:rPr>
                      <w:rFonts w:ascii="宋体" w:hAnsi="宋体" w:eastAsia="宋体" w:cs="宋体"/>
                      <w:sz w:val="20"/>
                    </w:rPr>
                  </w:pPr>
                  <w:r>
                    <w:rPr>
                      <w:rFonts w:hint="eastAsia" w:ascii="宋体" w:hAnsi="宋体" w:eastAsia="宋体" w:cs="宋体"/>
                      <w:sz w:val="20"/>
                    </w:rPr>
                    <w:t>已建，用于员工入厕</w:t>
                  </w:r>
                </w:p>
              </w:tc>
            </w:tr>
          </w:tbl>
          <w:p>
            <w:pPr>
              <w:pStyle w:val="21"/>
              <w:outlineLvl w:val="9"/>
              <w:rPr>
                <w:rFonts w:eastAsia="黑体"/>
                <w:b w:val="0"/>
              </w:rPr>
            </w:pPr>
          </w:p>
          <w:p>
            <w:pPr>
              <w:tabs>
                <w:tab w:val="left" w:pos="2659"/>
              </w:tabs>
              <w:jc w:val="center"/>
              <w:outlineLvl w:val="9"/>
              <w:rPr>
                <w:rFonts w:ascii="宋体" w:hAnsi="宋体" w:cs="宋体"/>
                <w:b/>
                <w:bCs/>
                <w:sz w:val="24"/>
              </w:rPr>
            </w:pPr>
            <w:r>
              <w:rPr>
                <w:rFonts w:hint="eastAsia" w:ascii="宋体" w:hAnsi="宋体" w:cs="宋体"/>
                <w:b/>
                <w:bCs/>
                <w:sz w:val="24"/>
              </w:rPr>
              <w:t>表2-3  项目组成及主要环境问题</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3"/>
              <w:gridCol w:w="744"/>
              <w:gridCol w:w="3506"/>
              <w:gridCol w:w="3506"/>
              <w:gridCol w:w="11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9" w:hRule="atLeast"/>
                <w:jc w:val="center"/>
              </w:trPr>
              <w:tc>
                <w:tcPr>
                  <w:tcW w:w="0" w:type="auto"/>
                  <w:shd w:val="clear" w:color="auto" w:fill="CCFFFF"/>
                  <w:vAlign w:val="center"/>
                </w:tcPr>
                <w:p>
                  <w:pPr>
                    <w:pStyle w:val="20"/>
                    <w:outlineLvl w:val="9"/>
                    <w:rPr>
                      <w:szCs w:val="21"/>
                    </w:rPr>
                  </w:pPr>
                  <w:r>
                    <w:rPr>
                      <w:rFonts w:hint="eastAsia"/>
                      <w:szCs w:val="21"/>
                    </w:rPr>
                    <w:t>名称</w:t>
                  </w:r>
                </w:p>
              </w:tc>
              <w:tc>
                <w:tcPr>
                  <w:tcW w:w="0" w:type="auto"/>
                  <w:gridSpan w:val="2"/>
                  <w:shd w:val="clear" w:color="auto" w:fill="CCFFFF"/>
                  <w:vAlign w:val="center"/>
                </w:tcPr>
                <w:p>
                  <w:pPr>
                    <w:pStyle w:val="20"/>
                    <w:outlineLvl w:val="9"/>
                    <w:rPr>
                      <w:szCs w:val="21"/>
                    </w:rPr>
                  </w:pPr>
                  <w:r>
                    <w:rPr>
                      <w:rFonts w:hint="eastAsia"/>
                      <w:szCs w:val="21"/>
                    </w:rPr>
                    <w:t>建设内容及规模</w:t>
                  </w:r>
                </w:p>
              </w:tc>
              <w:tc>
                <w:tcPr>
                  <w:tcW w:w="0" w:type="auto"/>
                  <w:shd w:val="clear" w:color="auto" w:fill="CCFFFF"/>
                  <w:vAlign w:val="center"/>
                </w:tcPr>
                <w:p>
                  <w:pPr>
                    <w:pStyle w:val="20"/>
                    <w:outlineLvl w:val="9"/>
                    <w:rPr>
                      <w:szCs w:val="21"/>
                    </w:rPr>
                  </w:pPr>
                  <w:r>
                    <w:rPr>
                      <w:rFonts w:hint="eastAsia"/>
                      <w:szCs w:val="21"/>
                    </w:rPr>
                    <w:t>实际建设内容及规模</w:t>
                  </w:r>
                </w:p>
              </w:tc>
              <w:tc>
                <w:tcPr>
                  <w:tcW w:w="0" w:type="auto"/>
                  <w:shd w:val="clear" w:color="auto" w:fill="CCFFFF"/>
                  <w:vAlign w:val="center"/>
                </w:tcPr>
                <w:p>
                  <w:pPr>
                    <w:pStyle w:val="20"/>
                    <w:outlineLvl w:val="9"/>
                    <w:rPr>
                      <w:szCs w:val="21"/>
                    </w:rPr>
                  </w:pPr>
                  <w:r>
                    <w:rPr>
                      <w:rFonts w:hint="eastAsia"/>
                      <w:szCs w:val="21"/>
                    </w:rPr>
                    <w:t>变化情况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restart"/>
                  <w:vAlign w:val="center"/>
                </w:tcPr>
                <w:p>
                  <w:pPr>
                    <w:pStyle w:val="20"/>
                    <w:outlineLvl w:val="9"/>
                    <w:rPr>
                      <w:szCs w:val="21"/>
                    </w:rPr>
                  </w:pPr>
                  <w:r>
                    <w:rPr>
                      <w:rFonts w:hint="eastAsia"/>
                      <w:szCs w:val="21"/>
                    </w:rPr>
                    <w:t>主体</w:t>
                  </w:r>
                </w:p>
                <w:p>
                  <w:pPr>
                    <w:pStyle w:val="20"/>
                    <w:outlineLvl w:val="9"/>
                    <w:rPr>
                      <w:szCs w:val="21"/>
                    </w:rPr>
                  </w:pPr>
                  <w:r>
                    <w:rPr>
                      <w:rFonts w:hint="eastAsia"/>
                      <w:szCs w:val="21"/>
                    </w:rPr>
                    <w:t>工程</w:t>
                  </w:r>
                </w:p>
                <w:p>
                  <w:pPr>
                    <w:pStyle w:val="20"/>
                    <w:outlineLvl w:val="9"/>
                    <w:rPr>
                      <w:szCs w:val="21"/>
                    </w:rPr>
                  </w:pPr>
                </w:p>
                <w:p>
                  <w:pPr>
                    <w:pStyle w:val="20"/>
                    <w:outlineLvl w:val="9"/>
                    <w:rPr>
                      <w:szCs w:val="21"/>
                    </w:rPr>
                  </w:pPr>
                </w:p>
              </w:tc>
              <w:tc>
                <w:tcPr>
                  <w:tcW w:w="0" w:type="auto"/>
                  <w:vAlign w:val="center"/>
                </w:tcPr>
                <w:p>
                  <w:pPr>
                    <w:pStyle w:val="20"/>
                    <w:outlineLvl w:val="9"/>
                    <w:rPr>
                      <w:szCs w:val="21"/>
                    </w:rPr>
                  </w:pPr>
                  <w:r>
                    <w:rPr>
                      <w:szCs w:val="21"/>
                    </w:rPr>
                    <w:t>紧固件</w:t>
                  </w:r>
                </w:p>
                <w:p>
                  <w:pPr>
                    <w:pStyle w:val="20"/>
                    <w:outlineLvl w:val="9"/>
                    <w:rPr>
                      <w:szCs w:val="21"/>
                    </w:rPr>
                  </w:pPr>
                  <w:r>
                    <w:rPr>
                      <w:szCs w:val="21"/>
                    </w:rPr>
                    <w:t>生产</w:t>
                  </w:r>
                </w:p>
              </w:tc>
              <w:tc>
                <w:tcPr>
                  <w:tcW w:w="0" w:type="auto"/>
                  <w:vAlign w:val="center"/>
                </w:tcPr>
                <w:p>
                  <w:pPr>
                    <w:pStyle w:val="20"/>
                    <w:outlineLvl w:val="9"/>
                    <w:rPr>
                      <w:szCs w:val="21"/>
                    </w:rPr>
                  </w:pPr>
                  <w:r>
                    <w:rPr>
                      <w:rFonts w:hint="eastAsia"/>
                      <w:szCs w:val="21"/>
                    </w:rPr>
                    <w:t>利用现厂已有的拉丝机、切断机、压力机、锯床（以上设备位于拉丝切断车间）、车床、滚丝机、钻铣床、中频加热炉（以上设备位于机加工车间）、淬火炉、回火炉、发黑炉（以上设备位于热处理车间）等设备，并新增2台抛丸机，通过增加机加工和热处理设备加工时间，新增1.5万吨/年紧固件生产能力</w:t>
                  </w:r>
                </w:p>
              </w:tc>
              <w:tc>
                <w:tcPr>
                  <w:tcW w:w="0" w:type="auto"/>
                  <w:vAlign w:val="center"/>
                </w:tcPr>
                <w:p>
                  <w:pPr>
                    <w:pStyle w:val="20"/>
                    <w:outlineLvl w:val="9"/>
                    <w:rPr>
                      <w:szCs w:val="21"/>
                    </w:rPr>
                  </w:pPr>
                  <w:r>
                    <w:rPr>
                      <w:rFonts w:hint="eastAsia"/>
                      <w:szCs w:val="21"/>
                    </w:rPr>
                    <w:t>利用现厂已有的拉丝机、切断机、压力机、锯床（以上设备位于拉丝切断车间）、车床、滚丝机、钻铣床、中频加热炉（以上设备位于机加工车间）、淬火炉、回火炉、发黑炉（以上设备位于热处理车间）等设备，并新增1台抛丸机，通过增加机加工和热处理设备加工时间，新增1.5万吨/年紧固件生产能力</w:t>
                  </w:r>
                </w:p>
              </w:tc>
              <w:tc>
                <w:tcPr>
                  <w:tcW w:w="0" w:type="auto"/>
                  <w:vAlign w:val="center"/>
                </w:tcPr>
                <w:p>
                  <w:pPr>
                    <w:pStyle w:val="20"/>
                    <w:outlineLvl w:val="9"/>
                    <w:rPr>
                      <w:szCs w:val="21"/>
                    </w:rPr>
                  </w:pPr>
                  <w:r>
                    <w:rPr>
                      <w:rFonts w:hint="eastAsia"/>
                      <w:szCs w:val="21"/>
                    </w:rPr>
                    <w:t>对比环评抛丸机减少一台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szCs w:val="21"/>
                    </w:rPr>
                    <w:t>热浸锌线</w:t>
                  </w:r>
                </w:p>
              </w:tc>
              <w:tc>
                <w:tcPr>
                  <w:tcW w:w="0" w:type="auto"/>
                  <w:vAlign w:val="center"/>
                </w:tcPr>
                <w:p>
                  <w:pPr>
                    <w:pStyle w:val="20"/>
                    <w:outlineLvl w:val="9"/>
                    <w:rPr>
                      <w:szCs w:val="21"/>
                    </w:rPr>
                  </w:pPr>
                  <w:r>
                    <w:rPr>
                      <w:rFonts w:hint="eastAsia"/>
                      <w:szCs w:val="21"/>
                    </w:rPr>
                    <w:t>新建1条全自动热浸锌线，主要包括前处理线和浸锌线。前处理线包括</w:t>
                  </w:r>
                  <w:r>
                    <w:rPr>
                      <w:rFonts w:hint="eastAsia" w:hAnsi="宋体"/>
                      <w:szCs w:val="21"/>
                    </w:rPr>
                    <w:t>除油槽（3个）、水洗槽（2个）、酸洗槽（4个）、水洗槽（4个）、助镀槽（1个）；浸锌线包括烘干网链、锌锅、锌锅加热炉、空冷网链和水冷网链，对1.5万吨/年紧固件进行热浸锌，浸锌能力约364.5万平米/年</w:t>
                  </w:r>
                </w:p>
              </w:tc>
              <w:tc>
                <w:tcPr>
                  <w:tcW w:w="0" w:type="auto"/>
                  <w:vAlign w:val="center"/>
                </w:tcPr>
                <w:p>
                  <w:pPr>
                    <w:pStyle w:val="20"/>
                    <w:outlineLvl w:val="9"/>
                    <w:rPr>
                      <w:szCs w:val="21"/>
                    </w:rPr>
                  </w:pPr>
                  <w:r>
                    <w:rPr>
                      <w:rFonts w:hint="eastAsia"/>
                      <w:szCs w:val="21"/>
                    </w:rPr>
                    <w:t>新建1条全自动热浸锌线，主要包括前处理线和浸锌线。前处理线包括</w:t>
                  </w:r>
                  <w:r>
                    <w:rPr>
                      <w:rFonts w:hint="eastAsia" w:hAnsi="宋体"/>
                      <w:szCs w:val="21"/>
                    </w:rPr>
                    <w:t>除油槽（1个）、水洗槽（2个）、酸洗槽（1个）、助镀槽（1个）；浸锌线包括烘干网链、锌锅、锌锅加热炉、空冷网链和水冷网链，对1.5万吨/年紧固件进行热浸锌，浸锌能力约364.5万平米/年</w:t>
                  </w:r>
                </w:p>
              </w:tc>
              <w:tc>
                <w:tcPr>
                  <w:tcW w:w="0" w:type="auto"/>
                  <w:vAlign w:val="center"/>
                </w:tcPr>
                <w:p>
                  <w:pPr>
                    <w:pStyle w:val="20"/>
                    <w:outlineLvl w:val="9"/>
                    <w:rPr>
                      <w:szCs w:val="21"/>
                    </w:rPr>
                  </w:pPr>
                  <w:r>
                    <w:rPr>
                      <w:rFonts w:hint="eastAsia"/>
                      <w:szCs w:val="21"/>
                    </w:rPr>
                    <w:t>对比环评除油槽减少2个，水洗槽减少4个，酸洗槽减少3个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QPQ盐浴氮化线</w:t>
                  </w:r>
                </w:p>
              </w:tc>
              <w:tc>
                <w:tcPr>
                  <w:tcW w:w="0" w:type="auto"/>
                  <w:vAlign w:val="center"/>
                </w:tcPr>
                <w:p>
                  <w:pPr>
                    <w:pStyle w:val="20"/>
                    <w:outlineLvl w:val="9"/>
                    <w:rPr>
                      <w:szCs w:val="21"/>
                    </w:rPr>
                  </w:pPr>
                  <w:r>
                    <w:rPr>
                      <w:rFonts w:hint="eastAsia"/>
                      <w:szCs w:val="21"/>
                    </w:rPr>
                    <w:t>拆除现有建成未投产的QPQ盐浴氮化线，计划QPQ盐浴氮化的紧固件（0.5万吨/年）直接外售，不进行表面处理</w:t>
                  </w:r>
                </w:p>
              </w:tc>
              <w:tc>
                <w:tcPr>
                  <w:tcW w:w="0" w:type="auto"/>
                  <w:vAlign w:val="center"/>
                </w:tcPr>
                <w:p>
                  <w:pPr>
                    <w:pStyle w:val="20"/>
                    <w:outlineLvl w:val="9"/>
                    <w:rPr>
                      <w:szCs w:val="21"/>
                    </w:rPr>
                  </w:pPr>
                  <w:r>
                    <w:rPr>
                      <w:rFonts w:hint="eastAsia"/>
                      <w:szCs w:val="21"/>
                    </w:rPr>
                    <w:t>拆除现有建成未投产的QPQ盐浴氮化线，计划QPQ盐浴氮化的紧固件（0.5万吨/年）直接外售，不进行表面处理</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restart"/>
                  <w:vAlign w:val="center"/>
                </w:tcPr>
                <w:p>
                  <w:pPr>
                    <w:pStyle w:val="20"/>
                    <w:outlineLvl w:val="9"/>
                    <w:rPr>
                      <w:szCs w:val="21"/>
                    </w:rPr>
                  </w:pPr>
                  <w:r>
                    <w:rPr>
                      <w:rFonts w:hint="eastAsia"/>
                      <w:szCs w:val="21"/>
                    </w:rPr>
                    <w:t>公辅</w:t>
                  </w:r>
                </w:p>
                <w:p>
                  <w:pPr>
                    <w:pStyle w:val="20"/>
                    <w:outlineLvl w:val="9"/>
                    <w:rPr>
                      <w:szCs w:val="21"/>
                    </w:rPr>
                  </w:pPr>
                  <w:r>
                    <w:rPr>
                      <w:rFonts w:hint="eastAsia"/>
                      <w:szCs w:val="21"/>
                    </w:rPr>
                    <w:t>工程</w:t>
                  </w:r>
                </w:p>
              </w:tc>
              <w:tc>
                <w:tcPr>
                  <w:tcW w:w="0" w:type="auto"/>
                  <w:vAlign w:val="center"/>
                </w:tcPr>
                <w:p>
                  <w:pPr>
                    <w:pStyle w:val="20"/>
                    <w:outlineLvl w:val="9"/>
                    <w:rPr>
                      <w:szCs w:val="21"/>
                    </w:rPr>
                  </w:pPr>
                  <w:r>
                    <w:rPr>
                      <w:rFonts w:hint="eastAsia"/>
                      <w:szCs w:val="21"/>
                    </w:rPr>
                    <w:t>用水</w:t>
                  </w:r>
                </w:p>
              </w:tc>
              <w:tc>
                <w:tcPr>
                  <w:tcW w:w="0" w:type="auto"/>
                  <w:vAlign w:val="center"/>
                </w:tcPr>
                <w:p>
                  <w:pPr>
                    <w:pStyle w:val="20"/>
                    <w:outlineLvl w:val="9"/>
                    <w:rPr>
                      <w:szCs w:val="21"/>
                    </w:rPr>
                  </w:pPr>
                  <w:r>
                    <w:rPr>
                      <w:szCs w:val="21"/>
                    </w:rPr>
                    <w:t>接厂区已有供水系统</w:t>
                  </w:r>
                  <w:r>
                    <w:rPr>
                      <w:rFonts w:hint="eastAsia"/>
                      <w:szCs w:val="21"/>
                    </w:rPr>
                    <w:t>，</w:t>
                  </w:r>
                  <w:r>
                    <w:rPr>
                      <w:szCs w:val="21"/>
                    </w:rPr>
                    <w:t>厂区用水接入</w:t>
                  </w:r>
                  <w:r>
                    <w:rPr>
                      <w:rFonts w:hint="eastAsia"/>
                      <w:szCs w:val="21"/>
                    </w:rPr>
                    <w:t>园区</w:t>
                  </w:r>
                  <w:r>
                    <w:rPr>
                      <w:szCs w:val="21"/>
                    </w:rPr>
                    <w:t>供水管网</w:t>
                  </w:r>
                </w:p>
              </w:tc>
              <w:tc>
                <w:tcPr>
                  <w:tcW w:w="0" w:type="auto"/>
                  <w:vAlign w:val="center"/>
                </w:tcPr>
                <w:p>
                  <w:pPr>
                    <w:pStyle w:val="20"/>
                    <w:outlineLvl w:val="9"/>
                    <w:rPr>
                      <w:szCs w:val="21"/>
                    </w:rPr>
                  </w:pPr>
                  <w:r>
                    <w:rPr>
                      <w:szCs w:val="21"/>
                    </w:rPr>
                    <w:t>接厂区已有供水系统</w:t>
                  </w:r>
                  <w:r>
                    <w:rPr>
                      <w:rFonts w:hint="eastAsia"/>
                      <w:szCs w:val="21"/>
                    </w:rPr>
                    <w:t>，</w:t>
                  </w:r>
                  <w:r>
                    <w:rPr>
                      <w:szCs w:val="21"/>
                    </w:rPr>
                    <w:t>厂区用水接入</w:t>
                  </w:r>
                  <w:r>
                    <w:rPr>
                      <w:rFonts w:hint="eastAsia"/>
                      <w:szCs w:val="21"/>
                    </w:rPr>
                    <w:t>园区</w:t>
                  </w:r>
                  <w:r>
                    <w:rPr>
                      <w:szCs w:val="21"/>
                    </w:rPr>
                    <w:t>供水管网</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用电</w:t>
                  </w:r>
                </w:p>
              </w:tc>
              <w:tc>
                <w:tcPr>
                  <w:tcW w:w="0" w:type="auto"/>
                  <w:vAlign w:val="center"/>
                </w:tcPr>
                <w:p>
                  <w:pPr>
                    <w:pStyle w:val="20"/>
                    <w:outlineLvl w:val="9"/>
                    <w:rPr>
                      <w:szCs w:val="21"/>
                    </w:rPr>
                  </w:pPr>
                  <w:r>
                    <w:rPr>
                      <w:szCs w:val="21"/>
                    </w:rPr>
                    <w:t>接厂区已有供配电系统</w:t>
                  </w:r>
                  <w:r>
                    <w:rPr>
                      <w:rFonts w:hint="eastAsia"/>
                      <w:szCs w:val="21"/>
                    </w:rPr>
                    <w:t>，</w:t>
                  </w:r>
                  <w:r>
                    <w:rPr>
                      <w:szCs w:val="21"/>
                    </w:rPr>
                    <w:t>厂区用电接入</w:t>
                  </w:r>
                  <w:r>
                    <w:rPr>
                      <w:rFonts w:hint="eastAsia"/>
                      <w:szCs w:val="21"/>
                    </w:rPr>
                    <w:t>园区</w:t>
                  </w:r>
                  <w:r>
                    <w:rPr>
                      <w:szCs w:val="21"/>
                    </w:rPr>
                    <w:t>供电网</w:t>
                  </w:r>
                </w:p>
              </w:tc>
              <w:tc>
                <w:tcPr>
                  <w:tcW w:w="0" w:type="auto"/>
                  <w:vAlign w:val="center"/>
                </w:tcPr>
                <w:p>
                  <w:pPr>
                    <w:pStyle w:val="20"/>
                    <w:outlineLvl w:val="9"/>
                    <w:rPr>
                      <w:szCs w:val="21"/>
                    </w:rPr>
                  </w:pPr>
                  <w:r>
                    <w:rPr>
                      <w:szCs w:val="21"/>
                    </w:rPr>
                    <w:t>接厂区已有供配电系统</w:t>
                  </w:r>
                  <w:r>
                    <w:rPr>
                      <w:rFonts w:hint="eastAsia"/>
                      <w:szCs w:val="21"/>
                    </w:rPr>
                    <w:t>，</w:t>
                  </w:r>
                  <w:r>
                    <w:rPr>
                      <w:szCs w:val="21"/>
                    </w:rPr>
                    <w:t>厂区用电接入</w:t>
                  </w:r>
                  <w:r>
                    <w:rPr>
                      <w:rFonts w:hint="eastAsia"/>
                      <w:szCs w:val="21"/>
                    </w:rPr>
                    <w:t>园区</w:t>
                  </w:r>
                  <w:r>
                    <w:rPr>
                      <w:szCs w:val="21"/>
                    </w:rPr>
                    <w:t>供电网</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用气</w:t>
                  </w:r>
                </w:p>
              </w:tc>
              <w:tc>
                <w:tcPr>
                  <w:tcW w:w="0" w:type="auto"/>
                  <w:vAlign w:val="center"/>
                </w:tcPr>
                <w:p>
                  <w:pPr>
                    <w:pStyle w:val="20"/>
                    <w:outlineLvl w:val="9"/>
                    <w:rPr>
                      <w:szCs w:val="21"/>
                    </w:rPr>
                  </w:pPr>
                  <w:r>
                    <w:rPr>
                      <w:szCs w:val="21"/>
                    </w:rPr>
                    <w:t>锌锅加热炉用天然气接厂区已有燃气管网</w:t>
                  </w:r>
                  <w:r>
                    <w:rPr>
                      <w:rFonts w:hint="eastAsia"/>
                      <w:szCs w:val="21"/>
                    </w:rPr>
                    <w:t>，</w:t>
                  </w:r>
                  <w:r>
                    <w:rPr>
                      <w:szCs w:val="21"/>
                    </w:rPr>
                    <w:t>厂区用气接入</w:t>
                  </w:r>
                  <w:r>
                    <w:rPr>
                      <w:rFonts w:hint="eastAsia"/>
                      <w:szCs w:val="21"/>
                    </w:rPr>
                    <w:t>园区</w:t>
                  </w:r>
                  <w:r>
                    <w:rPr>
                      <w:szCs w:val="21"/>
                    </w:rPr>
                    <w:t>供气管网</w:t>
                  </w:r>
                </w:p>
              </w:tc>
              <w:tc>
                <w:tcPr>
                  <w:tcW w:w="0" w:type="auto"/>
                  <w:vAlign w:val="center"/>
                </w:tcPr>
                <w:p>
                  <w:pPr>
                    <w:pStyle w:val="20"/>
                    <w:outlineLvl w:val="9"/>
                    <w:rPr>
                      <w:szCs w:val="21"/>
                    </w:rPr>
                  </w:pPr>
                  <w:r>
                    <w:rPr>
                      <w:szCs w:val="21"/>
                    </w:rPr>
                    <w:t>锌锅加热炉用天然气接厂区已有燃气管网</w:t>
                  </w:r>
                  <w:r>
                    <w:rPr>
                      <w:rFonts w:hint="eastAsia"/>
                      <w:szCs w:val="21"/>
                    </w:rPr>
                    <w:t>，</w:t>
                  </w:r>
                  <w:r>
                    <w:rPr>
                      <w:szCs w:val="21"/>
                    </w:rPr>
                    <w:t>厂区用气接入</w:t>
                  </w:r>
                  <w:r>
                    <w:rPr>
                      <w:rFonts w:hint="eastAsia"/>
                      <w:szCs w:val="21"/>
                    </w:rPr>
                    <w:t>园区</w:t>
                  </w:r>
                  <w:r>
                    <w:rPr>
                      <w:szCs w:val="21"/>
                    </w:rPr>
                    <w:t>供气管网</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1"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道路</w:t>
                  </w:r>
                </w:p>
              </w:tc>
              <w:tc>
                <w:tcPr>
                  <w:tcW w:w="0" w:type="auto"/>
                  <w:vAlign w:val="center"/>
                </w:tcPr>
                <w:p>
                  <w:pPr>
                    <w:pStyle w:val="20"/>
                    <w:outlineLvl w:val="9"/>
                    <w:rPr>
                      <w:szCs w:val="21"/>
                    </w:rPr>
                  </w:pPr>
                  <w:r>
                    <w:rPr>
                      <w:szCs w:val="21"/>
                    </w:rPr>
                    <w:t>利用厂区已建道路</w:t>
                  </w:r>
                </w:p>
              </w:tc>
              <w:tc>
                <w:tcPr>
                  <w:tcW w:w="0" w:type="auto"/>
                  <w:vAlign w:val="center"/>
                </w:tcPr>
                <w:p>
                  <w:pPr>
                    <w:pStyle w:val="20"/>
                    <w:outlineLvl w:val="9"/>
                    <w:rPr>
                      <w:szCs w:val="21"/>
                    </w:rPr>
                  </w:pPr>
                  <w:r>
                    <w:rPr>
                      <w:szCs w:val="21"/>
                    </w:rPr>
                    <w:t>利用厂区已建道路</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restart"/>
                  <w:vAlign w:val="center"/>
                </w:tcPr>
                <w:p>
                  <w:pPr>
                    <w:pStyle w:val="20"/>
                    <w:outlineLvl w:val="9"/>
                    <w:rPr>
                      <w:szCs w:val="21"/>
                    </w:rPr>
                  </w:pPr>
                  <w:r>
                    <w:rPr>
                      <w:rFonts w:hint="eastAsia"/>
                      <w:szCs w:val="21"/>
                    </w:rPr>
                    <w:t>储运</w:t>
                  </w:r>
                </w:p>
                <w:p>
                  <w:pPr>
                    <w:pStyle w:val="20"/>
                    <w:outlineLvl w:val="9"/>
                    <w:rPr>
                      <w:szCs w:val="21"/>
                    </w:rPr>
                  </w:pPr>
                  <w:r>
                    <w:rPr>
                      <w:rFonts w:hint="eastAsia"/>
                      <w:szCs w:val="21"/>
                    </w:rPr>
                    <w:t>工程</w:t>
                  </w:r>
                </w:p>
              </w:tc>
              <w:tc>
                <w:tcPr>
                  <w:tcW w:w="0" w:type="auto"/>
                  <w:vMerge w:val="restart"/>
                  <w:vAlign w:val="center"/>
                </w:tcPr>
                <w:p>
                  <w:pPr>
                    <w:pStyle w:val="20"/>
                    <w:outlineLvl w:val="9"/>
                    <w:rPr>
                      <w:szCs w:val="21"/>
                    </w:rPr>
                  </w:pPr>
                  <w:r>
                    <w:rPr>
                      <w:szCs w:val="21"/>
                    </w:rPr>
                    <w:t>原料暂存</w:t>
                  </w:r>
                </w:p>
              </w:tc>
              <w:tc>
                <w:tcPr>
                  <w:tcW w:w="0" w:type="auto"/>
                  <w:vAlign w:val="center"/>
                </w:tcPr>
                <w:p>
                  <w:pPr>
                    <w:pStyle w:val="20"/>
                    <w:outlineLvl w:val="9"/>
                    <w:rPr>
                      <w:szCs w:val="21"/>
                    </w:rPr>
                  </w:pPr>
                  <w:r>
                    <w:rPr>
                      <w:rFonts w:hint="eastAsia"/>
                      <w:szCs w:val="21"/>
                    </w:rPr>
                    <w:t>原料钢材堆放区，位于紧固件生产车间内东部，用于原料钢材的暂存</w:t>
                  </w:r>
                </w:p>
              </w:tc>
              <w:tc>
                <w:tcPr>
                  <w:tcW w:w="0" w:type="auto"/>
                  <w:vAlign w:val="center"/>
                </w:tcPr>
                <w:p>
                  <w:pPr>
                    <w:pStyle w:val="20"/>
                    <w:outlineLvl w:val="9"/>
                    <w:rPr>
                      <w:szCs w:val="21"/>
                    </w:rPr>
                  </w:pPr>
                  <w:r>
                    <w:rPr>
                      <w:rFonts w:hint="eastAsia"/>
                      <w:szCs w:val="21"/>
                    </w:rPr>
                    <w:t>原料钢材堆放区，位于紧固件生产车间内东部，用于原料钢材的暂存</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热浸锌用的锌块、锌铝合金、除油剂、盐酸存放在热镀锌车间内，用于防锈油、淬火油等的暂存</w:t>
                  </w:r>
                </w:p>
              </w:tc>
              <w:tc>
                <w:tcPr>
                  <w:tcW w:w="0" w:type="auto"/>
                  <w:vAlign w:val="center"/>
                </w:tcPr>
                <w:p>
                  <w:pPr>
                    <w:pStyle w:val="20"/>
                    <w:outlineLvl w:val="9"/>
                    <w:rPr>
                      <w:szCs w:val="21"/>
                    </w:rPr>
                  </w:pPr>
                  <w:r>
                    <w:rPr>
                      <w:rFonts w:hint="eastAsia"/>
                      <w:szCs w:val="21"/>
                    </w:rPr>
                    <w:t>热浸锌用的锌块、锌铝合金、除油剂、盐酸存放在热镀锌车间内，用于防锈油、淬火油等的暂存</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成品暂存</w:t>
                  </w:r>
                </w:p>
              </w:tc>
              <w:tc>
                <w:tcPr>
                  <w:tcW w:w="0" w:type="auto"/>
                  <w:vAlign w:val="center"/>
                </w:tcPr>
                <w:p>
                  <w:pPr>
                    <w:pStyle w:val="20"/>
                    <w:outlineLvl w:val="9"/>
                    <w:rPr>
                      <w:szCs w:val="21"/>
                    </w:rPr>
                  </w:pPr>
                  <w:r>
                    <w:rPr>
                      <w:rFonts w:hint="eastAsia"/>
                      <w:bCs/>
                      <w:szCs w:val="21"/>
                    </w:rPr>
                    <w:t>将现厂成品库房北侧闲置厂房改为成品库房</w:t>
                  </w:r>
                  <w:r>
                    <w:rPr>
                      <w:szCs w:val="21"/>
                    </w:rPr>
                    <w:t>，用于产品存放</w:t>
                  </w:r>
                  <w:r>
                    <w:rPr>
                      <w:rFonts w:hint="eastAsia"/>
                      <w:szCs w:val="21"/>
                    </w:rPr>
                    <w:t>，1F，彩钢结构，建筑面积约120m</w:t>
                  </w:r>
                  <w:r>
                    <w:rPr>
                      <w:rFonts w:hint="eastAsia"/>
                      <w:szCs w:val="21"/>
                      <w:vertAlign w:val="superscript"/>
                    </w:rPr>
                    <w:t>2</w:t>
                  </w:r>
                </w:p>
              </w:tc>
              <w:tc>
                <w:tcPr>
                  <w:tcW w:w="0" w:type="auto"/>
                  <w:vAlign w:val="center"/>
                </w:tcPr>
                <w:p>
                  <w:pPr>
                    <w:pStyle w:val="20"/>
                    <w:outlineLvl w:val="9"/>
                    <w:rPr>
                      <w:bCs/>
                      <w:szCs w:val="21"/>
                    </w:rPr>
                  </w:pPr>
                  <w:r>
                    <w:rPr>
                      <w:rFonts w:hint="eastAsia"/>
                      <w:bCs/>
                      <w:szCs w:val="21"/>
                    </w:rPr>
                    <w:t>将现厂成品库房北侧闲置厂房改为成品库房</w:t>
                  </w:r>
                  <w:r>
                    <w:rPr>
                      <w:szCs w:val="21"/>
                    </w:rPr>
                    <w:t>，用于产品存放</w:t>
                  </w:r>
                  <w:r>
                    <w:rPr>
                      <w:rFonts w:hint="eastAsia"/>
                      <w:szCs w:val="21"/>
                    </w:rPr>
                    <w:t>，1F，彩钢结构，建筑面积约120m</w:t>
                  </w:r>
                  <w:r>
                    <w:rPr>
                      <w:rFonts w:hint="eastAsia"/>
                      <w:szCs w:val="21"/>
                      <w:vertAlign w:val="superscript"/>
                    </w:rPr>
                    <w:t>2</w:t>
                  </w:r>
                </w:p>
              </w:tc>
              <w:tc>
                <w:tcPr>
                  <w:tcW w:w="0" w:type="auto"/>
                  <w:vAlign w:val="center"/>
                </w:tcPr>
                <w:p>
                  <w:pPr>
                    <w:pStyle w:val="20"/>
                    <w:outlineLvl w:val="9"/>
                    <w:rPr>
                      <w:bCs/>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9" w:hRule="atLeast"/>
                <w:jc w:val="center"/>
              </w:trPr>
              <w:tc>
                <w:tcPr>
                  <w:tcW w:w="0" w:type="auto"/>
                  <w:vAlign w:val="center"/>
                </w:tcPr>
                <w:p>
                  <w:pPr>
                    <w:pStyle w:val="20"/>
                    <w:outlineLvl w:val="9"/>
                    <w:rPr>
                      <w:szCs w:val="21"/>
                    </w:rPr>
                  </w:pPr>
                  <w:r>
                    <w:rPr>
                      <w:rFonts w:hint="eastAsia"/>
                      <w:szCs w:val="21"/>
                    </w:rPr>
                    <w:t>办公</w:t>
                  </w:r>
                </w:p>
                <w:p>
                  <w:pPr>
                    <w:pStyle w:val="20"/>
                    <w:outlineLvl w:val="9"/>
                    <w:rPr>
                      <w:szCs w:val="21"/>
                    </w:rPr>
                  </w:pPr>
                  <w:r>
                    <w:rPr>
                      <w:rFonts w:hint="eastAsia"/>
                      <w:szCs w:val="21"/>
                    </w:rPr>
                    <w:t>生活</w:t>
                  </w:r>
                </w:p>
              </w:tc>
              <w:tc>
                <w:tcPr>
                  <w:tcW w:w="0" w:type="auto"/>
                  <w:gridSpan w:val="2"/>
                  <w:vAlign w:val="center"/>
                </w:tcPr>
                <w:p>
                  <w:pPr>
                    <w:pStyle w:val="20"/>
                    <w:outlineLvl w:val="9"/>
                    <w:rPr>
                      <w:szCs w:val="21"/>
                    </w:rPr>
                  </w:pPr>
                  <w:r>
                    <w:rPr>
                      <w:szCs w:val="21"/>
                    </w:rPr>
                    <w:t>办公楼、综合楼（含</w:t>
                  </w:r>
                  <w:r>
                    <w:rPr>
                      <w:rFonts w:hint="eastAsia"/>
                      <w:szCs w:val="21"/>
                    </w:rPr>
                    <w:t>食堂、倒班宿舍和实验室</w:t>
                  </w:r>
                  <w:r>
                    <w:rPr>
                      <w:szCs w:val="21"/>
                    </w:rPr>
                    <w:t>）、厕所</w:t>
                  </w:r>
                </w:p>
              </w:tc>
              <w:tc>
                <w:tcPr>
                  <w:tcW w:w="0" w:type="auto"/>
                  <w:vAlign w:val="center"/>
                </w:tcPr>
                <w:p>
                  <w:pPr>
                    <w:pStyle w:val="20"/>
                    <w:outlineLvl w:val="9"/>
                    <w:rPr>
                      <w:szCs w:val="21"/>
                    </w:rPr>
                  </w:pPr>
                  <w:r>
                    <w:rPr>
                      <w:szCs w:val="21"/>
                    </w:rPr>
                    <w:t>办公楼、综合楼（含</w:t>
                  </w:r>
                  <w:r>
                    <w:rPr>
                      <w:rFonts w:hint="eastAsia"/>
                      <w:szCs w:val="21"/>
                    </w:rPr>
                    <w:t>食堂、倒班宿舍和实验室</w:t>
                  </w:r>
                  <w:r>
                    <w:rPr>
                      <w:szCs w:val="21"/>
                    </w:rPr>
                    <w:t>）、厕所</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restart"/>
                  <w:vAlign w:val="center"/>
                </w:tcPr>
                <w:p>
                  <w:pPr>
                    <w:pStyle w:val="20"/>
                    <w:outlineLvl w:val="9"/>
                    <w:rPr>
                      <w:szCs w:val="21"/>
                    </w:rPr>
                  </w:pPr>
                  <w:r>
                    <w:rPr>
                      <w:rFonts w:hint="eastAsia"/>
                      <w:szCs w:val="21"/>
                    </w:rPr>
                    <w:t>环保</w:t>
                  </w:r>
                </w:p>
                <w:p>
                  <w:pPr>
                    <w:pStyle w:val="20"/>
                    <w:outlineLvl w:val="9"/>
                    <w:rPr>
                      <w:szCs w:val="21"/>
                    </w:rPr>
                  </w:pPr>
                  <w:r>
                    <w:rPr>
                      <w:rFonts w:hint="eastAsia"/>
                      <w:szCs w:val="21"/>
                    </w:rPr>
                    <w:t>工程</w:t>
                  </w:r>
                </w:p>
              </w:tc>
              <w:tc>
                <w:tcPr>
                  <w:tcW w:w="0" w:type="auto"/>
                  <w:vMerge w:val="restart"/>
                  <w:vAlign w:val="center"/>
                </w:tcPr>
                <w:p>
                  <w:pPr>
                    <w:pStyle w:val="20"/>
                    <w:outlineLvl w:val="9"/>
                    <w:rPr>
                      <w:szCs w:val="21"/>
                    </w:rPr>
                  </w:pPr>
                  <w:r>
                    <w:rPr>
                      <w:rFonts w:hint="eastAsia"/>
                      <w:szCs w:val="21"/>
                    </w:rPr>
                    <w:t>废气</w:t>
                  </w:r>
                </w:p>
              </w:tc>
              <w:tc>
                <w:tcPr>
                  <w:tcW w:w="0" w:type="auto"/>
                  <w:vAlign w:val="center"/>
                </w:tcPr>
                <w:p>
                  <w:pPr>
                    <w:pStyle w:val="20"/>
                    <w:outlineLvl w:val="9"/>
                    <w:rPr>
                      <w:szCs w:val="21"/>
                    </w:rPr>
                  </w:pPr>
                  <w:r>
                    <w:rPr>
                      <w:szCs w:val="21"/>
                    </w:rPr>
                    <w:t>抛丸粉尘：</w:t>
                  </w:r>
                  <w:r>
                    <w:rPr>
                      <w:rFonts w:hint="eastAsia"/>
                      <w:szCs w:val="21"/>
                    </w:rPr>
                    <w:t>沉降分离器+旋风+滤筒处理+ 15m高排气筒排放</w:t>
                  </w:r>
                </w:p>
              </w:tc>
              <w:tc>
                <w:tcPr>
                  <w:tcW w:w="0" w:type="auto"/>
                  <w:vAlign w:val="center"/>
                </w:tcPr>
                <w:p>
                  <w:pPr>
                    <w:pStyle w:val="20"/>
                    <w:outlineLvl w:val="9"/>
                    <w:rPr>
                      <w:szCs w:val="21"/>
                    </w:rPr>
                  </w:pPr>
                  <w:r>
                    <w:rPr>
                      <w:szCs w:val="21"/>
                    </w:rPr>
                    <w:t>抛丸粉尘：</w:t>
                  </w:r>
                  <w:r>
                    <w:rPr>
                      <w:rFonts w:hint="eastAsia"/>
                      <w:szCs w:val="21"/>
                    </w:rPr>
                    <w:t>沉降分离器+旋风+滤筒处理+ 15m高排气筒排放</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szCs w:val="21"/>
                    </w:rPr>
                    <w:t>酸雾：酸雾吸收塔+</w:t>
                  </w:r>
                  <w:r>
                    <w:rPr>
                      <w:rFonts w:hint="eastAsia"/>
                      <w:szCs w:val="21"/>
                    </w:rPr>
                    <w:t>15m高排气筒</w:t>
                  </w:r>
                </w:p>
              </w:tc>
              <w:tc>
                <w:tcPr>
                  <w:tcW w:w="0" w:type="auto"/>
                  <w:vAlign w:val="center"/>
                </w:tcPr>
                <w:p>
                  <w:pPr>
                    <w:pStyle w:val="20"/>
                    <w:outlineLvl w:val="9"/>
                    <w:rPr>
                      <w:szCs w:val="21"/>
                    </w:rPr>
                  </w:pPr>
                  <w:r>
                    <w:rPr>
                      <w:szCs w:val="21"/>
                    </w:rPr>
                    <w:t>酸雾：酸雾吸收塔+</w:t>
                  </w:r>
                  <w:r>
                    <w:rPr>
                      <w:rFonts w:hint="eastAsia"/>
                      <w:szCs w:val="21"/>
                    </w:rPr>
                    <w:t>15m高排气筒</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szCs w:val="21"/>
                    </w:rPr>
                    <w:t>锌锅烟气：布袋除尘器+水洗塔+</w:t>
                  </w:r>
                  <w:r>
                    <w:rPr>
                      <w:rFonts w:hint="eastAsia"/>
                      <w:szCs w:val="21"/>
                    </w:rPr>
                    <w:t>15m高排气筒</w:t>
                  </w:r>
                </w:p>
              </w:tc>
              <w:tc>
                <w:tcPr>
                  <w:tcW w:w="0" w:type="auto"/>
                  <w:vAlign w:val="center"/>
                </w:tcPr>
                <w:p>
                  <w:pPr>
                    <w:pStyle w:val="20"/>
                    <w:outlineLvl w:val="9"/>
                    <w:rPr>
                      <w:szCs w:val="21"/>
                    </w:rPr>
                  </w:pPr>
                  <w:r>
                    <w:rPr>
                      <w:szCs w:val="21"/>
                    </w:rPr>
                    <w:t>锌锅烟气：布袋除尘器+水洗塔+</w:t>
                  </w:r>
                  <w:r>
                    <w:rPr>
                      <w:rFonts w:hint="eastAsia"/>
                      <w:szCs w:val="21"/>
                    </w:rPr>
                    <w:t>15m高排气筒</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szCs w:val="21"/>
                    </w:rPr>
                    <w:t>锌锅加热炉烟气：</w:t>
                  </w:r>
                  <w:r>
                    <w:rPr>
                      <w:rFonts w:hint="eastAsia"/>
                      <w:szCs w:val="21"/>
                    </w:rPr>
                    <w:t>15m高排气筒</w:t>
                  </w:r>
                </w:p>
              </w:tc>
              <w:tc>
                <w:tcPr>
                  <w:tcW w:w="0" w:type="auto"/>
                  <w:vAlign w:val="center"/>
                </w:tcPr>
                <w:p>
                  <w:pPr>
                    <w:pStyle w:val="20"/>
                    <w:outlineLvl w:val="9"/>
                    <w:rPr>
                      <w:szCs w:val="21"/>
                    </w:rPr>
                  </w:pPr>
                  <w:r>
                    <w:rPr>
                      <w:szCs w:val="21"/>
                    </w:rPr>
                    <w:t>锌锅加热炉烟气：</w:t>
                  </w:r>
                  <w:r>
                    <w:rPr>
                      <w:rFonts w:hint="eastAsia"/>
                      <w:szCs w:val="21"/>
                    </w:rPr>
                    <w:t>15m高排气筒</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废水</w:t>
                  </w:r>
                </w:p>
              </w:tc>
              <w:tc>
                <w:tcPr>
                  <w:tcW w:w="0" w:type="auto"/>
                  <w:vAlign w:val="center"/>
                </w:tcPr>
                <w:p>
                  <w:pPr>
                    <w:pStyle w:val="20"/>
                    <w:outlineLvl w:val="9"/>
                    <w:rPr>
                      <w:szCs w:val="21"/>
                    </w:rPr>
                  </w:pPr>
                  <w:r>
                    <w:rPr>
                      <w:szCs w:val="21"/>
                    </w:rPr>
                    <w:t>热浸锌线生产废水：生产废水处理站，处理能力</w:t>
                  </w:r>
                  <w:r>
                    <w:rPr>
                      <w:rFonts w:hint="eastAsia"/>
                      <w:szCs w:val="21"/>
                    </w:rPr>
                    <w:t>10m</w:t>
                  </w:r>
                  <w:r>
                    <w:rPr>
                      <w:rFonts w:hint="eastAsia"/>
                      <w:szCs w:val="21"/>
                      <w:vertAlign w:val="superscript"/>
                    </w:rPr>
                    <w:t>3</w:t>
                  </w:r>
                  <w:r>
                    <w:rPr>
                      <w:rFonts w:hint="eastAsia"/>
                      <w:szCs w:val="21"/>
                    </w:rPr>
                    <w:t>/d，采用化学反应+气浮+混凝沉淀+次氯酸钠反应的处理工艺，出水达</w:t>
                  </w:r>
                  <w:r>
                    <w:rPr>
                      <w:szCs w:val="21"/>
                    </w:rPr>
                    <w:t>《污水综合排放标准》三级标准</w:t>
                  </w:r>
                </w:p>
              </w:tc>
              <w:tc>
                <w:tcPr>
                  <w:tcW w:w="0" w:type="auto"/>
                  <w:vAlign w:val="center"/>
                </w:tcPr>
                <w:p>
                  <w:pPr>
                    <w:pStyle w:val="20"/>
                    <w:outlineLvl w:val="9"/>
                    <w:rPr>
                      <w:szCs w:val="21"/>
                    </w:rPr>
                  </w:pPr>
                  <w:r>
                    <w:rPr>
                      <w:szCs w:val="21"/>
                    </w:rPr>
                    <w:t>热浸锌线生产废水：生产废水处理站，处理能力</w:t>
                  </w:r>
                  <w:r>
                    <w:rPr>
                      <w:rFonts w:hint="eastAsia"/>
                      <w:szCs w:val="21"/>
                    </w:rPr>
                    <w:t>10m</w:t>
                  </w:r>
                  <w:r>
                    <w:rPr>
                      <w:rFonts w:hint="eastAsia"/>
                      <w:szCs w:val="21"/>
                      <w:vertAlign w:val="superscript"/>
                    </w:rPr>
                    <w:t>3</w:t>
                  </w:r>
                  <w:r>
                    <w:rPr>
                      <w:rFonts w:hint="eastAsia"/>
                      <w:szCs w:val="21"/>
                    </w:rPr>
                    <w:t>/d，采用化学反应+气浮+混凝沉淀+次氯酸钠反应的处理工艺，出水达</w:t>
                  </w:r>
                  <w:r>
                    <w:rPr>
                      <w:szCs w:val="21"/>
                    </w:rPr>
                    <w:t>《污水综合排放标准》三级标准</w:t>
                  </w:r>
                </w:p>
              </w:tc>
              <w:tc>
                <w:tcPr>
                  <w:tcW w:w="0" w:type="auto"/>
                  <w:vAlign w:val="center"/>
                </w:tcPr>
                <w:p>
                  <w:pPr>
                    <w:pStyle w:val="20"/>
                    <w:outlineLvl w:val="9"/>
                    <w:rPr>
                      <w:szCs w:val="21"/>
                    </w:rPr>
                  </w:pPr>
                  <w:r>
                    <w:rPr>
                      <w:rFonts w:hint="eastAsia"/>
                      <w:szCs w:val="21"/>
                    </w:rPr>
                    <w:t>未变化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0" w:type="auto"/>
                  <w:vMerge w:val="continue"/>
                  <w:vAlign w:val="center"/>
                </w:tcPr>
                <w:p>
                  <w:pPr>
                    <w:pStyle w:val="20"/>
                    <w:outlineLvl w:val="9"/>
                    <w:rPr>
                      <w:szCs w:val="21"/>
                    </w:rPr>
                  </w:pPr>
                </w:p>
              </w:tc>
              <w:tc>
                <w:tcPr>
                  <w:tcW w:w="0" w:type="auto"/>
                  <w:vAlign w:val="center"/>
                </w:tcPr>
                <w:p>
                  <w:pPr>
                    <w:pStyle w:val="20"/>
                    <w:outlineLvl w:val="9"/>
                    <w:rPr>
                      <w:szCs w:val="21"/>
                    </w:rPr>
                  </w:pPr>
                  <w:r>
                    <w:rPr>
                      <w:rFonts w:hint="eastAsia"/>
                      <w:szCs w:val="21"/>
                    </w:rPr>
                    <w:t>固废</w:t>
                  </w:r>
                </w:p>
              </w:tc>
              <w:tc>
                <w:tcPr>
                  <w:tcW w:w="0" w:type="auto"/>
                  <w:vAlign w:val="center"/>
                </w:tcPr>
                <w:p>
                  <w:pPr>
                    <w:pStyle w:val="20"/>
                    <w:outlineLvl w:val="9"/>
                    <w:rPr>
                      <w:szCs w:val="21"/>
                    </w:rPr>
                  </w:pPr>
                  <w:r>
                    <w:rPr>
                      <w:rFonts w:hint="eastAsia"/>
                      <w:szCs w:val="21"/>
                    </w:rPr>
                    <w:t>危废暂存依托现厂危废暂存间</w:t>
                  </w:r>
                </w:p>
              </w:tc>
              <w:tc>
                <w:tcPr>
                  <w:tcW w:w="0" w:type="auto"/>
                  <w:vAlign w:val="center"/>
                </w:tcPr>
                <w:p>
                  <w:pPr>
                    <w:pStyle w:val="20"/>
                    <w:outlineLvl w:val="9"/>
                    <w:rPr>
                      <w:szCs w:val="21"/>
                    </w:rPr>
                  </w:pPr>
                  <w:r>
                    <w:rPr>
                      <w:rFonts w:hint="eastAsia"/>
                      <w:szCs w:val="21"/>
                    </w:rPr>
                    <w:t>危废暂存依托现厂危废暂存间</w:t>
                  </w:r>
                </w:p>
              </w:tc>
              <w:tc>
                <w:tcPr>
                  <w:tcW w:w="0" w:type="auto"/>
                  <w:vAlign w:val="center"/>
                </w:tcPr>
                <w:p>
                  <w:pPr>
                    <w:pStyle w:val="20"/>
                    <w:outlineLvl w:val="9"/>
                    <w:rPr>
                      <w:szCs w:val="21"/>
                    </w:rPr>
                  </w:pPr>
                  <w:r>
                    <w:rPr>
                      <w:rFonts w:hint="eastAsia"/>
                      <w:szCs w:val="21"/>
                    </w:rPr>
                    <w:t>未变化</w:t>
                  </w:r>
                </w:p>
              </w:tc>
            </w:tr>
          </w:tbl>
          <w:p>
            <w:pPr>
              <w:spacing w:line="360" w:lineRule="auto"/>
              <w:jc w:val="center"/>
              <w:outlineLvl w:val="9"/>
              <w:rPr>
                <w:rFonts w:ascii="宋体" w:hAnsi="宋体" w:cs="宋体"/>
                <w:b/>
                <w:bCs/>
                <w:sz w:val="24"/>
              </w:rPr>
            </w:pPr>
          </w:p>
          <w:p>
            <w:pPr>
              <w:spacing w:line="360" w:lineRule="auto"/>
              <w:outlineLvl w:val="9"/>
              <w:rPr>
                <w:rFonts w:asciiTheme="majorEastAsia" w:hAnsiTheme="majorEastAsia" w:eastAsiaTheme="majorEastAsia" w:cstheme="majorEastAsia"/>
              </w:rPr>
            </w:pPr>
            <w:bookmarkStart w:id="16" w:name="_Toc8127"/>
            <w:r>
              <w:rPr>
                <w:rFonts w:hint="eastAsia" w:asciiTheme="majorEastAsia" w:hAnsiTheme="majorEastAsia" w:eastAsiaTheme="majorEastAsia" w:cstheme="majorEastAsia"/>
              </w:rPr>
              <w:t>2.4主要原辅材料</w:t>
            </w:r>
            <w:bookmarkEnd w:id="16"/>
          </w:p>
          <w:p>
            <w:pPr>
              <w:spacing w:line="360" w:lineRule="auto"/>
              <w:outlineLvl w:val="9"/>
              <w:rPr>
                <w:rFonts w:asciiTheme="majorEastAsia" w:hAnsiTheme="majorEastAsia" w:eastAsiaTheme="majorEastAsia" w:cstheme="majorEastAsia"/>
                <w:b/>
                <w:bCs/>
                <w:sz w:val="24"/>
              </w:rPr>
            </w:pPr>
            <w:r>
              <w:rPr>
                <w:rFonts w:hint="eastAsia" w:asciiTheme="majorEastAsia" w:hAnsiTheme="majorEastAsia" w:eastAsiaTheme="majorEastAsia" w:cstheme="majorEastAsia"/>
                <w:sz w:val="24"/>
              </w:rPr>
              <w:t xml:space="preserve">    本项目主要原材料见表2-4。</w:t>
            </w:r>
          </w:p>
          <w:p>
            <w:pPr>
              <w:jc w:val="center"/>
              <w:outlineLvl w:val="9"/>
              <w:rPr>
                <w:rFonts w:ascii="宋体" w:hAnsi="宋体" w:cs="宋体"/>
                <w:b/>
                <w:bCs/>
                <w:sz w:val="24"/>
              </w:rPr>
            </w:pPr>
            <w:r>
              <w:rPr>
                <w:rFonts w:hint="eastAsia" w:ascii="宋体" w:hAnsi="宋体" w:cs="宋体"/>
                <w:b/>
                <w:bCs/>
                <w:sz w:val="24"/>
              </w:rPr>
              <w:t>表2-4项目原辅材料及能源消耗对照表</w:t>
            </w:r>
          </w:p>
          <w:tbl>
            <w:tblPr>
              <w:tblStyle w:val="12"/>
              <w:tblW w:w="93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3"/>
              <w:gridCol w:w="1083"/>
              <w:gridCol w:w="1356"/>
              <w:gridCol w:w="1456"/>
              <w:gridCol w:w="1440"/>
              <w:gridCol w:w="1171"/>
              <w:gridCol w:w="1159"/>
              <w:gridCol w:w="1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1756" w:type="dxa"/>
                  <w:gridSpan w:val="2"/>
                  <w:shd w:val="clear" w:color="auto" w:fill="CCFFFF"/>
                  <w:vAlign w:val="center"/>
                </w:tcPr>
                <w:p>
                  <w:pPr>
                    <w:pStyle w:val="20"/>
                    <w:spacing w:line="240" w:lineRule="exact"/>
                    <w:outlineLvl w:val="9"/>
                  </w:pPr>
                  <w:r>
                    <w:rPr>
                      <w:rFonts w:hint="eastAsia"/>
                    </w:rPr>
                    <w:t>类别</w:t>
                  </w:r>
                </w:p>
              </w:tc>
              <w:tc>
                <w:tcPr>
                  <w:tcW w:w="1387" w:type="dxa"/>
                  <w:shd w:val="clear" w:color="auto" w:fill="CCFFFF"/>
                  <w:vAlign w:val="center"/>
                </w:tcPr>
                <w:p>
                  <w:pPr>
                    <w:pStyle w:val="20"/>
                    <w:spacing w:line="240" w:lineRule="exact"/>
                    <w:outlineLvl w:val="9"/>
                  </w:pPr>
                  <w:r>
                    <w:rPr>
                      <w:rFonts w:hint="eastAsia"/>
                    </w:rPr>
                    <w:t>名称</w:t>
                  </w:r>
                </w:p>
              </w:tc>
              <w:tc>
                <w:tcPr>
                  <w:tcW w:w="1479" w:type="dxa"/>
                  <w:shd w:val="clear" w:color="auto" w:fill="CCFFFF"/>
                  <w:vAlign w:val="center"/>
                </w:tcPr>
                <w:p>
                  <w:pPr>
                    <w:pStyle w:val="20"/>
                    <w:spacing w:line="240" w:lineRule="exact"/>
                    <w:outlineLvl w:val="9"/>
                  </w:pPr>
                  <w:r>
                    <w:rPr>
                      <w:rFonts w:hint="eastAsia"/>
                    </w:rPr>
                    <w:t>规格</w:t>
                  </w:r>
                </w:p>
              </w:tc>
              <w:tc>
                <w:tcPr>
                  <w:tcW w:w="1467" w:type="dxa"/>
                  <w:shd w:val="clear" w:color="auto" w:fill="CCFFFF"/>
                  <w:vAlign w:val="center"/>
                </w:tcPr>
                <w:p>
                  <w:pPr>
                    <w:pStyle w:val="20"/>
                    <w:spacing w:line="240" w:lineRule="exact"/>
                    <w:outlineLvl w:val="9"/>
                  </w:pPr>
                  <w:r>
                    <w:rPr>
                      <w:rFonts w:hint="eastAsia"/>
                    </w:rPr>
                    <w:t>主要成分</w:t>
                  </w:r>
                </w:p>
              </w:tc>
              <w:tc>
                <w:tcPr>
                  <w:tcW w:w="1171" w:type="dxa"/>
                  <w:shd w:val="clear" w:color="auto" w:fill="CCFFFF"/>
                  <w:vAlign w:val="center"/>
                </w:tcPr>
                <w:p>
                  <w:pPr>
                    <w:pStyle w:val="20"/>
                    <w:spacing w:line="240" w:lineRule="exact"/>
                    <w:outlineLvl w:val="9"/>
                  </w:pPr>
                  <w:r>
                    <w:rPr>
                      <w:rFonts w:hint="eastAsia"/>
                    </w:rPr>
                    <w:t>环评年耗量</w:t>
                  </w:r>
                </w:p>
              </w:tc>
              <w:tc>
                <w:tcPr>
                  <w:tcW w:w="1028" w:type="dxa"/>
                  <w:shd w:val="clear" w:color="auto" w:fill="CCFFFF"/>
                  <w:vAlign w:val="center"/>
                </w:tcPr>
                <w:p>
                  <w:pPr>
                    <w:pStyle w:val="20"/>
                    <w:spacing w:line="240" w:lineRule="exact"/>
                    <w:outlineLvl w:val="9"/>
                  </w:pPr>
                  <w:r>
                    <w:rPr>
                      <w:rFonts w:hint="eastAsia"/>
                    </w:rPr>
                    <w:t>实际年耗量</w:t>
                  </w:r>
                </w:p>
              </w:tc>
              <w:tc>
                <w:tcPr>
                  <w:tcW w:w="1028" w:type="dxa"/>
                  <w:shd w:val="clear" w:color="auto" w:fill="CCFFFF"/>
                  <w:vAlign w:val="center"/>
                </w:tcPr>
                <w:p>
                  <w:pPr>
                    <w:pStyle w:val="20"/>
                    <w:spacing w:line="240" w:lineRule="exact"/>
                    <w:outlineLvl w:val="9"/>
                  </w:pPr>
                  <w:r>
                    <w:rPr>
                      <w:rFonts w:hint="eastAsia"/>
                    </w:rPr>
                    <w:t>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651" w:type="dxa"/>
                  <w:vMerge w:val="restart"/>
                  <w:shd w:val="clear" w:color="auto" w:fill="auto"/>
                  <w:vAlign w:val="center"/>
                </w:tcPr>
                <w:p>
                  <w:pPr>
                    <w:pStyle w:val="20"/>
                    <w:spacing w:line="240" w:lineRule="exact"/>
                    <w:outlineLvl w:val="9"/>
                  </w:pPr>
                  <w:r>
                    <w:rPr>
                      <w:rFonts w:hint="eastAsia"/>
                    </w:rPr>
                    <w:t>原辅料</w:t>
                  </w:r>
                </w:p>
              </w:tc>
              <w:tc>
                <w:tcPr>
                  <w:tcW w:w="1105" w:type="dxa"/>
                  <w:vMerge w:val="restart"/>
                  <w:shd w:val="clear" w:color="auto" w:fill="auto"/>
                  <w:vAlign w:val="center"/>
                </w:tcPr>
                <w:p>
                  <w:pPr>
                    <w:pStyle w:val="20"/>
                    <w:spacing w:line="240" w:lineRule="exact"/>
                    <w:outlineLvl w:val="9"/>
                  </w:pPr>
                  <w:r>
                    <w:rPr>
                      <w:rFonts w:hint="eastAsia"/>
                    </w:rPr>
                    <w:t>紧固件</w:t>
                  </w:r>
                </w:p>
                <w:p>
                  <w:pPr>
                    <w:pStyle w:val="20"/>
                    <w:spacing w:line="240" w:lineRule="exact"/>
                    <w:outlineLvl w:val="9"/>
                  </w:pPr>
                  <w:r>
                    <w:rPr>
                      <w:rFonts w:hint="eastAsia"/>
                    </w:rPr>
                    <w:t>生产</w:t>
                  </w:r>
                </w:p>
              </w:tc>
              <w:tc>
                <w:tcPr>
                  <w:tcW w:w="1387" w:type="dxa"/>
                  <w:shd w:val="clear" w:color="auto" w:fill="auto"/>
                  <w:vAlign w:val="center"/>
                </w:tcPr>
                <w:p>
                  <w:pPr>
                    <w:pStyle w:val="20"/>
                    <w:spacing w:line="240" w:lineRule="exact"/>
                    <w:outlineLvl w:val="9"/>
                  </w:pPr>
                  <w:r>
                    <w:rPr>
                      <w:rFonts w:hint="eastAsia"/>
                    </w:rPr>
                    <w:t>钢材</w:t>
                  </w:r>
                </w:p>
              </w:tc>
              <w:tc>
                <w:tcPr>
                  <w:tcW w:w="1479" w:type="dxa"/>
                  <w:shd w:val="clear" w:color="auto" w:fill="auto"/>
                  <w:vAlign w:val="center"/>
                </w:tcPr>
                <w:p>
                  <w:pPr>
                    <w:pStyle w:val="20"/>
                    <w:spacing w:line="240" w:lineRule="exact"/>
                    <w:outlineLvl w:val="9"/>
                  </w:pPr>
                  <w:r>
                    <w:rPr>
                      <w:rFonts w:hint="eastAsia"/>
                    </w:rPr>
                    <w:t>棒材、板材等</w:t>
                  </w:r>
                </w:p>
              </w:tc>
              <w:tc>
                <w:tcPr>
                  <w:tcW w:w="1467" w:type="dxa"/>
                  <w:shd w:val="clear" w:color="auto" w:fill="auto"/>
                  <w:vAlign w:val="center"/>
                </w:tcPr>
                <w:p>
                  <w:pPr>
                    <w:pStyle w:val="20"/>
                    <w:spacing w:line="240" w:lineRule="exact"/>
                    <w:outlineLvl w:val="9"/>
                  </w:pPr>
                  <w:r>
                    <w:rPr>
                      <w:rFonts w:hint="eastAsia"/>
                    </w:rPr>
                    <w:t>C等</w:t>
                  </w:r>
                </w:p>
              </w:tc>
              <w:tc>
                <w:tcPr>
                  <w:tcW w:w="1171" w:type="dxa"/>
                  <w:shd w:val="clear" w:color="auto" w:fill="auto"/>
                  <w:vAlign w:val="center"/>
                </w:tcPr>
                <w:p>
                  <w:pPr>
                    <w:pStyle w:val="20"/>
                    <w:spacing w:line="240" w:lineRule="exact"/>
                    <w:outlineLvl w:val="9"/>
                  </w:pPr>
                  <w:r>
                    <w:rPr>
                      <w:rFonts w:hint="eastAsia"/>
                    </w:rPr>
                    <w:t>16000t</w:t>
                  </w:r>
                </w:p>
              </w:tc>
              <w:tc>
                <w:tcPr>
                  <w:tcW w:w="1028" w:type="dxa"/>
                  <w:shd w:val="clear" w:color="auto" w:fill="auto"/>
                  <w:vAlign w:val="center"/>
                </w:tcPr>
                <w:p>
                  <w:pPr>
                    <w:pStyle w:val="20"/>
                    <w:spacing w:line="240" w:lineRule="exact"/>
                    <w:outlineLvl w:val="9"/>
                  </w:pPr>
                  <w:r>
                    <w:rPr>
                      <w:rFonts w:hint="eastAsia"/>
                    </w:rPr>
                    <w:t>16000t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垫圈等配件</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t>若干</w:t>
                  </w:r>
                </w:p>
              </w:tc>
              <w:tc>
                <w:tcPr>
                  <w:tcW w:w="1028" w:type="dxa"/>
                  <w:shd w:val="clear" w:color="auto" w:fill="auto"/>
                  <w:vAlign w:val="center"/>
                </w:tcPr>
                <w:p>
                  <w:pPr>
                    <w:pStyle w:val="20"/>
                    <w:spacing w:line="240" w:lineRule="exact"/>
                    <w:outlineLvl w:val="9"/>
                  </w:pPr>
                  <w:r>
                    <w:t>若干</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restart"/>
                  <w:shd w:val="clear" w:color="auto" w:fill="auto"/>
                  <w:vAlign w:val="center"/>
                </w:tcPr>
                <w:p>
                  <w:pPr>
                    <w:pStyle w:val="20"/>
                    <w:spacing w:line="240" w:lineRule="exact"/>
                    <w:outlineLvl w:val="9"/>
                  </w:pPr>
                  <w:r>
                    <w:rPr>
                      <w:rFonts w:hint="eastAsia"/>
                    </w:rPr>
                    <w:t>热浸锌线</w:t>
                  </w:r>
                </w:p>
              </w:tc>
              <w:tc>
                <w:tcPr>
                  <w:tcW w:w="1387" w:type="dxa"/>
                  <w:shd w:val="clear" w:color="auto" w:fill="auto"/>
                  <w:vAlign w:val="center"/>
                </w:tcPr>
                <w:p>
                  <w:pPr>
                    <w:pStyle w:val="20"/>
                    <w:spacing w:line="240" w:lineRule="exact"/>
                    <w:outlineLvl w:val="9"/>
                  </w:pPr>
                  <w:r>
                    <w:rPr>
                      <w:rFonts w:hint="eastAsia"/>
                    </w:rPr>
                    <w:t>紧固件</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1</w:t>
                  </w:r>
                  <w:r>
                    <w:t>5000</w:t>
                  </w:r>
                  <w:r>
                    <w:rPr>
                      <w:rFonts w:hint="eastAsia"/>
                    </w:rPr>
                    <w:t>t</w:t>
                  </w:r>
                </w:p>
              </w:tc>
              <w:tc>
                <w:tcPr>
                  <w:tcW w:w="1028" w:type="dxa"/>
                  <w:shd w:val="clear" w:color="auto" w:fill="auto"/>
                  <w:vAlign w:val="center"/>
                </w:tcPr>
                <w:p>
                  <w:pPr>
                    <w:pStyle w:val="20"/>
                    <w:spacing w:line="240" w:lineRule="exact"/>
                    <w:outlineLvl w:val="9"/>
                  </w:pPr>
                  <w:r>
                    <w:rPr>
                      <w:rFonts w:hint="eastAsia"/>
                    </w:rPr>
                    <w:t>1</w:t>
                  </w:r>
                  <w:r>
                    <w:t>5000</w:t>
                  </w:r>
                  <w:r>
                    <w:rPr>
                      <w:rFonts w:hint="eastAsia"/>
                    </w:rPr>
                    <w:t>t</w:t>
                  </w:r>
                </w:p>
              </w:tc>
              <w:tc>
                <w:tcPr>
                  <w:tcW w:w="1028" w:type="dxa"/>
                  <w:shd w:val="clear" w:color="auto" w:fill="auto"/>
                  <w:vAlign w:val="center"/>
                </w:tcPr>
                <w:p>
                  <w:pPr>
                    <w:pStyle w:val="20"/>
                    <w:spacing w:line="240" w:lineRule="exact"/>
                    <w:outlineLvl w:val="9"/>
                  </w:pPr>
                  <w:r>
                    <w:t>自产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锌锭</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1500t</w:t>
                  </w:r>
                </w:p>
              </w:tc>
              <w:tc>
                <w:tcPr>
                  <w:tcW w:w="1028" w:type="dxa"/>
                  <w:shd w:val="clear" w:color="auto" w:fill="auto"/>
                  <w:vAlign w:val="center"/>
                </w:tcPr>
                <w:p>
                  <w:pPr>
                    <w:pStyle w:val="20"/>
                    <w:spacing w:line="240" w:lineRule="exact"/>
                    <w:outlineLvl w:val="9"/>
                  </w:pPr>
                  <w:r>
                    <w:rPr>
                      <w:rFonts w:hint="eastAsia"/>
                    </w:rPr>
                    <w:t>1500t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锌铝合金</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5t</w:t>
                  </w:r>
                </w:p>
              </w:tc>
              <w:tc>
                <w:tcPr>
                  <w:tcW w:w="1028" w:type="dxa"/>
                  <w:shd w:val="clear" w:color="auto" w:fill="auto"/>
                  <w:vAlign w:val="center"/>
                </w:tcPr>
                <w:p>
                  <w:pPr>
                    <w:pStyle w:val="20"/>
                    <w:spacing w:line="240" w:lineRule="exact"/>
                    <w:outlineLvl w:val="9"/>
                  </w:pPr>
                  <w:r>
                    <w:rPr>
                      <w:rFonts w:hint="eastAsia"/>
                    </w:rPr>
                    <w:t>5t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除油剂</w:t>
                  </w:r>
                </w:p>
              </w:tc>
              <w:tc>
                <w:tcPr>
                  <w:tcW w:w="1479" w:type="dxa"/>
                  <w:shd w:val="clear" w:color="auto" w:fill="auto"/>
                  <w:vAlign w:val="center"/>
                </w:tcPr>
                <w:p>
                  <w:pPr>
                    <w:pStyle w:val="20"/>
                    <w:spacing w:line="240" w:lineRule="exact"/>
                    <w:outlineLvl w:val="9"/>
                  </w:pPr>
                  <w:r>
                    <w:rPr>
                      <w:rFonts w:hint="eastAsia"/>
                    </w:rPr>
                    <w:t>溶液</w:t>
                  </w:r>
                </w:p>
              </w:tc>
              <w:tc>
                <w:tcPr>
                  <w:tcW w:w="1467" w:type="dxa"/>
                  <w:shd w:val="clear" w:color="auto" w:fill="auto"/>
                  <w:vAlign w:val="center"/>
                </w:tcPr>
                <w:p>
                  <w:pPr>
                    <w:pStyle w:val="20"/>
                    <w:spacing w:line="240" w:lineRule="exact"/>
                    <w:outlineLvl w:val="9"/>
                  </w:pPr>
                  <w:r>
                    <w:t>氢氧化钠和表面活性剂</w:t>
                  </w:r>
                </w:p>
              </w:tc>
              <w:tc>
                <w:tcPr>
                  <w:tcW w:w="1171" w:type="dxa"/>
                  <w:shd w:val="clear" w:color="auto" w:fill="auto"/>
                  <w:vAlign w:val="center"/>
                </w:tcPr>
                <w:p>
                  <w:pPr>
                    <w:pStyle w:val="20"/>
                    <w:spacing w:line="240" w:lineRule="exact"/>
                    <w:outlineLvl w:val="9"/>
                  </w:pPr>
                  <w:r>
                    <w:rPr>
                      <w:rFonts w:hint="eastAsia"/>
                    </w:rPr>
                    <w:t>6t</w:t>
                  </w:r>
                </w:p>
              </w:tc>
              <w:tc>
                <w:tcPr>
                  <w:tcW w:w="1028" w:type="dxa"/>
                  <w:shd w:val="clear" w:color="auto" w:fill="auto"/>
                  <w:vAlign w:val="center"/>
                </w:tcPr>
                <w:p>
                  <w:pPr>
                    <w:pStyle w:val="20"/>
                    <w:spacing w:line="240" w:lineRule="exact"/>
                    <w:outlineLvl w:val="9"/>
                  </w:pPr>
                  <w:r>
                    <w:rPr>
                      <w:rFonts w:hint="eastAsia"/>
                    </w:rPr>
                    <w:t>6t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盐酸</w:t>
                  </w:r>
                </w:p>
              </w:tc>
              <w:tc>
                <w:tcPr>
                  <w:tcW w:w="1479" w:type="dxa"/>
                  <w:shd w:val="clear" w:color="auto" w:fill="auto"/>
                  <w:vAlign w:val="center"/>
                </w:tcPr>
                <w:p>
                  <w:pPr>
                    <w:pStyle w:val="20"/>
                    <w:spacing w:line="240" w:lineRule="exact"/>
                    <w:outlineLvl w:val="9"/>
                  </w:pPr>
                  <w:r>
                    <w:rPr>
                      <w:rFonts w:hint="eastAsia"/>
                    </w:rPr>
                    <w:t>31%</w:t>
                  </w:r>
                </w:p>
              </w:tc>
              <w:tc>
                <w:tcPr>
                  <w:tcW w:w="1467" w:type="dxa"/>
                  <w:shd w:val="clear" w:color="auto" w:fill="auto"/>
                  <w:vAlign w:val="center"/>
                </w:tcPr>
                <w:p>
                  <w:pPr>
                    <w:pStyle w:val="20"/>
                    <w:spacing w:line="240" w:lineRule="exact"/>
                    <w:outlineLvl w:val="9"/>
                  </w:pPr>
                  <w:r>
                    <w:t>氯化氢</w:t>
                  </w:r>
                </w:p>
              </w:tc>
              <w:tc>
                <w:tcPr>
                  <w:tcW w:w="1171" w:type="dxa"/>
                  <w:shd w:val="clear" w:color="auto" w:fill="auto"/>
                  <w:vAlign w:val="center"/>
                </w:tcPr>
                <w:p>
                  <w:pPr>
                    <w:pStyle w:val="20"/>
                    <w:spacing w:line="240" w:lineRule="exact"/>
                    <w:outlineLvl w:val="9"/>
                  </w:pPr>
                  <w:r>
                    <w:rPr>
                      <w:rFonts w:hint="eastAsia"/>
                    </w:rPr>
                    <w:t>15.5t</w:t>
                  </w:r>
                </w:p>
              </w:tc>
              <w:tc>
                <w:tcPr>
                  <w:tcW w:w="1028" w:type="dxa"/>
                  <w:shd w:val="clear" w:color="auto" w:fill="auto"/>
                  <w:vAlign w:val="center"/>
                </w:tcPr>
                <w:p>
                  <w:pPr>
                    <w:pStyle w:val="20"/>
                    <w:spacing w:line="240" w:lineRule="exact"/>
                    <w:outlineLvl w:val="9"/>
                  </w:pPr>
                  <w:r>
                    <w:rPr>
                      <w:rFonts w:hint="eastAsia"/>
                    </w:rPr>
                    <w:t>15.5t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氯化铵</w:t>
                  </w:r>
                </w:p>
              </w:tc>
              <w:tc>
                <w:tcPr>
                  <w:tcW w:w="1479" w:type="dxa"/>
                  <w:shd w:val="clear" w:color="auto" w:fill="auto"/>
                  <w:vAlign w:val="center"/>
                </w:tcPr>
                <w:p>
                  <w:pPr>
                    <w:pStyle w:val="20"/>
                    <w:spacing w:line="240" w:lineRule="exact"/>
                    <w:outlineLvl w:val="9"/>
                  </w:pPr>
                  <w:r>
                    <w:t>固体料</w:t>
                  </w:r>
                </w:p>
              </w:tc>
              <w:tc>
                <w:tcPr>
                  <w:tcW w:w="1467" w:type="dxa"/>
                  <w:shd w:val="clear" w:color="auto" w:fill="auto"/>
                  <w:vAlign w:val="center"/>
                </w:tcPr>
                <w:p>
                  <w:pPr>
                    <w:pStyle w:val="20"/>
                    <w:spacing w:line="240" w:lineRule="exact"/>
                    <w:outlineLvl w:val="9"/>
                  </w:pPr>
                  <w:r>
                    <w:t>氯化铵</w:t>
                  </w:r>
                </w:p>
              </w:tc>
              <w:tc>
                <w:tcPr>
                  <w:tcW w:w="1171" w:type="dxa"/>
                  <w:shd w:val="clear" w:color="auto" w:fill="auto"/>
                  <w:vAlign w:val="center"/>
                </w:tcPr>
                <w:p>
                  <w:pPr>
                    <w:pStyle w:val="20"/>
                    <w:spacing w:line="240" w:lineRule="exact"/>
                    <w:outlineLvl w:val="9"/>
                  </w:pPr>
                  <w:r>
                    <w:rPr>
                      <w:rFonts w:hint="eastAsia"/>
                    </w:rPr>
                    <w:t>4.6t</w:t>
                  </w:r>
                </w:p>
              </w:tc>
              <w:tc>
                <w:tcPr>
                  <w:tcW w:w="1028" w:type="dxa"/>
                  <w:shd w:val="clear" w:color="auto" w:fill="auto"/>
                  <w:vAlign w:val="center"/>
                </w:tcPr>
                <w:p>
                  <w:pPr>
                    <w:pStyle w:val="20"/>
                    <w:spacing w:line="240" w:lineRule="exact"/>
                    <w:outlineLvl w:val="9"/>
                  </w:pPr>
                  <w:r>
                    <w:rPr>
                      <w:rFonts w:hint="eastAsia"/>
                    </w:rPr>
                    <w:t>4.6t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t>氯化锌</w:t>
                  </w:r>
                </w:p>
              </w:tc>
              <w:tc>
                <w:tcPr>
                  <w:tcW w:w="1479" w:type="dxa"/>
                  <w:shd w:val="clear" w:color="auto" w:fill="auto"/>
                  <w:vAlign w:val="center"/>
                </w:tcPr>
                <w:p>
                  <w:pPr>
                    <w:pStyle w:val="20"/>
                    <w:spacing w:line="240" w:lineRule="exact"/>
                    <w:outlineLvl w:val="9"/>
                  </w:pPr>
                  <w:r>
                    <w:t>固体料</w:t>
                  </w:r>
                </w:p>
              </w:tc>
              <w:tc>
                <w:tcPr>
                  <w:tcW w:w="1467" w:type="dxa"/>
                  <w:shd w:val="clear" w:color="auto" w:fill="auto"/>
                  <w:vAlign w:val="center"/>
                </w:tcPr>
                <w:p>
                  <w:pPr>
                    <w:pStyle w:val="20"/>
                    <w:spacing w:line="240" w:lineRule="exact"/>
                    <w:outlineLvl w:val="9"/>
                  </w:pPr>
                  <w:r>
                    <w:t>氯化锌</w:t>
                  </w:r>
                </w:p>
              </w:tc>
              <w:tc>
                <w:tcPr>
                  <w:tcW w:w="1171" w:type="dxa"/>
                  <w:shd w:val="clear" w:color="auto" w:fill="auto"/>
                  <w:vAlign w:val="center"/>
                </w:tcPr>
                <w:p>
                  <w:pPr>
                    <w:pStyle w:val="20"/>
                    <w:spacing w:line="240" w:lineRule="exact"/>
                    <w:outlineLvl w:val="9"/>
                  </w:pPr>
                  <w:r>
                    <w:rPr>
                      <w:rFonts w:hint="eastAsia"/>
                    </w:rPr>
                    <w:t>2.3t</w:t>
                  </w:r>
                </w:p>
              </w:tc>
              <w:tc>
                <w:tcPr>
                  <w:tcW w:w="1028" w:type="dxa"/>
                  <w:shd w:val="clear" w:color="auto" w:fill="auto"/>
                  <w:vAlign w:val="center"/>
                </w:tcPr>
                <w:p>
                  <w:pPr>
                    <w:pStyle w:val="20"/>
                    <w:spacing w:line="240" w:lineRule="exact"/>
                    <w:outlineLvl w:val="9"/>
                  </w:pPr>
                  <w:r>
                    <w:rPr>
                      <w:rFonts w:hint="eastAsia"/>
                    </w:rPr>
                    <w:t>2.3t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restart"/>
                  <w:shd w:val="clear" w:color="auto" w:fill="auto"/>
                  <w:vAlign w:val="center"/>
                </w:tcPr>
                <w:p>
                  <w:pPr>
                    <w:pStyle w:val="20"/>
                    <w:spacing w:line="240" w:lineRule="exact"/>
                    <w:outlineLvl w:val="9"/>
                  </w:pPr>
                  <w:r>
                    <w:rPr>
                      <w:rFonts w:hint="eastAsia"/>
                    </w:rPr>
                    <w:t>其他</w:t>
                  </w:r>
                </w:p>
              </w:tc>
              <w:tc>
                <w:tcPr>
                  <w:tcW w:w="1387" w:type="dxa"/>
                  <w:shd w:val="clear" w:color="auto" w:fill="auto"/>
                  <w:vAlign w:val="center"/>
                </w:tcPr>
                <w:p>
                  <w:pPr>
                    <w:pStyle w:val="20"/>
                    <w:spacing w:line="240" w:lineRule="exact"/>
                    <w:outlineLvl w:val="9"/>
                  </w:pPr>
                  <w:r>
                    <w:rPr>
                      <w:rFonts w:hint="eastAsia"/>
                    </w:rPr>
                    <w:t>机油</w:t>
                  </w:r>
                </w:p>
              </w:tc>
              <w:tc>
                <w:tcPr>
                  <w:tcW w:w="1479" w:type="dxa"/>
                  <w:shd w:val="clear" w:color="auto" w:fill="auto"/>
                  <w:vAlign w:val="center"/>
                </w:tcPr>
                <w:p>
                  <w:pPr>
                    <w:pStyle w:val="20"/>
                    <w:spacing w:line="240" w:lineRule="exact"/>
                    <w:outlineLvl w:val="9"/>
                  </w:pPr>
                  <w:r>
                    <w:rPr>
                      <w:rFonts w:hint="eastAsia"/>
                    </w:rPr>
                    <w:t>20kg/桶</w:t>
                  </w:r>
                </w:p>
              </w:tc>
              <w:tc>
                <w:tcPr>
                  <w:tcW w:w="1467" w:type="dxa"/>
                  <w:shd w:val="clear" w:color="auto" w:fill="auto"/>
                  <w:vAlign w:val="center"/>
                </w:tcPr>
                <w:p>
                  <w:pPr>
                    <w:pStyle w:val="20"/>
                    <w:spacing w:line="240" w:lineRule="exact"/>
                    <w:outlineLvl w:val="9"/>
                  </w:pPr>
                  <w:r>
                    <w:t>矿物油</w:t>
                  </w:r>
                </w:p>
              </w:tc>
              <w:tc>
                <w:tcPr>
                  <w:tcW w:w="1171" w:type="dxa"/>
                  <w:shd w:val="clear" w:color="auto" w:fill="auto"/>
                  <w:vAlign w:val="center"/>
                </w:tcPr>
                <w:p>
                  <w:pPr>
                    <w:pStyle w:val="20"/>
                    <w:spacing w:line="240" w:lineRule="exact"/>
                    <w:outlineLvl w:val="9"/>
                  </w:pPr>
                  <w:r>
                    <w:rPr>
                      <w:rFonts w:hint="eastAsia"/>
                    </w:rPr>
                    <w:t>0.</w:t>
                  </w:r>
                  <w:r>
                    <w:t>05</w:t>
                  </w:r>
                  <w:r>
                    <w:rPr>
                      <w:rFonts w:hint="eastAsia"/>
                    </w:rPr>
                    <w:t>t</w:t>
                  </w:r>
                </w:p>
              </w:tc>
              <w:tc>
                <w:tcPr>
                  <w:tcW w:w="1028" w:type="dxa"/>
                  <w:shd w:val="clear" w:color="auto" w:fill="auto"/>
                  <w:vAlign w:val="center"/>
                </w:tcPr>
                <w:p>
                  <w:pPr>
                    <w:pStyle w:val="20"/>
                    <w:spacing w:line="240" w:lineRule="exact"/>
                    <w:outlineLvl w:val="9"/>
                  </w:pPr>
                  <w:r>
                    <w:rPr>
                      <w:rFonts w:hint="eastAsia"/>
                    </w:rPr>
                    <w:t>0.</w:t>
                  </w:r>
                  <w:r>
                    <w:t>05</w:t>
                  </w:r>
                  <w:r>
                    <w:rPr>
                      <w:rFonts w:hint="eastAsia"/>
                    </w:rPr>
                    <w:t>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淬火油</w:t>
                  </w:r>
                </w:p>
              </w:tc>
              <w:tc>
                <w:tcPr>
                  <w:tcW w:w="1479" w:type="dxa"/>
                  <w:shd w:val="clear" w:color="auto" w:fill="auto"/>
                  <w:vAlign w:val="center"/>
                </w:tcPr>
                <w:p>
                  <w:pPr>
                    <w:pStyle w:val="20"/>
                    <w:spacing w:line="240" w:lineRule="exact"/>
                    <w:outlineLvl w:val="9"/>
                  </w:pPr>
                  <w:r>
                    <w:rPr>
                      <w:rFonts w:hint="eastAsia"/>
                    </w:rPr>
                    <w:t>吨桶</w:t>
                  </w:r>
                </w:p>
              </w:tc>
              <w:tc>
                <w:tcPr>
                  <w:tcW w:w="1467" w:type="dxa"/>
                  <w:shd w:val="clear" w:color="auto" w:fill="auto"/>
                  <w:vAlign w:val="center"/>
                </w:tcPr>
                <w:p>
                  <w:pPr>
                    <w:pStyle w:val="20"/>
                    <w:spacing w:line="240" w:lineRule="exact"/>
                    <w:outlineLvl w:val="9"/>
                  </w:pPr>
                  <w:r>
                    <w:t>矿物油</w:t>
                  </w:r>
                </w:p>
              </w:tc>
              <w:tc>
                <w:tcPr>
                  <w:tcW w:w="1171" w:type="dxa"/>
                  <w:shd w:val="clear" w:color="auto" w:fill="auto"/>
                  <w:vAlign w:val="center"/>
                </w:tcPr>
                <w:p>
                  <w:pPr>
                    <w:pStyle w:val="20"/>
                    <w:spacing w:line="240" w:lineRule="exact"/>
                    <w:outlineLvl w:val="9"/>
                  </w:pPr>
                  <w:r>
                    <w:rPr>
                      <w:rFonts w:hint="eastAsia"/>
                    </w:rPr>
                    <w:t>16t</w:t>
                  </w:r>
                </w:p>
              </w:tc>
              <w:tc>
                <w:tcPr>
                  <w:tcW w:w="1028" w:type="dxa"/>
                  <w:shd w:val="clear" w:color="auto" w:fill="auto"/>
                  <w:vAlign w:val="center"/>
                </w:tcPr>
                <w:p>
                  <w:pPr>
                    <w:pStyle w:val="20"/>
                    <w:spacing w:line="240" w:lineRule="exact"/>
                    <w:outlineLvl w:val="9"/>
                  </w:pPr>
                  <w:r>
                    <w:rPr>
                      <w:rFonts w:hint="eastAsia"/>
                    </w:rPr>
                    <w:t>16t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发黑剂</w:t>
                  </w:r>
                </w:p>
              </w:tc>
              <w:tc>
                <w:tcPr>
                  <w:tcW w:w="1479" w:type="dxa"/>
                  <w:shd w:val="clear" w:color="auto" w:fill="auto"/>
                  <w:vAlign w:val="center"/>
                </w:tcPr>
                <w:p>
                  <w:pPr>
                    <w:pStyle w:val="20"/>
                    <w:spacing w:line="240" w:lineRule="exact"/>
                    <w:outlineLvl w:val="9"/>
                  </w:pPr>
                  <w:r>
                    <w:rPr>
                      <w:rFonts w:hint="eastAsia"/>
                    </w:rPr>
                    <w:t>吨桶</w:t>
                  </w:r>
                </w:p>
              </w:tc>
              <w:tc>
                <w:tcPr>
                  <w:tcW w:w="1467" w:type="dxa"/>
                  <w:shd w:val="clear" w:color="auto" w:fill="auto"/>
                  <w:vAlign w:val="center"/>
                </w:tcPr>
                <w:p>
                  <w:pPr>
                    <w:pStyle w:val="20"/>
                    <w:spacing w:line="240" w:lineRule="exact"/>
                    <w:outlineLvl w:val="9"/>
                    <w:rPr>
                      <w:szCs w:val="21"/>
                    </w:rPr>
                  </w:pPr>
                  <w:r>
                    <w:rPr>
                      <w:rFonts w:hint="eastAsia"/>
                      <w:szCs w:val="21"/>
                    </w:rPr>
                    <w:t>水溶性树脂、色浆和水</w:t>
                  </w:r>
                </w:p>
              </w:tc>
              <w:tc>
                <w:tcPr>
                  <w:tcW w:w="1171" w:type="dxa"/>
                  <w:shd w:val="clear" w:color="auto" w:fill="auto"/>
                  <w:vAlign w:val="center"/>
                </w:tcPr>
                <w:p>
                  <w:pPr>
                    <w:pStyle w:val="20"/>
                    <w:spacing w:line="240" w:lineRule="exact"/>
                    <w:outlineLvl w:val="9"/>
                  </w:pPr>
                  <w:r>
                    <w:rPr>
                      <w:rFonts w:hint="eastAsia"/>
                    </w:rPr>
                    <w:t>3t</w:t>
                  </w:r>
                </w:p>
              </w:tc>
              <w:tc>
                <w:tcPr>
                  <w:tcW w:w="1028" w:type="dxa"/>
                  <w:shd w:val="clear" w:color="auto" w:fill="auto"/>
                  <w:vAlign w:val="center"/>
                </w:tcPr>
                <w:p>
                  <w:pPr>
                    <w:pStyle w:val="20"/>
                    <w:spacing w:line="240" w:lineRule="exact"/>
                    <w:outlineLvl w:val="9"/>
                  </w:pPr>
                  <w:r>
                    <w:rPr>
                      <w:rFonts w:hint="eastAsia"/>
                    </w:rPr>
                    <w:t>3t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切削液</w:t>
                  </w:r>
                </w:p>
              </w:tc>
              <w:tc>
                <w:tcPr>
                  <w:tcW w:w="1479" w:type="dxa"/>
                  <w:shd w:val="clear" w:color="auto" w:fill="auto"/>
                  <w:vAlign w:val="center"/>
                </w:tcPr>
                <w:p>
                  <w:pPr>
                    <w:pStyle w:val="20"/>
                    <w:spacing w:line="240" w:lineRule="exact"/>
                    <w:outlineLvl w:val="9"/>
                  </w:pPr>
                  <w:r>
                    <w:rPr>
                      <w:rFonts w:hint="eastAsia"/>
                    </w:rPr>
                    <w:t>20kg/桶</w:t>
                  </w:r>
                </w:p>
              </w:tc>
              <w:tc>
                <w:tcPr>
                  <w:tcW w:w="1467" w:type="dxa"/>
                  <w:shd w:val="clear" w:color="auto" w:fill="auto"/>
                  <w:vAlign w:val="center"/>
                </w:tcPr>
                <w:p>
                  <w:pPr>
                    <w:pStyle w:val="20"/>
                    <w:spacing w:line="240" w:lineRule="exact"/>
                    <w:outlineLvl w:val="9"/>
                  </w:pPr>
                  <w:r>
                    <w:t>基础油、水</w:t>
                  </w:r>
                </w:p>
              </w:tc>
              <w:tc>
                <w:tcPr>
                  <w:tcW w:w="1171" w:type="dxa"/>
                  <w:shd w:val="clear" w:color="auto" w:fill="auto"/>
                  <w:vAlign w:val="center"/>
                </w:tcPr>
                <w:p>
                  <w:pPr>
                    <w:pStyle w:val="20"/>
                    <w:spacing w:line="240" w:lineRule="exact"/>
                    <w:outlineLvl w:val="9"/>
                  </w:pPr>
                  <w:r>
                    <w:rPr>
                      <w:rFonts w:hint="eastAsia"/>
                    </w:rPr>
                    <w:t>0.1t</w:t>
                  </w:r>
                </w:p>
              </w:tc>
              <w:tc>
                <w:tcPr>
                  <w:tcW w:w="1028" w:type="dxa"/>
                  <w:shd w:val="clear" w:color="auto" w:fill="auto"/>
                  <w:vAlign w:val="center"/>
                </w:tcPr>
                <w:p>
                  <w:pPr>
                    <w:pStyle w:val="20"/>
                    <w:spacing w:line="240" w:lineRule="exact"/>
                    <w:outlineLvl w:val="9"/>
                  </w:pPr>
                  <w:r>
                    <w:rPr>
                      <w:rFonts w:hint="eastAsia"/>
                    </w:rPr>
                    <w:t>0.1t</w:t>
                  </w:r>
                </w:p>
              </w:tc>
              <w:tc>
                <w:tcPr>
                  <w:tcW w:w="1028" w:type="dxa"/>
                  <w:shd w:val="clear" w:color="auto" w:fill="auto"/>
                  <w:vAlign w:val="center"/>
                </w:tcPr>
                <w:p>
                  <w:pPr>
                    <w:pStyle w:val="20"/>
                    <w:spacing w:line="240" w:lineRule="exact"/>
                    <w:outlineLvl w:val="9"/>
                  </w:pPr>
                  <w: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钢丸</w:t>
                  </w:r>
                </w:p>
              </w:tc>
              <w:tc>
                <w:tcPr>
                  <w:tcW w:w="1479" w:type="dxa"/>
                  <w:shd w:val="clear" w:color="auto" w:fill="auto"/>
                  <w:vAlign w:val="center"/>
                </w:tcPr>
                <w:p>
                  <w:pPr>
                    <w:pStyle w:val="20"/>
                    <w:spacing w:line="240" w:lineRule="exact"/>
                    <w:outlineLvl w:val="9"/>
                  </w:pPr>
                  <w:r>
                    <w:rPr>
                      <w:rFonts w:hint="eastAsia"/>
                    </w:rPr>
                    <w:t>2</w:t>
                  </w:r>
                  <w:r>
                    <w:t>5</w:t>
                  </w:r>
                  <w:r>
                    <w:rPr>
                      <w:rFonts w:hint="eastAsia"/>
                    </w:rPr>
                    <w:t>kg</w:t>
                  </w:r>
                  <w:r>
                    <w:t>/</w:t>
                  </w:r>
                  <w:r>
                    <w:rPr>
                      <w:rFonts w:hint="eastAsia"/>
                    </w:rPr>
                    <w:t>袋</w:t>
                  </w:r>
                </w:p>
              </w:tc>
              <w:tc>
                <w:tcPr>
                  <w:tcW w:w="1467" w:type="dxa"/>
                  <w:shd w:val="clear" w:color="auto" w:fill="auto"/>
                  <w:vAlign w:val="center"/>
                </w:tcPr>
                <w:p>
                  <w:pPr>
                    <w:pStyle w:val="20"/>
                    <w:spacing w:line="240" w:lineRule="exact"/>
                    <w:outlineLvl w:val="9"/>
                  </w:pPr>
                  <w:r>
                    <w:rPr>
                      <w:rFonts w:hint="eastAsia"/>
                    </w:rPr>
                    <w:t>C等</w:t>
                  </w:r>
                </w:p>
              </w:tc>
              <w:tc>
                <w:tcPr>
                  <w:tcW w:w="1171" w:type="dxa"/>
                  <w:shd w:val="clear" w:color="auto" w:fill="auto"/>
                  <w:vAlign w:val="center"/>
                </w:tcPr>
                <w:p>
                  <w:pPr>
                    <w:pStyle w:val="20"/>
                    <w:spacing w:line="240" w:lineRule="exact"/>
                    <w:outlineLvl w:val="9"/>
                  </w:pPr>
                  <w:r>
                    <w:t>0.</w:t>
                  </w:r>
                  <w:r>
                    <w:rPr>
                      <w:rFonts w:hint="eastAsia"/>
                    </w:rPr>
                    <w:t>4t</w:t>
                  </w:r>
                </w:p>
              </w:tc>
              <w:tc>
                <w:tcPr>
                  <w:tcW w:w="1028" w:type="dxa"/>
                  <w:shd w:val="clear" w:color="auto" w:fill="auto"/>
                  <w:vAlign w:val="center"/>
                </w:tcPr>
                <w:p>
                  <w:pPr>
                    <w:pStyle w:val="20"/>
                    <w:spacing w:line="240" w:lineRule="exact"/>
                    <w:outlineLvl w:val="9"/>
                  </w:pPr>
                  <w:r>
                    <w:t>0.</w:t>
                  </w:r>
                  <w:r>
                    <w:rPr>
                      <w:rFonts w:hint="eastAsia"/>
                    </w:rPr>
                    <w:t>4t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651" w:type="dxa"/>
                  <w:vMerge w:val="continue"/>
                  <w:shd w:val="clear" w:color="auto" w:fill="auto"/>
                  <w:vAlign w:val="center"/>
                </w:tcPr>
                <w:p>
                  <w:pPr>
                    <w:pStyle w:val="20"/>
                    <w:spacing w:line="240" w:lineRule="exact"/>
                    <w:outlineLvl w:val="9"/>
                  </w:pPr>
                </w:p>
              </w:tc>
              <w:tc>
                <w:tcPr>
                  <w:tcW w:w="1105" w:type="dxa"/>
                  <w:vMerge w:val="continue"/>
                  <w:shd w:val="clear" w:color="auto" w:fill="auto"/>
                  <w:vAlign w:val="center"/>
                </w:tcPr>
                <w:p>
                  <w:pPr>
                    <w:pStyle w:val="20"/>
                    <w:spacing w:line="240" w:lineRule="exact"/>
                    <w:outlineLvl w:val="9"/>
                  </w:pPr>
                </w:p>
              </w:tc>
              <w:tc>
                <w:tcPr>
                  <w:tcW w:w="1387" w:type="dxa"/>
                  <w:shd w:val="clear" w:color="auto" w:fill="auto"/>
                  <w:vAlign w:val="center"/>
                </w:tcPr>
                <w:p>
                  <w:pPr>
                    <w:pStyle w:val="20"/>
                    <w:spacing w:line="240" w:lineRule="exact"/>
                    <w:outlineLvl w:val="9"/>
                  </w:pPr>
                  <w:r>
                    <w:rPr>
                      <w:rFonts w:hint="eastAsia"/>
                    </w:rPr>
                    <w:t>手套和抹布</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0.01t</w:t>
                  </w:r>
                </w:p>
              </w:tc>
              <w:tc>
                <w:tcPr>
                  <w:tcW w:w="1028" w:type="dxa"/>
                  <w:shd w:val="clear" w:color="auto" w:fill="auto"/>
                  <w:vAlign w:val="center"/>
                </w:tcPr>
                <w:p>
                  <w:pPr>
                    <w:pStyle w:val="20"/>
                    <w:spacing w:line="240" w:lineRule="exact"/>
                    <w:outlineLvl w:val="9"/>
                  </w:pPr>
                  <w:r>
                    <w:rPr>
                      <w:rFonts w:hint="eastAsia"/>
                    </w:rPr>
                    <w:t>0.01t</w:t>
                  </w:r>
                </w:p>
              </w:tc>
              <w:tc>
                <w:tcPr>
                  <w:tcW w:w="1028" w:type="dxa"/>
                  <w:shd w:val="clear" w:color="auto" w:fill="auto"/>
                  <w:vAlign w:val="center"/>
                </w:tcPr>
                <w:p>
                  <w:pPr>
                    <w:pStyle w:val="20"/>
                    <w:spacing w:line="240" w:lineRule="exact"/>
                    <w:outlineLvl w:val="9"/>
                  </w:pPr>
                  <w:r>
                    <w:rPr>
                      <w:rFonts w:hint="eastAsia"/>
                    </w:rPr>
                    <w:t>外购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651" w:type="dxa"/>
                  <w:vMerge w:val="restart"/>
                  <w:shd w:val="clear" w:color="auto" w:fill="auto"/>
                  <w:vAlign w:val="center"/>
                </w:tcPr>
                <w:p>
                  <w:pPr>
                    <w:pStyle w:val="20"/>
                    <w:spacing w:line="240" w:lineRule="exact"/>
                    <w:outlineLvl w:val="9"/>
                  </w:pPr>
                  <w:r>
                    <w:t>能源</w:t>
                  </w:r>
                </w:p>
              </w:tc>
              <w:tc>
                <w:tcPr>
                  <w:tcW w:w="1105" w:type="dxa"/>
                  <w:shd w:val="clear" w:color="auto" w:fill="auto"/>
                  <w:vAlign w:val="center"/>
                </w:tcPr>
                <w:p>
                  <w:pPr>
                    <w:pStyle w:val="20"/>
                    <w:spacing w:line="240" w:lineRule="exact"/>
                    <w:outlineLvl w:val="9"/>
                  </w:pPr>
                  <w:r>
                    <w:t>供电</w:t>
                  </w:r>
                </w:p>
              </w:tc>
              <w:tc>
                <w:tcPr>
                  <w:tcW w:w="1387" w:type="dxa"/>
                  <w:shd w:val="clear" w:color="auto" w:fill="auto"/>
                  <w:vAlign w:val="center"/>
                </w:tcPr>
                <w:p>
                  <w:pPr>
                    <w:pStyle w:val="20"/>
                    <w:spacing w:line="240" w:lineRule="exact"/>
                    <w:outlineLvl w:val="9"/>
                  </w:pPr>
                  <w:r>
                    <w:rPr>
                      <w:rFonts w:hint="eastAsia"/>
                    </w:rPr>
                    <w:t>/</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20万KW</w:t>
                  </w:r>
                  <w:r>
                    <w:t>·h</w:t>
                  </w:r>
                </w:p>
              </w:tc>
              <w:tc>
                <w:tcPr>
                  <w:tcW w:w="1028" w:type="dxa"/>
                  <w:shd w:val="clear" w:color="auto" w:fill="auto"/>
                  <w:vAlign w:val="center"/>
                </w:tcPr>
                <w:p>
                  <w:pPr>
                    <w:pStyle w:val="20"/>
                    <w:spacing w:line="240" w:lineRule="exact"/>
                    <w:outlineLvl w:val="9"/>
                  </w:pPr>
                  <w:r>
                    <w:rPr>
                      <w:rFonts w:hint="eastAsia"/>
                    </w:rPr>
                    <w:t>20万KW</w:t>
                  </w:r>
                  <w:r>
                    <w:t>·h</w:t>
                  </w:r>
                </w:p>
              </w:tc>
              <w:tc>
                <w:tcPr>
                  <w:tcW w:w="1028" w:type="dxa"/>
                  <w:shd w:val="clear" w:color="auto" w:fill="auto"/>
                  <w:vAlign w:val="center"/>
                </w:tcPr>
                <w:p>
                  <w:pPr>
                    <w:pStyle w:val="20"/>
                    <w:spacing w:line="240" w:lineRule="exact"/>
                    <w:outlineLvl w:val="9"/>
                  </w:pPr>
                  <w:r>
                    <w:rPr>
                      <w:rFonts w:hint="eastAsia"/>
                    </w:rPr>
                    <w:t>园区</w:t>
                  </w:r>
                  <w:r>
                    <w:t>电网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651" w:type="dxa"/>
                  <w:vMerge w:val="continue"/>
                  <w:shd w:val="clear" w:color="auto" w:fill="auto"/>
                  <w:vAlign w:val="center"/>
                </w:tcPr>
                <w:p>
                  <w:pPr>
                    <w:pStyle w:val="20"/>
                    <w:spacing w:line="240" w:lineRule="exact"/>
                    <w:outlineLvl w:val="9"/>
                  </w:pPr>
                </w:p>
              </w:tc>
              <w:tc>
                <w:tcPr>
                  <w:tcW w:w="1105" w:type="dxa"/>
                  <w:shd w:val="clear" w:color="auto" w:fill="auto"/>
                  <w:vAlign w:val="center"/>
                </w:tcPr>
                <w:p>
                  <w:pPr>
                    <w:pStyle w:val="20"/>
                    <w:spacing w:line="240" w:lineRule="exact"/>
                    <w:outlineLvl w:val="9"/>
                  </w:pPr>
                  <w:r>
                    <w:t>天然气</w:t>
                  </w:r>
                </w:p>
              </w:tc>
              <w:tc>
                <w:tcPr>
                  <w:tcW w:w="1387" w:type="dxa"/>
                  <w:shd w:val="clear" w:color="auto" w:fill="auto"/>
                  <w:vAlign w:val="center"/>
                </w:tcPr>
                <w:p>
                  <w:pPr>
                    <w:pStyle w:val="20"/>
                    <w:spacing w:line="240" w:lineRule="exact"/>
                    <w:outlineLvl w:val="9"/>
                  </w:pPr>
                  <w:r>
                    <w:rPr>
                      <w:rFonts w:hint="eastAsia"/>
                    </w:rPr>
                    <w:t>/</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36万m</w:t>
                  </w:r>
                  <w:r>
                    <w:rPr>
                      <w:rFonts w:hint="eastAsia"/>
                      <w:vertAlign w:val="superscript"/>
                    </w:rPr>
                    <w:t>3</w:t>
                  </w:r>
                </w:p>
              </w:tc>
              <w:tc>
                <w:tcPr>
                  <w:tcW w:w="1028" w:type="dxa"/>
                  <w:shd w:val="clear" w:color="auto" w:fill="auto"/>
                  <w:vAlign w:val="center"/>
                </w:tcPr>
                <w:p>
                  <w:pPr>
                    <w:pStyle w:val="20"/>
                    <w:spacing w:line="240" w:lineRule="exact"/>
                    <w:outlineLvl w:val="9"/>
                  </w:pPr>
                  <w:r>
                    <w:rPr>
                      <w:rFonts w:hint="eastAsia"/>
                    </w:rPr>
                    <w:t>36万m</w:t>
                  </w:r>
                  <w:r>
                    <w:rPr>
                      <w:rFonts w:hint="eastAsia"/>
                      <w:vertAlign w:val="superscript"/>
                    </w:rPr>
                    <w:t>3</w:t>
                  </w:r>
                </w:p>
              </w:tc>
              <w:tc>
                <w:tcPr>
                  <w:tcW w:w="1028" w:type="dxa"/>
                  <w:shd w:val="clear" w:color="auto" w:fill="auto"/>
                  <w:vAlign w:val="center"/>
                </w:tcPr>
                <w:p>
                  <w:pPr>
                    <w:pStyle w:val="20"/>
                    <w:spacing w:line="240" w:lineRule="exact"/>
                    <w:outlineLvl w:val="9"/>
                  </w:pPr>
                  <w:r>
                    <w:rPr>
                      <w:rFonts w:hint="eastAsia"/>
                    </w:rPr>
                    <w:t>园区气网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 w:hRule="atLeast"/>
                <w:jc w:val="center"/>
              </w:trPr>
              <w:tc>
                <w:tcPr>
                  <w:tcW w:w="651" w:type="dxa"/>
                  <w:shd w:val="clear" w:color="auto" w:fill="auto"/>
                  <w:vAlign w:val="center"/>
                </w:tcPr>
                <w:p>
                  <w:pPr>
                    <w:pStyle w:val="20"/>
                    <w:spacing w:line="240" w:lineRule="exact"/>
                    <w:outlineLvl w:val="9"/>
                  </w:pPr>
                  <w:r>
                    <w:t>水量</w:t>
                  </w:r>
                </w:p>
              </w:tc>
              <w:tc>
                <w:tcPr>
                  <w:tcW w:w="1105" w:type="dxa"/>
                  <w:shd w:val="clear" w:color="auto" w:fill="auto"/>
                  <w:vAlign w:val="center"/>
                </w:tcPr>
                <w:p>
                  <w:pPr>
                    <w:pStyle w:val="20"/>
                    <w:spacing w:line="240" w:lineRule="exact"/>
                    <w:outlineLvl w:val="9"/>
                  </w:pPr>
                  <w:r>
                    <w:t>地表水</w:t>
                  </w:r>
                </w:p>
              </w:tc>
              <w:tc>
                <w:tcPr>
                  <w:tcW w:w="1387" w:type="dxa"/>
                  <w:shd w:val="clear" w:color="auto" w:fill="auto"/>
                  <w:vAlign w:val="center"/>
                </w:tcPr>
                <w:p>
                  <w:pPr>
                    <w:pStyle w:val="20"/>
                    <w:spacing w:line="240" w:lineRule="exact"/>
                    <w:outlineLvl w:val="9"/>
                  </w:pPr>
                  <w:r>
                    <w:rPr>
                      <w:rFonts w:hint="eastAsia"/>
                    </w:rPr>
                    <w:t>/</w:t>
                  </w:r>
                </w:p>
              </w:tc>
              <w:tc>
                <w:tcPr>
                  <w:tcW w:w="1479" w:type="dxa"/>
                  <w:shd w:val="clear" w:color="auto" w:fill="auto"/>
                  <w:vAlign w:val="center"/>
                </w:tcPr>
                <w:p>
                  <w:pPr>
                    <w:pStyle w:val="20"/>
                    <w:spacing w:line="240" w:lineRule="exact"/>
                    <w:outlineLvl w:val="9"/>
                  </w:pPr>
                  <w:r>
                    <w:rPr>
                      <w:rFonts w:hint="eastAsia"/>
                    </w:rPr>
                    <w:t>/</w:t>
                  </w:r>
                </w:p>
              </w:tc>
              <w:tc>
                <w:tcPr>
                  <w:tcW w:w="1467" w:type="dxa"/>
                  <w:shd w:val="clear" w:color="auto" w:fill="auto"/>
                  <w:vAlign w:val="center"/>
                </w:tcPr>
                <w:p>
                  <w:pPr>
                    <w:pStyle w:val="20"/>
                    <w:spacing w:line="240" w:lineRule="exact"/>
                    <w:outlineLvl w:val="9"/>
                  </w:pPr>
                  <w:r>
                    <w:rPr>
                      <w:rFonts w:hint="eastAsia"/>
                    </w:rPr>
                    <w:t>/</w:t>
                  </w:r>
                </w:p>
              </w:tc>
              <w:tc>
                <w:tcPr>
                  <w:tcW w:w="1171" w:type="dxa"/>
                  <w:shd w:val="clear" w:color="auto" w:fill="auto"/>
                  <w:vAlign w:val="center"/>
                </w:tcPr>
                <w:p>
                  <w:pPr>
                    <w:pStyle w:val="20"/>
                    <w:spacing w:line="240" w:lineRule="exact"/>
                    <w:outlineLvl w:val="9"/>
                  </w:pPr>
                  <w:r>
                    <w:rPr>
                      <w:rFonts w:hint="eastAsia"/>
                    </w:rPr>
                    <w:t>2958m</w:t>
                  </w:r>
                  <w:r>
                    <w:rPr>
                      <w:rFonts w:hint="eastAsia"/>
                      <w:vertAlign w:val="superscript"/>
                    </w:rPr>
                    <w:t>3</w:t>
                  </w:r>
                  <w:r>
                    <w:rPr>
                      <w:rFonts w:hint="eastAsia"/>
                    </w:rPr>
                    <w:t>/a</w:t>
                  </w:r>
                </w:p>
              </w:tc>
              <w:tc>
                <w:tcPr>
                  <w:tcW w:w="1028" w:type="dxa"/>
                  <w:shd w:val="clear" w:color="auto" w:fill="auto"/>
                  <w:vAlign w:val="center"/>
                </w:tcPr>
                <w:p>
                  <w:pPr>
                    <w:pStyle w:val="20"/>
                    <w:spacing w:line="240" w:lineRule="exact"/>
                    <w:outlineLvl w:val="9"/>
                  </w:pPr>
                  <w:r>
                    <w:rPr>
                      <w:rFonts w:hint="eastAsia"/>
                    </w:rPr>
                    <w:t>2958m</w:t>
                  </w:r>
                  <w:r>
                    <w:rPr>
                      <w:rFonts w:hint="eastAsia"/>
                      <w:vertAlign w:val="superscript"/>
                    </w:rPr>
                    <w:t>3</w:t>
                  </w:r>
                  <w:r>
                    <w:rPr>
                      <w:rFonts w:hint="eastAsia"/>
                    </w:rPr>
                    <w:t>/a</w:t>
                  </w:r>
                </w:p>
              </w:tc>
              <w:tc>
                <w:tcPr>
                  <w:tcW w:w="1028" w:type="dxa"/>
                  <w:shd w:val="clear" w:color="auto" w:fill="auto"/>
                  <w:vAlign w:val="center"/>
                </w:tcPr>
                <w:p>
                  <w:pPr>
                    <w:pStyle w:val="20"/>
                    <w:spacing w:line="240" w:lineRule="exact"/>
                    <w:outlineLvl w:val="9"/>
                  </w:pPr>
                  <w:r>
                    <w:rPr>
                      <w:rFonts w:hint="eastAsia"/>
                    </w:rPr>
                    <w:t>园区管网</w:t>
                  </w:r>
                </w:p>
              </w:tc>
            </w:tr>
          </w:tbl>
          <w:p>
            <w:pPr>
              <w:pStyle w:val="2"/>
              <w:outlineLvl w:val="9"/>
            </w:pPr>
          </w:p>
          <w:p>
            <w:pPr>
              <w:spacing w:line="360" w:lineRule="auto"/>
              <w:outlineLvl w:val="9"/>
              <w:rPr>
                <w:rFonts w:ascii="宋体" w:hAnsi="宋体" w:cs="宋体"/>
              </w:rPr>
            </w:pPr>
            <w:bookmarkStart w:id="17" w:name="_Toc11935"/>
            <w:r>
              <w:rPr>
                <w:rFonts w:hint="eastAsia" w:ascii="宋体" w:hAnsi="宋体" w:cs="宋体"/>
              </w:rPr>
              <w:t>2.5主要设备表</w:t>
            </w:r>
            <w:bookmarkEnd w:id="17"/>
          </w:p>
          <w:p>
            <w:pPr>
              <w:spacing w:line="360" w:lineRule="auto"/>
              <w:outlineLvl w:val="9"/>
              <w:rPr>
                <w:rFonts w:ascii="宋体" w:hAnsi="宋体" w:cs="宋体"/>
                <w:b/>
                <w:bCs/>
                <w:sz w:val="24"/>
              </w:rPr>
            </w:pPr>
            <w:r>
              <w:rPr>
                <w:rFonts w:hint="eastAsia" w:ascii="宋体" w:hAnsi="宋体" w:cs="宋体"/>
                <w:sz w:val="24"/>
              </w:rPr>
              <w:t xml:space="preserve">      本项目主要设备见表2-5</w:t>
            </w:r>
          </w:p>
          <w:p>
            <w:pPr>
              <w:jc w:val="center"/>
              <w:outlineLvl w:val="9"/>
              <w:rPr>
                <w:rFonts w:ascii="宋体" w:hAnsi="宋体" w:cs="宋体"/>
                <w:b/>
                <w:bCs/>
                <w:sz w:val="24"/>
              </w:rPr>
            </w:pPr>
            <w:r>
              <w:rPr>
                <w:rFonts w:hint="eastAsia" w:ascii="宋体" w:hAnsi="宋体" w:cs="宋体"/>
                <w:b/>
                <w:bCs/>
                <w:sz w:val="24"/>
              </w:rPr>
              <w:t>2-5 项目主要设备对照表</w:t>
            </w:r>
          </w:p>
          <w:tbl>
            <w:tblPr>
              <w:tblStyle w:val="12"/>
              <w:tblW w:w="932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408"/>
              <w:gridCol w:w="1996"/>
              <w:gridCol w:w="2556"/>
              <w:gridCol w:w="1163"/>
              <w:gridCol w:w="1100"/>
              <w:gridCol w:w="110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shd w:val="clear" w:color="auto" w:fill="CCFFFF"/>
                  <w:vAlign w:val="center"/>
                </w:tcPr>
                <w:p>
                  <w:pPr>
                    <w:pStyle w:val="20"/>
                    <w:outlineLvl w:val="9"/>
                  </w:pPr>
                  <w:r>
                    <w:t>位置</w:t>
                  </w:r>
                </w:p>
              </w:tc>
              <w:tc>
                <w:tcPr>
                  <w:tcW w:w="1996" w:type="dxa"/>
                  <w:shd w:val="clear" w:color="auto" w:fill="CCFFFF"/>
                  <w:vAlign w:val="center"/>
                </w:tcPr>
                <w:p>
                  <w:pPr>
                    <w:pStyle w:val="20"/>
                    <w:outlineLvl w:val="9"/>
                  </w:pPr>
                  <w:r>
                    <w:t>设备名称</w:t>
                  </w:r>
                </w:p>
              </w:tc>
              <w:tc>
                <w:tcPr>
                  <w:tcW w:w="2556" w:type="dxa"/>
                  <w:shd w:val="clear" w:color="auto" w:fill="CCFFFF"/>
                  <w:vAlign w:val="center"/>
                </w:tcPr>
                <w:p>
                  <w:pPr>
                    <w:pStyle w:val="20"/>
                    <w:outlineLvl w:val="9"/>
                  </w:pPr>
                  <w:r>
                    <w:t>规格型号</w:t>
                  </w:r>
                </w:p>
              </w:tc>
              <w:tc>
                <w:tcPr>
                  <w:tcW w:w="1163" w:type="dxa"/>
                  <w:shd w:val="clear" w:color="auto" w:fill="CCFFFF"/>
                  <w:vAlign w:val="center"/>
                </w:tcPr>
                <w:p>
                  <w:pPr>
                    <w:pStyle w:val="20"/>
                    <w:outlineLvl w:val="9"/>
                  </w:pPr>
                  <w:r>
                    <w:rPr>
                      <w:rFonts w:hint="eastAsia"/>
                    </w:rPr>
                    <w:t>环评</w:t>
                  </w:r>
                  <w:r>
                    <w:t>数量</w:t>
                  </w:r>
                  <w:r>
                    <w:rPr>
                      <w:rFonts w:hint="eastAsia"/>
                    </w:rPr>
                    <w:t>台/套</w:t>
                  </w:r>
                </w:p>
              </w:tc>
              <w:tc>
                <w:tcPr>
                  <w:tcW w:w="1100" w:type="dxa"/>
                  <w:shd w:val="clear" w:color="auto" w:fill="CCFFFF"/>
                  <w:vAlign w:val="center"/>
                </w:tcPr>
                <w:p>
                  <w:pPr>
                    <w:pStyle w:val="20"/>
                    <w:outlineLvl w:val="9"/>
                  </w:pPr>
                  <w:r>
                    <w:rPr>
                      <w:rFonts w:hint="eastAsia"/>
                    </w:rPr>
                    <w:t>实际数量台/套</w:t>
                  </w:r>
                </w:p>
              </w:tc>
              <w:tc>
                <w:tcPr>
                  <w:tcW w:w="1100" w:type="dxa"/>
                  <w:shd w:val="clear" w:color="auto" w:fill="CCFFFF"/>
                  <w:vAlign w:val="center"/>
                </w:tcPr>
                <w:p>
                  <w:pPr>
                    <w:pStyle w:val="20"/>
                    <w:outlineLvl w:val="9"/>
                  </w:pPr>
                  <w:r>
                    <w:t>备注</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restart"/>
                  <w:shd w:val="clear" w:color="auto" w:fill="auto"/>
                  <w:vAlign w:val="center"/>
                </w:tcPr>
                <w:p>
                  <w:pPr>
                    <w:pStyle w:val="20"/>
                    <w:outlineLvl w:val="9"/>
                  </w:pPr>
                  <w:r>
                    <w:rPr>
                      <w:rFonts w:hint="eastAsia"/>
                    </w:rPr>
                    <w:t>紧固件</w:t>
                  </w:r>
                </w:p>
                <w:p>
                  <w:pPr>
                    <w:pStyle w:val="20"/>
                    <w:outlineLvl w:val="9"/>
                  </w:pPr>
                  <w:r>
                    <w:rPr>
                      <w:rFonts w:hint="eastAsia"/>
                    </w:rPr>
                    <w:t>生产车间</w:t>
                  </w:r>
                </w:p>
              </w:tc>
              <w:tc>
                <w:tcPr>
                  <w:tcW w:w="1996" w:type="dxa"/>
                  <w:shd w:val="clear" w:color="auto" w:fill="auto"/>
                </w:tcPr>
                <w:p>
                  <w:pPr>
                    <w:pStyle w:val="20"/>
                    <w:outlineLvl w:val="9"/>
                  </w:pPr>
                  <w:r>
                    <w:rPr>
                      <w:rFonts w:hint="eastAsia"/>
                    </w:rPr>
                    <w:t>可倾压力机</w:t>
                  </w:r>
                </w:p>
              </w:tc>
              <w:tc>
                <w:tcPr>
                  <w:tcW w:w="2556" w:type="dxa"/>
                  <w:shd w:val="clear" w:color="auto" w:fill="auto"/>
                  <w:vAlign w:val="center"/>
                </w:tcPr>
                <w:p>
                  <w:pPr>
                    <w:pStyle w:val="20"/>
                    <w:outlineLvl w:val="9"/>
                  </w:pPr>
                  <w:r>
                    <w:t>J21-80</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仪表车床</w:t>
                  </w:r>
                </w:p>
              </w:tc>
              <w:tc>
                <w:tcPr>
                  <w:tcW w:w="2556" w:type="dxa"/>
                  <w:shd w:val="clear" w:color="auto" w:fill="auto"/>
                  <w:vAlign w:val="center"/>
                </w:tcPr>
                <w:p>
                  <w:pPr>
                    <w:pStyle w:val="20"/>
                    <w:outlineLvl w:val="9"/>
                  </w:pPr>
                  <w:r>
                    <w:t>C0650</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半自动倒角机</w:t>
                  </w:r>
                </w:p>
              </w:tc>
              <w:tc>
                <w:tcPr>
                  <w:tcW w:w="2556" w:type="dxa"/>
                  <w:shd w:val="clear" w:color="auto" w:fill="auto"/>
                  <w:vAlign w:val="center"/>
                </w:tcPr>
                <w:p>
                  <w:pPr>
                    <w:pStyle w:val="20"/>
                    <w:outlineLvl w:val="9"/>
                  </w:pPr>
                  <w:r>
                    <w:t>无</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闭式压力机</w:t>
                  </w:r>
                </w:p>
              </w:tc>
              <w:tc>
                <w:tcPr>
                  <w:tcW w:w="2556" w:type="dxa"/>
                  <w:shd w:val="clear" w:color="auto" w:fill="auto"/>
                  <w:vAlign w:val="center"/>
                </w:tcPr>
                <w:p>
                  <w:pPr>
                    <w:pStyle w:val="20"/>
                    <w:outlineLvl w:val="9"/>
                  </w:pPr>
                  <w:r>
                    <w:t>J31-160</w:t>
                  </w:r>
                </w:p>
              </w:tc>
              <w:tc>
                <w:tcPr>
                  <w:tcW w:w="1163" w:type="dxa"/>
                  <w:shd w:val="clear" w:color="auto" w:fill="auto"/>
                  <w:vAlign w:val="center"/>
                </w:tcPr>
                <w:p>
                  <w:pPr>
                    <w:pStyle w:val="20"/>
                    <w:outlineLvl w:val="9"/>
                  </w:pPr>
                  <w:r>
                    <w:t>3</w:t>
                  </w:r>
                </w:p>
              </w:tc>
              <w:tc>
                <w:tcPr>
                  <w:tcW w:w="1100" w:type="dxa"/>
                  <w:shd w:val="clear" w:color="auto" w:fill="auto"/>
                  <w:vAlign w:val="center"/>
                </w:tcPr>
                <w:p>
                  <w:pPr>
                    <w:pStyle w:val="20"/>
                    <w:outlineLvl w:val="9"/>
                  </w:pPr>
                  <w:r>
                    <w:t>3</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闭式压力机</w:t>
                  </w:r>
                </w:p>
              </w:tc>
              <w:tc>
                <w:tcPr>
                  <w:tcW w:w="2556" w:type="dxa"/>
                  <w:shd w:val="clear" w:color="auto" w:fill="auto"/>
                  <w:vAlign w:val="center"/>
                </w:tcPr>
                <w:p>
                  <w:pPr>
                    <w:pStyle w:val="20"/>
                    <w:outlineLvl w:val="9"/>
                  </w:pPr>
                  <w:r>
                    <w:t>J31-160G</w:t>
                  </w:r>
                </w:p>
              </w:tc>
              <w:tc>
                <w:tcPr>
                  <w:tcW w:w="1163" w:type="dxa"/>
                  <w:shd w:val="clear" w:color="auto" w:fill="auto"/>
                  <w:vAlign w:val="center"/>
                </w:tcPr>
                <w:p>
                  <w:pPr>
                    <w:pStyle w:val="20"/>
                    <w:outlineLvl w:val="9"/>
                  </w:pPr>
                  <w:r>
                    <w:t>4</w:t>
                  </w:r>
                </w:p>
              </w:tc>
              <w:tc>
                <w:tcPr>
                  <w:tcW w:w="1100" w:type="dxa"/>
                  <w:shd w:val="clear" w:color="auto" w:fill="auto"/>
                  <w:vAlign w:val="center"/>
                </w:tcPr>
                <w:p>
                  <w:pPr>
                    <w:pStyle w:val="20"/>
                    <w:outlineLvl w:val="9"/>
                  </w:pPr>
                  <w:r>
                    <w:t>4</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闭式压力机</w:t>
                  </w:r>
                </w:p>
              </w:tc>
              <w:tc>
                <w:tcPr>
                  <w:tcW w:w="2556" w:type="dxa"/>
                  <w:shd w:val="clear" w:color="auto" w:fill="auto"/>
                  <w:vAlign w:val="center"/>
                </w:tcPr>
                <w:p>
                  <w:pPr>
                    <w:pStyle w:val="20"/>
                    <w:outlineLvl w:val="9"/>
                  </w:pPr>
                  <w:r>
                    <w:t>J31-125</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高频感应加热炉</w:t>
                  </w:r>
                </w:p>
              </w:tc>
              <w:tc>
                <w:tcPr>
                  <w:tcW w:w="2556" w:type="dxa"/>
                  <w:shd w:val="clear" w:color="auto" w:fill="auto"/>
                  <w:vAlign w:val="center"/>
                </w:tcPr>
                <w:p>
                  <w:pPr>
                    <w:pStyle w:val="20"/>
                    <w:outlineLvl w:val="9"/>
                  </w:pPr>
                  <w:r>
                    <w:t>WH-LW-160、H-LW-120</w:t>
                  </w:r>
                </w:p>
              </w:tc>
              <w:tc>
                <w:tcPr>
                  <w:tcW w:w="1163" w:type="dxa"/>
                  <w:shd w:val="clear" w:color="auto" w:fill="auto"/>
                  <w:vAlign w:val="center"/>
                </w:tcPr>
                <w:p>
                  <w:pPr>
                    <w:pStyle w:val="20"/>
                    <w:outlineLvl w:val="9"/>
                  </w:pPr>
                  <w:r>
                    <w:t>5</w:t>
                  </w:r>
                </w:p>
              </w:tc>
              <w:tc>
                <w:tcPr>
                  <w:tcW w:w="1100" w:type="dxa"/>
                  <w:shd w:val="clear" w:color="auto" w:fill="auto"/>
                  <w:vAlign w:val="center"/>
                </w:tcPr>
                <w:p>
                  <w:pPr>
                    <w:pStyle w:val="20"/>
                    <w:outlineLvl w:val="9"/>
                  </w:pPr>
                  <w:r>
                    <w:t>5</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可倾开式压力机</w:t>
                  </w:r>
                </w:p>
              </w:tc>
              <w:tc>
                <w:tcPr>
                  <w:tcW w:w="2556" w:type="dxa"/>
                  <w:shd w:val="clear" w:color="auto" w:fill="auto"/>
                  <w:vAlign w:val="center"/>
                </w:tcPr>
                <w:p>
                  <w:pPr>
                    <w:pStyle w:val="20"/>
                    <w:outlineLvl w:val="9"/>
                  </w:pPr>
                  <w:r>
                    <w:t>J23-25、J23-40、J23-60</w:t>
                  </w:r>
                </w:p>
              </w:tc>
              <w:tc>
                <w:tcPr>
                  <w:tcW w:w="1163" w:type="dxa"/>
                  <w:shd w:val="clear" w:color="auto" w:fill="auto"/>
                  <w:vAlign w:val="center"/>
                </w:tcPr>
                <w:p>
                  <w:pPr>
                    <w:pStyle w:val="20"/>
                    <w:outlineLvl w:val="9"/>
                  </w:pPr>
                  <w:r>
                    <w:t>6</w:t>
                  </w:r>
                </w:p>
              </w:tc>
              <w:tc>
                <w:tcPr>
                  <w:tcW w:w="1100" w:type="dxa"/>
                  <w:shd w:val="clear" w:color="auto" w:fill="auto"/>
                  <w:vAlign w:val="center"/>
                </w:tcPr>
                <w:p>
                  <w:pPr>
                    <w:pStyle w:val="20"/>
                    <w:outlineLvl w:val="9"/>
                  </w:pPr>
                  <w:r>
                    <w:t>6</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可倾开式压力机</w:t>
                  </w:r>
                </w:p>
              </w:tc>
              <w:tc>
                <w:tcPr>
                  <w:tcW w:w="2556" w:type="dxa"/>
                  <w:shd w:val="clear" w:color="auto" w:fill="auto"/>
                  <w:vAlign w:val="center"/>
                </w:tcPr>
                <w:p>
                  <w:pPr>
                    <w:pStyle w:val="20"/>
                    <w:outlineLvl w:val="9"/>
                  </w:pPr>
                  <w:r>
                    <w:t>JB31-80</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定制三滚辗丝机</w:t>
                  </w:r>
                </w:p>
              </w:tc>
              <w:tc>
                <w:tcPr>
                  <w:tcW w:w="2556" w:type="dxa"/>
                  <w:shd w:val="clear" w:color="auto" w:fill="auto"/>
                  <w:vAlign w:val="center"/>
                </w:tcPr>
                <w:p>
                  <w:pPr>
                    <w:pStyle w:val="20"/>
                    <w:outlineLvl w:val="9"/>
                  </w:pPr>
                  <w:r>
                    <w:t>无</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中频加热炉</w:t>
                  </w:r>
                </w:p>
              </w:tc>
              <w:tc>
                <w:tcPr>
                  <w:tcW w:w="2556" w:type="dxa"/>
                  <w:shd w:val="clear" w:color="auto" w:fill="auto"/>
                  <w:vAlign w:val="center"/>
                </w:tcPr>
                <w:p>
                  <w:pPr>
                    <w:pStyle w:val="20"/>
                    <w:outlineLvl w:val="9"/>
                  </w:pPr>
                  <w:r>
                    <w:t>KGPS-250-4</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径向滚丝机</w:t>
                  </w:r>
                </w:p>
              </w:tc>
              <w:tc>
                <w:tcPr>
                  <w:tcW w:w="2556" w:type="dxa"/>
                  <w:shd w:val="clear" w:color="auto" w:fill="auto"/>
                  <w:vAlign w:val="center"/>
                </w:tcPr>
                <w:p>
                  <w:pPr>
                    <w:pStyle w:val="20"/>
                    <w:outlineLvl w:val="9"/>
                  </w:pPr>
                  <w:r>
                    <w:t>75孔、100孔</w:t>
                  </w:r>
                </w:p>
              </w:tc>
              <w:tc>
                <w:tcPr>
                  <w:tcW w:w="1163" w:type="dxa"/>
                  <w:shd w:val="clear" w:color="auto" w:fill="auto"/>
                  <w:vAlign w:val="center"/>
                </w:tcPr>
                <w:p>
                  <w:pPr>
                    <w:pStyle w:val="20"/>
                    <w:outlineLvl w:val="9"/>
                  </w:pPr>
                  <w:r>
                    <w:t>3</w:t>
                  </w:r>
                </w:p>
              </w:tc>
              <w:tc>
                <w:tcPr>
                  <w:tcW w:w="1100" w:type="dxa"/>
                  <w:shd w:val="clear" w:color="auto" w:fill="auto"/>
                  <w:vAlign w:val="center"/>
                </w:tcPr>
                <w:p>
                  <w:pPr>
                    <w:pStyle w:val="20"/>
                    <w:outlineLvl w:val="9"/>
                  </w:pPr>
                  <w:r>
                    <w:t>3</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空压机</w:t>
                  </w:r>
                </w:p>
              </w:tc>
              <w:tc>
                <w:tcPr>
                  <w:tcW w:w="2556" w:type="dxa"/>
                  <w:shd w:val="clear" w:color="auto" w:fill="auto"/>
                  <w:vAlign w:val="center"/>
                </w:tcPr>
                <w:p>
                  <w:pPr>
                    <w:pStyle w:val="20"/>
                    <w:outlineLvl w:val="9"/>
                  </w:pPr>
                  <w:r>
                    <w:t>AB-T40</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攻钻两用机</w:t>
                  </w:r>
                </w:p>
              </w:tc>
              <w:tc>
                <w:tcPr>
                  <w:tcW w:w="2556" w:type="dxa"/>
                  <w:shd w:val="clear" w:color="auto" w:fill="auto"/>
                  <w:vAlign w:val="center"/>
                </w:tcPr>
                <w:p>
                  <w:pPr>
                    <w:pStyle w:val="20"/>
                    <w:outlineLvl w:val="9"/>
                  </w:pPr>
                  <w:r>
                    <w:t>JSZ-28</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电焊机</w:t>
                  </w:r>
                </w:p>
              </w:tc>
              <w:tc>
                <w:tcPr>
                  <w:tcW w:w="2556" w:type="dxa"/>
                  <w:shd w:val="clear" w:color="auto" w:fill="auto"/>
                  <w:vAlign w:val="center"/>
                </w:tcPr>
                <w:p>
                  <w:pPr>
                    <w:pStyle w:val="20"/>
                    <w:outlineLvl w:val="9"/>
                  </w:pPr>
                  <w:r>
                    <w:rPr>
                      <w:rFonts w:hint="eastAsia"/>
                    </w:rPr>
                    <w:t>B</w:t>
                  </w:r>
                  <w:r>
                    <w:t>X1</w:t>
                  </w:r>
                  <w:r>
                    <w:rPr>
                      <w:rFonts w:hint="eastAsia"/>
                    </w:rPr>
                    <w:t>-</w:t>
                  </w:r>
                  <w:r>
                    <w:t>400</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钻铣床</w:t>
                  </w:r>
                </w:p>
              </w:tc>
              <w:tc>
                <w:tcPr>
                  <w:tcW w:w="2556" w:type="dxa"/>
                  <w:shd w:val="clear" w:color="auto" w:fill="auto"/>
                  <w:vAlign w:val="center"/>
                </w:tcPr>
                <w:p>
                  <w:pPr>
                    <w:pStyle w:val="20"/>
                    <w:outlineLvl w:val="9"/>
                  </w:pPr>
                  <w:r>
                    <w:t>ZX50</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锯床</w:t>
                  </w:r>
                </w:p>
              </w:tc>
              <w:tc>
                <w:tcPr>
                  <w:tcW w:w="2556" w:type="dxa"/>
                  <w:shd w:val="clear" w:color="auto" w:fill="auto"/>
                  <w:vAlign w:val="center"/>
                </w:tcPr>
                <w:p>
                  <w:pPr>
                    <w:pStyle w:val="20"/>
                    <w:outlineLvl w:val="9"/>
                  </w:pPr>
                  <w:r>
                    <w:t>S</w:t>
                  </w:r>
                  <w:r>
                    <w:rPr>
                      <w:rFonts w:hint="eastAsia"/>
                    </w:rPr>
                    <w:t>H</w:t>
                  </w:r>
                  <w:r>
                    <w:rPr>
                      <w:rFonts w:hint="eastAsia"/>
                      <w:vertAlign w:val="subscript"/>
                    </w:rPr>
                    <w:t>4</w:t>
                  </w:r>
                  <w:r>
                    <w:t>028</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车床</w:t>
                  </w:r>
                </w:p>
              </w:tc>
              <w:tc>
                <w:tcPr>
                  <w:tcW w:w="2556" w:type="dxa"/>
                  <w:shd w:val="clear" w:color="auto" w:fill="auto"/>
                  <w:vAlign w:val="center"/>
                </w:tcPr>
                <w:p>
                  <w:pPr>
                    <w:pStyle w:val="20"/>
                    <w:outlineLvl w:val="9"/>
                  </w:pPr>
                  <w:r>
                    <w:t>CD36136、CA6150A</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restart"/>
                  <w:shd w:val="clear" w:color="auto" w:fill="auto"/>
                  <w:vAlign w:val="center"/>
                </w:tcPr>
                <w:p>
                  <w:pPr>
                    <w:pStyle w:val="20"/>
                    <w:outlineLvl w:val="9"/>
                  </w:pPr>
                  <w:r>
                    <w:t>拉丝切断车间</w:t>
                  </w:r>
                </w:p>
              </w:tc>
              <w:tc>
                <w:tcPr>
                  <w:tcW w:w="1996" w:type="dxa"/>
                  <w:shd w:val="clear" w:color="auto" w:fill="auto"/>
                  <w:vAlign w:val="center"/>
                </w:tcPr>
                <w:p>
                  <w:pPr>
                    <w:pStyle w:val="20"/>
                    <w:outlineLvl w:val="9"/>
                  </w:pPr>
                  <w:r>
                    <w:t>可倾开式压力机</w:t>
                  </w:r>
                </w:p>
              </w:tc>
              <w:tc>
                <w:tcPr>
                  <w:tcW w:w="2556" w:type="dxa"/>
                  <w:shd w:val="clear" w:color="auto" w:fill="auto"/>
                  <w:vAlign w:val="center"/>
                </w:tcPr>
                <w:p>
                  <w:pPr>
                    <w:pStyle w:val="20"/>
                    <w:outlineLvl w:val="9"/>
                  </w:pPr>
                  <w:r>
                    <w:t>J23-125</w:t>
                  </w:r>
                </w:p>
              </w:tc>
              <w:tc>
                <w:tcPr>
                  <w:tcW w:w="1163" w:type="dxa"/>
                  <w:shd w:val="clear" w:color="auto" w:fill="auto"/>
                  <w:vAlign w:val="center"/>
                </w:tcPr>
                <w:p>
                  <w:pPr>
                    <w:pStyle w:val="20"/>
                    <w:outlineLvl w:val="9"/>
                  </w:pPr>
                  <w:r>
                    <w:t>2</w:t>
                  </w:r>
                </w:p>
              </w:tc>
              <w:tc>
                <w:tcPr>
                  <w:tcW w:w="1100" w:type="dxa"/>
                  <w:shd w:val="clear" w:color="auto" w:fill="auto"/>
                  <w:vAlign w:val="center"/>
                </w:tcPr>
                <w:p>
                  <w:pPr>
                    <w:pStyle w:val="20"/>
                    <w:outlineLvl w:val="9"/>
                  </w:pPr>
                  <w: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tcPr>
                <w:p>
                  <w:pPr>
                    <w:pStyle w:val="20"/>
                    <w:outlineLvl w:val="9"/>
                  </w:pPr>
                  <w:r>
                    <w:rPr>
                      <w:rFonts w:hint="eastAsia"/>
                    </w:rPr>
                    <w:t>专用切断机（锯床）</w:t>
                  </w:r>
                </w:p>
              </w:tc>
              <w:tc>
                <w:tcPr>
                  <w:tcW w:w="2556" w:type="dxa"/>
                  <w:shd w:val="clear" w:color="auto" w:fill="auto"/>
                  <w:vAlign w:val="center"/>
                </w:tcPr>
                <w:p>
                  <w:pPr>
                    <w:pStyle w:val="20"/>
                    <w:outlineLvl w:val="9"/>
                  </w:pPr>
                  <w:r>
                    <w:t>G25-60</w:t>
                  </w:r>
                </w:p>
              </w:tc>
              <w:tc>
                <w:tcPr>
                  <w:tcW w:w="1163" w:type="dxa"/>
                  <w:shd w:val="clear" w:color="auto" w:fill="auto"/>
                  <w:vAlign w:val="center"/>
                </w:tcPr>
                <w:p>
                  <w:pPr>
                    <w:pStyle w:val="20"/>
                    <w:outlineLvl w:val="9"/>
                  </w:pPr>
                  <w:r>
                    <w:t>1</w:t>
                  </w:r>
                </w:p>
              </w:tc>
              <w:tc>
                <w:tcPr>
                  <w:tcW w:w="1100" w:type="dxa"/>
                  <w:shd w:val="clear" w:color="auto" w:fill="auto"/>
                  <w:vAlign w:val="center"/>
                </w:tcPr>
                <w:p>
                  <w:pPr>
                    <w:pStyle w:val="20"/>
                    <w:outlineLvl w:val="9"/>
                  </w:pPr>
                  <w: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抛丸机</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8</w:t>
                  </w:r>
                </w:p>
              </w:tc>
              <w:tc>
                <w:tcPr>
                  <w:tcW w:w="1100" w:type="dxa"/>
                  <w:shd w:val="clear" w:color="auto" w:fill="auto"/>
                  <w:vAlign w:val="center"/>
                </w:tcPr>
                <w:p>
                  <w:pPr>
                    <w:pStyle w:val="20"/>
                    <w:outlineLvl w:val="9"/>
                    <w:rPr>
                      <w:rFonts w:hint="eastAsia" w:eastAsia="宋体"/>
                      <w:lang w:eastAsia="zh-CN"/>
                    </w:rPr>
                  </w:pPr>
                  <w:r>
                    <w:rPr>
                      <w:rFonts w:hint="eastAsia"/>
                      <w:lang w:val="en-US" w:eastAsia="zh-CN"/>
                    </w:rPr>
                    <w:t>7</w:t>
                  </w:r>
                </w:p>
              </w:tc>
              <w:tc>
                <w:tcPr>
                  <w:tcW w:w="1100" w:type="dxa"/>
                  <w:shd w:val="clear" w:color="auto" w:fill="auto"/>
                  <w:vAlign w:val="center"/>
                </w:tcPr>
                <w:p>
                  <w:pPr>
                    <w:pStyle w:val="20"/>
                    <w:outlineLvl w:val="9"/>
                  </w:pPr>
                  <w:r>
                    <w:rPr>
                      <w:rFonts w:hint="eastAsia"/>
                    </w:rPr>
                    <w:t>6台利旧，</w:t>
                  </w:r>
                  <w:r>
                    <w:rPr>
                      <w:rFonts w:hint="eastAsia"/>
                      <w:lang w:val="en-US" w:eastAsia="zh-CN"/>
                    </w:rPr>
                    <w:t>1</w:t>
                  </w:r>
                  <w:r>
                    <w:rPr>
                      <w:rFonts w:hint="eastAsia"/>
                    </w:rPr>
                    <w:t>台新增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拉丝机</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2</w:t>
                  </w:r>
                </w:p>
              </w:tc>
              <w:tc>
                <w:tcPr>
                  <w:tcW w:w="1100" w:type="dxa"/>
                  <w:shd w:val="clear" w:color="auto" w:fill="auto"/>
                  <w:vAlign w:val="center"/>
                </w:tcPr>
                <w:p>
                  <w:pPr>
                    <w:pStyle w:val="20"/>
                    <w:outlineLvl w:val="9"/>
                  </w:pPr>
                  <w:r>
                    <w:rPr>
                      <w:rFonts w:hint="eastAsia"/>
                    </w:rPr>
                    <w:t>2</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restart"/>
                  <w:shd w:val="clear" w:color="auto" w:fill="auto"/>
                  <w:vAlign w:val="center"/>
                </w:tcPr>
                <w:p>
                  <w:pPr>
                    <w:pStyle w:val="20"/>
                    <w:outlineLvl w:val="9"/>
                  </w:pPr>
                  <w:r>
                    <w:t>热处理车间</w:t>
                  </w:r>
                </w:p>
              </w:tc>
              <w:tc>
                <w:tcPr>
                  <w:tcW w:w="1996" w:type="dxa"/>
                  <w:shd w:val="clear" w:color="auto" w:fill="auto"/>
                  <w:vAlign w:val="center"/>
                </w:tcPr>
                <w:p>
                  <w:pPr>
                    <w:pStyle w:val="20"/>
                    <w:outlineLvl w:val="9"/>
                  </w:pPr>
                  <w:r>
                    <w:rPr>
                      <w:rFonts w:hint="eastAsia"/>
                    </w:rPr>
                    <w:t>淬火炉</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淬火槽</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清洗槽</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回火炉</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发黑槽</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发黑炉</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利旧</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restart"/>
                  <w:shd w:val="clear" w:color="auto" w:fill="auto"/>
                  <w:vAlign w:val="center"/>
                </w:tcPr>
                <w:p>
                  <w:pPr>
                    <w:pStyle w:val="20"/>
                    <w:outlineLvl w:val="9"/>
                  </w:pPr>
                  <w:r>
                    <w:t>热镀锌车间</w:t>
                  </w:r>
                </w:p>
                <w:p>
                  <w:pPr>
                    <w:jc w:val="center"/>
                    <w:outlineLvl w:val="9"/>
                  </w:pPr>
                  <w:r>
                    <w:rPr>
                      <w:rFonts w:hint="eastAsia"/>
                    </w:rPr>
                    <w:t>（全自动热镀锌生产线）</w:t>
                  </w:r>
                </w:p>
              </w:tc>
              <w:tc>
                <w:tcPr>
                  <w:tcW w:w="1996" w:type="dxa"/>
                  <w:shd w:val="clear" w:color="auto" w:fill="auto"/>
                  <w:vAlign w:val="center"/>
                </w:tcPr>
                <w:p>
                  <w:pPr>
                    <w:pStyle w:val="20"/>
                    <w:outlineLvl w:val="9"/>
                  </w:pPr>
                  <w:r>
                    <w:rPr>
                      <w:rFonts w:hint="eastAsia"/>
                    </w:rPr>
                    <w:t>工件篮</w:t>
                  </w:r>
                </w:p>
              </w:tc>
              <w:tc>
                <w:tcPr>
                  <w:tcW w:w="2556" w:type="dxa"/>
                  <w:shd w:val="clear" w:color="auto" w:fill="auto"/>
                  <w:vAlign w:val="center"/>
                </w:tcPr>
                <w:p>
                  <w:pPr>
                    <w:pStyle w:val="20"/>
                    <w:outlineLvl w:val="9"/>
                  </w:pPr>
                  <w:r>
                    <w:rPr>
                      <w:rFonts w:hint="eastAsia"/>
                    </w:rPr>
                    <w:t>塑料材质</w:t>
                  </w:r>
                </w:p>
              </w:tc>
              <w:tc>
                <w:tcPr>
                  <w:tcW w:w="1163" w:type="dxa"/>
                  <w:shd w:val="clear" w:color="auto" w:fill="auto"/>
                  <w:vAlign w:val="center"/>
                </w:tcPr>
                <w:p>
                  <w:pPr>
                    <w:pStyle w:val="20"/>
                    <w:outlineLvl w:val="9"/>
                  </w:pPr>
                  <w:r>
                    <w:rPr>
                      <w:rFonts w:hint="eastAsia"/>
                    </w:rPr>
                    <w:t>8</w:t>
                  </w:r>
                </w:p>
              </w:tc>
              <w:tc>
                <w:tcPr>
                  <w:tcW w:w="1100" w:type="dxa"/>
                  <w:shd w:val="clear" w:color="auto" w:fill="auto"/>
                  <w:vAlign w:val="center"/>
                </w:tcPr>
                <w:p>
                  <w:pPr>
                    <w:pStyle w:val="20"/>
                    <w:outlineLvl w:val="9"/>
                  </w:pPr>
                  <w:r>
                    <w:rPr>
                      <w:rFonts w:hint="eastAsia"/>
                    </w:rPr>
                    <w:t>8</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rPr>
                      <w:rFonts w:hint="eastAsia"/>
                    </w:rPr>
                    <w:t>工件篮</w:t>
                  </w:r>
                </w:p>
              </w:tc>
              <w:tc>
                <w:tcPr>
                  <w:tcW w:w="2556" w:type="dxa"/>
                  <w:shd w:val="clear" w:color="auto" w:fill="auto"/>
                  <w:vAlign w:val="center"/>
                </w:tcPr>
                <w:p>
                  <w:pPr>
                    <w:pStyle w:val="20"/>
                    <w:outlineLvl w:val="9"/>
                  </w:pPr>
                  <w:r>
                    <w:rPr>
                      <w:rFonts w:hint="eastAsia"/>
                    </w:rPr>
                    <w:t>不锈钢材质</w:t>
                  </w:r>
                </w:p>
              </w:tc>
              <w:tc>
                <w:tcPr>
                  <w:tcW w:w="1163" w:type="dxa"/>
                  <w:shd w:val="clear" w:color="auto" w:fill="auto"/>
                  <w:vAlign w:val="center"/>
                </w:tcPr>
                <w:p>
                  <w:pPr>
                    <w:pStyle w:val="20"/>
                    <w:outlineLvl w:val="9"/>
                  </w:pPr>
                  <w:r>
                    <w:rPr>
                      <w:rFonts w:hint="eastAsia"/>
                    </w:rPr>
                    <w:t>8</w:t>
                  </w:r>
                </w:p>
              </w:tc>
              <w:tc>
                <w:tcPr>
                  <w:tcW w:w="1100" w:type="dxa"/>
                  <w:shd w:val="clear" w:color="auto" w:fill="auto"/>
                  <w:vAlign w:val="center"/>
                </w:tcPr>
                <w:p>
                  <w:pPr>
                    <w:pStyle w:val="20"/>
                    <w:outlineLvl w:val="9"/>
                  </w:pPr>
                  <w:r>
                    <w:rPr>
                      <w:rFonts w:hint="eastAsia"/>
                    </w:rPr>
                    <w:t>8</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除油槽</w:t>
                  </w:r>
                </w:p>
              </w:tc>
              <w:tc>
                <w:tcPr>
                  <w:tcW w:w="2556" w:type="dxa"/>
                  <w:shd w:val="clear" w:color="auto" w:fill="auto"/>
                  <w:vAlign w:val="center"/>
                </w:tcPr>
                <w:p>
                  <w:pPr>
                    <w:jc w:val="center"/>
                    <w:outlineLvl w:val="9"/>
                  </w:pPr>
                  <w:r>
                    <w:rPr>
                      <w:rFonts w:hint="eastAsia"/>
                    </w:rPr>
                    <w:t>1800</w:t>
                  </w:r>
                  <w:r>
                    <w:rPr>
                      <w:lang w:val="fr-FR"/>
                    </w:rPr>
                    <w:t>×</w:t>
                  </w:r>
                  <w:r>
                    <w:rPr>
                      <w:rFonts w:hint="eastAsia"/>
                    </w:rPr>
                    <w:t>1000</w:t>
                  </w:r>
                  <w:r>
                    <w:rPr>
                      <w:lang w:val="fr-FR"/>
                    </w:rPr>
                    <w:t>×</w:t>
                  </w:r>
                  <w:r>
                    <w:rPr>
                      <w:rFonts w:hint="eastAsia"/>
                    </w:rPr>
                    <w:t>1200mm</w:t>
                  </w:r>
                </w:p>
              </w:tc>
              <w:tc>
                <w:tcPr>
                  <w:tcW w:w="1163" w:type="dxa"/>
                  <w:shd w:val="clear" w:color="auto" w:fill="auto"/>
                  <w:vAlign w:val="center"/>
                </w:tcPr>
                <w:p>
                  <w:pPr>
                    <w:pStyle w:val="20"/>
                    <w:outlineLvl w:val="9"/>
                  </w:pPr>
                  <w:r>
                    <w:rPr>
                      <w:rFonts w:hint="eastAsia"/>
                    </w:rPr>
                    <w:t>3</w:t>
                  </w:r>
                </w:p>
              </w:tc>
              <w:tc>
                <w:tcPr>
                  <w:tcW w:w="1100" w:type="dxa"/>
                  <w:shd w:val="clear" w:color="auto" w:fill="auto"/>
                  <w:vAlign w:val="center"/>
                </w:tcPr>
                <w:p>
                  <w:pPr>
                    <w:pStyle w:val="20"/>
                    <w:outlineLvl w:val="9"/>
                    <w:rPr>
                      <w:rFonts w:hint="eastAsia" w:eastAsia="宋体"/>
                      <w:lang w:eastAsia="zh-CN"/>
                    </w:rPr>
                  </w:pPr>
                  <w:r>
                    <w:rPr>
                      <w:rFonts w:hint="eastAsia"/>
                      <w:lang w:val="en-US" w:eastAsia="zh-CN"/>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除油后水洗槽</w:t>
                  </w:r>
                </w:p>
              </w:tc>
              <w:tc>
                <w:tcPr>
                  <w:tcW w:w="2556" w:type="dxa"/>
                  <w:shd w:val="clear" w:color="auto" w:fill="auto"/>
                  <w:vAlign w:val="center"/>
                </w:tcPr>
                <w:p>
                  <w:pPr>
                    <w:jc w:val="center"/>
                    <w:outlineLvl w:val="9"/>
                  </w:pPr>
                  <w:r>
                    <w:rPr>
                      <w:rFonts w:hint="eastAsia"/>
                    </w:rPr>
                    <w:t>1800</w:t>
                  </w:r>
                  <w:r>
                    <w:rPr>
                      <w:lang w:val="fr-FR"/>
                    </w:rPr>
                    <w:t>×</w:t>
                  </w:r>
                  <w:r>
                    <w:rPr>
                      <w:rFonts w:hint="eastAsia"/>
                    </w:rPr>
                    <w:t>1000</w:t>
                  </w:r>
                  <w:r>
                    <w:rPr>
                      <w:lang w:val="fr-FR"/>
                    </w:rPr>
                    <w:t>×</w:t>
                  </w:r>
                  <w:r>
                    <w:rPr>
                      <w:rFonts w:hint="eastAsia"/>
                    </w:rPr>
                    <w:t>1200mm</w:t>
                  </w:r>
                </w:p>
              </w:tc>
              <w:tc>
                <w:tcPr>
                  <w:tcW w:w="1163" w:type="dxa"/>
                  <w:shd w:val="clear" w:color="auto" w:fill="auto"/>
                  <w:vAlign w:val="center"/>
                </w:tcPr>
                <w:p>
                  <w:pPr>
                    <w:pStyle w:val="20"/>
                    <w:outlineLvl w:val="9"/>
                  </w:pPr>
                  <w:r>
                    <w:rPr>
                      <w:rFonts w:hint="eastAsia"/>
                    </w:rPr>
                    <w:t>2</w:t>
                  </w:r>
                </w:p>
              </w:tc>
              <w:tc>
                <w:tcPr>
                  <w:tcW w:w="1100" w:type="dxa"/>
                  <w:shd w:val="clear" w:color="auto" w:fill="auto"/>
                  <w:vAlign w:val="center"/>
                </w:tcPr>
                <w:p>
                  <w:pPr>
                    <w:pStyle w:val="20"/>
                    <w:outlineLvl w:val="9"/>
                    <w:rPr>
                      <w:rFonts w:hint="eastAsia" w:eastAsia="宋体"/>
                      <w:lang w:eastAsia="zh-CN"/>
                    </w:rPr>
                  </w:pPr>
                  <w:r>
                    <w:rPr>
                      <w:rFonts w:hint="eastAsia"/>
                      <w:lang w:val="en-US" w:eastAsia="zh-CN"/>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酸洗槽</w:t>
                  </w:r>
                </w:p>
              </w:tc>
              <w:tc>
                <w:tcPr>
                  <w:tcW w:w="2556" w:type="dxa"/>
                  <w:shd w:val="clear" w:color="auto" w:fill="auto"/>
                  <w:vAlign w:val="center"/>
                </w:tcPr>
                <w:p>
                  <w:pPr>
                    <w:jc w:val="center"/>
                    <w:outlineLvl w:val="9"/>
                  </w:pPr>
                  <w:r>
                    <w:rPr>
                      <w:rFonts w:hint="eastAsia"/>
                    </w:rPr>
                    <w:t>1800</w:t>
                  </w:r>
                  <w:r>
                    <w:rPr>
                      <w:lang w:val="fr-FR"/>
                    </w:rPr>
                    <w:t>×</w:t>
                  </w:r>
                  <w:r>
                    <w:rPr>
                      <w:rFonts w:hint="eastAsia"/>
                    </w:rPr>
                    <w:t>1000</w:t>
                  </w:r>
                  <w:r>
                    <w:rPr>
                      <w:lang w:val="fr-FR"/>
                    </w:rPr>
                    <w:t>×</w:t>
                  </w:r>
                  <w:r>
                    <w:rPr>
                      <w:rFonts w:hint="eastAsia"/>
                    </w:rPr>
                    <w:t>1200mm</w:t>
                  </w:r>
                </w:p>
              </w:tc>
              <w:tc>
                <w:tcPr>
                  <w:tcW w:w="1163"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rPr>
                      <w:rFonts w:hint="eastAsia" w:eastAsia="宋体"/>
                      <w:lang w:eastAsia="zh-CN"/>
                    </w:rPr>
                  </w:pPr>
                  <w:r>
                    <w:rPr>
                      <w:rFonts w:hint="eastAsia"/>
                      <w:lang w:val="en-US" w:eastAsia="zh-CN"/>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酸洗后水洗槽</w:t>
                  </w:r>
                </w:p>
              </w:tc>
              <w:tc>
                <w:tcPr>
                  <w:tcW w:w="2556" w:type="dxa"/>
                  <w:shd w:val="clear" w:color="auto" w:fill="auto"/>
                  <w:vAlign w:val="center"/>
                </w:tcPr>
                <w:p>
                  <w:pPr>
                    <w:jc w:val="center"/>
                    <w:outlineLvl w:val="9"/>
                  </w:pPr>
                  <w:r>
                    <w:rPr>
                      <w:rFonts w:hint="eastAsia"/>
                    </w:rPr>
                    <w:t>1800</w:t>
                  </w:r>
                  <w:r>
                    <w:rPr>
                      <w:lang w:val="fr-FR"/>
                    </w:rPr>
                    <w:t>×</w:t>
                  </w:r>
                  <w:r>
                    <w:rPr>
                      <w:rFonts w:hint="eastAsia"/>
                    </w:rPr>
                    <w:t>1000</w:t>
                  </w:r>
                  <w:r>
                    <w:rPr>
                      <w:lang w:val="fr-FR"/>
                    </w:rPr>
                    <w:t>×</w:t>
                  </w:r>
                  <w:r>
                    <w:rPr>
                      <w:rFonts w:hint="eastAsia"/>
                    </w:rPr>
                    <w:t>1200mm</w:t>
                  </w:r>
                </w:p>
              </w:tc>
              <w:tc>
                <w:tcPr>
                  <w:tcW w:w="1163"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rPr>
                      <w:rFonts w:hint="eastAsia" w:eastAsia="宋体"/>
                      <w:lang w:eastAsia="zh-CN"/>
                    </w:rPr>
                  </w:pPr>
                  <w:r>
                    <w:rPr>
                      <w:rFonts w:hint="eastAsia"/>
                      <w:lang w:val="en-US" w:eastAsia="zh-CN"/>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助镀槽</w:t>
                  </w:r>
                </w:p>
              </w:tc>
              <w:tc>
                <w:tcPr>
                  <w:tcW w:w="2556" w:type="dxa"/>
                  <w:shd w:val="clear" w:color="auto" w:fill="auto"/>
                  <w:vAlign w:val="center"/>
                </w:tcPr>
                <w:p>
                  <w:pPr>
                    <w:jc w:val="center"/>
                    <w:outlineLvl w:val="9"/>
                  </w:pPr>
                  <w:r>
                    <w:rPr>
                      <w:rFonts w:hint="eastAsia"/>
                    </w:rPr>
                    <w:t>1800</w:t>
                  </w:r>
                  <w:r>
                    <w:rPr>
                      <w:lang w:val="fr-FR"/>
                    </w:rPr>
                    <w:t>×</w:t>
                  </w:r>
                  <w:r>
                    <w:rPr>
                      <w:rFonts w:hint="eastAsia"/>
                    </w:rPr>
                    <w:t>1000</w:t>
                  </w:r>
                  <w:r>
                    <w:rPr>
                      <w:lang w:val="fr-FR"/>
                    </w:rPr>
                    <w:t>×</w:t>
                  </w:r>
                  <w:r>
                    <w:rPr>
                      <w:rFonts w:hint="eastAsia"/>
                    </w:rPr>
                    <w:t>1200mm</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70"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烘干网链</w:t>
                  </w:r>
                </w:p>
              </w:tc>
              <w:tc>
                <w:tcPr>
                  <w:tcW w:w="2556" w:type="dxa"/>
                  <w:shd w:val="clear" w:color="auto" w:fill="auto"/>
                  <w:vAlign w:val="center"/>
                </w:tcPr>
                <w:p>
                  <w:pPr>
                    <w:pStyle w:val="20"/>
                    <w:outlineLvl w:val="9"/>
                  </w:pPr>
                  <w:r>
                    <w:t>/</w:t>
                  </w:r>
                </w:p>
              </w:tc>
              <w:tc>
                <w:tcPr>
                  <w:tcW w:w="1163"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锌锅</w:t>
                  </w:r>
                </w:p>
              </w:tc>
              <w:tc>
                <w:tcPr>
                  <w:tcW w:w="2556" w:type="dxa"/>
                  <w:shd w:val="clear" w:color="auto" w:fill="auto"/>
                  <w:vAlign w:val="center"/>
                </w:tcPr>
                <w:p>
                  <w:pPr>
                    <w:jc w:val="center"/>
                    <w:outlineLvl w:val="9"/>
                  </w:pPr>
                  <w:r>
                    <w:rPr>
                      <w:rFonts w:hint="eastAsia"/>
                    </w:rPr>
                    <w:t>4000×1000×1800mm</w:t>
                  </w:r>
                </w:p>
              </w:tc>
              <w:tc>
                <w:tcPr>
                  <w:tcW w:w="1163" w:type="dxa"/>
                  <w:shd w:val="clear" w:color="auto" w:fill="auto"/>
                  <w:vAlign w:val="center"/>
                </w:tcPr>
                <w:p>
                  <w:pPr>
                    <w:pStyle w:val="20"/>
                    <w:outlineLvl w:val="9"/>
                  </w:pPr>
                  <w:r>
                    <w:rPr>
                      <w:rFonts w:hint="eastAsia"/>
                    </w:rPr>
                    <w:t>2</w:t>
                  </w:r>
                </w:p>
              </w:tc>
              <w:tc>
                <w:tcPr>
                  <w:tcW w:w="1100" w:type="dxa"/>
                  <w:shd w:val="clear" w:color="auto" w:fill="auto"/>
                  <w:vAlign w:val="center"/>
                </w:tcPr>
                <w:p>
                  <w:pPr>
                    <w:pStyle w:val="20"/>
                    <w:outlineLvl w:val="9"/>
                  </w:pPr>
                  <w:r>
                    <w:rPr>
                      <w:rFonts w:hint="eastAsia"/>
                    </w:rPr>
                    <w:t>2</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空冷网链</w:t>
                  </w:r>
                </w:p>
              </w:tc>
              <w:tc>
                <w:tcPr>
                  <w:tcW w:w="2556" w:type="dxa"/>
                  <w:shd w:val="clear" w:color="auto" w:fill="auto"/>
                  <w:vAlign w:val="center"/>
                </w:tcPr>
                <w:p>
                  <w:pPr>
                    <w:pStyle w:val="20"/>
                    <w:outlineLvl w:val="9"/>
                  </w:pPr>
                  <w:r>
                    <w:t>/</w:t>
                  </w:r>
                </w:p>
              </w:tc>
              <w:tc>
                <w:tcPr>
                  <w:tcW w:w="1163" w:type="dxa"/>
                  <w:shd w:val="clear" w:color="auto" w:fill="auto"/>
                  <w:vAlign w:val="center"/>
                </w:tcPr>
                <w:p>
                  <w:pPr>
                    <w:pStyle w:val="20"/>
                    <w:outlineLvl w:val="9"/>
                  </w:pPr>
                  <w:r>
                    <w:t>4</w:t>
                  </w:r>
                </w:p>
              </w:tc>
              <w:tc>
                <w:tcPr>
                  <w:tcW w:w="1100" w:type="dxa"/>
                  <w:shd w:val="clear" w:color="auto" w:fill="auto"/>
                  <w:vAlign w:val="center"/>
                </w:tcPr>
                <w:p>
                  <w:pPr>
                    <w:pStyle w:val="20"/>
                    <w:outlineLvl w:val="9"/>
                  </w:pPr>
                  <w:r>
                    <w:t>4</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水冷网链</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pPr>
                  <w:r>
                    <w:rPr>
                      <w:rFonts w:hint="eastAsia"/>
                    </w:rPr>
                    <w:t>4</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自动翻料机</w:t>
                  </w:r>
                </w:p>
              </w:tc>
              <w:tc>
                <w:tcPr>
                  <w:tcW w:w="2556" w:type="dxa"/>
                  <w:shd w:val="clear" w:color="auto" w:fill="auto"/>
                  <w:vAlign w:val="center"/>
                </w:tcPr>
                <w:p>
                  <w:pPr>
                    <w:pStyle w:val="20"/>
                    <w:outlineLvl w:val="9"/>
                  </w:pPr>
                  <w:r>
                    <w:rPr>
                      <w:rFonts w:hint="eastAsia"/>
                    </w:rPr>
                    <w:t>/</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新增</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142" w:hRule="atLeast"/>
                <w:jc w:val="center"/>
              </w:trPr>
              <w:tc>
                <w:tcPr>
                  <w:tcW w:w="1408" w:type="dxa"/>
                  <w:vMerge w:val="continue"/>
                  <w:shd w:val="clear" w:color="auto" w:fill="auto"/>
                  <w:vAlign w:val="center"/>
                </w:tcPr>
                <w:p>
                  <w:pPr>
                    <w:pStyle w:val="20"/>
                    <w:outlineLvl w:val="9"/>
                  </w:pPr>
                </w:p>
              </w:tc>
              <w:tc>
                <w:tcPr>
                  <w:tcW w:w="1996" w:type="dxa"/>
                  <w:shd w:val="clear" w:color="auto" w:fill="auto"/>
                  <w:vAlign w:val="center"/>
                </w:tcPr>
                <w:p>
                  <w:pPr>
                    <w:pStyle w:val="20"/>
                    <w:outlineLvl w:val="9"/>
                  </w:pPr>
                  <w:r>
                    <w:t>锌锅加热炉</w:t>
                  </w:r>
                </w:p>
              </w:tc>
              <w:tc>
                <w:tcPr>
                  <w:tcW w:w="2556" w:type="dxa"/>
                  <w:shd w:val="clear" w:color="auto" w:fill="auto"/>
                  <w:vAlign w:val="center"/>
                </w:tcPr>
                <w:p>
                  <w:pPr>
                    <w:pStyle w:val="20"/>
                    <w:outlineLvl w:val="9"/>
                  </w:pPr>
                  <w:r>
                    <w:rPr>
                      <w:rFonts w:hint="eastAsia"/>
                    </w:rPr>
                    <w:t>天然气加热</w:t>
                  </w:r>
                </w:p>
              </w:tc>
              <w:tc>
                <w:tcPr>
                  <w:tcW w:w="1163"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1</w:t>
                  </w:r>
                </w:p>
              </w:tc>
              <w:tc>
                <w:tcPr>
                  <w:tcW w:w="1100" w:type="dxa"/>
                  <w:shd w:val="clear" w:color="auto" w:fill="auto"/>
                  <w:vAlign w:val="center"/>
                </w:tcPr>
                <w:p>
                  <w:pPr>
                    <w:pStyle w:val="20"/>
                    <w:outlineLvl w:val="9"/>
                  </w:pPr>
                  <w:r>
                    <w:rPr>
                      <w:rFonts w:hint="eastAsia"/>
                    </w:rPr>
                    <w:t>新增</w:t>
                  </w:r>
                </w:p>
              </w:tc>
            </w:tr>
          </w:tbl>
          <w:p>
            <w:pPr>
              <w:pStyle w:val="2"/>
              <w:outlineLvl w:val="9"/>
            </w:pPr>
          </w:p>
          <w:p>
            <w:pPr>
              <w:pStyle w:val="6"/>
              <w:spacing w:line="360" w:lineRule="auto"/>
              <w:ind w:left="0" w:leftChars="0"/>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2.6项目水平衡图如下</w:t>
            </w:r>
          </w:p>
          <w:p>
            <w:pPr>
              <w:pStyle w:val="6"/>
              <w:spacing w:line="360" w:lineRule="auto"/>
              <w:ind w:left="0" w:leftChars="0"/>
              <w:jc w:val="center"/>
              <w:outlineLvl w:val="9"/>
              <w:rPr>
                <w:rFonts w:asciiTheme="majorEastAsia" w:hAnsiTheme="majorEastAsia" w:eastAsiaTheme="majorEastAsia" w:cstheme="majorEastAsia"/>
                <w:sz w:val="24"/>
              </w:rPr>
            </w:pPr>
            <w:r>
              <w:object>
                <v:shape id="_x0000_i1025" o:spt="75" type="#_x0000_t75" style="height:200.25pt;width:360.75pt;" o:ole="t" filled="f" o:preferrelative="t" stroked="f" coordsize="21600,21600">
                  <v:path/>
                  <v:fill on="f" focussize="0,0"/>
                  <v:stroke on="f" joinstyle="miter"/>
                  <v:imagedata r:id="rId8" o:title=""/>
                  <o:lock v:ext="edit" aspectratio="t"/>
                  <w10:wrap type="none"/>
                  <w10:anchorlock/>
                </v:shape>
                <o:OLEObject Type="Embed" ProgID="Visio.Drawing.11" ShapeID="_x0000_i1025" DrawAspect="Content" ObjectID="_1468075725" r:id="rId7">
                  <o:LockedField>false</o:LockedField>
                </o:OLEObject>
              </w:object>
            </w:r>
          </w:p>
          <w:p>
            <w:pPr>
              <w:spacing w:line="360" w:lineRule="auto"/>
              <w:jc w:val="center"/>
              <w:outlineLvl w:val="9"/>
              <w:rPr>
                <w:rFonts w:ascii="宋体" w:hAnsi="宋体" w:cs="宋体"/>
                <w:b/>
                <w:sz w:val="24"/>
              </w:rPr>
            </w:pPr>
            <w:r>
              <w:rPr>
                <w:rFonts w:hint="eastAsia" w:ascii="宋体" w:hAnsi="宋体" w:cs="宋体"/>
                <w:b/>
                <w:color w:val="FF0000"/>
                <w:sz w:val="24"/>
              </w:rPr>
              <w:t>图2-1 项目水平衡图（单位m³/d）</w:t>
            </w:r>
          </w:p>
          <w:p>
            <w:pPr>
              <w:spacing w:line="360" w:lineRule="auto"/>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2.7主要生产工艺流程及产污位置</w:t>
            </w:r>
          </w:p>
          <w:p>
            <w:pPr>
              <w:spacing w:line="360" w:lineRule="auto"/>
              <w:ind w:firstLine="480" w:firstLineChars="200"/>
              <w:outlineLvl w:val="9"/>
              <w:rPr>
                <w:sz w:val="24"/>
              </w:rPr>
            </w:pPr>
            <w:r>
              <w:rPr>
                <w:rFonts w:hint="eastAsia"/>
                <w:sz w:val="24"/>
              </w:rPr>
              <w:t>1、紧固件生产</w:t>
            </w:r>
          </w:p>
          <w:p>
            <w:pPr>
              <w:spacing w:line="360" w:lineRule="auto"/>
              <w:ind w:firstLine="480" w:firstLineChars="200"/>
              <w:outlineLvl w:val="9"/>
              <w:rPr>
                <w:sz w:val="24"/>
              </w:rPr>
            </w:pPr>
            <w:r>
              <w:rPr>
                <w:rFonts w:hint="eastAsia"/>
                <w:sz w:val="24"/>
              </w:rPr>
              <w:t>项目紧固件生产主要为机加工和热处理过程，生产设备为新增的抛丸机和利旧的拉丝机、切断机、压力机、车床、滚丝机、钻铣床、锯床、中频加热炉、淬火炉、回火炉等设备，主要工序与现厂紧固件生产一致，按流程顺序依次为制定加工方案、抛丸、拉丝、下料、倒角、缩杆、加热成型、切飞边、抛丸、精加工和上丝、热处理等。</w:t>
            </w:r>
          </w:p>
          <w:p>
            <w:pPr>
              <w:spacing w:line="360" w:lineRule="auto"/>
              <w:ind w:firstLine="480" w:firstLineChars="200"/>
              <w:outlineLvl w:val="9"/>
              <w:rPr>
                <w:sz w:val="24"/>
              </w:rPr>
            </w:pPr>
            <w:r>
              <w:rPr>
                <w:rFonts w:hint="eastAsia"/>
                <w:sz w:val="24"/>
              </w:rPr>
              <w:t>具体工艺操作简述如下。</w:t>
            </w:r>
          </w:p>
          <w:p>
            <w:pPr>
              <w:spacing w:line="360" w:lineRule="auto"/>
              <w:ind w:firstLine="480"/>
              <w:outlineLvl w:val="9"/>
              <w:rPr>
                <w:sz w:val="24"/>
              </w:rPr>
            </w:pPr>
            <w:r>
              <w:rPr>
                <w:rFonts w:hint="eastAsia"/>
                <w:sz w:val="24"/>
              </w:rPr>
              <w:t>（1）制定加工方案：根据客户要求，选用原材料、设备并形成加工方案，指导后续加工作业。此项工作由办公室设计部门完成。</w:t>
            </w:r>
          </w:p>
          <w:p>
            <w:pPr>
              <w:spacing w:line="360" w:lineRule="auto"/>
              <w:ind w:firstLine="480"/>
              <w:outlineLvl w:val="9"/>
              <w:rPr>
                <w:sz w:val="24"/>
              </w:rPr>
            </w:pPr>
            <w:r>
              <w:rPr>
                <w:rFonts w:hint="eastAsia"/>
                <w:sz w:val="24"/>
              </w:rPr>
              <w:t>（2）抛丸：用抛丸机对原料钢材进行抛丸处理，去除其表面氧化皮。抛丸粉尘经设备自带沉降分离器+旋风除尘器+滤筒式除尘器处理。</w:t>
            </w:r>
          </w:p>
          <w:p>
            <w:pPr>
              <w:spacing w:line="360" w:lineRule="auto"/>
              <w:ind w:firstLine="480"/>
              <w:outlineLvl w:val="9"/>
              <w:rPr>
                <w:sz w:val="24"/>
              </w:rPr>
            </w:pPr>
            <w:r>
              <w:rPr>
                <w:rFonts w:hint="eastAsia"/>
                <w:sz w:val="24"/>
              </w:rPr>
              <w:t>（3）拉丝：使用拉丝机将原材料拉到需要的直径，待用。</w:t>
            </w:r>
          </w:p>
          <w:p>
            <w:pPr>
              <w:spacing w:line="360" w:lineRule="auto"/>
              <w:ind w:firstLine="480"/>
              <w:outlineLvl w:val="9"/>
              <w:rPr>
                <w:sz w:val="24"/>
              </w:rPr>
            </w:pPr>
            <w:r>
              <w:rPr>
                <w:rFonts w:hint="eastAsia"/>
                <w:sz w:val="24"/>
              </w:rPr>
              <w:t>（4）下料：采用切断机或锯床将钢材分割成需要的坯料。</w:t>
            </w:r>
          </w:p>
          <w:p>
            <w:pPr>
              <w:spacing w:line="360" w:lineRule="auto"/>
              <w:ind w:firstLine="480"/>
              <w:outlineLvl w:val="9"/>
              <w:rPr>
                <w:sz w:val="24"/>
              </w:rPr>
            </w:pPr>
            <w:r>
              <w:rPr>
                <w:rFonts w:hint="eastAsia"/>
                <w:sz w:val="24"/>
              </w:rPr>
              <w:t>（5）倒角：使用倒角机对坯料切断面进行倒角，形成所需的形状、角度等。倒角后的紧固件坯料进入缩杆工序。</w:t>
            </w:r>
          </w:p>
          <w:p>
            <w:pPr>
              <w:spacing w:line="360" w:lineRule="auto"/>
              <w:ind w:firstLine="480"/>
              <w:outlineLvl w:val="9"/>
              <w:rPr>
                <w:sz w:val="24"/>
              </w:rPr>
            </w:pPr>
            <w:r>
              <w:rPr>
                <w:rFonts w:hint="eastAsia"/>
                <w:sz w:val="24"/>
              </w:rPr>
              <w:t>（6）缩杆：螺栓、道钉等紧固件坯料使用模具在压力机的作用下，直径收缩至设计值。</w:t>
            </w:r>
          </w:p>
          <w:p>
            <w:pPr>
              <w:spacing w:line="360" w:lineRule="auto"/>
              <w:ind w:firstLine="480"/>
              <w:outlineLvl w:val="9"/>
              <w:rPr>
                <w:sz w:val="24"/>
              </w:rPr>
            </w:pPr>
            <w:r>
              <w:rPr>
                <w:rFonts w:hint="eastAsia"/>
                <w:sz w:val="24"/>
              </w:rPr>
              <w:t>（7）加热成型：根据加工方案，使用中频加热炉将坯料需成型一端加热至白热状态后放入模具中，在压力机作用下形成初步的形状，得到毛坯件。作业过程中模具通过冷却水直接冷却降温。</w:t>
            </w:r>
          </w:p>
          <w:p>
            <w:pPr>
              <w:spacing w:line="360" w:lineRule="auto"/>
              <w:ind w:firstLine="480"/>
              <w:outlineLvl w:val="9"/>
              <w:rPr>
                <w:sz w:val="24"/>
              </w:rPr>
            </w:pPr>
            <w:r>
              <w:rPr>
                <w:rFonts w:hint="eastAsia"/>
                <w:sz w:val="24"/>
              </w:rPr>
              <w:t>（8）切飞边：使用压力机（冲床）将加热成型后毛坯件上多余部分在模具上冲压去除。</w:t>
            </w:r>
          </w:p>
          <w:p>
            <w:pPr>
              <w:spacing w:line="360" w:lineRule="auto"/>
              <w:ind w:firstLine="480"/>
              <w:outlineLvl w:val="9"/>
              <w:rPr>
                <w:sz w:val="24"/>
              </w:rPr>
            </w:pPr>
            <w:r>
              <w:rPr>
                <w:rFonts w:hint="eastAsia"/>
                <w:sz w:val="24"/>
              </w:rPr>
              <w:t>（9）精加工：使用车床、钻铣床、攻钻机等对需要精加工的工件进行车削、铣削、钻孔等作业。作业过程水基切削液循环使用，定期添加，不外排。</w:t>
            </w:r>
          </w:p>
          <w:p>
            <w:pPr>
              <w:spacing w:line="360" w:lineRule="auto"/>
              <w:ind w:firstLine="480"/>
              <w:outlineLvl w:val="9"/>
              <w:rPr>
                <w:sz w:val="24"/>
              </w:rPr>
            </w:pPr>
            <w:r>
              <w:rPr>
                <w:rFonts w:hint="eastAsia"/>
                <w:sz w:val="24"/>
              </w:rPr>
              <w:t>（10）上丝：使用滚丝机对需要上丝的工件表面进行螺纹加工。滚丝机使用水进行直接冷却。</w:t>
            </w:r>
          </w:p>
          <w:p>
            <w:pPr>
              <w:spacing w:line="360" w:lineRule="auto"/>
              <w:ind w:firstLine="480"/>
              <w:outlineLvl w:val="9"/>
              <w:rPr>
                <w:sz w:val="24"/>
              </w:rPr>
            </w:pPr>
            <w:r>
              <w:rPr>
                <w:rFonts w:hint="eastAsia"/>
                <w:sz w:val="24"/>
              </w:rPr>
              <w:t>（11）热处理及发黑处理：部分工件需要进行热处理，包括淬火和回火。</w:t>
            </w:r>
          </w:p>
          <w:p>
            <w:pPr>
              <w:spacing w:line="360" w:lineRule="auto"/>
              <w:ind w:firstLine="480"/>
              <w:outlineLvl w:val="9"/>
              <w:rPr>
                <w:sz w:val="24"/>
              </w:rPr>
            </w:pPr>
            <w:r>
              <w:rPr>
                <w:rFonts w:hint="eastAsia"/>
                <w:sz w:val="24"/>
              </w:rPr>
              <w:t>精加工后的工件使用淬火炉加热到800℃～900℃，保持一定的时间，然后放入淬火池中通过淬火油以适当的冷却速度降温，获得所需的马氏体组织，从而达到提高工件的硬度，强度和耐磨性，为后道热处理作好组织准备的目的。</w:t>
            </w:r>
            <w:r>
              <w:rPr>
                <w:sz w:val="24"/>
              </w:rPr>
              <w:t>淬火炉加热使用电加热，并备用天然气加热。天然气</w:t>
            </w:r>
            <w:r>
              <w:rPr>
                <w:rFonts w:hint="eastAsia"/>
                <w:sz w:val="24"/>
              </w:rPr>
              <w:t>燃烧烟气直接由设备自带管道排放。油槽使用间接循环水冷却。淬火时工件与淬火油短暂接触急冷降温后立即脱离接触。淬火油在泵的作用下处于循环流动状态，一直保持在50℃以下。作业过程滴落到淬火槽与行进通道下方的收集池的淬火油清理回淬火槽重复使用。根据企业现状，淬火过程油烟产生量较小。淬火后，为减少回火油烟产生量，采用水浸洗工件。清洗产生的含油废水经已有油水分离器处理后，重复利用，不排放。</w:t>
            </w:r>
          </w:p>
          <w:p>
            <w:pPr>
              <w:spacing w:line="360" w:lineRule="auto"/>
              <w:ind w:firstLine="480"/>
              <w:outlineLvl w:val="9"/>
              <w:rPr>
                <w:sz w:val="24"/>
              </w:rPr>
            </w:pPr>
            <w:r>
              <w:rPr>
                <w:rFonts w:hint="eastAsia"/>
                <w:sz w:val="24"/>
              </w:rPr>
              <w:t>经淬火及清洗后的工件进入回火炉再加热到750℃以下的某一温度，保温一定时间，然后冷却到室温，以达到去除淬火时所产生的应力、提高硬度、耐磨性、塑性和韧性的目的。回火炉使用天然气加热，使用冷却水循环使用。回火炉内有油烟产生，油烟与天然气燃烧烟气收集至已有的油雾净化器+UV光氧+活性炭吸附装置处理后集中排放。</w:t>
            </w:r>
          </w:p>
          <w:p>
            <w:pPr>
              <w:spacing w:line="360" w:lineRule="auto"/>
              <w:ind w:firstLine="480"/>
              <w:outlineLvl w:val="9"/>
              <w:rPr>
                <w:sz w:val="24"/>
              </w:rPr>
            </w:pPr>
            <w:r>
              <w:rPr>
                <w:rFonts w:hint="eastAsia"/>
                <w:sz w:val="24"/>
              </w:rPr>
              <w:t>发黑采用常温发黑工艺，使用南京格诺维斯新材料有限公司的BLACK-8钢铁黑化剂，配方为水溶性树脂、色浆和水，水约占60%~90%，不含重金属。发黑前、发黑后均不需要清洗。主要原理为需要发黑的工件回火保温后放入发黑槽中短暂接触黑化剂后立即脱离接触，工件表面发黑液中多余的水分蒸发，黑化剂中的水溶性树脂脱水在工件表面形成一层树脂保护膜。黑化剂在泵的作用下处于循环流动状态，一直保持在80℃以下。发黑过程无废气废水产生。</w:t>
            </w:r>
          </w:p>
          <w:p>
            <w:pPr>
              <w:spacing w:line="360" w:lineRule="auto"/>
              <w:ind w:firstLine="480"/>
              <w:outlineLvl w:val="9"/>
              <w:rPr>
                <w:sz w:val="24"/>
              </w:rPr>
            </w:pPr>
            <w:r>
              <w:rPr>
                <w:rFonts w:hint="eastAsia"/>
                <w:sz w:val="24"/>
              </w:rPr>
              <w:t>（1</w:t>
            </w:r>
            <w:r>
              <w:rPr>
                <w:sz w:val="24"/>
              </w:rPr>
              <w:t>3</w:t>
            </w:r>
            <w:r>
              <w:rPr>
                <w:rFonts w:hint="eastAsia"/>
                <w:sz w:val="24"/>
              </w:rPr>
              <w:t>）检验：热处理后的工件进行尺寸、硬度等方面的检验，合格者进入热镀锌线，不合格者形成废产品。</w:t>
            </w:r>
          </w:p>
          <w:p>
            <w:pPr>
              <w:spacing w:line="360" w:lineRule="auto"/>
              <w:jc w:val="center"/>
              <w:outlineLvl w:val="9"/>
            </w:pPr>
            <w:r>
              <w:object>
                <v:shape id="_x0000_i1026" o:spt="75" type="#_x0000_t75" style="height:591.75pt;width:383.25pt;" o:ole="t" filled="f" o:preferrelative="t" stroked="f" coordsize="21600,21600">
                  <v:path/>
                  <v:fill on="f" focussize="0,0"/>
                  <v:stroke on="f" joinstyle="miter"/>
                  <v:imagedata r:id="rId10" o:title=""/>
                  <o:lock v:ext="edit" aspectratio="t"/>
                  <w10:wrap type="none"/>
                  <w10:anchorlock/>
                </v:shape>
                <o:OLEObject Type="Embed" ProgID="Visio.Drawing.11" ShapeID="_x0000_i1026" DrawAspect="Content" ObjectID="_1468075726" r:id="rId9">
                  <o:LockedField>false</o:LockedField>
                </o:OLEObject>
              </w:object>
            </w:r>
          </w:p>
          <w:p>
            <w:pPr>
              <w:spacing w:line="360" w:lineRule="auto"/>
              <w:jc w:val="center"/>
              <w:outlineLvl w:val="9"/>
              <w:rPr>
                <w:rFonts w:eastAsia="黑体"/>
                <w:sz w:val="24"/>
              </w:rPr>
            </w:pPr>
            <w:r>
              <w:rPr>
                <w:rFonts w:eastAsia="黑体"/>
                <w:sz w:val="24"/>
              </w:rPr>
              <w:t>图2-</w:t>
            </w:r>
            <w:r>
              <w:rPr>
                <w:rFonts w:hint="eastAsia" w:eastAsia="黑体"/>
                <w:sz w:val="24"/>
              </w:rPr>
              <w:t>2</w:t>
            </w:r>
            <w:r>
              <w:rPr>
                <w:rFonts w:eastAsia="黑体"/>
                <w:sz w:val="24"/>
              </w:rPr>
              <w:t xml:space="preserve">  紧固件生产工艺流程图</w:t>
            </w:r>
          </w:p>
          <w:p>
            <w:pPr>
              <w:spacing w:line="360" w:lineRule="auto"/>
              <w:ind w:firstLine="482" w:firstLineChars="200"/>
              <w:outlineLvl w:val="9"/>
              <w:rPr>
                <w:rFonts w:hAnsi="宋体"/>
                <w:b/>
                <w:sz w:val="24"/>
              </w:rPr>
            </w:pPr>
            <w:r>
              <w:rPr>
                <w:rFonts w:hint="eastAsia" w:hAnsi="宋体"/>
                <w:b/>
                <w:sz w:val="24"/>
              </w:rPr>
              <w:t>2、热镀锌</w:t>
            </w:r>
          </w:p>
          <w:p>
            <w:pPr>
              <w:spacing w:line="360" w:lineRule="auto"/>
              <w:ind w:firstLine="480" w:firstLineChars="200"/>
              <w:outlineLvl w:val="9"/>
              <w:rPr>
                <w:rFonts w:hAnsi="宋体"/>
                <w:sz w:val="24"/>
              </w:rPr>
            </w:pPr>
            <w:r>
              <w:rPr>
                <w:rFonts w:hAnsi="宋体"/>
                <w:sz w:val="24"/>
              </w:rPr>
              <w:t>项目热镀锌工艺包括除油、水洗、酸洗、水洗、浸助镀液、烘干、热浸锌、冷却工序，不涉及钝化工序。项目紧固件属于小尺寸工件，配套的热镀锌线为全自动热浸锌线，包括前处理线和锌锅自动线。前处理线主要对紧固件进行除油、酸洗和浸助镀液处理，包括工件篮（塑料）、自动提升设备、输送轨道、</w:t>
            </w:r>
            <w:r>
              <w:rPr>
                <w:rFonts w:hint="eastAsia" w:hAnsi="宋体"/>
                <w:sz w:val="24"/>
              </w:rPr>
              <w:t>14个浸洗槽（1800×1000×1100mm）等，设置在箱式房间。锌锅自动线包括工件篮（不锈钢）、烘干网链、振动盘、锌锅、空冷网链和水冷网链等，设置在箱式房间内。</w:t>
            </w:r>
          </w:p>
          <w:p>
            <w:pPr>
              <w:spacing w:line="360" w:lineRule="auto"/>
              <w:ind w:firstLine="480" w:firstLineChars="200"/>
              <w:outlineLvl w:val="9"/>
              <w:rPr>
                <w:rFonts w:hAnsi="宋体"/>
                <w:sz w:val="24"/>
              </w:rPr>
            </w:pPr>
            <w:r>
              <w:rPr>
                <w:rFonts w:hint="eastAsia" w:hAnsi="宋体"/>
                <w:sz w:val="24"/>
              </w:rPr>
              <w:t>紧固件经人工装入塑料篮内。塑料篮通过自动提升设备和输送轨道依次进入除油槽（1个）、水洗槽（2个）、酸洗槽（1个）、助镀槽（1个）处理后，通过自动翻料机，倒出前处理的紧固件，进入烘干网链烘干。经烘干后的紧固件通过振动装料机装入不锈钢篮。不锈钢篮进入锌锅浸锌，浸锌后离心甩掉不锈钢篮上的锌液，再通过自动翻料机，倒出热浸锌紧固件。紧固件在空冷网链和水冷网链上冷却后，得到成品，收集在产品槽中。</w:t>
            </w:r>
          </w:p>
          <w:p>
            <w:pPr>
              <w:spacing w:line="360" w:lineRule="auto"/>
              <w:ind w:firstLine="480" w:firstLineChars="200"/>
              <w:outlineLvl w:val="9"/>
              <w:rPr>
                <w:rFonts w:hAnsi="宋体"/>
                <w:sz w:val="24"/>
              </w:rPr>
            </w:pPr>
            <w:r>
              <w:rPr>
                <w:rFonts w:hint="eastAsia" w:hAnsi="宋体"/>
                <w:sz w:val="24"/>
              </w:rPr>
              <w:t>（1）三级除油</w:t>
            </w:r>
          </w:p>
          <w:p>
            <w:pPr>
              <w:spacing w:line="360" w:lineRule="auto"/>
              <w:ind w:firstLine="480" w:firstLineChars="200"/>
              <w:outlineLvl w:val="9"/>
              <w:rPr>
                <w:sz w:val="24"/>
              </w:rPr>
            </w:pPr>
            <w:r>
              <w:rPr>
                <w:rFonts w:hint="eastAsia" w:hAnsi="宋体"/>
                <w:sz w:val="24"/>
              </w:rPr>
              <w:t>除油</w:t>
            </w:r>
            <w:r>
              <w:rPr>
                <w:sz w:val="24"/>
              </w:rPr>
              <w:t>目的是将工件表面的油脂去除。</w:t>
            </w:r>
            <w:r>
              <w:rPr>
                <w:rFonts w:hint="eastAsia" w:hAnsi="宋体"/>
                <w:sz w:val="24"/>
              </w:rPr>
              <w:t>除油槽</w:t>
            </w:r>
            <w:r>
              <w:rPr>
                <w:sz w:val="24"/>
              </w:rPr>
              <w:t>温度为</w:t>
            </w:r>
            <w:r>
              <w:rPr>
                <w:rFonts w:hint="eastAsia"/>
                <w:sz w:val="24"/>
              </w:rPr>
              <w:t>50℃左右（</w:t>
            </w:r>
            <w:r>
              <w:rPr>
                <w:rFonts w:hAnsi="宋体"/>
                <w:sz w:val="24"/>
              </w:rPr>
              <w:t>利用锌锅加热炉天然气燃烧烟气余热间接加热</w:t>
            </w:r>
            <w:r>
              <w:rPr>
                <w:rFonts w:hint="eastAsia"/>
                <w:sz w:val="24"/>
              </w:rPr>
              <w:t>）</w:t>
            </w:r>
            <w:r>
              <w:rPr>
                <w:sz w:val="24"/>
              </w:rPr>
              <w:t>，三级除油时间约30min。除油剂为碱性除油剂，主要成分为氢氧化钠和钠盐。公司不使用含磷除油剂。槽内除油剂浓度</w:t>
            </w:r>
            <w:r>
              <w:rPr>
                <w:rFonts w:hint="eastAsia"/>
                <w:sz w:val="24"/>
              </w:rPr>
              <w:t>5%，</w:t>
            </w:r>
            <w:r>
              <w:rPr>
                <w:sz w:val="24"/>
              </w:rPr>
              <w:t>浓度不足时添加。定期用泵抽出槽液，清理槽渣，槽液循环利用，不更换。</w:t>
            </w:r>
            <w:r>
              <w:rPr>
                <w:rFonts w:hint="eastAsia"/>
                <w:sz w:val="24"/>
              </w:rPr>
              <w:t>除油后采用两级逆流常温水洗，水洗时间约3-5min，水洗废水3-7天更换一次，更换废水进入拟建污水处理站处理。</w:t>
            </w:r>
          </w:p>
          <w:p>
            <w:pPr>
              <w:spacing w:line="360" w:lineRule="auto"/>
              <w:ind w:firstLine="480" w:firstLineChars="200"/>
              <w:outlineLvl w:val="9"/>
              <w:rPr>
                <w:rFonts w:hAnsi="宋体"/>
                <w:sz w:val="24"/>
              </w:rPr>
            </w:pPr>
            <w:r>
              <w:rPr>
                <w:rFonts w:hAnsi="宋体"/>
                <w:sz w:val="24"/>
              </w:rPr>
              <w:t>（</w:t>
            </w:r>
            <w:r>
              <w:rPr>
                <w:rFonts w:hint="eastAsia"/>
                <w:sz w:val="24"/>
              </w:rPr>
              <w:t>2</w:t>
            </w:r>
            <w:r>
              <w:rPr>
                <w:rFonts w:hAnsi="宋体"/>
                <w:sz w:val="24"/>
              </w:rPr>
              <w:t>）酸洗</w:t>
            </w:r>
          </w:p>
          <w:p>
            <w:pPr>
              <w:spacing w:line="360" w:lineRule="auto"/>
              <w:ind w:firstLine="480" w:firstLineChars="200"/>
              <w:outlineLvl w:val="9"/>
              <w:rPr>
                <w:rFonts w:hAnsi="宋体"/>
                <w:sz w:val="24"/>
              </w:rPr>
            </w:pPr>
            <w:r>
              <w:rPr>
                <w:rFonts w:hAnsi="宋体"/>
                <w:sz w:val="24"/>
              </w:rPr>
              <w:t>酸洗的目的是清除工件表面的氧化</w:t>
            </w:r>
            <w:r>
              <w:rPr>
                <w:rFonts w:hint="eastAsia" w:hAnsi="宋体"/>
                <w:sz w:val="24"/>
              </w:rPr>
              <w:t>层。酸洗剂为浓度15%的盐酸，采用</w:t>
            </w:r>
            <w:r>
              <w:rPr>
                <w:sz w:val="24"/>
              </w:rPr>
              <w:t>31%</w:t>
            </w:r>
            <w:r>
              <w:rPr>
                <w:rFonts w:hAnsi="宋体"/>
                <w:sz w:val="24"/>
              </w:rPr>
              <w:t>的盐酸溶液加水稀释而成，酸洗温度为室温。酸洗槽槽边设有风机和风孔，并与酸雾吸收塔连接。酸洗反应方程式如下。</w:t>
            </w:r>
          </w:p>
          <w:p>
            <w:pPr>
              <w:spacing w:line="360" w:lineRule="auto"/>
              <w:ind w:firstLine="480" w:firstLineChars="200"/>
              <w:outlineLvl w:val="9"/>
              <w:rPr>
                <w:rFonts w:eastAsia="楷体_GB2312"/>
                <w:sz w:val="24"/>
              </w:rPr>
            </w:pPr>
            <w:r>
              <w:rPr>
                <w:rFonts w:hint="eastAsia" w:eastAsia="楷体_GB2312"/>
                <w:sz w:val="24"/>
              </w:rPr>
              <w:t>FeO+HCl→FeCl</w:t>
            </w:r>
            <w:r>
              <w:rPr>
                <w:rFonts w:hint="eastAsia" w:eastAsia="楷体_GB2312"/>
                <w:sz w:val="24"/>
                <w:vertAlign w:val="subscript"/>
              </w:rPr>
              <w:t>2</w:t>
            </w:r>
            <w:r>
              <w:rPr>
                <w:rFonts w:hint="eastAsia" w:eastAsia="楷体_GB2312"/>
                <w:sz w:val="24"/>
              </w:rPr>
              <w:t>+H</w:t>
            </w:r>
            <w:r>
              <w:rPr>
                <w:rFonts w:hint="eastAsia" w:eastAsia="楷体_GB2312"/>
                <w:sz w:val="24"/>
                <w:vertAlign w:val="subscript"/>
              </w:rPr>
              <w:t>2</w:t>
            </w:r>
            <w:r>
              <w:rPr>
                <w:rFonts w:hint="eastAsia" w:eastAsia="楷体_GB2312"/>
                <w:sz w:val="24"/>
              </w:rPr>
              <w:t>O</w:t>
            </w:r>
          </w:p>
          <w:p>
            <w:pPr>
              <w:spacing w:line="360" w:lineRule="auto"/>
              <w:ind w:firstLine="480" w:firstLineChars="200"/>
              <w:outlineLvl w:val="9"/>
              <w:rPr>
                <w:rFonts w:eastAsia="楷体_GB2312"/>
                <w:sz w:val="24"/>
              </w:rPr>
            </w:pPr>
            <w:r>
              <w:rPr>
                <w:rFonts w:hint="eastAsia" w:eastAsia="楷体_GB2312"/>
                <w:sz w:val="24"/>
              </w:rPr>
              <w:t>Fe</w:t>
            </w:r>
            <w:r>
              <w:rPr>
                <w:rFonts w:hint="eastAsia" w:eastAsia="楷体_GB2312"/>
                <w:sz w:val="24"/>
                <w:vertAlign w:val="subscript"/>
              </w:rPr>
              <w:t>2</w:t>
            </w:r>
            <w:r>
              <w:rPr>
                <w:rFonts w:hint="eastAsia" w:eastAsia="楷体_GB2312"/>
                <w:sz w:val="24"/>
              </w:rPr>
              <w:t>O</w:t>
            </w:r>
            <w:r>
              <w:rPr>
                <w:rFonts w:hint="eastAsia" w:eastAsia="楷体_GB2312"/>
                <w:sz w:val="24"/>
                <w:vertAlign w:val="subscript"/>
              </w:rPr>
              <w:t>3</w:t>
            </w:r>
            <w:r>
              <w:rPr>
                <w:rFonts w:hint="eastAsia" w:eastAsia="楷体_GB2312"/>
                <w:sz w:val="24"/>
              </w:rPr>
              <w:t>+HCl→FeCl</w:t>
            </w:r>
            <w:r>
              <w:rPr>
                <w:rFonts w:hint="eastAsia" w:eastAsia="楷体_GB2312"/>
                <w:sz w:val="24"/>
                <w:vertAlign w:val="subscript"/>
              </w:rPr>
              <w:t>3</w:t>
            </w:r>
            <w:r>
              <w:rPr>
                <w:rFonts w:hint="eastAsia" w:eastAsia="楷体_GB2312"/>
                <w:sz w:val="24"/>
              </w:rPr>
              <w:t>+H</w:t>
            </w:r>
            <w:r>
              <w:rPr>
                <w:rFonts w:hint="eastAsia" w:eastAsia="楷体_GB2312"/>
                <w:sz w:val="24"/>
                <w:vertAlign w:val="subscript"/>
              </w:rPr>
              <w:t>2</w:t>
            </w:r>
            <w:r>
              <w:rPr>
                <w:rFonts w:hint="eastAsia" w:eastAsia="楷体_GB2312"/>
                <w:sz w:val="24"/>
              </w:rPr>
              <w:t>O</w:t>
            </w:r>
          </w:p>
          <w:p>
            <w:pPr>
              <w:spacing w:line="360" w:lineRule="auto"/>
              <w:ind w:firstLine="480" w:firstLineChars="200"/>
              <w:outlineLvl w:val="9"/>
              <w:rPr>
                <w:rFonts w:hAnsi="宋体"/>
                <w:sz w:val="24"/>
              </w:rPr>
            </w:pPr>
            <w:r>
              <w:rPr>
                <w:rFonts w:hAnsi="宋体"/>
                <w:sz w:val="24"/>
              </w:rPr>
              <w:t>在酸洗过程中，当铁盐达到</w:t>
            </w:r>
            <w:r>
              <w:rPr>
                <w:sz w:val="24"/>
              </w:rPr>
              <w:t>150~200g/L</w:t>
            </w:r>
            <w:r>
              <w:rPr>
                <w:rFonts w:hAnsi="宋体"/>
                <w:sz w:val="24"/>
              </w:rPr>
              <w:t>时，酸洗槽游离酸含量较少，酸洗速度大大减慢，酸洗液需进行更换，属于危险废物，委托</w:t>
            </w:r>
            <w:r>
              <w:rPr>
                <w:rFonts w:hint="eastAsia" w:hAnsi="宋体"/>
                <w:sz w:val="24"/>
                <w:lang w:eastAsia="zh-CN"/>
              </w:rPr>
              <w:t>珙县华洁危险废物治理有限责任公司</w:t>
            </w:r>
            <w:r>
              <w:rPr>
                <w:rFonts w:hAnsi="宋体"/>
                <w:sz w:val="24"/>
              </w:rPr>
              <w:t>处理。</w:t>
            </w:r>
          </w:p>
          <w:p>
            <w:pPr>
              <w:spacing w:line="360" w:lineRule="auto"/>
              <w:ind w:firstLine="480" w:firstLineChars="200"/>
              <w:outlineLvl w:val="9"/>
              <w:rPr>
                <w:sz w:val="24"/>
              </w:rPr>
            </w:pPr>
            <w:r>
              <w:rPr>
                <w:rFonts w:hint="eastAsia"/>
                <w:sz w:val="24"/>
              </w:rPr>
              <w:t>酸洗后采用四级逆流常温水洗，水洗时间约3-5min，水洗废水3-7天更换一次，更换废水进入拟建污水处理站处理。</w:t>
            </w:r>
          </w:p>
          <w:p>
            <w:pPr>
              <w:spacing w:line="360" w:lineRule="auto"/>
              <w:ind w:firstLine="480" w:firstLineChars="200"/>
              <w:outlineLvl w:val="9"/>
              <w:rPr>
                <w:sz w:val="24"/>
              </w:rPr>
            </w:pPr>
            <w:r>
              <w:rPr>
                <w:rFonts w:hAnsi="宋体"/>
                <w:sz w:val="24"/>
              </w:rPr>
              <w:t>（</w:t>
            </w:r>
            <w:r>
              <w:rPr>
                <w:rFonts w:hint="eastAsia"/>
                <w:sz w:val="24"/>
              </w:rPr>
              <w:t>3</w:t>
            </w:r>
            <w:r>
              <w:rPr>
                <w:rFonts w:hAnsi="宋体"/>
                <w:sz w:val="24"/>
              </w:rPr>
              <w:t>）助镀</w:t>
            </w:r>
          </w:p>
          <w:p>
            <w:pPr>
              <w:spacing w:line="360" w:lineRule="auto"/>
              <w:ind w:firstLine="480" w:firstLineChars="200"/>
              <w:outlineLvl w:val="9"/>
              <w:rPr>
                <w:rFonts w:hAnsi="宋体"/>
                <w:sz w:val="24"/>
              </w:rPr>
            </w:pPr>
            <w:r>
              <w:rPr>
                <w:rFonts w:hAnsi="宋体"/>
                <w:sz w:val="24"/>
              </w:rPr>
              <w:t>助镀的目的是去除酸洗后残留在工件表面的铁盐或氧化物，使工件再进入锌锅时具有最大的表面活性；同时在工件表面沉积上一层盐膜，可防止工件从助镀池到进入锌锅这一段时间内在空气中锈蚀；工件进入锌锅锌液，使工件与液相锌快速浸润并反应。助镀液为氯化锌和氯化铵的水溶液，氯化锌浓度</w:t>
            </w:r>
            <w:r>
              <w:rPr>
                <w:sz w:val="24"/>
              </w:rPr>
              <w:t>20%</w:t>
            </w:r>
            <w:r>
              <w:rPr>
                <w:rFonts w:hAnsi="宋体"/>
                <w:sz w:val="24"/>
              </w:rPr>
              <w:t>左右，氯化铵浓度</w:t>
            </w:r>
            <w:r>
              <w:rPr>
                <w:sz w:val="24"/>
              </w:rPr>
              <w:t>40%</w:t>
            </w:r>
            <w:r>
              <w:rPr>
                <w:rFonts w:hAnsi="宋体"/>
                <w:sz w:val="24"/>
              </w:rPr>
              <w:t>左右（氯化锌和氯化铵的质量比例为</w:t>
            </w:r>
            <w:r>
              <w:rPr>
                <w:sz w:val="24"/>
              </w:rPr>
              <w:t>1</w:t>
            </w:r>
            <w:r>
              <w:rPr>
                <w:rFonts w:hAnsi="宋体"/>
                <w:sz w:val="24"/>
              </w:rPr>
              <w:t>：</w:t>
            </w:r>
            <w:r>
              <w:rPr>
                <w:sz w:val="24"/>
              </w:rPr>
              <w:t>2</w:t>
            </w:r>
            <w:r>
              <w:rPr>
                <w:rFonts w:hAnsi="宋体"/>
                <w:sz w:val="24"/>
              </w:rPr>
              <w:t>），温度</w:t>
            </w:r>
            <w:r>
              <w:rPr>
                <w:sz w:val="24"/>
              </w:rPr>
              <w:t>50-60</w:t>
            </w:r>
            <w:r>
              <w:rPr>
                <w:rFonts w:hAnsi="宋体"/>
                <w:sz w:val="24"/>
              </w:rPr>
              <w:t>℃（利用锌锅加热炉天然气燃烧烟气余热间接加热）。助镀液由工作人员在助镀槽中调配后即可使用。助镀时间为</w:t>
            </w:r>
            <w:r>
              <w:rPr>
                <w:sz w:val="24"/>
              </w:rPr>
              <w:t>3-5min</w:t>
            </w:r>
            <w:r>
              <w:rPr>
                <w:rFonts w:hAnsi="宋体"/>
                <w:sz w:val="24"/>
              </w:rPr>
              <w:t>。助镀液亏损消耗，定期补加。槽液一般一年更换</w:t>
            </w:r>
            <w:r>
              <w:rPr>
                <w:rFonts w:hint="eastAsia" w:hAnsi="宋体"/>
                <w:sz w:val="24"/>
              </w:rPr>
              <w:t>一次，更换的废槽液委托</w:t>
            </w:r>
            <w:r>
              <w:rPr>
                <w:rFonts w:hint="eastAsia" w:hAnsi="宋体"/>
                <w:sz w:val="24"/>
                <w:lang w:eastAsia="zh-CN"/>
              </w:rPr>
              <w:t>珙县华洁危险废物治理有限责任公司</w:t>
            </w:r>
            <w:r>
              <w:rPr>
                <w:rFonts w:hint="eastAsia" w:hAnsi="宋体"/>
                <w:sz w:val="24"/>
              </w:rPr>
              <w:t>处理</w:t>
            </w:r>
            <w:r>
              <w:rPr>
                <w:rFonts w:hAnsi="宋体"/>
                <w:sz w:val="24"/>
              </w:rPr>
              <w:t>。助镀之后，不需清洗，工件直接进入后续烘干工序。</w:t>
            </w:r>
          </w:p>
          <w:p>
            <w:pPr>
              <w:spacing w:line="360" w:lineRule="auto"/>
              <w:ind w:firstLine="480" w:firstLineChars="200"/>
              <w:outlineLvl w:val="9"/>
              <w:rPr>
                <w:rFonts w:hAnsi="宋体"/>
                <w:sz w:val="24"/>
              </w:rPr>
            </w:pPr>
            <w:r>
              <w:rPr>
                <w:rFonts w:hint="eastAsia" w:hAnsi="宋体"/>
                <w:sz w:val="24"/>
              </w:rPr>
              <w:t>（4）烘干：助镀后的工件进入烘干网链，经</w:t>
            </w:r>
            <w:r>
              <w:rPr>
                <w:rFonts w:hAnsi="宋体"/>
                <w:sz w:val="24"/>
              </w:rPr>
              <w:t>锌锅加热炉天然气燃烧烟气余热加热。</w:t>
            </w:r>
          </w:p>
          <w:p>
            <w:pPr>
              <w:spacing w:line="360" w:lineRule="auto"/>
              <w:ind w:firstLine="480" w:firstLineChars="200"/>
              <w:outlineLvl w:val="9"/>
              <w:rPr>
                <w:sz w:val="24"/>
              </w:rPr>
            </w:pPr>
            <w:r>
              <w:rPr>
                <w:rFonts w:hAnsi="宋体"/>
                <w:sz w:val="24"/>
              </w:rPr>
              <w:t>（</w:t>
            </w:r>
            <w:r>
              <w:rPr>
                <w:rFonts w:hint="eastAsia"/>
                <w:sz w:val="24"/>
              </w:rPr>
              <w:t>5</w:t>
            </w:r>
            <w:r>
              <w:rPr>
                <w:rFonts w:hAnsi="宋体"/>
                <w:sz w:val="24"/>
              </w:rPr>
              <w:t>）热浸锌</w:t>
            </w:r>
          </w:p>
          <w:p>
            <w:pPr>
              <w:spacing w:line="360" w:lineRule="auto"/>
              <w:ind w:firstLine="480" w:firstLineChars="200"/>
              <w:outlineLvl w:val="9"/>
              <w:rPr>
                <w:sz w:val="24"/>
              </w:rPr>
            </w:pPr>
            <w:r>
              <w:rPr>
                <w:rFonts w:hAnsi="宋体"/>
                <w:sz w:val="24"/>
              </w:rPr>
              <w:t>热浸锌是为了使工件表面形成由铁锌互熔层、铁锌合金层以及锌结晶层组成的热浸镀锌层，从而提高工作表面的抗腐蚀性能，镀锌厚度为</w:t>
            </w:r>
            <w:r>
              <w:rPr>
                <w:rFonts w:hint="eastAsia"/>
                <w:sz w:val="24"/>
              </w:rPr>
              <w:t>35</w:t>
            </w:r>
            <w:r>
              <w:rPr>
                <w:sz w:val="24"/>
              </w:rPr>
              <w:t>-</w:t>
            </w:r>
            <w:r>
              <w:rPr>
                <w:rFonts w:hint="eastAsia"/>
                <w:sz w:val="24"/>
              </w:rPr>
              <w:t>85</w:t>
            </w:r>
            <w:r>
              <w:rPr>
                <w:sz w:val="24"/>
              </w:rPr>
              <w:t>um</w:t>
            </w:r>
            <w:r>
              <w:rPr>
                <w:rFonts w:hint="eastAsia"/>
                <w:sz w:val="24"/>
              </w:rPr>
              <w:t>，平均厚度50um</w:t>
            </w:r>
            <w:r>
              <w:rPr>
                <w:rFonts w:hAnsi="宋体"/>
                <w:sz w:val="24"/>
              </w:rPr>
              <w:t>。</w:t>
            </w:r>
          </w:p>
          <w:p>
            <w:pPr>
              <w:spacing w:line="360" w:lineRule="auto"/>
              <w:ind w:firstLine="480" w:firstLineChars="200"/>
              <w:outlineLvl w:val="9"/>
              <w:rPr>
                <w:sz w:val="24"/>
              </w:rPr>
            </w:pPr>
            <w:r>
              <w:rPr>
                <w:rFonts w:hAnsi="宋体"/>
                <w:sz w:val="24"/>
              </w:rPr>
              <w:t>金属锌的熔点为</w:t>
            </w:r>
            <w:r>
              <w:rPr>
                <w:sz w:val="24"/>
              </w:rPr>
              <w:t>419</w:t>
            </w:r>
            <w:r>
              <w:rPr>
                <w:rFonts w:hAnsi="宋体"/>
                <w:sz w:val="24"/>
              </w:rPr>
              <w:t>℃，热浸锌工作温度为</w:t>
            </w:r>
            <w:r>
              <w:rPr>
                <w:rFonts w:hint="eastAsia"/>
                <w:sz w:val="24"/>
              </w:rPr>
              <w:t>510-600</w:t>
            </w:r>
            <w:r>
              <w:rPr>
                <w:rFonts w:hAnsi="宋体"/>
                <w:sz w:val="24"/>
              </w:rPr>
              <w:t>℃；非工作时，锌锅保温温度为</w:t>
            </w:r>
            <w:r>
              <w:rPr>
                <w:sz w:val="24"/>
              </w:rPr>
              <w:t>430-435</w:t>
            </w:r>
            <w:r>
              <w:rPr>
                <w:rFonts w:hAnsi="宋体"/>
                <w:sz w:val="24"/>
              </w:rPr>
              <w:t>℃。锌锅采用天然气燃烧烟气加热。锌锅添加锌铝合金，防治锌的氧化，添加量为</w:t>
            </w:r>
            <w:r>
              <w:rPr>
                <w:sz w:val="24"/>
              </w:rPr>
              <w:t>3t</w:t>
            </w:r>
            <w:r>
              <w:rPr>
                <w:rFonts w:hAnsi="宋体"/>
                <w:sz w:val="24"/>
              </w:rPr>
              <w:t>锌添加</w:t>
            </w:r>
            <w:r>
              <w:rPr>
                <w:sz w:val="24"/>
              </w:rPr>
              <w:t>10kg</w:t>
            </w:r>
            <w:r>
              <w:rPr>
                <w:rFonts w:hAnsi="宋体"/>
                <w:sz w:val="24"/>
              </w:rPr>
              <w:t>锌铝合金。</w:t>
            </w:r>
            <w:r>
              <w:rPr>
                <w:rFonts w:hint="eastAsia" w:hAnsi="宋体"/>
                <w:sz w:val="24"/>
              </w:rPr>
              <w:t>锌及锌铝合金加入方式均为行车或电动葫芦投放。</w:t>
            </w:r>
          </w:p>
          <w:p>
            <w:pPr>
              <w:spacing w:line="360" w:lineRule="auto"/>
              <w:ind w:firstLine="480" w:firstLineChars="200"/>
              <w:outlineLvl w:val="9"/>
              <w:rPr>
                <w:sz w:val="24"/>
              </w:rPr>
            </w:pPr>
            <w:r>
              <w:rPr>
                <w:rFonts w:hAnsi="宋体"/>
                <w:sz w:val="24"/>
              </w:rPr>
              <w:t>工件在锌锅中浸镀时间约</w:t>
            </w:r>
            <w:r>
              <w:rPr>
                <w:sz w:val="24"/>
              </w:rPr>
              <w:t>15-20min</w:t>
            </w:r>
            <w:r>
              <w:rPr>
                <w:rFonts w:hAnsi="宋体"/>
                <w:sz w:val="24"/>
              </w:rPr>
              <w:t>。在工件进入锌液后，氯化铵受热分解成氨气和</w:t>
            </w:r>
            <w:r>
              <w:rPr>
                <w:sz w:val="24"/>
              </w:rPr>
              <w:t>HCl</w:t>
            </w:r>
            <w:r>
              <w:rPr>
                <w:rFonts w:hAnsi="宋体"/>
                <w:sz w:val="24"/>
              </w:rPr>
              <w:t>。其中</w:t>
            </w:r>
            <w:r>
              <w:rPr>
                <w:sz w:val="24"/>
              </w:rPr>
              <w:t>HCl</w:t>
            </w:r>
            <w:r>
              <w:rPr>
                <w:rFonts w:hAnsi="宋体"/>
                <w:sz w:val="24"/>
              </w:rPr>
              <w:t>溶解工件表面的氧化皮和锌锅锌灰；同时与锌液进行浸润反应，有利于镀层的形成和附着，提高了镀层质量。涉及的主要反应方程式如下。</w:t>
            </w:r>
          </w:p>
          <w:p>
            <w:pPr>
              <w:spacing w:line="360" w:lineRule="auto"/>
              <w:ind w:firstLine="480" w:firstLineChars="200"/>
              <w:outlineLvl w:val="9"/>
              <w:rPr>
                <w:sz w:val="24"/>
              </w:rPr>
            </w:pPr>
            <w:r>
              <w:rPr>
                <w:sz w:val="24"/>
              </w:rPr>
              <w:t>HCl+ZnO→ZnCl</w:t>
            </w:r>
            <w:r>
              <w:rPr>
                <w:sz w:val="24"/>
                <w:vertAlign w:val="subscript"/>
              </w:rPr>
              <w:t>2</w:t>
            </w:r>
            <w:r>
              <w:rPr>
                <w:sz w:val="24"/>
              </w:rPr>
              <w:t>+H</w:t>
            </w:r>
            <w:r>
              <w:rPr>
                <w:sz w:val="24"/>
                <w:vertAlign w:val="subscript"/>
              </w:rPr>
              <w:t>2</w:t>
            </w:r>
            <w:r>
              <w:rPr>
                <w:sz w:val="24"/>
              </w:rPr>
              <w:t>O</w:t>
            </w:r>
          </w:p>
          <w:p>
            <w:pPr>
              <w:spacing w:line="360" w:lineRule="auto"/>
              <w:ind w:firstLine="480" w:firstLineChars="200"/>
              <w:outlineLvl w:val="9"/>
              <w:rPr>
                <w:sz w:val="24"/>
              </w:rPr>
            </w:pPr>
            <w:r>
              <w:rPr>
                <w:sz w:val="24"/>
              </w:rPr>
              <w:t>HCl+Zn→ZnCl</w:t>
            </w:r>
            <w:r>
              <w:rPr>
                <w:sz w:val="24"/>
                <w:vertAlign w:val="subscript"/>
              </w:rPr>
              <w:t>2</w:t>
            </w:r>
            <w:r>
              <w:rPr>
                <w:sz w:val="24"/>
              </w:rPr>
              <w:t>+H</w:t>
            </w:r>
            <w:r>
              <w:rPr>
                <w:sz w:val="24"/>
                <w:vertAlign w:val="subscript"/>
              </w:rPr>
              <w:t>2</w:t>
            </w:r>
            <w:r>
              <w:rPr>
                <w:sz w:val="24"/>
              </w:rPr>
              <w:t>↑</w:t>
            </w:r>
          </w:p>
          <w:p>
            <w:pPr>
              <w:spacing w:line="360" w:lineRule="auto"/>
              <w:ind w:firstLine="480" w:firstLineChars="200"/>
              <w:outlineLvl w:val="9"/>
              <w:rPr>
                <w:rFonts w:hAnsi="宋体"/>
                <w:sz w:val="24"/>
              </w:rPr>
            </w:pPr>
            <w:r>
              <w:rPr>
                <w:rFonts w:hAnsi="宋体"/>
                <w:sz w:val="24"/>
              </w:rPr>
              <w:t>锌锅配套有</w:t>
            </w:r>
            <w:r>
              <w:rPr>
                <w:rFonts w:hint="eastAsia" w:hAnsi="宋体"/>
                <w:sz w:val="24"/>
              </w:rPr>
              <w:t>自动刮灰、出灰系统。锌锅烟气经房内捕风系统收集至除尘系统处理。</w:t>
            </w:r>
          </w:p>
          <w:p>
            <w:pPr>
              <w:spacing w:line="360" w:lineRule="auto"/>
              <w:ind w:firstLine="480" w:firstLineChars="200"/>
              <w:outlineLvl w:val="9"/>
              <w:rPr>
                <w:rFonts w:hAnsi="宋体"/>
                <w:sz w:val="24"/>
              </w:rPr>
            </w:pPr>
            <w:r>
              <w:rPr>
                <w:rFonts w:hAnsi="宋体"/>
                <w:sz w:val="24"/>
              </w:rPr>
              <w:t>（</w:t>
            </w:r>
            <w:r>
              <w:rPr>
                <w:rFonts w:hint="eastAsia" w:hAnsi="宋体"/>
                <w:sz w:val="24"/>
              </w:rPr>
              <w:t>6</w:t>
            </w:r>
            <w:r>
              <w:rPr>
                <w:rFonts w:hAnsi="宋体"/>
                <w:sz w:val="24"/>
              </w:rPr>
              <w:t>）离心甩锌：工件篮从锌锅提出后，经过离心旋转甩掉篮内多余的锌液和篮上附着的锌液（由于</w:t>
            </w:r>
            <w:r>
              <w:rPr>
                <w:rFonts w:hint="eastAsia" w:hAnsi="宋体"/>
                <w:sz w:val="24"/>
              </w:rPr>
              <w:t>不锈钢</w:t>
            </w:r>
            <w:r>
              <w:rPr>
                <w:rFonts w:hAnsi="宋体"/>
                <w:sz w:val="24"/>
              </w:rPr>
              <w:t>篮未助镀，表面锌层容易甩落），多余的锌液落入锌锅。</w:t>
            </w:r>
          </w:p>
          <w:p>
            <w:pPr>
              <w:spacing w:line="360" w:lineRule="auto"/>
              <w:ind w:firstLine="480" w:firstLineChars="200"/>
              <w:outlineLvl w:val="9"/>
              <w:rPr>
                <w:rFonts w:hAnsi="宋体"/>
                <w:sz w:val="24"/>
              </w:rPr>
            </w:pPr>
            <w:r>
              <w:rPr>
                <w:rFonts w:hint="eastAsia" w:hAnsi="宋体"/>
                <w:sz w:val="24"/>
              </w:rPr>
              <w:t>（7）冷却及退镀</w:t>
            </w:r>
          </w:p>
          <w:p>
            <w:pPr>
              <w:spacing w:line="360" w:lineRule="auto"/>
              <w:ind w:firstLine="480" w:firstLineChars="200"/>
              <w:outlineLvl w:val="9"/>
              <w:rPr>
                <w:rFonts w:hAnsi="宋体"/>
                <w:sz w:val="24"/>
              </w:rPr>
            </w:pPr>
            <w:r>
              <w:rPr>
                <w:rFonts w:hint="eastAsia" w:hAnsi="宋体"/>
                <w:sz w:val="24"/>
              </w:rPr>
              <w:t>甩锌后的工件篮通过自动翻料机，倒出热浸锌紧固件。紧固件在空冷网链和水冷网链上冷却后，得到成品，收集在产品槽中。</w:t>
            </w:r>
          </w:p>
          <w:p>
            <w:pPr>
              <w:spacing w:line="360" w:lineRule="auto"/>
              <w:ind w:firstLine="480" w:firstLineChars="200"/>
              <w:outlineLvl w:val="9"/>
              <w:rPr>
                <w:rFonts w:hAnsi="宋体"/>
                <w:sz w:val="24"/>
              </w:rPr>
            </w:pPr>
            <w:r>
              <w:rPr>
                <w:rFonts w:hint="eastAsia" w:hAnsi="宋体"/>
                <w:sz w:val="24"/>
              </w:rPr>
              <w:t>冷却后即对镀锌层进行检验，采用游标卡尺或肉眼观察，镀锌层厚度是否能满足客户要求，锌层是否均匀。工件镀锌层不能符合要求，则返回酸洗槽进行退镀。退镀的原理为盐酸液与锌发生反应，生成氯化锌，以除去工件表层锌的目的。</w:t>
            </w:r>
          </w:p>
          <w:p>
            <w:pPr>
              <w:spacing w:line="360" w:lineRule="auto"/>
              <w:jc w:val="center"/>
              <w:outlineLvl w:val="9"/>
            </w:pPr>
            <w:r>
              <w:object>
                <v:shape id="_x0000_i1027" o:spt="75" type="#_x0000_t75" style="height:397.5pt;width:353.25pt;" o:ole="t" filled="f" o:preferrelative="t" stroked="f" coordsize="21600,21600">
                  <v:path/>
                  <v:fill on="f" focussize="0,0"/>
                  <v:stroke on="f" joinstyle="miter"/>
                  <v:imagedata r:id="rId12" o:title=""/>
                  <o:lock v:ext="edit" aspectratio="t"/>
                  <w10:wrap type="none"/>
                  <w10:anchorlock/>
                </v:shape>
                <o:OLEObject Type="Embed" ProgID="Visio.Drawing.11" ShapeID="_x0000_i1027" DrawAspect="Content" ObjectID="_1468075727" r:id="rId11">
                  <o:LockedField>false</o:LockedField>
                </o:OLEObject>
              </w:object>
            </w:r>
          </w:p>
          <w:p>
            <w:pPr>
              <w:spacing w:line="360" w:lineRule="auto"/>
              <w:jc w:val="center"/>
              <w:outlineLvl w:val="9"/>
              <w:rPr>
                <w:rFonts w:eastAsia="黑体"/>
                <w:sz w:val="24"/>
              </w:rPr>
            </w:pPr>
            <w:r>
              <w:rPr>
                <w:rFonts w:hAnsi="黑体" w:eastAsia="黑体"/>
                <w:sz w:val="24"/>
              </w:rPr>
              <w:t>图</w:t>
            </w:r>
            <w:r>
              <w:rPr>
                <w:rFonts w:hint="eastAsia" w:eastAsia="黑体"/>
                <w:sz w:val="24"/>
              </w:rPr>
              <w:t>2</w:t>
            </w:r>
            <w:r>
              <w:rPr>
                <w:rFonts w:eastAsia="黑体"/>
                <w:sz w:val="24"/>
              </w:rPr>
              <w:t>-</w:t>
            </w:r>
            <w:r>
              <w:rPr>
                <w:rFonts w:hint="eastAsia" w:eastAsia="黑体"/>
                <w:sz w:val="24"/>
              </w:rPr>
              <w:t>3</w:t>
            </w:r>
            <w:r>
              <w:rPr>
                <w:rFonts w:eastAsia="黑体"/>
                <w:sz w:val="24"/>
              </w:rPr>
              <w:t xml:space="preserve"> </w:t>
            </w:r>
            <w:r>
              <w:rPr>
                <w:rFonts w:hAnsi="黑体" w:eastAsia="黑体"/>
                <w:sz w:val="24"/>
              </w:rPr>
              <w:t>项目热镀锌工艺及产污流程</w:t>
            </w:r>
          </w:p>
          <w:p>
            <w:pPr>
              <w:spacing w:line="360" w:lineRule="auto"/>
              <w:outlineLvl w:val="9"/>
              <w:rPr>
                <w:rFonts w:hint="eastAsia" w:asciiTheme="majorEastAsia" w:hAnsiTheme="majorEastAsia" w:eastAsiaTheme="majorEastAsia" w:cstheme="majorEastAsia"/>
                <w:sz w:val="24"/>
                <w:lang w:val="en-US" w:eastAsia="zh-CN"/>
              </w:rPr>
            </w:pPr>
            <w:r>
              <w:rPr>
                <w:rFonts w:hint="eastAsia" w:asciiTheme="majorEastAsia" w:hAnsiTheme="majorEastAsia" w:eastAsiaTheme="majorEastAsia" w:cstheme="majorEastAsia"/>
                <w:sz w:val="24"/>
              </w:rPr>
              <w:t>2.</w:t>
            </w:r>
            <w:r>
              <w:rPr>
                <w:rFonts w:hint="eastAsia" w:asciiTheme="majorEastAsia" w:hAnsiTheme="majorEastAsia" w:eastAsiaTheme="majorEastAsia" w:cstheme="majorEastAsia"/>
                <w:sz w:val="24"/>
                <w:lang w:val="en-US" w:eastAsia="zh-CN"/>
              </w:rPr>
              <w:t>8项目变更情况</w:t>
            </w:r>
          </w:p>
          <w:p>
            <w:pPr>
              <w:pStyle w:val="6"/>
              <w:spacing w:line="360" w:lineRule="auto"/>
              <w:ind w:left="0" w:leftChars="0" w:firstLine="480" w:firstLineChars="200"/>
              <w:outlineLvl w:val="9"/>
              <w:rPr>
                <w:rFonts w:ascii="宋体" w:hAnsi="宋体" w:cs="宋体"/>
                <w:color w:val="auto"/>
                <w:sz w:val="24"/>
              </w:rPr>
            </w:pPr>
            <w:r>
              <w:rPr>
                <w:rFonts w:hint="eastAsia" w:ascii="宋体" w:hAnsi="宋体" w:cs="宋体"/>
                <w:color w:val="auto"/>
                <w:sz w:val="24"/>
              </w:rPr>
              <w:t>对照环境影响评价报告表，本项目仅减少一台抛丸机</w:t>
            </w:r>
            <w:r>
              <w:rPr>
                <w:rFonts w:hint="eastAsia" w:ascii="宋体" w:hAnsi="宋体" w:cs="宋体"/>
                <w:color w:val="auto"/>
                <w:sz w:val="24"/>
                <w:lang w:eastAsia="zh-CN"/>
              </w:rPr>
              <w:t>、减少除油</w:t>
            </w:r>
            <w:r>
              <w:rPr>
                <w:rFonts w:hint="eastAsia" w:hAnsi="宋体"/>
                <w:color w:val="auto"/>
                <w:sz w:val="24"/>
              </w:rPr>
              <w:t>槽</w:t>
            </w:r>
            <w:r>
              <w:rPr>
                <w:rFonts w:hint="eastAsia" w:hAnsi="宋体"/>
                <w:color w:val="auto"/>
                <w:sz w:val="24"/>
                <w:lang w:val="en-US" w:eastAsia="zh-CN"/>
              </w:rPr>
              <w:t>2个、水洗槽4个、酸洗槽3个、</w:t>
            </w:r>
            <w:r>
              <w:rPr>
                <w:rFonts w:hint="eastAsia" w:ascii="宋体" w:hAnsi="宋体" w:cs="宋体"/>
                <w:color w:val="auto"/>
                <w:sz w:val="24"/>
              </w:rPr>
              <w:t>其它本项目工程的建设性质、地点、生产规模和生产工艺及主要生产设备等与环评文件要求的建设内容总体一致，无重大变动，故未再重新报批环评文件。</w:t>
            </w:r>
          </w:p>
          <w:p>
            <w:pPr>
              <w:spacing w:line="360" w:lineRule="auto"/>
              <w:outlineLvl w:val="9"/>
              <w:rPr>
                <w:rFonts w:asciiTheme="majorEastAsia" w:hAnsiTheme="majorEastAsia" w:eastAsiaTheme="majorEastAsia" w:cstheme="majorEastAsia"/>
                <w:b/>
              </w:rPr>
            </w:pPr>
          </w:p>
        </w:tc>
      </w:tr>
    </w:tbl>
    <w:p>
      <w:r>
        <w:br w:type="page"/>
      </w:r>
    </w:p>
    <w:p>
      <w:pPr>
        <w:outlineLvl w:val="0"/>
        <w:rPr>
          <w:rFonts w:asciiTheme="majorEastAsia" w:hAnsiTheme="majorEastAsia" w:eastAsiaTheme="majorEastAsia" w:cstheme="majorEastAsia"/>
          <w:b/>
          <w:sz w:val="28"/>
          <w:szCs w:val="28"/>
        </w:rPr>
      </w:pPr>
      <w:bookmarkStart w:id="18" w:name="_Toc1505"/>
      <w:bookmarkStart w:id="19" w:name="_Toc16799"/>
      <w:bookmarkStart w:id="20" w:name="_Toc12797_WPSOffice_Level1"/>
      <w:bookmarkStart w:id="21" w:name="_Toc10926_WPSOffice_Level1"/>
      <w:bookmarkStart w:id="22" w:name="_Toc11763_WPSOffice_Level1"/>
      <w:bookmarkStart w:id="23" w:name="_Toc22410"/>
      <w:r>
        <w:rPr>
          <w:rFonts w:hint="eastAsia" w:asciiTheme="majorEastAsia" w:hAnsiTheme="majorEastAsia" w:eastAsiaTheme="majorEastAsia" w:cstheme="majorEastAsia"/>
          <w:b/>
          <w:sz w:val="28"/>
          <w:szCs w:val="28"/>
        </w:rPr>
        <w:t>表三 生产工艺、产污、治理措施</w:t>
      </w:r>
      <w:bookmarkEnd w:id="18"/>
      <w:bookmarkEnd w:id="19"/>
      <w:bookmarkEnd w:id="20"/>
      <w:bookmarkEnd w:id="21"/>
      <w:bookmarkEnd w:id="22"/>
      <w:bookmarkEnd w:id="23"/>
    </w:p>
    <w:tbl>
      <w:tblPr>
        <w:tblStyle w:val="13"/>
        <w:tblpPr w:leftFromText="180" w:rightFromText="180" w:vertAnchor="text" w:tblpX="1"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0" w:hRule="atLeast"/>
        </w:trPr>
        <w:tc>
          <w:tcPr>
            <w:tcW w:w="9388" w:type="dxa"/>
          </w:tcPr>
          <w:p>
            <w:pPr>
              <w:spacing w:line="360" w:lineRule="auto"/>
              <w:outlineLvl w:val="9"/>
              <w:rPr>
                <w:rFonts w:ascii="宋体" w:hAnsi="宋体" w:cs="宋体"/>
                <w:sz w:val="24"/>
              </w:rPr>
            </w:pPr>
            <w:r>
              <w:rPr>
                <w:rFonts w:hint="eastAsia" w:ascii="宋体" w:hAnsi="宋体" w:cs="宋体"/>
                <w:sz w:val="24"/>
              </w:rPr>
              <w:t>3.1主要污染物产生和治理、</w:t>
            </w:r>
          </w:p>
          <w:p>
            <w:pPr>
              <w:spacing w:line="360" w:lineRule="auto"/>
              <w:ind w:firstLine="480" w:firstLineChars="200"/>
              <w:outlineLvl w:val="9"/>
              <w:rPr>
                <w:rFonts w:ascii="宋体" w:hAnsi="宋体" w:cs="宋体"/>
                <w:sz w:val="24"/>
              </w:rPr>
            </w:pPr>
            <w:r>
              <w:rPr>
                <w:rFonts w:hint="eastAsia" w:ascii="宋体" w:hAnsi="宋体" w:cs="宋体"/>
                <w:sz w:val="24"/>
              </w:rPr>
              <w:t xml:space="preserve">3.1.1 废水的产生和治理 </w:t>
            </w:r>
          </w:p>
          <w:p>
            <w:pPr>
              <w:spacing w:line="360" w:lineRule="auto"/>
              <w:ind w:firstLine="480" w:firstLineChars="200"/>
              <w:outlineLvl w:val="9"/>
              <w:rPr>
                <w:rFonts w:ascii="宋体" w:hAnsi="宋体" w:cs="宋体"/>
                <w:sz w:val="24"/>
              </w:rPr>
            </w:pPr>
            <w:r>
              <w:rPr>
                <w:rFonts w:hint="eastAsia"/>
                <w:sz w:val="24"/>
              </w:rPr>
              <w:t>本项目采取“雨污分流”制。项目区地势较为平整，不会受到项目区外雨水冲刷；项目区内雨水经雨水收集沟收集后排入园区雨水管网，经园区雨水管网排入隆昌河。项目废水项目热镀锌后工件冷却水亏损消耗，定期补加，不更换。废水主要为除油清洗废水、酸洗清洗废水、酸雾处理配套的水洗塔废水、锌锅烟气处理配套的水洗塔废水、新增员工生活污水</w:t>
            </w:r>
            <w:r>
              <w:rPr>
                <w:rFonts w:hint="eastAsia" w:ascii="宋体" w:hAnsi="宋体" w:cs="宋体"/>
                <w:sz w:val="24"/>
              </w:rPr>
              <w:t>。</w:t>
            </w:r>
          </w:p>
          <w:p>
            <w:pPr>
              <w:spacing w:line="360" w:lineRule="auto"/>
              <w:ind w:firstLine="480" w:firstLineChars="200"/>
              <w:outlineLvl w:val="9"/>
              <w:rPr>
                <w:sz w:val="24"/>
              </w:rPr>
            </w:pPr>
            <w:r>
              <w:rPr>
                <w:rFonts w:hint="eastAsia"/>
                <w:sz w:val="24"/>
              </w:rPr>
              <w:t>（1）除油清洗废水</w:t>
            </w:r>
          </w:p>
          <w:p>
            <w:pPr>
              <w:spacing w:line="360" w:lineRule="auto"/>
              <w:ind w:firstLine="480" w:firstLineChars="200"/>
              <w:outlineLvl w:val="9"/>
              <w:rPr>
                <w:sz w:val="24"/>
              </w:rPr>
            </w:pPr>
            <w:r>
              <w:rPr>
                <w:rFonts w:hint="eastAsia"/>
                <w:sz w:val="24"/>
              </w:rPr>
              <w:t>除油清洗采用两级逆流清洗工艺。项目除油使用无磷除油剂，除油清洗废水主要污染物为COD、石油类。</w:t>
            </w:r>
          </w:p>
          <w:p>
            <w:pPr>
              <w:spacing w:line="360" w:lineRule="auto"/>
              <w:ind w:firstLine="480" w:firstLineChars="200"/>
              <w:outlineLvl w:val="9"/>
              <w:rPr>
                <w:sz w:val="24"/>
              </w:rPr>
            </w:pPr>
            <w:r>
              <w:rPr>
                <w:rFonts w:hint="eastAsia"/>
                <w:sz w:val="24"/>
              </w:rPr>
              <w:t>（2）酸洗清洗废水</w:t>
            </w:r>
          </w:p>
          <w:p>
            <w:pPr>
              <w:spacing w:line="360" w:lineRule="auto"/>
              <w:ind w:firstLine="480" w:firstLineChars="200"/>
              <w:outlineLvl w:val="9"/>
              <w:rPr>
                <w:sz w:val="24"/>
              </w:rPr>
            </w:pPr>
            <w:r>
              <w:rPr>
                <w:rFonts w:hint="eastAsia"/>
                <w:sz w:val="24"/>
              </w:rPr>
              <w:t>酸洗清洗采用两级逆流清洗工艺。项目酸洗使用浓度15-18%盐酸酸洗，不合格镀锌层退镀也采用酸洗。酸洗废水主要污染物为pH、Fe、Zn、COD、Cl、SS；因退镀层带有</w:t>
            </w:r>
            <w:r>
              <w:rPr>
                <w:rFonts w:hint="eastAsia"/>
                <w:sz w:val="24"/>
                <w:lang w:eastAsia="zh-CN"/>
              </w:rPr>
              <w:t>少</w:t>
            </w:r>
            <w:r>
              <w:rPr>
                <w:rFonts w:hint="eastAsia"/>
                <w:sz w:val="24"/>
              </w:rPr>
              <w:t>量的铝，不纳入统计。</w:t>
            </w:r>
          </w:p>
          <w:p>
            <w:pPr>
              <w:spacing w:line="360" w:lineRule="auto"/>
              <w:ind w:firstLine="480" w:firstLineChars="200"/>
              <w:outlineLvl w:val="9"/>
              <w:rPr>
                <w:sz w:val="24"/>
              </w:rPr>
            </w:pPr>
            <w:r>
              <w:rPr>
                <w:rFonts w:hint="eastAsia"/>
                <w:sz w:val="24"/>
              </w:rPr>
              <w:t>（3）酸雾处理配套的水洗塔废水</w:t>
            </w:r>
          </w:p>
          <w:p>
            <w:pPr>
              <w:spacing w:line="360" w:lineRule="auto"/>
              <w:ind w:firstLine="480" w:firstLineChars="200"/>
              <w:outlineLvl w:val="9"/>
              <w:rPr>
                <w:sz w:val="24"/>
              </w:rPr>
            </w:pPr>
            <w:r>
              <w:rPr>
                <w:rFonts w:hint="eastAsia"/>
                <w:sz w:val="24"/>
              </w:rPr>
              <w:t>酸雾处理配套的水洗塔单小时喷淋量约14 m</w:t>
            </w:r>
            <w:r>
              <w:rPr>
                <w:rFonts w:hint="eastAsia"/>
                <w:sz w:val="24"/>
                <w:vertAlign w:val="superscript"/>
              </w:rPr>
              <w:t>3</w:t>
            </w:r>
            <w:r>
              <w:rPr>
                <w:rFonts w:hint="eastAsia"/>
                <w:sz w:val="24"/>
              </w:rPr>
              <w:t>，喷淋水洗废水循环使用，浓度约5%即进行更换，废水量约66m</w:t>
            </w:r>
            <w:r>
              <w:rPr>
                <w:rFonts w:hint="eastAsia"/>
                <w:sz w:val="24"/>
                <w:vertAlign w:val="superscript"/>
              </w:rPr>
              <w:t>3/</w:t>
            </w:r>
            <w:r>
              <w:rPr>
                <w:rFonts w:hint="eastAsia"/>
                <w:sz w:val="24"/>
              </w:rPr>
              <w:t>a。</w:t>
            </w:r>
          </w:p>
          <w:p>
            <w:pPr>
              <w:spacing w:line="360" w:lineRule="auto"/>
              <w:ind w:firstLine="480" w:firstLineChars="200"/>
              <w:outlineLvl w:val="9"/>
              <w:rPr>
                <w:sz w:val="24"/>
              </w:rPr>
            </w:pPr>
            <w:r>
              <w:rPr>
                <w:rFonts w:hint="eastAsia"/>
                <w:sz w:val="24"/>
              </w:rPr>
              <w:t>（4）锌锅烟气处理配套的水洗塔废水</w:t>
            </w:r>
          </w:p>
          <w:p>
            <w:pPr>
              <w:spacing w:line="360" w:lineRule="auto"/>
              <w:ind w:firstLine="480" w:firstLineChars="200"/>
              <w:outlineLvl w:val="9"/>
              <w:rPr>
                <w:sz w:val="24"/>
              </w:rPr>
            </w:pPr>
            <w:r>
              <w:rPr>
                <w:rFonts w:hint="eastAsia"/>
                <w:sz w:val="24"/>
              </w:rPr>
              <w:t>锌锅烟气处理配套的水洗塔单小时喷淋量约50m</w:t>
            </w:r>
            <w:r>
              <w:rPr>
                <w:rFonts w:hint="eastAsia"/>
                <w:sz w:val="24"/>
                <w:vertAlign w:val="superscript"/>
              </w:rPr>
              <w:t>3</w:t>
            </w:r>
            <w:r>
              <w:rPr>
                <w:rFonts w:hint="eastAsia"/>
                <w:sz w:val="24"/>
              </w:rPr>
              <w:t>，喷淋废水循环使用，定期更换，每天更换约1m</w:t>
            </w:r>
            <w:r>
              <w:rPr>
                <w:rFonts w:hint="eastAsia"/>
                <w:sz w:val="24"/>
                <w:vertAlign w:val="superscript"/>
              </w:rPr>
              <w:t>3</w:t>
            </w:r>
            <w:r>
              <w:rPr>
                <w:rFonts w:hint="eastAsia"/>
                <w:sz w:val="24"/>
              </w:rPr>
              <w:t>/d，年废水量约300m</w:t>
            </w:r>
            <w:r>
              <w:rPr>
                <w:rFonts w:hint="eastAsia"/>
                <w:sz w:val="24"/>
                <w:vertAlign w:val="superscript"/>
              </w:rPr>
              <w:t>3</w:t>
            </w:r>
            <w:r>
              <w:rPr>
                <w:rFonts w:hint="eastAsia"/>
                <w:sz w:val="24"/>
              </w:rPr>
              <w:t>。废水主要污染物为氨氮、锌、氯化物。</w:t>
            </w:r>
          </w:p>
          <w:p>
            <w:pPr>
              <w:spacing w:line="360" w:lineRule="auto"/>
              <w:ind w:firstLine="480" w:firstLineChars="200"/>
              <w:outlineLvl w:val="9"/>
              <w:rPr>
                <w:sz w:val="24"/>
              </w:rPr>
            </w:pPr>
            <w:r>
              <w:rPr>
                <w:rFonts w:hint="eastAsia"/>
                <w:sz w:val="24"/>
              </w:rPr>
              <w:t>（5）生活污水</w:t>
            </w:r>
          </w:p>
          <w:p>
            <w:pPr>
              <w:spacing w:line="360" w:lineRule="auto"/>
              <w:ind w:firstLine="480" w:firstLineChars="200"/>
              <w:outlineLvl w:val="9"/>
              <w:rPr>
                <w:sz w:val="24"/>
              </w:rPr>
            </w:pPr>
            <w:r>
              <w:rPr>
                <w:rFonts w:hint="eastAsia"/>
                <w:sz w:val="24"/>
              </w:rPr>
              <w:t>项目新增生活用水量1.75m</w:t>
            </w:r>
            <w:r>
              <w:rPr>
                <w:rFonts w:hint="eastAsia"/>
                <w:sz w:val="24"/>
                <w:vertAlign w:val="superscript"/>
              </w:rPr>
              <w:t>3</w:t>
            </w:r>
            <w:r>
              <w:rPr>
                <w:rFonts w:hint="eastAsia"/>
                <w:sz w:val="24"/>
              </w:rPr>
              <w:t>/d，污水产生量按照用水量的90%计，约1.575m</w:t>
            </w:r>
            <w:r>
              <w:rPr>
                <w:rFonts w:hint="eastAsia"/>
                <w:sz w:val="24"/>
                <w:vertAlign w:val="superscript"/>
              </w:rPr>
              <w:t>3</w:t>
            </w:r>
            <w:r>
              <w:rPr>
                <w:rFonts w:hint="eastAsia"/>
                <w:sz w:val="24"/>
              </w:rPr>
              <w:t>/d。生活污水主要污染物为COD、BOD</w:t>
            </w:r>
            <w:r>
              <w:rPr>
                <w:rFonts w:hint="eastAsia"/>
                <w:sz w:val="24"/>
                <w:vertAlign w:val="subscript"/>
              </w:rPr>
              <w:t>5</w:t>
            </w:r>
            <w:r>
              <w:rPr>
                <w:rFonts w:hint="eastAsia"/>
                <w:sz w:val="24"/>
              </w:rPr>
              <w:t>、氨氮、SS。</w:t>
            </w:r>
          </w:p>
          <w:p>
            <w:pPr>
              <w:autoSpaceDE w:val="0"/>
              <w:autoSpaceDN w:val="0"/>
              <w:spacing w:line="360" w:lineRule="auto"/>
              <w:ind w:firstLine="480" w:firstLineChars="200"/>
              <w:outlineLvl w:val="9"/>
              <w:rPr>
                <w:sz w:val="24"/>
              </w:rPr>
            </w:pPr>
            <w:r>
              <w:rPr>
                <w:rFonts w:hint="eastAsia"/>
                <w:sz w:val="24"/>
              </w:rPr>
              <w:t>废水治理措施：</w:t>
            </w:r>
          </w:p>
          <w:p>
            <w:pPr>
              <w:autoSpaceDE w:val="0"/>
              <w:autoSpaceDN w:val="0"/>
              <w:spacing w:line="360" w:lineRule="auto"/>
              <w:ind w:firstLine="480" w:firstLineChars="200"/>
              <w:outlineLvl w:val="9"/>
              <w:rPr>
                <w:sz w:val="24"/>
              </w:rPr>
            </w:pPr>
            <w:r>
              <w:rPr>
                <w:rFonts w:hint="eastAsia"/>
                <w:sz w:val="24"/>
              </w:rPr>
              <w:t>项目酸雾处理配套的水洗塔废水作为酸洗池补水，不排放。</w:t>
            </w:r>
          </w:p>
          <w:p>
            <w:pPr>
              <w:autoSpaceDE w:val="0"/>
              <w:autoSpaceDN w:val="0"/>
              <w:spacing w:line="360" w:lineRule="auto"/>
              <w:ind w:firstLine="480" w:firstLineChars="200"/>
              <w:outlineLvl w:val="9"/>
              <w:rPr>
                <w:bCs/>
                <w:spacing w:val="-10"/>
                <w:sz w:val="24"/>
              </w:rPr>
            </w:pPr>
            <w:r>
              <w:rPr>
                <w:rFonts w:hint="eastAsia"/>
                <w:sz w:val="24"/>
              </w:rPr>
              <w:t>除油清洗废水、酸洗清洗废水和锌锅烟气处理配套的水洗塔废水进入新建污水处理站处理达到《污水综合排放标准》（GB8978-1996）三级标准后排入园区污水管网，进入隆昌经开区污水处理厂处理后</w:t>
            </w:r>
            <w:r>
              <w:rPr>
                <w:rFonts w:hint="eastAsia"/>
                <w:bCs/>
                <w:spacing w:val="-10"/>
                <w:sz w:val="24"/>
              </w:rPr>
              <w:t>排入隆昌河。</w:t>
            </w:r>
          </w:p>
          <w:p>
            <w:pPr>
              <w:autoSpaceDE w:val="0"/>
              <w:autoSpaceDN w:val="0"/>
              <w:spacing w:line="360" w:lineRule="auto"/>
              <w:ind w:firstLine="440" w:firstLineChars="200"/>
              <w:outlineLvl w:val="9"/>
              <w:rPr>
                <w:bCs/>
                <w:spacing w:val="-10"/>
                <w:sz w:val="24"/>
              </w:rPr>
            </w:pPr>
            <w:r>
              <w:rPr>
                <w:rFonts w:hint="eastAsia"/>
                <w:bCs/>
                <w:spacing w:val="-10"/>
                <w:sz w:val="24"/>
              </w:rPr>
              <w:t>生活污水经厂区已有生活污水预处理池收集，满足</w:t>
            </w:r>
            <w:r>
              <w:rPr>
                <w:rFonts w:hint="eastAsia"/>
                <w:sz w:val="24"/>
              </w:rPr>
              <w:t>《污水综合排放标准》（GB8978-1996）三级标准后排入园区污水管网，进入隆昌经开区污水处理厂处理后</w:t>
            </w:r>
            <w:r>
              <w:rPr>
                <w:rFonts w:hint="eastAsia"/>
                <w:bCs/>
                <w:spacing w:val="-10"/>
                <w:sz w:val="24"/>
              </w:rPr>
              <w:t>排入隆昌河。</w:t>
            </w:r>
          </w:p>
          <w:p>
            <w:pPr>
              <w:autoSpaceDE w:val="0"/>
              <w:autoSpaceDN w:val="0"/>
              <w:spacing w:line="360" w:lineRule="auto"/>
              <w:ind w:firstLine="440" w:firstLineChars="200"/>
              <w:outlineLvl w:val="9"/>
              <w:rPr>
                <w:bCs/>
                <w:spacing w:val="-10"/>
                <w:sz w:val="24"/>
              </w:rPr>
            </w:pPr>
            <w:r>
              <w:rPr>
                <w:rFonts w:hint="eastAsia"/>
                <w:bCs/>
                <w:spacing w:val="-10"/>
                <w:sz w:val="24"/>
              </w:rPr>
              <w:t>（2）生产废水处理工艺及效果</w:t>
            </w:r>
          </w:p>
          <w:p>
            <w:pPr>
              <w:autoSpaceDE w:val="0"/>
              <w:autoSpaceDN w:val="0"/>
              <w:spacing w:line="360" w:lineRule="auto"/>
              <w:ind w:firstLine="480" w:firstLineChars="200"/>
              <w:outlineLvl w:val="9"/>
              <w:rPr>
                <w:sz w:val="24"/>
              </w:rPr>
            </w:pPr>
            <w:r>
              <w:rPr>
                <w:rFonts w:hint="eastAsia"/>
                <w:sz w:val="24"/>
              </w:rPr>
              <w:t>除油清洗废水、酸洗清洗废水和锌锅烟气处理配套的水洗塔废水进入污水处理站处理。生产废水处理站设计处理能力10m</w:t>
            </w:r>
            <w:r>
              <w:rPr>
                <w:rFonts w:hint="eastAsia"/>
                <w:sz w:val="24"/>
                <w:vertAlign w:val="superscript"/>
              </w:rPr>
              <w:t>3</w:t>
            </w:r>
            <w:r>
              <w:rPr>
                <w:rFonts w:hint="eastAsia"/>
                <w:sz w:val="24"/>
              </w:rPr>
              <w:t>/d，采用化学反应+气浮+混凝沉淀+次氯酸钠反应的工艺，具体如下。</w:t>
            </w:r>
          </w:p>
          <w:p>
            <w:pPr>
              <w:jc w:val="center"/>
              <w:outlineLvl w:val="9"/>
              <w:rPr>
                <w:rFonts w:eastAsia="黑体"/>
                <w:sz w:val="24"/>
              </w:rPr>
            </w:pPr>
            <w:r>
              <w:drawing>
                <wp:inline distT="0" distB="0" distL="0" distR="0">
                  <wp:extent cx="2924175" cy="3914775"/>
                  <wp:effectExtent l="0" t="0" r="9525" b="9525"/>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pic:cNvPicPr>
                        </pic:nvPicPr>
                        <pic:blipFill>
                          <a:blip r:embed="rId13" cstate="print"/>
                          <a:stretch>
                            <a:fillRect/>
                          </a:stretch>
                        </pic:blipFill>
                        <pic:spPr>
                          <a:xfrm>
                            <a:off x="0" y="0"/>
                            <a:ext cx="2927723" cy="3919525"/>
                          </a:xfrm>
                          <a:prstGeom prst="rect">
                            <a:avLst/>
                          </a:prstGeom>
                        </pic:spPr>
                      </pic:pic>
                    </a:graphicData>
                  </a:graphic>
                </wp:inline>
              </w:drawing>
            </w:r>
          </w:p>
          <w:p>
            <w:pPr>
              <w:spacing w:line="360" w:lineRule="auto"/>
              <w:jc w:val="center"/>
              <w:outlineLvl w:val="9"/>
              <w:rPr>
                <w:rFonts w:eastAsia="黑体"/>
                <w:sz w:val="24"/>
              </w:rPr>
            </w:pPr>
            <w:r>
              <w:rPr>
                <w:rFonts w:eastAsia="黑体"/>
                <w:sz w:val="24"/>
              </w:rPr>
              <w:t>图</w:t>
            </w:r>
            <w:r>
              <w:rPr>
                <w:rFonts w:hint="eastAsia" w:eastAsia="黑体"/>
                <w:sz w:val="24"/>
              </w:rPr>
              <w:t>3-1  废水处理工艺流程</w:t>
            </w:r>
          </w:p>
          <w:p>
            <w:pPr>
              <w:spacing w:line="360" w:lineRule="auto"/>
              <w:ind w:firstLine="480" w:firstLineChars="200"/>
              <w:outlineLvl w:val="9"/>
              <w:rPr>
                <w:rFonts w:ascii="宋体" w:hAnsi="宋体" w:cs="宋体"/>
                <w:color w:val="000000" w:themeColor="text1"/>
                <w:sz w:val="24"/>
              </w:rPr>
            </w:pPr>
            <w:r>
              <w:rPr>
                <w:sz w:val="24"/>
              </w:rPr>
              <w:t>本项目废水混合进入储液罐，由于三股生产废水排放时，对系统处理单元存在冲击，因此设置储液罐收集，在储液罐中进行匀质，随后定量进入后续处理单元。储液罐出水进入化学反应池，化学反应池选用机械搅拌形式，添加石灰调节pH，钙离子在废水中水解后与废水中的锌、铁金属离子发生反应生成难以溶解的氢氧化物沉淀。熟石灰在废水中形成的络合物能够架桥吸附重金属胶体污染物，并对胶体有脱稳破乳作用，使其凝聚成大颗料密实矾花沉降成污泥。随着熟石灰的投加量增加使得废水碱度不断增加，也使得部份有机污染物的酸性环境得到破坏。加强了重金属的去除效率。废水随后进入气浮池，气浮阶段添加破乳剂使油类物质进一步 乳化,混凝沉淀阶段主要是对乳化后的废水中的絮体以及金属氢氧化物沉淀进行去除，氢氧化亚铁大多被氧化为Fe(OH)</w:t>
            </w:r>
            <w:r>
              <w:rPr>
                <w:sz w:val="24"/>
                <w:vertAlign w:val="subscript"/>
              </w:rPr>
              <w:t>3</w:t>
            </w:r>
            <w:r>
              <w:rPr>
                <w:sz w:val="24"/>
              </w:rPr>
              <w:t>，在碱性条件下，PAC对形成的Zn (OH)</w:t>
            </w:r>
            <w:r>
              <w:rPr>
                <w:sz w:val="24"/>
                <w:vertAlign w:val="subscript"/>
              </w:rPr>
              <w:t>2</w:t>
            </w:r>
            <w:r>
              <w:rPr>
                <w:sz w:val="24"/>
              </w:rPr>
              <w:t>和Fe(OH)</w:t>
            </w:r>
            <w:r>
              <w:rPr>
                <w:rFonts w:hint="eastAsia"/>
                <w:sz w:val="24"/>
                <w:vertAlign w:val="subscript"/>
              </w:rPr>
              <w:t>3</w:t>
            </w:r>
            <w:r>
              <w:rPr>
                <w:sz w:val="24"/>
              </w:rPr>
              <w:t>;沉淀能同时发生压缩双电层和吸附电中和作用，颗粒间静电斥力降低，相互吸引凝聚,形成絮体。为了保障出水效果，设置次氯酸钠深度处理。污泥通过排泥系统，进入板框压滤机，压滤后泥饼委托有资质的单位处理。</w:t>
            </w:r>
          </w:p>
          <w:p>
            <w:pPr>
              <w:spacing w:line="360" w:lineRule="auto"/>
              <w:ind w:firstLine="480" w:firstLineChars="200"/>
              <w:outlineLvl w:val="9"/>
              <w:rPr>
                <w:rFonts w:ascii="宋体" w:hAnsi="宋体" w:cs="宋体"/>
                <w:color w:val="000000" w:themeColor="text1"/>
                <w:sz w:val="24"/>
              </w:rPr>
            </w:pPr>
            <w:r>
              <w:rPr>
                <w:rFonts w:hint="eastAsia" w:ascii="宋体" w:hAnsi="宋体" w:cs="宋体"/>
                <w:color w:val="000000" w:themeColor="text1"/>
                <w:sz w:val="24"/>
              </w:rPr>
              <w:t>3.1.2废气的产生和治理</w:t>
            </w:r>
          </w:p>
          <w:p>
            <w:pPr>
              <w:spacing w:line="360" w:lineRule="auto"/>
              <w:ind w:firstLine="480" w:firstLineChars="200"/>
              <w:outlineLvl w:val="9"/>
              <w:rPr>
                <w:rFonts w:ascii="宋体" w:hAnsi="宋体" w:cs="宋体"/>
                <w:sz w:val="24"/>
              </w:rPr>
            </w:pPr>
            <w:r>
              <w:rPr>
                <w:rFonts w:hint="eastAsia" w:ascii="宋体" w:hAnsi="宋体" w:cs="宋体"/>
                <w:sz w:val="24"/>
              </w:rPr>
              <w:t>项目营运期气主要为抛丸机粉尘、热处理废气、酸洗废气、锌锅烟气、锌锅加热炉烟气。</w:t>
            </w:r>
          </w:p>
          <w:p>
            <w:pPr>
              <w:spacing w:line="360" w:lineRule="auto"/>
              <w:ind w:firstLine="480" w:firstLineChars="200"/>
              <w:outlineLvl w:val="9"/>
              <w:rPr>
                <w:rFonts w:ascii="宋体" w:hAnsi="宋体" w:cs="宋体"/>
                <w:sz w:val="24"/>
              </w:rPr>
            </w:pPr>
            <w:r>
              <w:rPr>
                <w:rFonts w:hint="eastAsia" w:ascii="宋体" w:hAnsi="宋体" w:cs="宋体"/>
                <w:sz w:val="24"/>
              </w:rPr>
              <w:t>（1）抛丸机粉尘</w:t>
            </w:r>
          </w:p>
          <w:p>
            <w:pPr>
              <w:spacing w:line="360" w:lineRule="auto"/>
              <w:ind w:firstLine="480" w:firstLineChars="200"/>
              <w:outlineLvl w:val="9"/>
              <w:rPr>
                <w:rFonts w:ascii="宋体" w:hAnsi="宋体" w:cs="宋体"/>
                <w:sz w:val="24"/>
              </w:rPr>
            </w:pPr>
            <w:r>
              <w:rPr>
                <w:rFonts w:hint="eastAsia" w:ascii="宋体" w:hAnsi="宋体" w:cs="宋体"/>
                <w:sz w:val="24"/>
              </w:rPr>
              <w:t>项目在热浸锌车间新增1台抛丸机，生产过程会产生粉尘。</w:t>
            </w:r>
          </w:p>
          <w:p>
            <w:pPr>
              <w:spacing w:line="360" w:lineRule="auto"/>
              <w:ind w:firstLine="480" w:firstLineChars="200"/>
              <w:outlineLvl w:val="9"/>
              <w:rPr>
                <w:rFonts w:ascii="宋体" w:hAnsi="宋体" w:cs="宋体"/>
                <w:sz w:val="24"/>
              </w:rPr>
            </w:pPr>
            <w:r>
              <w:rPr>
                <w:rFonts w:hint="eastAsia" w:ascii="宋体" w:hAnsi="宋体" w:cs="宋体"/>
                <w:sz w:val="24"/>
              </w:rPr>
              <w:t>（2）热处理废气</w:t>
            </w:r>
          </w:p>
          <w:p>
            <w:pPr>
              <w:spacing w:line="360" w:lineRule="auto"/>
              <w:ind w:firstLine="480" w:firstLineChars="200"/>
              <w:outlineLvl w:val="9"/>
              <w:rPr>
                <w:rFonts w:ascii="宋体" w:hAnsi="宋体" w:cs="宋体"/>
                <w:sz w:val="24"/>
              </w:rPr>
            </w:pPr>
            <w:r>
              <w:rPr>
                <w:rFonts w:hint="eastAsia" w:ascii="宋体" w:hAnsi="宋体" w:cs="宋体"/>
                <w:sz w:val="24"/>
              </w:rPr>
              <w:t>淬火炉使用电加热，备用天然气作热源。回火炉使用天然气作燃料，类比现厂情况，油池采用间接水冷却，淬火油烟产生量较小，可忽略不计。 回火炉烟气产生量较大，主要包括油雾颗粒和天然气燃烧烟气，主要污染物为VOCs、SO2、NOX和油雾颗粒。。</w:t>
            </w:r>
          </w:p>
          <w:p>
            <w:pPr>
              <w:spacing w:line="360" w:lineRule="auto"/>
              <w:ind w:firstLine="480" w:firstLineChars="200"/>
              <w:outlineLvl w:val="9"/>
              <w:rPr>
                <w:rFonts w:ascii="宋体" w:hAnsi="宋体" w:cs="宋体"/>
                <w:sz w:val="24"/>
              </w:rPr>
            </w:pPr>
            <w:r>
              <w:rPr>
                <w:rFonts w:hint="eastAsia" w:ascii="宋体" w:hAnsi="宋体" w:cs="宋体"/>
                <w:sz w:val="24"/>
              </w:rPr>
              <w:t>（3）酸洗废气</w:t>
            </w:r>
          </w:p>
          <w:p>
            <w:pPr>
              <w:spacing w:line="360" w:lineRule="auto"/>
              <w:ind w:firstLine="480" w:firstLineChars="200"/>
              <w:outlineLvl w:val="9"/>
              <w:rPr>
                <w:rFonts w:ascii="宋体" w:hAnsi="宋体" w:cs="宋体"/>
                <w:sz w:val="24"/>
              </w:rPr>
            </w:pPr>
            <w:r>
              <w:rPr>
                <w:rFonts w:hint="eastAsia" w:ascii="宋体" w:hAnsi="宋体" w:cs="宋体"/>
                <w:sz w:val="24"/>
              </w:rPr>
              <w:t>项目配套4个酸洗槽，酸洗过程会产生酸雾，为氯化氢和水蒸气的混合物。</w:t>
            </w:r>
          </w:p>
          <w:p>
            <w:pPr>
              <w:spacing w:line="360" w:lineRule="auto"/>
              <w:ind w:firstLine="480" w:firstLineChars="200"/>
              <w:outlineLvl w:val="9"/>
              <w:rPr>
                <w:rFonts w:ascii="宋体" w:hAnsi="宋体" w:cs="宋体"/>
                <w:sz w:val="24"/>
              </w:rPr>
            </w:pPr>
            <w:r>
              <w:rPr>
                <w:rFonts w:hint="eastAsia" w:ascii="宋体" w:hAnsi="宋体" w:cs="宋体"/>
                <w:sz w:val="24"/>
              </w:rPr>
              <w:t>4）锌锅烟气</w:t>
            </w:r>
          </w:p>
          <w:p>
            <w:pPr>
              <w:spacing w:line="360" w:lineRule="auto"/>
              <w:ind w:firstLine="480" w:firstLineChars="200"/>
              <w:outlineLvl w:val="9"/>
              <w:rPr>
                <w:rFonts w:ascii="宋体" w:hAnsi="宋体" w:cs="宋体"/>
                <w:sz w:val="24"/>
              </w:rPr>
            </w:pPr>
            <w:r>
              <w:rPr>
                <w:rFonts w:hint="eastAsia" w:ascii="宋体" w:hAnsi="宋体" w:cs="宋体"/>
                <w:sz w:val="24"/>
              </w:rPr>
              <w:t>项目热浸锌工序会有烟气产生，产生于锌锅上方，主要成分为氯化铵、氧化锌、氯化锌、锌、氨气，呈白色烟气，一般以颗粒物表征。</w:t>
            </w:r>
          </w:p>
          <w:p>
            <w:pPr>
              <w:spacing w:line="360" w:lineRule="auto"/>
              <w:ind w:firstLine="480" w:firstLineChars="200"/>
              <w:outlineLvl w:val="9"/>
              <w:rPr>
                <w:rFonts w:ascii="宋体" w:hAnsi="宋体" w:cs="宋体"/>
                <w:sz w:val="24"/>
              </w:rPr>
            </w:pPr>
            <w:r>
              <w:rPr>
                <w:rFonts w:hint="eastAsia" w:ascii="宋体" w:hAnsi="宋体" w:cs="宋体"/>
                <w:sz w:val="24"/>
              </w:rPr>
              <w:t>（5）锌锅加热炉天然气燃烧烟气</w:t>
            </w:r>
          </w:p>
          <w:p>
            <w:pPr>
              <w:spacing w:line="360" w:lineRule="auto"/>
              <w:ind w:firstLine="480" w:firstLineChars="200"/>
              <w:outlineLvl w:val="9"/>
              <w:rPr>
                <w:rFonts w:ascii="宋体" w:hAnsi="宋体" w:cs="宋体"/>
                <w:sz w:val="24"/>
              </w:rPr>
            </w:pPr>
            <w:r>
              <w:rPr>
                <w:rFonts w:hint="eastAsia" w:ascii="宋体" w:hAnsi="宋体" w:cs="宋体"/>
                <w:sz w:val="24"/>
              </w:rPr>
              <w:t>锌锅加热炉运行时间约7200h/a，天然气属清洁能源，燃烧烟气中主要产生烟尘、SO</w:t>
            </w:r>
            <w:r>
              <w:rPr>
                <w:rFonts w:hint="eastAsia" w:ascii="宋体" w:hAnsi="宋体" w:cs="宋体"/>
                <w:sz w:val="24"/>
                <w:vertAlign w:val="subscript"/>
              </w:rPr>
              <w:t>2</w:t>
            </w:r>
            <w:r>
              <w:rPr>
                <w:rFonts w:hint="eastAsia" w:ascii="宋体" w:hAnsi="宋体" w:cs="宋体"/>
                <w:sz w:val="24"/>
              </w:rPr>
              <w:t xml:space="preserve"> 、氮氧化物等。</w:t>
            </w:r>
          </w:p>
          <w:p>
            <w:pPr>
              <w:spacing w:line="360" w:lineRule="auto"/>
              <w:ind w:firstLine="482" w:firstLineChars="200"/>
              <w:outlineLvl w:val="9"/>
              <w:rPr>
                <w:rFonts w:ascii="宋体" w:hAnsi="宋体" w:cs="宋体"/>
                <w:b/>
                <w:bCs/>
                <w:sz w:val="24"/>
              </w:rPr>
            </w:pPr>
            <w:r>
              <w:rPr>
                <w:rFonts w:hint="eastAsia" w:ascii="宋体" w:hAnsi="宋体" w:cs="宋体"/>
                <w:b/>
                <w:bCs/>
                <w:sz w:val="24"/>
              </w:rPr>
              <w:t>废气治理措施：</w:t>
            </w:r>
          </w:p>
          <w:p>
            <w:pPr>
              <w:spacing w:line="360" w:lineRule="auto"/>
              <w:ind w:firstLine="480" w:firstLineChars="200"/>
              <w:outlineLvl w:val="9"/>
              <w:rPr>
                <w:sz w:val="24"/>
              </w:rPr>
            </w:pPr>
            <w:r>
              <w:rPr>
                <w:rFonts w:hint="eastAsia"/>
                <w:sz w:val="24"/>
              </w:rPr>
              <w:t>（1）抛丸粉尘</w:t>
            </w:r>
          </w:p>
          <w:p>
            <w:pPr>
              <w:spacing w:line="360" w:lineRule="auto"/>
              <w:ind w:firstLine="480" w:firstLineChars="200"/>
              <w:outlineLvl w:val="9"/>
              <w:rPr>
                <w:sz w:val="24"/>
              </w:rPr>
            </w:pPr>
            <w:r>
              <w:rPr>
                <w:rFonts w:hint="eastAsia"/>
                <w:sz w:val="24"/>
              </w:rPr>
              <w:t>项目抛丸机为密闭设备，抛丸粉尘经收集至设备自带的“沉降分离器+旋风除尘器+滤筒除尘器”处理后通过15m高排气筒排放。</w:t>
            </w:r>
          </w:p>
          <w:p>
            <w:pPr>
              <w:spacing w:line="360" w:lineRule="auto"/>
              <w:ind w:firstLine="480" w:firstLineChars="200"/>
              <w:outlineLvl w:val="9"/>
              <w:rPr>
                <w:sz w:val="24"/>
              </w:rPr>
            </w:pPr>
            <w:r>
              <w:rPr>
                <w:rFonts w:hint="eastAsia"/>
                <w:sz w:val="24"/>
              </w:rPr>
              <w:t>（2）热处理烟气</w:t>
            </w:r>
          </w:p>
          <w:p>
            <w:pPr>
              <w:spacing w:line="360" w:lineRule="auto"/>
              <w:ind w:firstLine="480" w:firstLineChars="200"/>
              <w:outlineLvl w:val="9"/>
              <w:rPr>
                <w:sz w:val="24"/>
              </w:rPr>
            </w:pPr>
            <w:r>
              <w:rPr>
                <w:rFonts w:hint="eastAsia"/>
                <w:sz w:val="24"/>
              </w:rPr>
              <w:t>热处理利用现有设备，回火炉烟气经过上方集气罩捕集（捕集效率约90%），天然气燃烧烟气经管道，一并收集至已有的“</w:t>
            </w:r>
            <w:r>
              <w:rPr>
                <w:rFonts w:hint="eastAsia"/>
                <w:snapToGrid w:val="0"/>
                <w:sz w:val="24"/>
              </w:rPr>
              <w:t>油雾净化器（颗粒物处理效率约90%）+UV光解（VOCs处理效率9%）+活性炭吸附装置（VOCs处理效率18%）</w:t>
            </w:r>
            <w:r>
              <w:rPr>
                <w:rFonts w:hint="eastAsia"/>
                <w:sz w:val="24"/>
              </w:rPr>
              <w:t>”处理后，通过现有15m高的排气筒（DA004）排放。</w:t>
            </w:r>
          </w:p>
          <w:p>
            <w:pPr>
              <w:spacing w:line="360" w:lineRule="auto"/>
              <w:ind w:firstLine="480" w:firstLineChars="200"/>
              <w:outlineLvl w:val="9"/>
              <w:rPr>
                <w:sz w:val="24"/>
              </w:rPr>
            </w:pPr>
            <w:r>
              <w:rPr>
                <w:rFonts w:hint="eastAsia"/>
                <w:sz w:val="24"/>
              </w:rPr>
              <w:t>（3）酸洗废气</w:t>
            </w:r>
          </w:p>
          <w:p>
            <w:pPr>
              <w:spacing w:line="360" w:lineRule="auto"/>
              <w:ind w:firstLine="482" w:firstLineChars="200"/>
              <w:outlineLvl w:val="9"/>
              <w:rPr>
                <w:sz w:val="24"/>
              </w:rPr>
            </w:pPr>
            <w:r>
              <w:rPr>
                <w:rFonts w:hint="eastAsia"/>
                <w:b/>
                <w:sz w:val="24"/>
              </w:rPr>
              <w:t>前处理系统设置在密闭的操作间内（类似于下图），操作间进行集中抽风，将含酸洗酸雾废气抽送至拟建水洗塔处理。</w:t>
            </w:r>
            <w:r>
              <w:rPr>
                <w:rFonts w:hint="eastAsia"/>
                <w:sz w:val="24"/>
              </w:rPr>
              <w:t>尾气由15m高排气筒排放。</w:t>
            </w:r>
          </w:p>
          <w:p>
            <w:pPr>
              <w:spacing w:line="360" w:lineRule="auto"/>
              <w:jc w:val="center"/>
              <w:outlineLvl w:val="9"/>
              <w:rPr>
                <w:sz w:val="24"/>
              </w:rPr>
            </w:pPr>
            <w:r>
              <w:drawing>
                <wp:inline distT="0" distB="0" distL="0" distR="0">
                  <wp:extent cx="5486400" cy="2747645"/>
                  <wp:effectExtent l="0" t="0" r="0" b="14605"/>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icPr>
                        <pic:blipFill>
                          <a:blip r:embed="rId14" cstate="print"/>
                          <a:stretch>
                            <a:fillRect/>
                          </a:stretch>
                        </pic:blipFill>
                        <pic:spPr>
                          <a:xfrm>
                            <a:off x="0" y="0"/>
                            <a:ext cx="5486400" cy="2747645"/>
                          </a:xfrm>
                          <a:prstGeom prst="rect">
                            <a:avLst/>
                          </a:prstGeom>
                        </pic:spPr>
                      </pic:pic>
                    </a:graphicData>
                  </a:graphic>
                </wp:inline>
              </w:drawing>
            </w:r>
          </w:p>
          <w:p>
            <w:pPr>
              <w:spacing w:line="360" w:lineRule="auto"/>
              <w:jc w:val="center"/>
              <w:outlineLvl w:val="9"/>
              <w:rPr>
                <w:rFonts w:eastAsia="黑体"/>
                <w:sz w:val="24"/>
              </w:rPr>
            </w:pPr>
            <w:r>
              <w:rPr>
                <w:rFonts w:eastAsia="黑体"/>
                <w:sz w:val="24"/>
              </w:rPr>
              <w:t>图</w:t>
            </w:r>
            <w:r>
              <w:rPr>
                <w:rFonts w:hint="eastAsia" w:eastAsia="黑体"/>
                <w:sz w:val="24"/>
              </w:rPr>
              <w:t>3</w:t>
            </w:r>
            <w:r>
              <w:rPr>
                <w:rFonts w:eastAsia="黑体"/>
                <w:sz w:val="24"/>
              </w:rPr>
              <w:t>-1  密闭的前处理系统</w:t>
            </w:r>
          </w:p>
          <w:p>
            <w:pPr>
              <w:spacing w:line="360" w:lineRule="auto"/>
              <w:ind w:firstLine="480" w:firstLineChars="200"/>
              <w:outlineLvl w:val="9"/>
              <w:rPr>
                <w:sz w:val="24"/>
              </w:rPr>
            </w:pPr>
            <w:r>
              <w:rPr>
                <w:rFonts w:hint="eastAsia"/>
                <w:sz w:val="24"/>
              </w:rPr>
              <w:t>（4）锌锅烟气</w:t>
            </w:r>
          </w:p>
          <w:p>
            <w:pPr>
              <w:spacing w:line="360" w:lineRule="auto"/>
              <w:ind w:firstLine="480" w:firstLineChars="200"/>
              <w:outlineLvl w:val="9"/>
              <w:rPr>
                <w:sz w:val="24"/>
              </w:rPr>
            </w:pPr>
            <w:r>
              <w:rPr>
                <w:rFonts w:hint="eastAsia"/>
                <w:sz w:val="24"/>
              </w:rPr>
              <w:t>锌锅设置在密闭的操作间内，操作间进行集中抽风，将锌烟抽送至拟建脉冲袋式除尘器+水洗塔处理。尾气由15m高排气筒排放。</w:t>
            </w:r>
          </w:p>
          <w:p>
            <w:pPr>
              <w:spacing w:line="360" w:lineRule="auto"/>
              <w:ind w:firstLine="480" w:firstLineChars="200"/>
              <w:outlineLvl w:val="9"/>
              <w:rPr>
                <w:sz w:val="24"/>
              </w:rPr>
            </w:pPr>
            <w:r>
              <w:rPr>
                <w:rFonts w:hint="eastAsia"/>
                <w:sz w:val="24"/>
              </w:rPr>
              <w:t>（5）锌锅加热炉天然气燃烧烟气</w:t>
            </w:r>
          </w:p>
          <w:p>
            <w:pPr>
              <w:spacing w:line="360" w:lineRule="auto"/>
              <w:ind w:firstLine="480" w:firstLineChars="200"/>
              <w:outlineLvl w:val="9"/>
              <w:rPr>
                <w:sz w:val="24"/>
              </w:rPr>
            </w:pPr>
            <w:r>
              <w:rPr>
                <w:rFonts w:hint="eastAsia"/>
                <w:sz w:val="24"/>
              </w:rPr>
              <w:t>锌锅加热炉天然气燃烧烟气进入烘干网链、助镀槽余热盘管、除油槽余热盘管利用余热后，由15m高排气筒排放。</w:t>
            </w:r>
          </w:p>
          <w:p>
            <w:pPr>
              <w:spacing w:line="360" w:lineRule="auto"/>
              <w:outlineLvl w:val="9"/>
              <w:rPr>
                <w:rFonts w:ascii="宋体" w:hAnsi="宋体" w:cs="宋体"/>
                <w:sz w:val="24"/>
              </w:rPr>
            </w:pPr>
            <w:r>
              <w:rPr>
                <w:rFonts w:hint="eastAsia" w:ascii="宋体" w:hAnsi="宋体" w:cs="宋体"/>
                <w:sz w:val="24"/>
              </w:rPr>
              <w:t>3.1.3噪声的产生和治理</w:t>
            </w:r>
          </w:p>
          <w:p>
            <w:pPr>
              <w:spacing w:line="360" w:lineRule="auto"/>
              <w:ind w:firstLine="480" w:firstLineChars="200"/>
              <w:outlineLvl w:val="9"/>
              <w:rPr>
                <w:rFonts w:ascii="宋体" w:hAnsi="宋体" w:cs="宋体"/>
                <w:sz w:val="24"/>
              </w:rPr>
            </w:pPr>
            <w:r>
              <w:rPr>
                <w:rFonts w:hint="eastAsia" w:ascii="宋体" w:hAnsi="宋体" w:cs="宋体"/>
                <w:sz w:val="24"/>
              </w:rPr>
              <w:t>本项目主要声源为加工设备运行产生的机械噪声。本项目主要生产设备噪声强度如表所示。</w:t>
            </w:r>
          </w:p>
          <w:p>
            <w:pPr>
              <w:spacing w:line="360" w:lineRule="auto"/>
              <w:jc w:val="center"/>
              <w:outlineLvl w:val="9"/>
              <w:rPr>
                <w:rFonts w:eastAsia="黑体"/>
                <w:b/>
                <w:bCs/>
                <w:sz w:val="24"/>
              </w:rPr>
            </w:pPr>
            <w:r>
              <w:rPr>
                <w:rFonts w:hint="eastAsia" w:ascii="宋体" w:hAnsi="宋体" w:cs="宋体"/>
                <w:b/>
                <w:bCs/>
                <w:sz w:val="24"/>
              </w:rPr>
              <w:t xml:space="preserve">表3-1 </w:t>
            </w:r>
            <w:r>
              <w:rPr>
                <w:rFonts w:eastAsia="黑体"/>
                <w:sz w:val="24"/>
              </w:rPr>
              <w:t xml:space="preserve"> </w:t>
            </w:r>
            <w:r>
              <w:rPr>
                <w:rFonts w:eastAsia="黑体"/>
                <w:b/>
                <w:bCs/>
                <w:sz w:val="24"/>
              </w:rPr>
              <w:t>项目主要产噪设备及治理措施表</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234"/>
              <w:gridCol w:w="1249"/>
              <w:gridCol w:w="4029"/>
              <w:gridCol w:w="16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1038" w:type="dxa"/>
                  <w:vAlign w:val="center"/>
                </w:tcPr>
                <w:p>
                  <w:pPr>
                    <w:jc w:val="center"/>
                    <w:outlineLvl w:val="9"/>
                    <w:rPr>
                      <w:b/>
                      <w:szCs w:val="21"/>
                    </w:rPr>
                  </w:pPr>
                  <w:r>
                    <w:rPr>
                      <w:rFonts w:hint="eastAsia"/>
                      <w:b/>
                      <w:szCs w:val="21"/>
                    </w:rPr>
                    <w:t>设备位置</w:t>
                  </w:r>
                </w:p>
              </w:tc>
              <w:tc>
                <w:tcPr>
                  <w:tcW w:w="1234" w:type="dxa"/>
                  <w:vAlign w:val="center"/>
                </w:tcPr>
                <w:p>
                  <w:pPr>
                    <w:jc w:val="center"/>
                    <w:outlineLvl w:val="9"/>
                    <w:rPr>
                      <w:b/>
                      <w:szCs w:val="21"/>
                    </w:rPr>
                  </w:pPr>
                  <w:r>
                    <w:rPr>
                      <w:rFonts w:hint="eastAsia"/>
                      <w:b/>
                      <w:szCs w:val="21"/>
                    </w:rPr>
                    <w:t>噪声源</w:t>
                  </w:r>
                </w:p>
              </w:tc>
              <w:tc>
                <w:tcPr>
                  <w:tcW w:w="1249" w:type="dxa"/>
                  <w:vAlign w:val="center"/>
                </w:tcPr>
                <w:p>
                  <w:pPr>
                    <w:jc w:val="center"/>
                    <w:outlineLvl w:val="9"/>
                    <w:rPr>
                      <w:b/>
                      <w:szCs w:val="21"/>
                    </w:rPr>
                  </w:pPr>
                  <w:r>
                    <w:rPr>
                      <w:rFonts w:hint="eastAsia"/>
                      <w:b/>
                      <w:szCs w:val="21"/>
                    </w:rPr>
                    <w:t>噪声值dB(A)</w:t>
                  </w:r>
                </w:p>
              </w:tc>
              <w:tc>
                <w:tcPr>
                  <w:tcW w:w="4029" w:type="dxa"/>
                  <w:vAlign w:val="center"/>
                </w:tcPr>
                <w:p>
                  <w:pPr>
                    <w:jc w:val="center"/>
                    <w:outlineLvl w:val="9"/>
                    <w:rPr>
                      <w:b/>
                      <w:szCs w:val="21"/>
                    </w:rPr>
                  </w:pPr>
                  <w:r>
                    <w:rPr>
                      <w:rFonts w:hint="eastAsia"/>
                      <w:b/>
                      <w:szCs w:val="21"/>
                    </w:rPr>
                    <w:t>声源治理措施</w:t>
                  </w:r>
                </w:p>
              </w:tc>
              <w:tc>
                <w:tcPr>
                  <w:tcW w:w="1612" w:type="dxa"/>
                  <w:vAlign w:val="center"/>
                </w:tcPr>
                <w:p>
                  <w:pPr>
                    <w:jc w:val="center"/>
                    <w:outlineLvl w:val="9"/>
                    <w:rPr>
                      <w:b/>
                      <w:szCs w:val="21"/>
                    </w:rPr>
                  </w:pPr>
                  <w:r>
                    <w:rPr>
                      <w:rFonts w:hint="eastAsia"/>
                      <w:b/>
                      <w:szCs w:val="21"/>
                    </w:rPr>
                    <w:t>治理后噪声值dB(A)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8" w:type="dxa"/>
                  <w:vMerge w:val="restart"/>
                  <w:vAlign w:val="center"/>
                </w:tcPr>
                <w:p>
                  <w:pPr>
                    <w:jc w:val="center"/>
                    <w:outlineLvl w:val="9"/>
                    <w:rPr>
                      <w:szCs w:val="21"/>
                    </w:rPr>
                  </w:pPr>
                  <w:r>
                    <w:rPr>
                      <w:szCs w:val="21"/>
                    </w:rPr>
                    <w:t>热镀锌车间</w:t>
                  </w:r>
                </w:p>
              </w:tc>
              <w:tc>
                <w:tcPr>
                  <w:tcW w:w="1234" w:type="dxa"/>
                  <w:vAlign w:val="center"/>
                </w:tcPr>
                <w:p>
                  <w:pPr>
                    <w:jc w:val="center"/>
                    <w:outlineLvl w:val="9"/>
                    <w:rPr>
                      <w:szCs w:val="21"/>
                    </w:rPr>
                  </w:pPr>
                  <w:r>
                    <w:rPr>
                      <w:szCs w:val="21"/>
                    </w:rPr>
                    <w:t>水泵（</w:t>
                  </w:r>
                  <w:r>
                    <w:rPr>
                      <w:rFonts w:hint="eastAsia"/>
                      <w:szCs w:val="21"/>
                    </w:rPr>
                    <w:t>4台</w:t>
                  </w:r>
                  <w:r>
                    <w:rPr>
                      <w:szCs w:val="21"/>
                    </w:rPr>
                    <w:t>）</w:t>
                  </w:r>
                </w:p>
              </w:tc>
              <w:tc>
                <w:tcPr>
                  <w:tcW w:w="1249" w:type="dxa"/>
                  <w:vAlign w:val="center"/>
                </w:tcPr>
                <w:p>
                  <w:pPr>
                    <w:jc w:val="center"/>
                    <w:outlineLvl w:val="9"/>
                    <w:rPr>
                      <w:szCs w:val="21"/>
                    </w:rPr>
                  </w:pPr>
                  <w:r>
                    <w:rPr>
                      <w:rFonts w:hint="eastAsia"/>
                      <w:szCs w:val="21"/>
                    </w:rPr>
                    <w:t>85</w:t>
                  </w:r>
                </w:p>
              </w:tc>
              <w:tc>
                <w:tcPr>
                  <w:tcW w:w="4029" w:type="dxa"/>
                  <w:vMerge w:val="restart"/>
                  <w:vAlign w:val="center"/>
                </w:tcPr>
                <w:p>
                  <w:pPr>
                    <w:jc w:val="center"/>
                    <w:outlineLvl w:val="9"/>
                    <w:rPr>
                      <w:szCs w:val="21"/>
                    </w:rPr>
                  </w:pPr>
                  <w:r>
                    <w:rPr>
                      <w:rFonts w:hint="eastAsia"/>
                      <w:szCs w:val="21"/>
                    </w:rPr>
                    <w:t>选择低噪声设备；合理布局；抛丸机设置在车间内，风机加装消声器</w:t>
                  </w:r>
                </w:p>
              </w:tc>
              <w:tc>
                <w:tcPr>
                  <w:tcW w:w="1612" w:type="dxa"/>
                  <w:vAlign w:val="center"/>
                </w:tcPr>
                <w:p>
                  <w:pPr>
                    <w:jc w:val="center"/>
                    <w:outlineLvl w:val="9"/>
                    <w:rPr>
                      <w:szCs w:val="21"/>
                    </w:rPr>
                  </w:pPr>
                  <w:r>
                    <w:rPr>
                      <w:rFonts w:hint="eastAsia"/>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8" w:type="dxa"/>
                  <w:vMerge w:val="continue"/>
                  <w:vAlign w:val="center"/>
                </w:tcPr>
                <w:p>
                  <w:pPr>
                    <w:jc w:val="center"/>
                    <w:outlineLvl w:val="9"/>
                    <w:rPr>
                      <w:szCs w:val="21"/>
                    </w:rPr>
                  </w:pPr>
                </w:p>
              </w:tc>
              <w:tc>
                <w:tcPr>
                  <w:tcW w:w="1234" w:type="dxa"/>
                  <w:vAlign w:val="center"/>
                </w:tcPr>
                <w:p>
                  <w:pPr>
                    <w:jc w:val="center"/>
                    <w:outlineLvl w:val="9"/>
                    <w:rPr>
                      <w:szCs w:val="21"/>
                    </w:rPr>
                  </w:pPr>
                  <w:r>
                    <w:rPr>
                      <w:rFonts w:hint="eastAsia"/>
                      <w:szCs w:val="21"/>
                    </w:rPr>
                    <w:t>风机（8台）</w:t>
                  </w:r>
                </w:p>
              </w:tc>
              <w:tc>
                <w:tcPr>
                  <w:tcW w:w="1249" w:type="dxa"/>
                  <w:vAlign w:val="center"/>
                </w:tcPr>
                <w:p>
                  <w:pPr>
                    <w:jc w:val="center"/>
                    <w:outlineLvl w:val="9"/>
                    <w:rPr>
                      <w:szCs w:val="21"/>
                    </w:rPr>
                  </w:pPr>
                  <w:r>
                    <w:rPr>
                      <w:rFonts w:hint="eastAsia"/>
                      <w:szCs w:val="21"/>
                    </w:rPr>
                    <w:t>85</w:t>
                  </w:r>
                </w:p>
              </w:tc>
              <w:tc>
                <w:tcPr>
                  <w:tcW w:w="4029" w:type="dxa"/>
                  <w:vMerge w:val="continue"/>
                  <w:vAlign w:val="center"/>
                </w:tcPr>
                <w:p>
                  <w:pPr>
                    <w:jc w:val="center"/>
                    <w:outlineLvl w:val="9"/>
                    <w:rPr>
                      <w:szCs w:val="21"/>
                    </w:rPr>
                  </w:pPr>
                </w:p>
              </w:tc>
              <w:tc>
                <w:tcPr>
                  <w:tcW w:w="1612" w:type="dxa"/>
                  <w:vAlign w:val="center"/>
                </w:tcPr>
                <w:p>
                  <w:pPr>
                    <w:jc w:val="center"/>
                    <w:outlineLvl w:val="9"/>
                    <w:rPr>
                      <w:szCs w:val="21"/>
                    </w:rPr>
                  </w:pPr>
                  <w:r>
                    <w:rPr>
                      <w:rFonts w:hint="eastAsia"/>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038" w:type="dxa"/>
                  <w:vMerge w:val="continue"/>
                  <w:vAlign w:val="center"/>
                </w:tcPr>
                <w:p>
                  <w:pPr>
                    <w:jc w:val="center"/>
                    <w:outlineLvl w:val="9"/>
                    <w:rPr>
                      <w:szCs w:val="21"/>
                    </w:rPr>
                  </w:pPr>
                </w:p>
              </w:tc>
              <w:tc>
                <w:tcPr>
                  <w:tcW w:w="1234" w:type="dxa"/>
                  <w:vAlign w:val="center"/>
                </w:tcPr>
                <w:p>
                  <w:pPr>
                    <w:jc w:val="center"/>
                    <w:outlineLvl w:val="9"/>
                    <w:rPr>
                      <w:szCs w:val="21"/>
                    </w:rPr>
                  </w:pPr>
                  <w:r>
                    <w:rPr>
                      <w:rFonts w:hint="eastAsia"/>
                      <w:szCs w:val="21"/>
                    </w:rPr>
                    <w:t>抛丸机（2台）</w:t>
                  </w:r>
                </w:p>
              </w:tc>
              <w:tc>
                <w:tcPr>
                  <w:tcW w:w="1249" w:type="dxa"/>
                  <w:vAlign w:val="center"/>
                </w:tcPr>
                <w:p>
                  <w:pPr>
                    <w:jc w:val="center"/>
                    <w:outlineLvl w:val="9"/>
                    <w:rPr>
                      <w:szCs w:val="21"/>
                    </w:rPr>
                  </w:pPr>
                  <w:r>
                    <w:rPr>
                      <w:rFonts w:hint="eastAsia"/>
                      <w:szCs w:val="21"/>
                    </w:rPr>
                    <w:t>85</w:t>
                  </w:r>
                </w:p>
              </w:tc>
              <w:tc>
                <w:tcPr>
                  <w:tcW w:w="4029" w:type="dxa"/>
                  <w:vMerge w:val="continue"/>
                  <w:vAlign w:val="center"/>
                </w:tcPr>
                <w:p>
                  <w:pPr>
                    <w:jc w:val="center"/>
                    <w:outlineLvl w:val="9"/>
                    <w:rPr>
                      <w:szCs w:val="21"/>
                    </w:rPr>
                  </w:pPr>
                </w:p>
              </w:tc>
              <w:tc>
                <w:tcPr>
                  <w:tcW w:w="1612" w:type="dxa"/>
                  <w:vAlign w:val="center"/>
                </w:tcPr>
                <w:p>
                  <w:pPr>
                    <w:jc w:val="center"/>
                    <w:outlineLvl w:val="9"/>
                    <w:rPr>
                      <w:szCs w:val="21"/>
                    </w:rPr>
                  </w:pPr>
                  <w:r>
                    <w:rPr>
                      <w:rFonts w:hint="eastAsia"/>
                      <w:szCs w:val="21"/>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1038" w:type="dxa"/>
                  <w:vAlign w:val="center"/>
                </w:tcPr>
                <w:p>
                  <w:pPr>
                    <w:jc w:val="center"/>
                    <w:outlineLvl w:val="9"/>
                    <w:rPr>
                      <w:szCs w:val="21"/>
                    </w:rPr>
                  </w:pPr>
                  <w:r>
                    <w:rPr>
                      <w:rFonts w:hint="eastAsia"/>
                      <w:szCs w:val="21"/>
                    </w:rPr>
                    <w:t>污水处理系统</w:t>
                  </w:r>
                </w:p>
              </w:tc>
              <w:tc>
                <w:tcPr>
                  <w:tcW w:w="1234" w:type="dxa"/>
                  <w:vAlign w:val="center"/>
                </w:tcPr>
                <w:p>
                  <w:pPr>
                    <w:jc w:val="center"/>
                    <w:outlineLvl w:val="9"/>
                    <w:rPr>
                      <w:szCs w:val="21"/>
                    </w:rPr>
                  </w:pPr>
                  <w:r>
                    <w:rPr>
                      <w:rFonts w:hint="eastAsia"/>
                      <w:szCs w:val="21"/>
                    </w:rPr>
                    <w:t>水泵（4台）</w:t>
                  </w:r>
                </w:p>
              </w:tc>
              <w:tc>
                <w:tcPr>
                  <w:tcW w:w="1249" w:type="dxa"/>
                  <w:vAlign w:val="center"/>
                </w:tcPr>
                <w:p>
                  <w:pPr>
                    <w:jc w:val="center"/>
                    <w:outlineLvl w:val="9"/>
                    <w:rPr>
                      <w:szCs w:val="21"/>
                    </w:rPr>
                  </w:pPr>
                  <w:r>
                    <w:rPr>
                      <w:rFonts w:hint="eastAsia"/>
                      <w:szCs w:val="21"/>
                    </w:rPr>
                    <w:t>80</w:t>
                  </w:r>
                </w:p>
              </w:tc>
              <w:tc>
                <w:tcPr>
                  <w:tcW w:w="4029" w:type="dxa"/>
                  <w:vMerge w:val="continue"/>
                  <w:vAlign w:val="center"/>
                </w:tcPr>
                <w:p>
                  <w:pPr>
                    <w:jc w:val="center"/>
                    <w:outlineLvl w:val="9"/>
                    <w:rPr>
                      <w:szCs w:val="21"/>
                    </w:rPr>
                  </w:pPr>
                </w:p>
              </w:tc>
              <w:tc>
                <w:tcPr>
                  <w:tcW w:w="1612" w:type="dxa"/>
                  <w:vAlign w:val="center"/>
                </w:tcPr>
                <w:p>
                  <w:pPr>
                    <w:jc w:val="center"/>
                    <w:outlineLvl w:val="9"/>
                    <w:rPr>
                      <w:szCs w:val="21"/>
                    </w:rPr>
                  </w:pPr>
                  <w:r>
                    <w:rPr>
                      <w:rFonts w:hint="eastAsia"/>
                      <w:szCs w:val="21"/>
                    </w:rPr>
                    <w:t>70</w:t>
                  </w:r>
                </w:p>
              </w:tc>
            </w:tr>
          </w:tbl>
          <w:p>
            <w:pPr>
              <w:spacing w:line="360" w:lineRule="auto"/>
              <w:outlineLvl w:val="9"/>
              <w:rPr>
                <w:rFonts w:ascii="宋体" w:hAnsi="宋体" w:cs="宋体"/>
                <w:color w:val="000000" w:themeColor="text1"/>
                <w:sz w:val="24"/>
              </w:rPr>
            </w:pPr>
            <w:r>
              <w:rPr>
                <w:rFonts w:hint="eastAsia"/>
              </w:rPr>
              <w:t xml:space="preserve">  </w:t>
            </w:r>
            <w:r>
              <w:rPr>
                <w:rFonts w:hint="eastAsia"/>
                <w:sz w:val="24"/>
              </w:rPr>
              <w:t xml:space="preserve">  </w:t>
            </w:r>
            <w:r>
              <w:rPr>
                <w:rFonts w:hint="eastAsia" w:ascii="宋体" w:hAnsi="宋体" w:cs="宋体"/>
                <w:sz w:val="24"/>
              </w:rPr>
              <w:t xml:space="preserve"> 项目采取选用低噪声设备，并采取加填、紧固、减震措施；距离衰减、厂房隔声，定期对生产设备进行检修、定期涂润滑油，加强生产过程中管理，合理安排生产时间，午间夜间不生产等综合性降噪措施减少噪音对周围环境的影响。</w:t>
            </w:r>
          </w:p>
          <w:p>
            <w:pPr>
              <w:spacing w:line="360" w:lineRule="auto"/>
              <w:ind w:firstLine="480" w:firstLineChars="200"/>
              <w:outlineLvl w:val="9"/>
              <w:rPr>
                <w:rFonts w:ascii="宋体" w:hAnsi="宋体" w:cs="宋体"/>
                <w:sz w:val="24"/>
              </w:rPr>
            </w:pPr>
            <w:r>
              <w:rPr>
                <w:rFonts w:hint="eastAsia" w:ascii="宋体" w:hAnsi="宋体" w:cs="宋体"/>
                <w:sz w:val="24"/>
              </w:rPr>
              <w:t>3.1.4固体废物治理和产生</w:t>
            </w:r>
          </w:p>
          <w:p>
            <w:pPr>
              <w:spacing w:line="360" w:lineRule="auto"/>
              <w:ind w:firstLine="480" w:firstLineChars="200"/>
              <w:outlineLvl w:val="9"/>
              <w:rPr>
                <w:sz w:val="24"/>
              </w:rPr>
            </w:pPr>
            <w:r>
              <w:rPr>
                <w:rFonts w:hint="eastAsia"/>
                <w:sz w:val="24"/>
              </w:rPr>
              <w:t>本项目固废主要为废钢材边角料、抛丸机除尘灰渣、除油槽废槽液槽渣、酸洗槽废槽液槽渣、助镀槽槽渣、</w:t>
            </w:r>
            <w:r>
              <w:rPr>
                <w:rFonts w:hAnsi="宋体"/>
                <w:sz w:val="24"/>
              </w:rPr>
              <w:t>锌灰锌渣、锌锅烟气处理收尘灰渣、污水处理站污泥、废淬火油、</w:t>
            </w:r>
            <w:r>
              <w:rPr>
                <w:sz w:val="24"/>
              </w:rPr>
              <w:t>废矿物油、废油桶及含油棉纱手套、废切削液等</w:t>
            </w:r>
            <w:r>
              <w:rPr>
                <w:rFonts w:hAnsi="宋体"/>
                <w:sz w:val="24"/>
              </w:rPr>
              <w:t>。</w:t>
            </w:r>
            <w:r>
              <w:rPr>
                <w:rFonts w:hint="eastAsia"/>
                <w:sz w:val="24"/>
              </w:rPr>
              <w:t>其中除油槽废槽液槽渣、酸洗槽废槽液槽渣、助镀槽槽渣、</w:t>
            </w:r>
            <w:r>
              <w:rPr>
                <w:rFonts w:hAnsi="宋体"/>
                <w:sz w:val="24"/>
              </w:rPr>
              <w:t>锌锅烟气处理收尘灰渣、污水处理站污泥、</w:t>
            </w:r>
            <w:r>
              <w:rPr>
                <w:sz w:val="24"/>
              </w:rPr>
              <w:t>废矿物油、废油桶及含油棉纱手套、废切削液等属于危险废物</w:t>
            </w:r>
            <w:r>
              <w:rPr>
                <w:rFonts w:hint="eastAsia"/>
                <w:sz w:val="24"/>
              </w:rPr>
              <w:t>，其余工业固废为一般固废，锌锅灰渣属于待鉴别废物。</w:t>
            </w:r>
          </w:p>
          <w:p>
            <w:pPr>
              <w:pStyle w:val="2"/>
              <w:ind w:firstLine="482" w:firstLineChars="200"/>
              <w:outlineLvl w:val="9"/>
            </w:pPr>
            <w:r>
              <w:rPr>
                <w:rFonts w:hint="eastAsia"/>
                <w:b/>
                <w:bCs/>
                <w:sz w:val="24"/>
              </w:rPr>
              <w:t>危险废物的产生和治理：</w:t>
            </w:r>
          </w:p>
          <w:p>
            <w:pPr>
              <w:spacing w:line="360" w:lineRule="auto"/>
              <w:ind w:firstLine="482" w:firstLineChars="200"/>
              <w:outlineLvl w:val="9"/>
              <w:rPr>
                <w:b/>
                <w:sz w:val="24"/>
              </w:rPr>
            </w:pPr>
            <w:r>
              <w:rPr>
                <w:rFonts w:hint="eastAsia"/>
                <w:b/>
                <w:sz w:val="24"/>
              </w:rPr>
              <w:t>（1）除油槽废槽液槽渣</w:t>
            </w:r>
          </w:p>
          <w:p>
            <w:pPr>
              <w:spacing w:line="360" w:lineRule="auto"/>
              <w:ind w:firstLine="480" w:firstLineChars="200"/>
              <w:outlineLvl w:val="9"/>
              <w:rPr>
                <w:rFonts w:hAnsi="宋体"/>
                <w:sz w:val="24"/>
              </w:rPr>
            </w:pPr>
            <w:r>
              <w:rPr>
                <w:rFonts w:hint="eastAsia"/>
                <w:sz w:val="24"/>
              </w:rPr>
              <w:t>项目除油槽定期（每月1次）抽出槽液，清理槽渣；槽液更换周期约1年1次。废槽液和槽渣量约5.4t/a。废槽液槽渣属于</w:t>
            </w:r>
            <w:r>
              <w:rPr>
                <w:rFonts w:hint="eastAsia" w:hAnsi="宋体"/>
                <w:sz w:val="24"/>
              </w:rPr>
              <w:t>《国家危险废物名录》（2021年本）</w:t>
            </w:r>
            <w:r>
              <w:rPr>
                <w:rFonts w:hint="eastAsia"/>
                <w:sz w:val="24"/>
              </w:rPr>
              <w:t>HW17表面处理废物中“</w:t>
            </w:r>
            <w:r>
              <w:rPr>
                <w:sz w:val="24"/>
              </w:rPr>
              <w:t>金属或塑料表面酸（碱）洗、除油、除锈、洗涤、磷化、出光、化抛工艺产生的废腐蚀液、废洗涤液、废槽液、槽渣和废水处理污泥（不包括：铝、镁材（板）表面酸（碱）洗、粗化、硫酸阳极处理、磷酸化学抛光废水处理污泥，铝电解电容器用铝电极箔化学腐蚀、非硼酸系化成液化成废水处理污泥，铝材挤压加工模具碱洗（煲模）废水处理污泥，碳钢酸洗除锈废水处理污泥）</w:t>
            </w:r>
            <w:r>
              <w:rPr>
                <w:rFonts w:hint="eastAsia"/>
                <w:sz w:val="24"/>
              </w:rPr>
              <w:t>”（废物代码为336</w:t>
            </w:r>
            <w:r>
              <w:rPr>
                <w:sz w:val="24"/>
              </w:rPr>
              <w:t>-0</w:t>
            </w:r>
            <w:r>
              <w:rPr>
                <w:rFonts w:hint="eastAsia"/>
                <w:sz w:val="24"/>
              </w:rPr>
              <w:t>64</w:t>
            </w:r>
            <w:r>
              <w:rPr>
                <w:sz w:val="24"/>
              </w:rPr>
              <w:t>-</w:t>
            </w:r>
            <w:r>
              <w:rPr>
                <w:rFonts w:hint="eastAsia"/>
                <w:sz w:val="24"/>
              </w:rPr>
              <w:t>17），属危险废物，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firstLineChars="200"/>
              <w:outlineLvl w:val="9"/>
              <w:rPr>
                <w:rFonts w:hAnsi="宋体"/>
                <w:b/>
                <w:sz w:val="24"/>
              </w:rPr>
            </w:pPr>
            <w:r>
              <w:rPr>
                <w:rFonts w:hint="eastAsia" w:hAnsi="宋体"/>
                <w:b/>
                <w:sz w:val="24"/>
              </w:rPr>
              <w:t>（2）酸洗槽废槽液槽渣</w:t>
            </w:r>
          </w:p>
          <w:p>
            <w:pPr>
              <w:spacing w:line="360" w:lineRule="auto"/>
              <w:ind w:firstLine="480" w:firstLineChars="200"/>
              <w:outlineLvl w:val="9"/>
              <w:rPr>
                <w:rFonts w:hAnsi="宋体"/>
                <w:sz w:val="24"/>
              </w:rPr>
            </w:pPr>
            <w:r>
              <w:rPr>
                <w:rFonts w:hint="eastAsia"/>
                <w:sz w:val="24"/>
              </w:rPr>
              <w:t>项目酸洗槽定期（每月）抽出槽液，清理槽渣；槽液更换周期约1年1次。废槽液和槽渣量约7.2t/a。废槽液槽渣属于</w:t>
            </w:r>
            <w:r>
              <w:rPr>
                <w:rFonts w:hint="eastAsia" w:hAnsi="宋体"/>
                <w:sz w:val="24"/>
              </w:rPr>
              <w:t>《国家危险废物名录》（2021年本）</w:t>
            </w:r>
            <w:r>
              <w:rPr>
                <w:rFonts w:hint="eastAsia"/>
                <w:sz w:val="24"/>
              </w:rPr>
              <w:t>HW17表面处理废物中“</w:t>
            </w:r>
            <w:r>
              <w:rPr>
                <w:sz w:val="24"/>
              </w:rPr>
              <w:t>金属或塑料表面酸（碱）洗、除油、除锈、洗涤、磷化、出光、化抛工艺产生的废腐蚀液、废洗涤液、废槽液、槽渣和废水处理污泥（不包括：铝、镁材（板）表面酸（碱）洗、粗化、硫酸阳极处理、磷酸化学抛光废水处理污泥，铝电解电容器用铝电极箔化学腐蚀、非硼酸系化成液化成废水处理污泥，铝材挤压加工模具碱洗（煲模）废水处理污泥，碳钢酸洗除锈废水处理污泥）</w:t>
            </w:r>
            <w:r>
              <w:rPr>
                <w:rFonts w:hint="eastAsia"/>
                <w:sz w:val="24"/>
              </w:rPr>
              <w:t>”（废物代码为336</w:t>
            </w:r>
            <w:r>
              <w:rPr>
                <w:sz w:val="24"/>
              </w:rPr>
              <w:t>-0</w:t>
            </w:r>
            <w:r>
              <w:rPr>
                <w:rFonts w:hint="eastAsia"/>
                <w:sz w:val="24"/>
              </w:rPr>
              <w:t>64</w:t>
            </w:r>
            <w:r>
              <w:rPr>
                <w:sz w:val="24"/>
              </w:rPr>
              <w:t>-</w:t>
            </w:r>
            <w:r>
              <w:rPr>
                <w:rFonts w:hint="eastAsia"/>
                <w:sz w:val="24"/>
              </w:rPr>
              <w:t>17），属危险废物，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firstLineChars="200"/>
              <w:outlineLvl w:val="9"/>
              <w:rPr>
                <w:rFonts w:hAnsi="宋体"/>
                <w:b/>
                <w:sz w:val="24"/>
              </w:rPr>
            </w:pPr>
            <w:r>
              <w:rPr>
                <w:rFonts w:hAnsi="宋体"/>
                <w:b/>
                <w:sz w:val="24"/>
              </w:rPr>
              <w:t>（</w:t>
            </w:r>
            <w:r>
              <w:rPr>
                <w:rFonts w:hint="eastAsia" w:hAnsi="宋体"/>
                <w:b/>
                <w:sz w:val="24"/>
              </w:rPr>
              <w:t>3</w:t>
            </w:r>
            <w:r>
              <w:rPr>
                <w:rFonts w:hAnsi="宋体"/>
                <w:b/>
                <w:sz w:val="24"/>
              </w:rPr>
              <w:t>）助镀液槽渣</w:t>
            </w:r>
          </w:p>
          <w:p>
            <w:pPr>
              <w:spacing w:line="360" w:lineRule="auto"/>
              <w:ind w:firstLine="480" w:firstLineChars="200"/>
              <w:outlineLvl w:val="9"/>
              <w:rPr>
                <w:rFonts w:hAnsi="宋体"/>
                <w:sz w:val="24"/>
              </w:rPr>
            </w:pPr>
            <w:r>
              <w:rPr>
                <w:rFonts w:hint="eastAsia" w:hAnsi="宋体"/>
                <w:sz w:val="24"/>
              </w:rPr>
              <w:t>项目助镀液不再生处理，定期抽出槽液，清理槽渣后重复利用，定期补加。槽渣产生量约0.5t/a。其中槽渣属于《国家危险废物名录》（2021年本）</w:t>
            </w:r>
            <w:r>
              <w:rPr>
                <w:rFonts w:hint="eastAsia"/>
                <w:sz w:val="24"/>
              </w:rPr>
              <w:t>HW17表面处理废物中“使用氯化锌、氯化铵进行敏化处理产生的废渣和废水处理污泥” （废物代码为336</w:t>
            </w:r>
            <w:r>
              <w:rPr>
                <w:sz w:val="24"/>
              </w:rPr>
              <w:t>-</w:t>
            </w:r>
            <w:r>
              <w:rPr>
                <w:rFonts w:hint="eastAsia"/>
                <w:sz w:val="24"/>
              </w:rPr>
              <w:t>051</w:t>
            </w:r>
            <w:r>
              <w:rPr>
                <w:sz w:val="24"/>
              </w:rPr>
              <w:t>-</w:t>
            </w:r>
            <w:r>
              <w:rPr>
                <w:rFonts w:hint="eastAsia"/>
                <w:sz w:val="24"/>
              </w:rPr>
              <w:t>17），属危险废物，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firstLineChars="200"/>
              <w:outlineLvl w:val="9"/>
              <w:rPr>
                <w:rFonts w:hAnsi="宋体"/>
                <w:b/>
                <w:sz w:val="24"/>
              </w:rPr>
            </w:pPr>
            <w:r>
              <w:rPr>
                <w:rFonts w:hint="eastAsia"/>
                <w:b/>
                <w:sz w:val="24"/>
              </w:rPr>
              <w:t>（4）</w:t>
            </w:r>
            <w:r>
              <w:rPr>
                <w:rFonts w:hAnsi="宋体"/>
                <w:b/>
                <w:sz w:val="24"/>
              </w:rPr>
              <w:t>锌锅烟气处理收尘灰渣</w:t>
            </w:r>
          </w:p>
          <w:p>
            <w:pPr>
              <w:spacing w:line="360" w:lineRule="auto"/>
              <w:ind w:firstLine="480" w:firstLineChars="200"/>
              <w:outlineLvl w:val="9"/>
              <w:rPr>
                <w:rFonts w:hAnsi="宋体"/>
                <w:sz w:val="24"/>
              </w:rPr>
            </w:pPr>
            <w:r>
              <w:rPr>
                <w:rFonts w:hint="eastAsia" w:hAnsi="宋体"/>
                <w:sz w:val="24"/>
              </w:rPr>
              <w:t>项目锌锅烟气处理采用脉冲布袋除尘器+水洗塔。其中脉冲布袋除尘器收尘灰渣产生量约4t/a。收尘灰渣属于《国家危险废物名录》（2021年本）</w:t>
            </w:r>
            <w:r>
              <w:rPr>
                <w:rFonts w:hint="eastAsia"/>
                <w:sz w:val="24"/>
              </w:rPr>
              <w:t>HW23含锌废物中“热镀锌过程中产生的废助镀熔（溶）剂和集（除）尘装置收集的粉尘”（废物代码为336</w:t>
            </w:r>
            <w:r>
              <w:rPr>
                <w:sz w:val="24"/>
              </w:rPr>
              <w:t>-</w:t>
            </w:r>
            <w:r>
              <w:rPr>
                <w:rFonts w:hint="eastAsia"/>
                <w:sz w:val="24"/>
              </w:rPr>
              <w:t>103</w:t>
            </w:r>
            <w:r>
              <w:rPr>
                <w:sz w:val="24"/>
              </w:rPr>
              <w:t>-</w:t>
            </w:r>
            <w:r>
              <w:rPr>
                <w:rFonts w:hint="eastAsia"/>
                <w:sz w:val="24"/>
              </w:rPr>
              <w:t>23），属危险废物，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firstLineChars="200"/>
              <w:outlineLvl w:val="9"/>
              <w:rPr>
                <w:b/>
                <w:sz w:val="24"/>
              </w:rPr>
            </w:pPr>
            <w:r>
              <w:rPr>
                <w:rFonts w:hint="eastAsia"/>
                <w:b/>
                <w:sz w:val="24"/>
              </w:rPr>
              <w:t>（5）污水处理站污泥</w:t>
            </w:r>
          </w:p>
          <w:p>
            <w:pPr>
              <w:spacing w:line="360" w:lineRule="auto"/>
              <w:ind w:firstLine="480" w:firstLineChars="200"/>
              <w:outlineLvl w:val="9"/>
              <w:rPr>
                <w:rFonts w:hAnsi="宋体"/>
                <w:sz w:val="24"/>
              </w:rPr>
            </w:pPr>
            <w:r>
              <w:rPr>
                <w:rFonts w:hint="eastAsia"/>
                <w:sz w:val="24"/>
              </w:rPr>
              <w:t>项目拟建污水处理站污泥产生量约5t/a（含水80%）。污泥属于</w:t>
            </w:r>
            <w:r>
              <w:rPr>
                <w:rFonts w:hint="eastAsia" w:hAnsi="宋体"/>
                <w:sz w:val="24"/>
              </w:rPr>
              <w:t>《国家危险废物名录》（2021年本）</w:t>
            </w:r>
            <w:r>
              <w:rPr>
                <w:rFonts w:hint="eastAsia"/>
                <w:sz w:val="24"/>
              </w:rPr>
              <w:t>HW17表面处理废物中“</w:t>
            </w:r>
            <w:r>
              <w:rPr>
                <w:sz w:val="24"/>
              </w:rPr>
              <w:t>金属或塑料表面酸（碱）洗、除油、除锈、洗涤、磷化、出光、化抛工艺产生的废腐蚀液、废洗涤液、废槽液、槽渣和废水处理污泥（不包括：铝、镁材（板）表面酸（碱）洗、粗化、硫酸阳极处理、磷酸化学抛光废水处理污泥，铝电解电容器用铝电极箔化学腐蚀、非硼酸系化成液化成废水处理污泥，铝材挤压加工模具碱洗（煲模）废水处理污泥，碳钢酸洗除锈废水处理污泥）</w:t>
            </w:r>
            <w:r>
              <w:rPr>
                <w:rFonts w:hint="eastAsia"/>
                <w:sz w:val="24"/>
              </w:rPr>
              <w:t>”（废物代码为336</w:t>
            </w:r>
            <w:r>
              <w:rPr>
                <w:sz w:val="24"/>
              </w:rPr>
              <w:t>-0</w:t>
            </w:r>
            <w:r>
              <w:rPr>
                <w:rFonts w:hint="eastAsia"/>
                <w:sz w:val="24"/>
              </w:rPr>
              <w:t>64</w:t>
            </w:r>
            <w:r>
              <w:rPr>
                <w:sz w:val="24"/>
              </w:rPr>
              <w:t>-</w:t>
            </w:r>
            <w:r>
              <w:rPr>
                <w:rFonts w:hint="eastAsia"/>
                <w:sz w:val="24"/>
              </w:rPr>
              <w:t>17），属危险废物，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firstLineChars="200"/>
              <w:outlineLvl w:val="9"/>
              <w:rPr>
                <w:b/>
                <w:sz w:val="24"/>
              </w:rPr>
            </w:pPr>
            <w:r>
              <w:rPr>
                <w:rFonts w:hint="eastAsia"/>
                <w:b/>
                <w:sz w:val="24"/>
              </w:rPr>
              <w:t>（6）废淬火油</w:t>
            </w:r>
          </w:p>
          <w:p>
            <w:pPr>
              <w:spacing w:line="360" w:lineRule="auto"/>
              <w:ind w:firstLine="480"/>
              <w:outlineLvl w:val="9"/>
              <w:rPr>
                <w:sz w:val="24"/>
              </w:rPr>
            </w:pPr>
            <w:r>
              <w:rPr>
                <w:rFonts w:hint="eastAsia"/>
                <w:sz w:val="24"/>
              </w:rPr>
              <w:t>项目新增废淬火油（包括油雾净化器清理的废油）产生量约为16t/a，属于《国家危险废物名录》（2021年版）中HW08废矿物油与含矿物油废物中“使用淬火油进行表面硬化处理产生的废矿物油”（废物代码9</w:t>
            </w:r>
            <w:r>
              <w:rPr>
                <w:sz w:val="24"/>
              </w:rPr>
              <w:t>00</w:t>
            </w:r>
            <w:r>
              <w:rPr>
                <w:rFonts w:hint="eastAsia"/>
                <w:sz w:val="24"/>
              </w:rPr>
              <w:t>-</w:t>
            </w:r>
            <w:r>
              <w:rPr>
                <w:sz w:val="24"/>
              </w:rPr>
              <w:t>2</w:t>
            </w:r>
            <w:r>
              <w:rPr>
                <w:rFonts w:hint="eastAsia"/>
                <w:sz w:val="24"/>
              </w:rPr>
              <w:t>03-</w:t>
            </w:r>
            <w:r>
              <w:rPr>
                <w:sz w:val="24"/>
              </w:rPr>
              <w:t>08</w:t>
            </w:r>
            <w:r>
              <w:rPr>
                <w:rFonts w:hint="eastAsia"/>
                <w:sz w:val="24"/>
              </w:rPr>
              <w:t>），属危险废物，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2"/>
              <w:outlineLvl w:val="9"/>
              <w:rPr>
                <w:b/>
                <w:sz w:val="24"/>
              </w:rPr>
            </w:pPr>
            <w:r>
              <w:rPr>
                <w:b/>
                <w:sz w:val="24"/>
              </w:rPr>
              <w:t>（</w:t>
            </w:r>
            <w:r>
              <w:rPr>
                <w:rFonts w:hint="eastAsia"/>
                <w:b/>
                <w:sz w:val="24"/>
              </w:rPr>
              <w:t>7</w:t>
            </w:r>
            <w:r>
              <w:rPr>
                <w:b/>
                <w:sz w:val="24"/>
              </w:rPr>
              <w:t>）废润滑油、废油桶及含油棉纱手套</w:t>
            </w:r>
          </w:p>
          <w:p>
            <w:pPr>
              <w:spacing w:line="360" w:lineRule="auto"/>
              <w:ind w:firstLine="480"/>
              <w:outlineLvl w:val="9"/>
              <w:rPr>
                <w:rFonts w:hAnsi="宋体"/>
                <w:sz w:val="24"/>
              </w:rPr>
            </w:pPr>
            <w:r>
              <w:rPr>
                <w:rFonts w:hint="eastAsia" w:hAnsi="宋体"/>
                <w:sz w:val="24"/>
              </w:rPr>
              <w:t>项目设备保养更换的废润滑油，其与废油桶属于《国家危险废物名录》（2021年本）HW08废矿物油与含矿物油废物中“</w:t>
            </w:r>
            <w:r>
              <w:rPr>
                <w:rFonts w:hint="eastAsia" w:hAnsi="宋体"/>
                <w:i/>
                <w:sz w:val="24"/>
                <w:u w:val="single"/>
              </w:rPr>
              <w:t>其他生产、销售、使用过程中产生的废矿物油及沾染矿物油的废弃包装物</w:t>
            </w:r>
            <w:r>
              <w:rPr>
                <w:rFonts w:hint="eastAsia" w:hAnsi="宋体"/>
                <w:sz w:val="24"/>
              </w:rPr>
              <w:t>”</w:t>
            </w:r>
            <w:r>
              <w:rPr>
                <w:rFonts w:hint="eastAsia"/>
                <w:sz w:val="24"/>
              </w:rPr>
              <w:t xml:space="preserve"> （废物代码为900-249-08）</w:t>
            </w:r>
            <w:r>
              <w:rPr>
                <w:rFonts w:hint="eastAsia" w:hAnsi="宋体"/>
                <w:sz w:val="24"/>
              </w:rPr>
              <w:t>。含油棉纱手套属于《国家危险废物名录》（2021年本）</w:t>
            </w:r>
            <w:r>
              <w:rPr>
                <w:rFonts w:hint="eastAsia"/>
                <w:sz w:val="24"/>
              </w:rPr>
              <w:t>HW49类其他废物中“</w:t>
            </w:r>
            <w:r>
              <w:rPr>
                <w:rFonts w:hint="eastAsia"/>
                <w:i/>
                <w:sz w:val="24"/>
                <w:u w:val="single"/>
              </w:rPr>
              <w:t>含有或沾染毒性、感染性危险废物的废弃包装物、容器、过滤吸附介质</w:t>
            </w:r>
            <w:r>
              <w:rPr>
                <w:rFonts w:hint="eastAsia"/>
                <w:sz w:val="24"/>
              </w:rPr>
              <w:t>”（废物代码为</w:t>
            </w:r>
            <w:r>
              <w:rPr>
                <w:sz w:val="24"/>
              </w:rPr>
              <w:t>900-041-49</w:t>
            </w:r>
            <w:r>
              <w:rPr>
                <w:rFonts w:hint="eastAsia"/>
                <w:sz w:val="24"/>
              </w:rPr>
              <w:t>）。</w:t>
            </w:r>
            <w:r>
              <w:rPr>
                <w:rFonts w:hint="eastAsia" w:hAnsi="宋体"/>
                <w:sz w:val="24"/>
              </w:rPr>
              <w:t>项目新增</w:t>
            </w:r>
            <w:r>
              <w:rPr>
                <w:rFonts w:hint="eastAsia"/>
                <w:sz w:val="24"/>
              </w:rPr>
              <w:t>废润滑油产生量约0.05t/a。废油桶作为原始用途返回供应厂家，损坏部分委托</w:t>
            </w:r>
            <w:r>
              <w:rPr>
                <w:rFonts w:hint="eastAsia"/>
                <w:sz w:val="24"/>
                <w:lang w:eastAsia="zh-CN"/>
              </w:rPr>
              <w:t>珙县华洁危险废物治理有限责任公司</w:t>
            </w:r>
            <w:r>
              <w:rPr>
                <w:rFonts w:hint="eastAsia"/>
                <w:sz w:val="24"/>
              </w:rPr>
              <w:t>处理。</w:t>
            </w:r>
            <w:r>
              <w:rPr>
                <w:rFonts w:hint="eastAsia" w:hAnsi="宋体"/>
                <w:sz w:val="24"/>
              </w:rPr>
              <w:t>含油棉纱手套</w:t>
            </w:r>
            <w:r>
              <w:rPr>
                <w:rFonts w:hint="eastAsia"/>
                <w:sz w:val="24"/>
              </w:rPr>
              <w:t>产生量约0.02t/a，</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0"/>
              <w:outlineLvl w:val="9"/>
              <w:rPr>
                <w:rFonts w:hAnsi="宋体"/>
                <w:sz w:val="24"/>
              </w:rPr>
            </w:pPr>
            <w:r>
              <w:rPr>
                <w:b/>
                <w:sz w:val="24"/>
              </w:rPr>
              <w:t>（</w:t>
            </w:r>
            <w:r>
              <w:rPr>
                <w:rFonts w:hint="eastAsia"/>
                <w:b/>
                <w:sz w:val="24"/>
              </w:rPr>
              <w:t>8</w:t>
            </w:r>
            <w:r>
              <w:rPr>
                <w:b/>
                <w:sz w:val="24"/>
              </w:rPr>
              <w:t>）废切削液</w:t>
            </w:r>
          </w:p>
          <w:p>
            <w:pPr>
              <w:spacing w:line="360" w:lineRule="auto"/>
              <w:ind w:firstLine="480"/>
              <w:outlineLvl w:val="9"/>
              <w:rPr>
                <w:rFonts w:hAnsi="宋体"/>
                <w:sz w:val="24"/>
              </w:rPr>
            </w:pPr>
            <w:r>
              <w:rPr>
                <w:rFonts w:hint="eastAsia" w:hAnsi="宋体"/>
                <w:sz w:val="24"/>
              </w:rPr>
              <w:t>项目紧固件生产新增废切削液产生量约0.05t/a。废切削液属于</w:t>
            </w:r>
            <w:r>
              <w:rPr>
                <w:rFonts w:hint="eastAsia"/>
                <w:sz w:val="24"/>
              </w:rPr>
              <w:t>《国家危险废物名录》（2021年版）中HW09油/水、烃/水混合物或乳化液中“使用切削油或切削液进行机械加工过程中产生的油/水、烃/水混合物或乳化液”（废物代码9</w:t>
            </w:r>
            <w:r>
              <w:rPr>
                <w:sz w:val="24"/>
              </w:rPr>
              <w:t>00</w:t>
            </w:r>
            <w:r>
              <w:rPr>
                <w:rFonts w:hint="eastAsia"/>
                <w:sz w:val="24"/>
              </w:rPr>
              <w:t>-006-</w:t>
            </w:r>
            <w:r>
              <w:rPr>
                <w:sz w:val="24"/>
              </w:rPr>
              <w:t>0</w:t>
            </w:r>
            <w:r>
              <w:rPr>
                <w:rFonts w:hint="eastAsia"/>
                <w:sz w:val="24"/>
              </w:rPr>
              <w:t>9），属危险废物，</w:t>
            </w:r>
            <w:r>
              <w:rPr>
                <w:rFonts w:hint="eastAsia" w:hAnsi="宋体"/>
                <w:sz w:val="24"/>
              </w:rPr>
              <w:t>暂存于危废暂存间，委托</w:t>
            </w:r>
            <w:r>
              <w:rPr>
                <w:rFonts w:hint="eastAsia" w:hAnsi="宋体"/>
                <w:snapToGrid w:val="0"/>
                <w:sz w:val="24"/>
                <w:lang w:eastAsia="zh-CN"/>
              </w:rPr>
              <w:t>珙县华洁危险废物治理有限责任公司</w:t>
            </w:r>
            <w:r>
              <w:rPr>
                <w:rFonts w:hint="eastAsia" w:hAnsi="宋体"/>
                <w:sz w:val="24"/>
              </w:rPr>
              <w:t>进行处理。</w:t>
            </w:r>
          </w:p>
          <w:p>
            <w:pPr>
              <w:spacing w:line="360" w:lineRule="auto"/>
              <w:ind w:firstLine="480"/>
              <w:outlineLvl w:val="9"/>
              <w:rPr>
                <w:rFonts w:hAnsi="宋体"/>
                <w:sz w:val="24"/>
              </w:rPr>
            </w:pPr>
            <w:r>
              <w:rPr>
                <w:rFonts w:hint="eastAsia" w:hAnsi="宋体"/>
                <w:sz w:val="24"/>
              </w:rPr>
              <w:t>（9）废除油剂桶、废盐酸桶、废助镀剂袋</w:t>
            </w:r>
          </w:p>
          <w:p>
            <w:pPr>
              <w:spacing w:line="360" w:lineRule="auto"/>
              <w:ind w:firstLine="480"/>
              <w:outlineLvl w:val="9"/>
              <w:rPr>
                <w:rFonts w:hAnsi="宋体"/>
                <w:sz w:val="24"/>
              </w:rPr>
            </w:pPr>
            <w:r>
              <w:rPr>
                <w:rFonts w:hint="eastAsia" w:hAnsi="宋体"/>
                <w:sz w:val="24"/>
              </w:rPr>
              <w:t>项目废除油剂桶、废盐酸桶、废助镀剂袋产生量约1t/a，属于《国家危险废物名录》（2021年版）HW49类其他废物中“含有或沾染毒性、感染性危险废物的废弃包装物、容器、过滤吸附介质”（废物代码为900-041-49），属于危险废物，暂存于危废暂存间，委托</w:t>
            </w:r>
            <w:r>
              <w:rPr>
                <w:rFonts w:hint="eastAsia" w:hAnsi="宋体"/>
                <w:sz w:val="24"/>
                <w:lang w:eastAsia="zh-CN"/>
              </w:rPr>
              <w:t>珙县华洁危险废物治理有限责任公司</w:t>
            </w:r>
            <w:r>
              <w:rPr>
                <w:rFonts w:hint="eastAsia" w:hAnsi="宋体"/>
                <w:sz w:val="24"/>
              </w:rPr>
              <w:t>进行处理。</w:t>
            </w:r>
          </w:p>
          <w:p>
            <w:pPr>
              <w:spacing w:line="360" w:lineRule="auto"/>
              <w:ind w:firstLine="482" w:firstLineChars="200"/>
              <w:outlineLvl w:val="9"/>
              <w:rPr>
                <w:rFonts w:ascii="宋体" w:hAnsi="宋体" w:cs="宋体"/>
                <w:b/>
                <w:bCs/>
                <w:color w:val="000000" w:themeColor="text1"/>
                <w:sz w:val="24"/>
              </w:rPr>
            </w:pPr>
            <w:r>
              <w:rPr>
                <w:rFonts w:hint="eastAsia" w:ascii="宋体" w:hAnsi="宋体" w:cs="宋体"/>
                <w:b/>
                <w:bCs/>
                <w:color w:val="000000" w:themeColor="text1"/>
                <w:sz w:val="24"/>
              </w:rPr>
              <w:t>一般固废的产生和治理 ：</w:t>
            </w:r>
          </w:p>
          <w:p>
            <w:pPr>
              <w:spacing w:line="360" w:lineRule="auto"/>
              <w:ind w:firstLine="482" w:firstLineChars="200"/>
              <w:outlineLvl w:val="9"/>
              <w:rPr>
                <w:b/>
                <w:sz w:val="24"/>
              </w:rPr>
            </w:pPr>
            <w:r>
              <w:rPr>
                <w:rFonts w:hint="eastAsia"/>
                <w:b/>
                <w:sz w:val="24"/>
              </w:rPr>
              <w:t>（1）废钢材边角料</w:t>
            </w:r>
          </w:p>
          <w:p>
            <w:pPr>
              <w:spacing w:line="360" w:lineRule="auto"/>
              <w:ind w:firstLine="480" w:firstLineChars="200"/>
              <w:outlineLvl w:val="9"/>
              <w:rPr>
                <w:sz w:val="24"/>
              </w:rPr>
            </w:pPr>
            <w:r>
              <w:rPr>
                <w:rFonts w:hint="eastAsia"/>
                <w:sz w:val="24"/>
              </w:rPr>
              <w:t>项目紧固件生产废钢材边角料产生量约150t/a，属于一般固废，售予</w:t>
            </w:r>
            <w:r>
              <w:rPr>
                <w:rFonts w:hint="eastAsia"/>
                <w:sz w:val="24"/>
                <w:lang w:eastAsia="zh-CN"/>
              </w:rPr>
              <w:t>四川中再生环保科技服务有限公司</w:t>
            </w:r>
            <w:r>
              <w:rPr>
                <w:rFonts w:hint="eastAsia"/>
                <w:sz w:val="24"/>
              </w:rPr>
              <w:t>。</w:t>
            </w:r>
          </w:p>
          <w:p>
            <w:pPr>
              <w:spacing w:line="360" w:lineRule="auto"/>
              <w:ind w:firstLine="482" w:firstLineChars="200"/>
              <w:outlineLvl w:val="9"/>
              <w:rPr>
                <w:b/>
                <w:sz w:val="24"/>
              </w:rPr>
            </w:pPr>
            <w:r>
              <w:rPr>
                <w:rFonts w:hint="eastAsia"/>
                <w:b/>
                <w:sz w:val="24"/>
              </w:rPr>
              <w:t>（2）抛丸粉尘收尘灰</w:t>
            </w:r>
          </w:p>
          <w:p>
            <w:pPr>
              <w:spacing w:line="360" w:lineRule="auto"/>
              <w:ind w:firstLine="480" w:firstLineChars="200"/>
              <w:outlineLvl w:val="9"/>
              <w:rPr>
                <w:sz w:val="24"/>
              </w:rPr>
            </w:pPr>
            <w:r>
              <w:rPr>
                <w:rFonts w:hint="eastAsia"/>
                <w:sz w:val="24"/>
              </w:rPr>
              <w:t>项目抛丸机粉尘采用旋风除尘器+滤筒除尘器处理，旋风除尘器和滤筒收集的钢砂产生量约28.2t/a，属于一般固废，外售</w:t>
            </w:r>
            <w:r>
              <w:rPr>
                <w:rFonts w:hint="eastAsia"/>
                <w:sz w:val="24"/>
                <w:lang w:eastAsia="zh-CN"/>
              </w:rPr>
              <w:t>四川中再生环保科技服务有限公司</w:t>
            </w:r>
            <w:r>
              <w:rPr>
                <w:rFonts w:hint="eastAsia"/>
                <w:sz w:val="24"/>
              </w:rPr>
              <w:t>。</w:t>
            </w:r>
          </w:p>
          <w:p>
            <w:pPr>
              <w:spacing w:line="360" w:lineRule="auto"/>
              <w:ind w:firstLine="482" w:firstLineChars="200"/>
              <w:outlineLvl w:val="9"/>
              <w:rPr>
                <w:b/>
                <w:sz w:val="24"/>
              </w:rPr>
            </w:pPr>
            <w:r>
              <w:rPr>
                <w:rFonts w:hint="eastAsia"/>
                <w:b/>
                <w:sz w:val="24"/>
              </w:rPr>
              <w:t>（3）报废的工件篮</w:t>
            </w:r>
          </w:p>
          <w:p>
            <w:pPr>
              <w:spacing w:line="360" w:lineRule="auto"/>
              <w:ind w:firstLine="480" w:firstLineChars="200"/>
              <w:outlineLvl w:val="9"/>
              <w:rPr>
                <w:sz w:val="24"/>
              </w:rPr>
            </w:pPr>
            <w:r>
              <w:rPr>
                <w:rFonts w:hint="eastAsia"/>
                <w:sz w:val="24"/>
              </w:rPr>
              <w:t>项目热镀锌加工使用的工件篮，一般1年更换8个，更换量约0.4t/a，属于一般固废，售予</w:t>
            </w:r>
            <w:r>
              <w:rPr>
                <w:rFonts w:hint="eastAsia"/>
                <w:sz w:val="24"/>
                <w:lang w:eastAsia="zh-CN"/>
              </w:rPr>
              <w:t>四川中再生环保科技服务有限公司</w:t>
            </w:r>
            <w:r>
              <w:rPr>
                <w:rFonts w:hint="eastAsia"/>
                <w:sz w:val="24"/>
              </w:rPr>
              <w:t>。</w:t>
            </w:r>
          </w:p>
          <w:p>
            <w:pPr>
              <w:spacing w:line="360" w:lineRule="auto"/>
              <w:ind w:firstLine="482" w:firstLineChars="200"/>
              <w:outlineLvl w:val="9"/>
              <w:rPr>
                <w:rFonts w:eastAsia="黑体"/>
                <w:b/>
                <w:bCs/>
                <w:sz w:val="24"/>
              </w:rPr>
            </w:pPr>
            <w:r>
              <w:rPr>
                <w:rFonts w:hint="eastAsia" w:eastAsia="黑体"/>
                <w:b/>
                <w:bCs/>
                <w:sz w:val="24"/>
              </w:rPr>
              <w:t>待鉴别废物处理的产生和治理</w:t>
            </w:r>
          </w:p>
          <w:p>
            <w:pPr>
              <w:spacing w:line="360" w:lineRule="auto"/>
              <w:ind w:firstLine="480" w:firstLineChars="200"/>
              <w:outlineLvl w:val="9"/>
              <w:rPr>
                <w:rFonts w:hAnsi="宋体"/>
                <w:sz w:val="24"/>
              </w:rPr>
            </w:pPr>
            <w:r>
              <w:rPr>
                <w:rFonts w:hint="eastAsia" w:hAnsi="宋体"/>
                <w:sz w:val="24"/>
              </w:rPr>
              <w:t>项目</w:t>
            </w:r>
            <w:r>
              <w:rPr>
                <w:rFonts w:hAnsi="宋体"/>
                <w:sz w:val="24"/>
              </w:rPr>
              <w:t>热镀锌</w:t>
            </w:r>
            <w:r>
              <w:rPr>
                <w:rFonts w:hint="eastAsia" w:hAnsi="宋体"/>
                <w:sz w:val="24"/>
              </w:rPr>
              <w:t>锌锅</w:t>
            </w:r>
            <w:r>
              <w:rPr>
                <w:rFonts w:hAnsi="宋体"/>
                <w:sz w:val="24"/>
              </w:rPr>
              <w:t>锌液表面</w:t>
            </w:r>
            <w:r>
              <w:rPr>
                <w:rFonts w:hint="eastAsia" w:hAnsi="宋体"/>
                <w:sz w:val="24"/>
              </w:rPr>
              <w:t>会产生</w:t>
            </w:r>
            <w:r>
              <w:rPr>
                <w:rFonts w:hAnsi="宋体"/>
                <w:sz w:val="24"/>
              </w:rPr>
              <w:t>锌灰</w:t>
            </w:r>
            <w:r>
              <w:rPr>
                <w:rFonts w:hint="eastAsia" w:hAnsi="宋体"/>
                <w:sz w:val="24"/>
              </w:rPr>
              <w:t>，锅底会</w:t>
            </w:r>
            <w:r>
              <w:rPr>
                <w:rFonts w:hAnsi="宋体"/>
                <w:sz w:val="24"/>
              </w:rPr>
              <w:t>沉积锌渣。锌灰主要是锌熔体表面与大气接触被氧化以及某些助镀剂进入镀槽与液态锌作用而形成的。在锌锅表面，由于锌的氧化，将产生一定量的氧化锌</w:t>
            </w:r>
            <w:r>
              <w:rPr>
                <w:rFonts w:hint="eastAsia" w:hAnsi="宋体"/>
                <w:sz w:val="24"/>
              </w:rPr>
              <w:t>，并</w:t>
            </w:r>
            <w:r>
              <w:rPr>
                <w:rFonts w:hAnsi="宋体"/>
                <w:sz w:val="24"/>
              </w:rPr>
              <w:t>含有一部分氯化锌与氯化铵浮渣，因此锌灰的主要成分由ZnO、金属锌和氯化物组成，一般锌的质量分数在50%～80%之间。在生产中需要</w:t>
            </w:r>
            <w:r>
              <w:rPr>
                <w:rFonts w:hint="eastAsia" w:hAnsi="宋体"/>
                <w:sz w:val="24"/>
              </w:rPr>
              <w:t>采用刮灰板</w:t>
            </w:r>
            <w:r>
              <w:rPr>
                <w:rFonts w:hAnsi="宋体"/>
                <w:sz w:val="24"/>
              </w:rPr>
              <w:t>定期将锌液表面的锌灰</w:t>
            </w:r>
            <w:r>
              <w:rPr>
                <w:rFonts w:hint="eastAsia" w:hAnsi="宋体"/>
                <w:sz w:val="24"/>
              </w:rPr>
              <w:t>挂</w:t>
            </w:r>
            <w:r>
              <w:rPr>
                <w:rFonts w:hAnsi="宋体"/>
                <w:sz w:val="24"/>
              </w:rPr>
              <w:t>除，并</w:t>
            </w:r>
            <w:r>
              <w:rPr>
                <w:rFonts w:hint="eastAsia" w:hAnsi="宋体"/>
                <w:sz w:val="24"/>
              </w:rPr>
              <w:t>进行集中</w:t>
            </w:r>
            <w:r>
              <w:rPr>
                <w:rFonts w:hAnsi="宋体"/>
                <w:sz w:val="24"/>
              </w:rPr>
              <w:t>收集。</w:t>
            </w:r>
          </w:p>
          <w:p>
            <w:pPr>
              <w:spacing w:line="360" w:lineRule="auto"/>
              <w:ind w:firstLine="480" w:firstLineChars="200"/>
              <w:outlineLvl w:val="9"/>
              <w:rPr>
                <w:rFonts w:hAnsi="宋体"/>
                <w:sz w:val="24"/>
              </w:rPr>
            </w:pPr>
            <w:r>
              <w:rPr>
                <w:rFonts w:hAnsi="宋体"/>
                <w:sz w:val="24"/>
              </w:rPr>
              <w:t>在锌锅的底部沉有以铁锌合金（FeZn</w:t>
            </w:r>
            <w:r>
              <w:rPr>
                <w:rFonts w:hAnsi="宋体"/>
                <w:sz w:val="24"/>
                <w:vertAlign w:val="subscript"/>
              </w:rPr>
              <w:t>7</w:t>
            </w:r>
            <w:r>
              <w:rPr>
                <w:rFonts w:hAnsi="宋体"/>
                <w:sz w:val="24"/>
              </w:rPr>
              <w:t>、FeZn</w:t>
            </w:r>
            <w:r>
              <w:rPr>
                <w:rFonts w:hAnsi="宋体"/>
                <w:sz w:val="24"/>
                <w:vertAlign w:val="subscript"/>
              </w:rPr>
              <w:t>13</w:t>
            </w:r>
            <w:r>
              <w:rPr>
                <w:rFonts w:hAnsi="宋体"/>
                <w:sz w:val="24"/>
              </w:rPr>
              <w:t>）为主要成分的底渣，是镀件和锌槽的槽体铁以及工件经酸洗后残留在镀件表面尚未漂洗尽的铁盐与锌液作用形成的锌铁合金，一般铁的质量分数约4%，锌的质量分数&lt;96%，此外尚有少量杂质。</w:t>
            </w:r>
            <w:r>
              <w:rPr>
                <w:rFonts w:hint="eastAsia" w:hAnsi="宋体"/>
                <w:sz w:val="24"/>
              </w:rPr>
              <w:t>镀件冷却槽也含有少量铁锌合金，和锌锅底渣成分类似。</w:t>
            </w:r>
          </w:p>
          <w:p>
            <w:pPr>
              <w:spacing w:line="360" w:lineRule="auto"/>
              <w:ind w:firstLine="480" w:firstLineChars="200"/>
              <w:outlineLvl w:val="9"/>
              <w:rPr>
                <w:rFonts w:hint="eastAsia" w:hAnsi="宋体"/>
                <w:sz w:val="24"/>
              </w:rPr>
            </w:pPr>
            <w:r>
              <w:rPr>
                <w:rFonts w:hint="eastAsia" w:hAnsi="宋体"/>
                <w:sz w:val="24"/>
                <w:lang w:val="en-US" w:eastAsia="zh-CN"/>
              </w:rPr>
              <w:t>根据《危险废物排除管理清单（2021 年版）》的公告 （公告 2021 年 第 66 号）</w:t>
            </w:r>
          </w:p>
          <w:p>
            <w:pPr>
              <w:spacing w:line="360" w:lineRule="auto"/>
              <w:outlineLvl w:val="9"/>
              <w:rPr>
                <w:rFonts w:hint="eastAsia" w:hAnsi="宋体"/>
                <w:sz w:val="24"/>
                <w:lang w:eastAsia="zh-CN"/>
              </w:rPr>
            </w:pPr>
            <w:r>
              <w:rPr>
                <w:rFonts w:hint="eastAsia" w:hAnsi="宋体"/>
                <w:sz w:val="24"/>
              </w:rPr>
              <w:t>锌灰和锌渣不</w:t>
            </w:r>
            <w:r>
              <w:rPr>
                <w:rFonts w:hint="eastAsia" w:hAnsi="宋体"/>
                <w:sz w:val="24"/>
                <w:lang w:eastAsia="zh-CN"/>
              </w:rPr>
              <w:t>属于</w:t>
            </w:r>
            <w:r>
              <w:rPr>
                <w:rFonts w:hint="eastAsia" w:hAnsi="宋体"/>
                <w:sz w:val="24"/>
              </w:rPr>
              <w:t>危险废物</w:t>
            </w:r>
            <w:r>
              <w:rPr>
                <w:rFonts w:hint="eastAsia" w:hAnsi="宋体"/>
                <w:sz w:val="24"/>
                <w:lang w:eastAsia="zh-CN"/>
              </w:rPr>
              <w:t>，</w:t>
            </w:r>
            <w:r>
              <w:rPr>
                <w:rFonts w:hint="eastAsia" w:hAnsi="宋体"/>
                <w:sz w:val="24"/>
              </w:rPr>
              <w:t>按一般固废处置</w:t>
            </w:r>
            <w:r>
              <w:rPr>
                <w:rFonts w:hint="eastAsia" w:hAnsi="宋体"/>
                <w:sz w:val="24"/>
                <w:lang w:eastAsia="zh-CN"/>
              </w:rPr>
              <w:t>，直接</w:t>
            </w:r>
            <w:r>
              <w:rPr>
                <w:rFonts w:hint="eastAsia" w:hAnsi="宋体"/>
                <w:sz w:val="24"/>
              </w:rPr>
              <w:t>售予</w:t>
            </w:r>
            <w:r>
              <w:rPr>
                <w:rFonts w:hint="eastAsia" w:hAnsi="宋体"/>
                <w:sz w:val="24"/>
                <w:lang w:eastAsia="zh-CN"/>
              </w:rPr>
              <w:t>四川中再生环保科技服务有限公司</w:t>
            </w:r>
            <w:r>
              <w:rPr>
                <w:rFonts w:hint="eastAsia" w:hAnsi="宋体"/>
                <w:sz w:val="24"/>
              </w:rPr>
              <w:t>。</w:t>
            </w:r>
          </w:p>
          <w:p>
            <w:pPr>
              <w:spacing w:line="360" w:lineRule="auto"/>
              <w:ind w:firstLine="482" w:firstLineChars="200"/>
              <w:outlineLvl w:val="9"/>
              <w:rPr>
                <w:rFonts w:eastAsia="黑体"/>
                <w:b/>
                <w:bCs/>
                <w:sz w:val="24"/>
              </w:rPr>
            </w:pPr>
            <w:r>
              <w:rPr>
                <w:rFonts w:hint="eastAsia" w:eastAsia="黑体"/>
                <w:b/>
                <w:bCs/>
                <w:sz w:val="24"/>
              </w:rPr>
              <w:t>生活垃圾的产生和治理</w:t>
            </w:r>
          </w:p>
          <w:p>
            <w:pPr>
              <w:spacing w:line="360" w:lineRule="auto"/>
              <w:ind w:firstLine="480" w:firstLineChars="200"/>
              <w:outlineLvl w:val="9"/>
              <w:rPr>
                <w:sz w:val="24"/>
              </w:rPr>
            </w:pPr>
            <w:r>
              <w:rPr>
                <w:rFonts w:hint="eastAsia"/>
                <w:sz w:val="24"/>
              </w:rPr>
              <w:t>本项目新增生活垃圾产生量约3t/a，由当地环卫部门统一清运和处置。</w:t>
            </w:r>
          </w:p>
          <w:p>
            <w:pPr>
              <w:pStyle w:val="22"/>
              <w:spacing w:beforeLines="0"/>
              <w:ind w:firstLine="0" w:firstLineChars="0"/>
              <w:outlineLvl w:val="9"/>
            </w:pPr>
            <w:r>
              <w:rPr>
                <w:rFonts w:hint="eastAsia" w:asciiTheme="majorEastAsia" w:hAnsiTheme="majorEastAsia" w:eastAsiaTheme="majorEastAsia" w:cstheme="majorEastAsia"/>
              </w:rPr>
              <w:t>3.2</w:t>
            </w:r>
            <w:r>
              <w:rPr>
                <w:rFonts w:hint="eastAsia"/>
              </w:rPr>
              <w:t>地下水和土壤防护措施</w:t>
            </w:r>
          </w:p>
          <w:p>
            <w:pPr>
              <w:spacing w:line="360" w:lineRule="auto"/>
              <w:ind w:firstLine="480" w:firstLineChars="200"/>
              <w:outlineLvl w:val="9"/>
              <w:rPr>
                <w:rFonts w:hAnsi="宋体"/>
                <w:snapToGrid w:val="0"/>
                <w:sz w:val="24"/>
              </w:rPr>
            </w:pPr>
            <w:r>
              <w:rPr>
                <w:rFonts w:hint="eastAsia" w:hAnsi="宋体"/>
                <w:snapToGrid w:val="0"/>
                <w:sz w:val="24"/>
              </w:rPr>
              <w:t>项目对地下水和土壤污染途径为除油槽、酸洗槽、助镀槽液体物料、淬火油、锌灰渣、废水、各类危废、锌灰渣等下渗污染地下水和土壤。根据项目污染特征，本项目地下水和土壤污染防治措施为分区防渗，对热镀锌车间装置区、拟建污水处理站、</w:t>
            </w:r>
            <w:r>
              <w:rPr>
                <w:rFonts w:hint="eastAsia"/>
                <w:sz w:val="24"/>
              </w:rPr>
              <w:t>危废暂存间、废气处理设施、危险化学品存放区</w:t>
            </w:r>
            <w:r>
              <w:rPr>
                <w:rFonts w:hint="eastAsia" w:hAnsi="宋体"/>
                <w:snapToGrid w:val="0"/>
                <w:sz w:val="24"/>
              </w:rPr>
              <w:t>进行重点防渗，紧固件生产车间、热处理车间热处理区、拉丝切断车间为一般防渗区，其余区域为简单防渗区。项目分区防渗图见附图。</w:t>
            </w:r>
          </w:p>
          <w:p>
            <w:pPr>
              <w:spacing w:line="360" w:lineRule="auto"/>
              <w:ind w:firstLine="480" w:firstLineChars="200"/>
              <w:outlineLvl w:val="9"/>
              <w:rPr>
                <w:sz w:val="24"/>
              </w:rPr>
            </w:pPr>
            <w:r>
              <w:rPr>
                <w:rFonts w:hint="eastAsia"/>
                <w:sz w:val="24"/>
              </w:rPr>
              <w:t>危废暂存间已采用</w:t>
            </w:r>
            <w:r>
              <w:rPr>
                <w:rFonts w:hint="eastAsia"/>
                <w:color w:val="000000"/>
                <w:sz w:val="24"/>
              </w:rPr>
              <w:t>20</w:t>
            </w:r>
            <w:r>
              <w:rPr>
                <w:color w:val="000000"/>
                <w:sz w:val="24"/>
              </w:rPr>
              <w:t>cm厚P</w:t>
            </w:r>
            <w:r>
              <w:rPr>
                <w:rFonts w:hint="eastAsia"/>
                <w:color w:val="000000"/>
                <w:sz w:val="24"/>
              </w:rPr>
              <w:t>4</w:t>
            </w:r>
            <w:r>
              <w:rPr>
                <w:color w:val="000000"/>
                <w:sz w:val="24"/>
              </w:rPr>
              <w:t>等级抗渗混凝土+</w:t>
            </w:r>
            <w:r>
              <w:rPr>
                <w:rFonts w:hint="eastAsia"/>
                <w:color w:val="000000"/>
                <w:sz w:val="24"/>
              </w:rPr>
              <w:t>1</w:t>
            </w:r>
            <w:r>
              <w:rPr>
                <w:color w:val="000000"/>
                <w:sz w:val="24"/>
              </w:rPr>
              <w:t>mm厚环氧树脂漆层</w:t>
            </w:r>
            <w:r>
              <w:rPr>
                <w:rFonts w:hint="eastAsia"/>
                <w:sz w:val="24"/>
              </w:rPr>
              <w:t>进行了防渗处理，</w:t>
            </w:r>
            <w:r>
              <w:rPr>
                <w:rFonts w:hint="eastAsia" w:hAnsi="宋体"/>
                <w:snapToGrid w:val="0"/>
                <w:sz w:val="24"/>
              </w:rPr>
              <w:t>防渗系数</w:t>
            </w:r>
            <w:r>
              <w:rPr>
                <w:rFonts w:hint="eastAsia" w:hAnsi="宋体"/>
                <w:color w:val="000000"/>
                <w:sz w:val="24"/>
              </w:rPr>
              <w:t>满足</w:t>
            </w:r>
            <w:r>
              <w:rPr>
                <w:rFonts w:hint="eastAsia"/>
                <w:sz w:val="24"/>
              </w:rPr>
              <w:t>《危险废物贮存污染控制标准》（</w:t>
            </w:r>
            <w:r>
              <w:rPr>
                <w:sz w:val="24"/>
              </w:rPr>
              <w:t>GB18597-2001</w:t>
            </w:r>
            <w:r>
              <w:rPr>
                <w:rFonts w:hint="eastAsia"/>
                <w:sz w:val="24"/>
              </w:rPr>
              <w:t>）防渗要求（渗透系数</w:t>
            </w:r>
            <w:r>
              <w:rPr>
                <w:sz w:val="24"/>
              </w:rPr>
              <w:t>K</w:t>
            </w:r>
            <w:r>
              <w:rPr>
                <w:rFonts w:hint="eastAsia"/>
                <w:sz w:val="24"/>
              </w:rPr>
              <w:t>≤</w:t>
            </w:r>
            <w:r>
              <w:rPr>
                <w:sz w:val="24"/>
              </w:rPr>
              <w:t>10</w:t>
            </w:r>
            <w:r>
              <w:rPr>
                <w:sz w:val="24"/>
                <w:vertAlign w:val="superscript"/>
              </w:rPr>
              <w:t>-10</w:t>
            </w:r>
            <w:r>
              <w:rPr>
                <w:sz w:val="24"/>
              </w:rPr>
              <w:t>cm/s</w:t>
            </w:r>
            <w:r>
              <w:rPr>
                <w:rFonts w:hint="eastAsia"/>
                <w:sz w:val="24"/>
              </w:rPr>
              <w:t>）。</w:t>
            </w:r>
          </w:p>
          <w:p>
            <w:pPr>
              <w:spacing w:line="360" w:lineRule="auto"/>
              <w:ind w:firstLine="480" w:firstLineChars="200"/>
              <w:outlineLvl w:val="9"/>
              <w:rPr>
                <w:sz w:val="24"/>
                <w:lang w:val="zh-CN"/>
              </w:rPr>
            </w:pPr>
            <w:r>
              <w:rPr>
                <w:rFonts w:hint="eastAsia"/>
                <w:sz w:val="24"/>
              </w:rPr>
              <w:t>热镀锌车间装置区为地面式布置，一旦泄漏易于发现。热镀锌车间装置区、污水处理站、废气处理设施、危险化学品（盐酸、除油剂、助镀剂）存放区拟采用</w:t>
            </w:r>
            <w:r>
              <w:rPr>
                <w:rFonts w:hint="eastAsia"/>
                <w:color w:val="000000"/>
                <w:sz w:val="24"/>
              </w:rPr>
              <w:t>20</w:t>
            </w:r>
            <w:r>
              <w:rPr>
                <w:color w:val="000000"/>
                <w:sz w:val="24"/>
              </w:rPr>
              <w:t>cm厚P</w:t>
            </w:r>
            <w:r>
              <w:rPr>
                <w:rFonts w:hint="eastAsia"/>
                <w:color w:val="000000"/>
                <w:sz w:val="24"/>
              </w:rPr>
              <w:t>4</w:t>
            </w:r>
            <w:r>
              <w:rPr>
                <w:color w:val="000000"/>
                <w:sz w:val="24"/>
              </w:rPr>
              <w:t>等级抗渗混凝土+1mm厚水泥基渗透结晶型防水涂料</w:t>
            </w:r>
            <w:r>
              <w:rPr>
                <w:rFonts w:hint="eastAsia"/>
                <w:sz w:val="24"/>
              </w:rPr>
              <w:t>进行重点防渗处理，确保</w:t>
            </w:r>
            <w:r>
              <w:rPr>
                <w:rFonts w:hint="eastAsia"/>
                <w:sz w:val="24"/>
                <w:lang w:val="zh-CN"/>
              </w:rPr>
              <w:t>防渗层等效黏土防渗层M</w:t>
            </w:r>
            <w:r>
              <w:rPr>
                <w:sz w:val="24"/>
                <w:lang w:val="zh-CN"/>
              </w:rPr>
              <w:t>b≥6.0m</w:t>
            </w:r>
            <w:r>
              <w:rPr>
                <w:rFonts w:hAnsi="宋体"/>
                <w:sz w:val="24"/>
                <w:lang w:val="zh-CN"/>
              </w:rPr>
              <w:t>，渗透系数</w:t>
            </w:r>
            <w:r>
              <w:rPr>
                <w:sz w:val="24"/>
                <w:lang w:val="zh-CN"/>
              </w:rPr>
              <w:t>≤10</w:t>
            </w:r>
            <w:r>
              <w:rPr>
                <w:sz w:val="24"/>
                <w:vertAlign w:val="superscript"/>
                <w:lang w:val="zh-CN"/>
              </w:rPr>
              <w:t>-7</w:t>
            </w:r>
            <w:r>
              <w:rPr>
                <w:sz w:val="24"/>
                <w:lang w:val="zh-CN"/>
              </w:rPr>
              <w:t>cm/s。</w:t>
            </w:r>
          </w:p>
          <w:p>
            <w:pPr>
              <w:spacing w:line="360" w:lineRule="auto"/>
              <w:ind w:firstLine="480" w:firstLineChars="200"/>
              <w:outlineLvl w:val="9"/>
              <w:rPr>
                <w:rFonts w:hAnsi="宋体"/>
                <w:snapToGrid w:val="0"/>
                <w:sz w:val="24"/>
              </w:rPr>
            </w:pPr>
            <w:r>
              <w:rPr>
                <w:rFonts w:hint="eastAsia" w:hAnsi="宋体"/>
                <w:snapToGrid w:val="0"/>
                <w:sz w:val="24"/>
              </w:rPr>
              <w:t>紧固件生产车间涉油设备区已采用</w:t>
            </w:r>
            <w:r>
              <w:rPr>
                <w:rFonts w:hint="eastAsia"/>
                <w:color w:val="000000"/>
                <w:sz w:val="24"/>
              </w:rPr>
              <w:t>20</w:t>
            </w:r>
            <w:r>
              <w:rPr>
                <w:color w:val="000000"/>
                <w:sz w:val="24"/>
              </w:rPr>
              <w:t>cm厚P</w:t>
            </w:r>
            <w:r>
              <w:rPr>
                <w:rFonts w:hint="eastAsia"/>
                <w:color w:val="000000"/>
                <w:sz w:val="24"/>
              </w:rPr>
              <w:t>4</w:t>
            </w:r>
            <w:r>
              <w:rPr>
                <w:color w:val="000000"/>
                <w:sz w:val="24"/>
              </w:rPr>
              <w:t>等级抗渗混凝土+</w:t>
            </w:r>
            <w:r>
              <w:rPr>
                <w:rFonts w:hint="eastAsia"/>
                <w:color w:val="000000"/>
                <w:sz w:val="24"/>
              </w:rPr>
              <w:t>1</w:t>
            </w:r>
            <w:r>
              <w:rPr>
                <w:color w:val="000000"/>
                <w:sz w:val="24"/>
              </w:rPr>
              <w:t>mm厚环氧树脂漆层+</w:t>
            </w:r>
            <w:r>
              <w:rPr>
                <w:rFonts w:hint="eastAsia"/>
                <w:color w:val="000000"/>
                <w:sz w:val="24"/>
              </w:rPr>
              <w:t>钢质托盘存放进行防渗处理，</w:t>
            </w:r>
            <w:r>
              <w:rPr>
                <w:rFonts w:hint="eastAsia" w:hAnsi="宋体"/>
                <w:snapToGrid w:val="0"/>
                <w:sz w:val="24"/>
              </w:rPr>
              <w:t>热处理车间热处理区已采用</w:t>
            </w:r>
            <w:r>
              <w:rPr>
                <w:rFonts w:hint="eastAsia"/>
                <w:color w:val="000000"/>
                <w:sz w:val="24"/>
              </w:rPr>
              <w:t>20</w:t>
            </w:r>
            <w:r>
              <w:rPr>
                <w:color w:val="000000"/>
                <w:sz w:val="24"/>
              </w:rPr>
              <w:t>cm厚P</w:t>
            </w:r>
            <w:r>
              <w:rPr>
                <w:rFonts w:hint="eastAsia"/>
                <w:color w:val="000000"/>
                <w:sz w:val="24"/>
              </w:rPr>
              <w:t>4</w:t>
            </w:r>
            <w:r>
              <w:rPr>
                <w:color w:val="000000"/>
                <w:sz w:val="24"/>
              </w:rPr>
              <w:t>等级抗渗混凝土+</w:t>
            </w:r>
            <w:r>
              <w:rPr>
                <w:rFonts w:hint="eastAsia"/>
                <w:sz w:val="24"/>
              </w:rPr>
              <w:t>丙纶防渗土工布+混凝土层进行防渗处理，</w:t>
            </w:r>
            <w:r>
              <w:rPr>
                <w:rFonts w:hint="eastAsia" w:hAnsi="宋体"/>
                <w:snapToGrid w:val="0"/>
                <w:sz w:val="24"/>
              </w:rPr>
              <w:t>紧固件生产车间其他加工区和拉丝切断车间已采用</w:t>
            </w:r>
            <w:r>
              <w:rPr>
                <w:rFonts w:hint="eastAsia"/>
                <w:color w:val="000000"/>
                <w:sz w:val="24"/>
              </w:rPr>
              <w:t>20</w:t>
            </w:r>
            <w:r>
              <w:rPr>
                <w:color w:val="000000"/>
                <w:sz w:val="24"/>
              </w:rPr>
              <w:t>cm厚P</w:t>
            </w:r>
            <w:r>
              <w:rPr>
                <w:rFonts w:hint="eastAsia"/>
                <w:color w:val="000000"/>
                <w:sz w:val="24"/>
              </w:rPr>
              <w:t>4</w:t>
            </w:r>
            <w:r>
              <w:rPr>
                <w:color w:val="000000"/>
                <w:sz w:val="24"/>
              </w:rPr>
              <w:t>等级抗渗混凝土</w:t>
            </w:r>
            <w:r>
              <w:rPr>
                <w:rFonts w:hint="eastAsia"/>
                <w:sz w:val="24"/>
              </w:rPr>
              <w:t>进行了</w:t>
            </w:r>
            <w:r>
              <w:rPr>
                <w:rFonts w:hint="eastAsia" w:hAnsi="宋体"/>
                <w:snapToGrid w:val="0"/>
                <w:sz w:val="24"/>
              </w:rPr>
              <w:t>一般防渗处理，</w:t>
            </w:r>
            <w:r>
              <w:rPr>
                <w:rFonts w:hAnsi="宋体"/>
                <w:snapToGrid w:val="0"/>
                <w:sz w:val="24"/>
              </w:rPr>
              <w:t>可确保生产区（一般防渗区）防渗效果不低于厚度为Mb≥</w:t>
            </w:r>
            <w:r>
              <w:rPr>
                <w:rFonts w:hint="eastAsia" w:hAnsi="宋体"/>
                <w:snapToGrid w:val="0"/>
                <w:sz w:val="24"/>
              </w:rPr>
              <w:t>1.5</w:t>
            </w:r>
            <w:r>
              <w:rPr>
                <w:rFonts w:hAnsi="宋体"/>
                <w:snapToGrid w:val="0"/>
                <w:sz w:val="24"/>
              </w:rPr>
              <w:t>m、渗透系数度数K≤10</w:t>
            </w:r>
            <w:r>
              <w:rPr>
                <w:rFonts w:hAnsi="宋体"/>
                <w:snapToGrid w:val="0"/>
                <w:sz w:val="24"/>
                <w:vertAlign w:val="superscript"/>
              </w:rPr>
              <w:t>-7</w:t>
            </w:r>
            <w:r>
              <w:rPr>
                <w:rFonts w:hAnsi="宋体"/>
                <w:snapToGrid w:val="0"/>
                <w:sz w:val="24"/>
              </w:rPr>
              <w:t>cm/s的黏土防渗层的防渗性能。其余区域已进行了硬化处理。</w:t>
            </w:r>
          </w:p>
          <w:p>
            <w:pPr>
              <w:spacing w:line="360" w:lineRule="auto"/>
              <w:ind w:firstLine="480" w:firstLineChars="200"/>
              <w:outlineLvl w:val="9"/>
              <w:rPr>
                <w:rFonts w:asciiTheme="majorEastAsia" w:hAnsiTheme="majorEastAsia" w:eastAsiaTheme="majorEastAsia" w:cstheme="majorEastAsia"/>
                <w:sz w:val="24"/>
              </w:rPr>
            </w:pPr>
            <w:r>
              <w:rPr>
                <w:rFonts w:hint="eastAsia" w:asciiTheme="majorEastAsia" w:hAnsiTheme="majorEastAsia" w:eastAsiaTheme="majorEastAsia" w:cstheme="majorEastAsia"/>
                <w:sz w:val="24"/>
              </w:rPr>
              <w:t>3.3环保投资</w:t>
            </w:r>
          </w:p>
          <w:p>
            <w:pPr>
              <w:spacing w:line="360" w:lineRule="auto"/>
              <w:ind w:firstLine="480" w:firstLineChars="200"/>
              <w:outlineLvl w:val="9"/>
              <w:rPr>
                <w:rFonts w:ascii="宋体" w:hAnsi="宋体" w:cs="宋体" w:eastAsiaTheme="minorEastAsia"/>
                <w:b/>
                <w:bCs/>
                <w:sz w:val="24"/>
              </w:rPr>
            </w:pPr>
            <w:r>
              <w:rPr>
                <w:rFonts w:hint="eastAsia" w:ascii="宋体" w:hAnsi="宋体" w:cs="宋体"/>
                <w:sz w:val="24"/>
              </w:rPr>
              <w:t>本项目总投资2000万元，其中一期环保投资98万元，约占工程总投资的4.9%，主要涉及环境风险防范措施等方面。本项目各污染物质环保设置及投资费用详见表3-3。</w:t>
            </w:r>
          </w:p>
          <w:p>
            <w:pPr>
              <w:jc w:val="center"/>
              <w:outlineLvl w:val="9"/>
              <w:rPr>
                <w:rFonts w:ascii="宋体" w:hAnsi="宋体" w:cs="宋体"/>
                <w:b/>
                <w:bCs/>
                <w:sz w:val="24"/>
              </w:rPr>
            </w:pPr>
            <w:r>
              <w:rPr>
                <w:rFonts w:hint="eastAsia" w:ascii="宋体" w:hAnsi="宋体" w:cs="宋体"/>
                <w:b/>
                <w:bCs/>
                <w:sz w:val="24"/>
              </w:rPr>
              <w:t>表3</w:t>
            </w:r>
            <w:bookmarkStart w:id="24" w:name="_Toc383433889"/>
            <w:r>
              <w:rPr>
                <w:rFonts w:hint="eastAsia" w:ascii="宋体" w:hAnsi="宋体" w:cs="宋体"/>
                <w:b/>
                <w:bCs/>
                <w:sz w:val="24"/>
              </w:rPr>
              <w:t>-3 主要污染源、处理设施及环保投资对照表</w:t>
            </w:r>
            <w:bookmarkEnd w:id="24"/>
          </w:p>
          <w:tbl>
            <w:tblPr>
              <w:tblStyle w:val="12"/>
              <w:tblpPr w:leftFromText="180" w:rightFromText="180" w:vertAnchor="text" w:tblpXSpec="center"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8"/>
              <w:gridCol w:w="538"/>
              <w:gridCol w:w="1408"/>
              <w:gridCol w:w="2036"/>
              <w:gridCol w:w="3444"/>
              <w:gridCol w:w="664"/>
              <w:gridCol w:w="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类别</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产污单位</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污染物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环评处理设施</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实际处理设施</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环评环保投资（万元）</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实际环保投资（万元）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restart"/>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废气</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抛丸机</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颗粒物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降分离器+旋风除尘器+滤筒除尘器</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降分离器+旋风除尘器+滤筒除尘器</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热处理废气</w:t>
                  </w:r>
                </w:p>
              </w:tc>
              <w:tc>
                <w:tcPr>
                  <w:tcW w:w="0" w:type="auto"/>
                  <w:tcBorders>
                    <w:top w:val="single" w:color="auto" w:sz="4" w:space="0"/>
                    <w:left w:val="single" w:color="auto" w:sz="4" w:space="0"/>
                    <w:bottom w:val="single" w:color="auto" w:sz="4" w:space="0"/>
                    <w:right w:val="single" w:color="auto" w:sz="4" w:space="0"/>
                  </w:tcBorders>
                  <w:vAlign w:val="center"/>
                </w:tcPr>
                <w:p>
                  <w:pPr>
                    <w:pStyle w:val="17"/>
                    <w:spacing w:line="265" w:lineRule="exact"/>
                    <w:ind w:right="-15"/>
                    <w:outlineLvl w:val="9"/>
                    <w:rPr>
                      <w:rFonts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sz w:val="18"/>
                      <w:szCs w:val="18"/>
                    </w:rPr>
                    <w:t>颗粒物、VOCs</w:t>
                  </w:r>
                </w:p>
              </w:tc>
              <w:tc>
                <w:tcPr>
                  <w:tcW w:w="0" w:type="auto"/>
                  <w:tcBorders>
                    <w:top w:val="single" w:color="auto" w:sz="4" w:space="0"/>
                    <w:left w:val="single" w:color="auto" w:sz="4" w:space="0"/>
                    <w:bottom w:val="single" w:color="auto" w:sz="4" w:space="0"/>
                    <w:right w:val="single" w:color="auto" w:sz="4" w:space="0"/>
                  </w:tcBorders>
                  <w:vAlign w:val="center"/>
                </w:tcPr>
                <w:p>
                  <w:pPr>
                    <w:pStyle w:val="17"/>
                    <w:spacing w:line="265" w:lineRule="exact"/>
                    <w:ind w:right="-15"/>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napToGrid w:val="0"/>
                      <w:sz w:val="18"/>
                      <w:szCs w:val="18"/>
                    </w:rPr>
                    <w:t>油雾净化器+UV光解+活性炭吸附装置（已有）</w:t>
                  </w:r>
                </w:p>
              </w:tc>
              <w:tc>
                <w:tcPr>
                  <w:tcW w:w="0" w:type="auto"/>
                  <w:tcBorders>
                    <w:left w:val="single" w:color="auto" w:sz="4" w:space="0"/>
                    <w:right w:val="single" w:color="auto" w:sz="4" w:space="0"/>
                  </w:tcBorders>
                  <w:vAlign w:val="center"/>
                </w:tcPr>
                <w:p>
                  <w:pPr>
                    <w:pStyle w:val="17"/>
                    <w:spacing w:line="265" w:lineRule="exact"/>
                    <w:ind w:right="-15"/>
                    <w:outlineLvl w:val="9"/>
                    <w:rPr>
                      <w:rFonts w:asciiTheme="minorEastAsia" w:hAnsiTheme="minorEastAsia" w:eastAsiaTheme="minorEastAsia" w:cstheme="minorEastAsia"/>
                      <w:snapToGrid w:val="0"/>
                      <w:sz w:val="18"/>
                      <w:szCs w:val="18"/>
                    </w:rPr>
                  </w:pPr>
                  <w:r>
                    <w:rPr>
                      <w:rFonts w:hint="eastAsia" w:asciiTheme="minorEastAsia" w:hAnsiTheme="minorEastAsia" w:eastAsiaTheme="minorEastAsia" w:cstheme="minorEastAsia"/>
                      <w:snapToGrid w:val="0"/>
                      <w:sz w:val="18"/>
                      <w:szCs w:val="18"/>
                    </w:rPr>
                    <w:t>油雾净化器+UV光解+活性炭吸附装置（已有）</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酸洗槽</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氯化氢</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napToGrid w:val="0"/>
                      <w:sz w:val="18"/>
                      <w:szCs w:val="18"/>
                    </w:rPr>
                  </w:pPr>
                  <w:r>
                    <w:rPr>
                      <w:rFonts w:hint="eastAsia" w:asciiTheme="minorEastAsia" w:hAnsiTheme="minorEastAsia" w:eastAsiaTheme="minorEastAsia" w:cstheme="minorEastAsia"/>
                      <w:sz w:val="18"/>
                      <w:szCs w:val="18"/>
                    </w:rPr>
                    <w:t>水洗塔，</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水洗塔，</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锌锅</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颗粒物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脉冲袋式除尘器+水洗塔</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脉冲袋式除尘器+水洗塔</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20</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6"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锌锅加热炉</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颗粒物、SO</w:t>
                  </w:r>
                  <w:r>
                    <w:rPr>
                      <w:rFonts w:hint="eastAsia" w:asciiTheme="minorEastAsia" w:hAnsiTheme="minorEastAsia" w:eastAsiaTheme="minorEastAsia" w:cstheme="minorEastAsia"/>
                      <w:sz w:val="18"/>
                      <w:szCs w:val="18"/>
                      <w:vertAlign w:val="subscript"/>
                    </w:rPr>
                    <w:t>2</w:t>
                  </w:r>
                  <w:r>
                    <w:rPr>
                      <w:rFonts w:hint="eastAsia" w:asciiTheme="minorEastAsia" w:hAnsiTheme="minorEastAsia" w:eastAsiaTheme="minorEastAsia" w:cstheme="minorEastAsia"/>
                      <w:sz w:val="18"/>
                      <w:szCs w:val="18"/>
                    </w:rPr>
                    <w:t>和NO</w:t>
                  </w:r>
                  <w:r>
                    <w:rPr>
                      <w:rFonts w:hint="eastAsia" w:asciiTheme="minorEastAsia" w:hAnsiTheme="minorEastAsia" w:eastAsiaTheme="minorEastAsia" w:cstheme="minorEastAsia"/>
                      <w:sz w:val="18"/>
                      <w:szCs w:val="18"/>
                      <w:vertAlign w:val="subscript"/>
                    </w:rPr>
                    <w:t>X</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直接排放，排气筒15m高</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直接排放，排气筒15m高</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restart"/>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废水</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生产废水</w:t>
                  </w:r>
                </w:p>
              </w:tc>
              <w:tc>
                <w:tcPr>
                  <w:tcW w:w="0" w:type="auto"/>
                  <w:tcBorders>
                    <w:top w:val="single" w:color="auto" w:sz="4" w:space="0"/>
                    <w:left w:val="single" w:color="auto" w:sz="4" w:space="0"/>
                    <w:bottom w:val="single" w:color="auto" w:sz="4" w:space="0"/>
                    <w:right w:val="single" w:color="auto" w:sz="4" w:space="0"/>
                  </w:tcBorders>
                  <w:vAlign w:val="center"/>
                </w:tcPr>
                <w:p>
                  <w:pPr>
                    <w:autoSpaceDE w:val="0"/>
                    <w:autoSpaceDN w:val="0"/>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pH、COD、NH</w:t>
                  </w:r>
                  <w:r>
                    <w:rPr>
                      <w:rFonts w:hint="eastAsia" w:asciiTheme="minorEastAsia" w:hAnsiTheme="minorEastAsia" w:eastAsiaTheme="minorEastAsia" w:cstheme="minorEastAsia"/>
                      <w:sz w:val="18"/>
                      <w:szCs w:val="18"/>
                      <w:vertAlign w:val="subscript"/>
                    </w:rPr>
                    <w:t>3</w:t>
                  </w:r>
                  <w:r>
                    <w:rPr>
                      <w:rFonts w:hint="eastAsia" w:asciiTheme="minorEastAsia" w:hAnsiTheme="minorEastAsia" w:eastAsiaTheme="minorEastAsia" w:cstheme="minorEastAsia"/>
                      <w:sz w:val="18"/>
                      <w:szCs w:val="18"/>
                    </w:rPr>
                    <w:t>-N、SS、</w:t>
                  </w:r>
                </w:p>
                <w:p>
                  <w:pPr>
                    <w:pStyle w:val="17"/>
                    <w:spacing w:before="46" w:line="225" w:lineRule="exact"/>
                    <w:outlineLvl w:val="9"/>
                    <w:rPr>
                      <w:rFonts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sz w:val="18"/>
                      <w:szCs w:val="18"/>
                    </w:rPr>
                    <w:t>石油类、Fe、Zn、氯化物</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kern w:val="2"/>
                      <w:sz w:val="18"/>
                      <w:szCs w:val="18"/>
                      <w:lang w:bidi="zh-CN"/>
                    </w:rPr>
                  </w:pPr>
                  <w:r>
                    <w:rPr>
                      <w:rFonts w:hint="eastAsia" w:asciiTheme="minorEastAsia" w:hAnsiTheme="minorEastAsia" w:eastAsiaTheme="minorEastAsia" w:cstheme="minorEastAsia"/>
                      <w:sz w:val="18"/>
                      <w:szCs w:val="18"/>
                    </w:rPr>
                    <w:t>污水处理站（工艺化学反应+气浮+混凝沉淀+次氯酸钠反应）</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kern w:val="2"/>
                      <w:sz w:val="18"/>
                      <w:szCs w:val="18"/>
                      <w:lang w:val="zh-CN" w:bidi="zh-CN"/>
                    </w:rPr>
                  </w:pPr>
                  <w:r>
                    <w:rPr>
                      <w:rFonts w:hint="eastAsia" w:asciiTheme="minorEastAsia" w:hAnsiTheme="minorEastAsia" w:eastAsiaTheme="minorEastAsia" w:cstheme="minorEastAsia"/>
                      <w:sz w:val="18"/>
                      <w:szCs w:val="18"/>
                    </w:rPr>
                    <w:t>污水处理站（工艺化学反应+气浮+混凝沉淀+次氯酸钠反应）</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生活污水</w:t>
                  </w:r>
                </w:p>
              </w:tc>
              <w:tc>
                <w:tcPr>
                  <w:tcW w:w="0" w:type="auto"/>
                  <w:tcBorders>
                    <w:top w:val="single" w:color="auto" w:sz="4" w:space="0"/>
                    <w:left w:val="single" w:color="auto" w:sz="4" w:space="0"/>
                    <w:bottom w:val="single" w:color="auto" w:sz="4" w:space="0"/>
                    <w:right w:val="single" w:color="auto" w:sz="4" w:space="0"/>
                  </w:tcBorders>
                  <w:vAlign w:val="center"/>
                </w:tcPr>
                <w:p>
                  <w:pPr>
                    <w:pStyle w:val="17"/>
                    <w:spacing w:before="28"/>
                    <w:ind w:right="95"/>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COD、BOD</w:t>
                  </w:r>
                  <w:r>
                    <w:rPr>
                      <w:rFonts w:hint="eastAsia" w:asciiTheme="minorEastAsia" w:hAnsiTheme="minorEastAsia" w:eastAsiaTheme="minorEastAsia" w:cstheme="minorEastAsia"/>
                      <w:sz w:val="18"/>
                      <w:szCs w:val="18"/>
                      <w:vertAlign w:val="subscript"/>
                    </w:rPr>
                    <w:t>5</w:t>
                  </w:r>
                  <w:r>
                    <w:rPr>
                      <w:rFonts w:hint="eastAsia" w:asciiTheme="minorEastAsia" w:hAnsiTheme="minorEastAsia" w:eastAsiaTheme="minorEastAsia" w:cstheme="minorEastAsia"/>
                      <w:sz w:val="18"/>
                      <w:szCs w:val="18"/>
                    </w:rPr>
                    <w:t>、NH</w:t>
                  </w:r>
                  <w:r>
                    <w:rPr>
                      <w:rFonts w:hint="eastAsia" w:asciiTheme="minorEastAsia" w:hAnsiTheme="minorEastAsia" w:eastAsiaTheme="minorEastAsia" w:cstheme="minorEastAsia"/>
                      <w:sz w:val="18"/>
                      <w:szCs w:val="18"/>
                      <w:vertAlign w:val="subscript"/>
                    </w:rPr>
                    <w:t>3</w:t>
                  </w:r>
                  <w:r>
                    <w:rPr>
                      <w:rFonts w:hint="eastAsia" w:asciiTheme="minorEastAsia" w:hAnsiTheme="minorEastAsia" w:eastAsiaTheme="minorEastAsia" w:cstheme="minorEastAsia"/>
                      <w:sz w:val="18"/>
                      <w:szCs w:val="18"/>
                    </w:rPr>
                    <w:t>-N、SS</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经已有预处理池收集后，排入市政污水管网进入隆昌经开区污水处理厂处理</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经已有预处理池收集后，排入市政污水管网进入隆昌经开区污水处理厂处理</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噪声</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抛丸机、风机、水泵等设备噪声</w:t>
                  </w:r>
                </w:p>
              </w:tc>
              <w:tc>
                <w:tcPr>
                  <w:tcW w:w="0" w:type="auto"/>
                  <w:tcBorders>
                    <w:top w:val="single" w:color="auto" w:sz="4" w:space="0"/>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选择低噪声设备；合理布局；抛丸机设置在车间内，风机加装消声器</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选择低噪声设备；合理布局；抛丸机设置在车间内，风机加装消声器</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c>
                <w:tcPr>
                  <w:tcW w:w="0" w:type="auto"/>
                  <w:tcBorders>
                    <w:top w:val="single" w:color="auto" w:sz="4" w:space="0"/>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trPr>
              <w:tc>
                <w:tcPr>
                  <w:tcW w:w="0" w:type="auto"/>
                  <w:vMerge w:val="restart"/>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固废</w:t>
                  </w:r>
                </w:p>
              </w:tc>
              <w:tc>
                <w:tcPr>
                  <w:tcW w:w="0" w:type="auto"/>
                  <w:gridSpan w:val="3"/>
                  <w:vMerge w:val="restart"/>
                  <w:tcBorders>
                    <w:top w:val="single" w:color="auto" w:sz="4" w:space="0"/>
                    <w:left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除油槽废槽液槽渣、酸洗槽废槽液槽渣、助镀液槽渣、锌锅烟气处理收尘灰渣、污水处理站污泥、废淬火油、废润滑油、废油桶及含油棉纱手套、废切削液、废除油剂桶、废盐酸桶、废助镀剂袋属于危险废物，委托</w:t>
                  </w:r>
                  <w:r>
                    <w:rPr>
                      <w:rFonts w:hint="eastAsia" w:asciiTheme="minorEastAsia" w:hAnsiTheme="minorEastAsia" w:eastAsiaTheme="minorEastAsia" w:cstheme="minorEastAsia"/>
                      <w:sz w:val="18"/>
                      <w:szCs w:val="18"/>
                      <w:lang w:eastAsia="zh-CN"/>
                    </w:rPr>
                    <w:t>珙县华洁危险废物治理有限责任公司</w:t>
                  </w:r>
                  <w:r>
                    <w:rPr>
                      <w:rFonts w:hint="eastAsia" w:asciiTheme="minorEastAsia" w:hAnsiTheme="minorEastAsia" w:eastAsiaTheme="minorEastAsia" w:cstheme="minorEastAsia"/>
                      <w:sz w:val="18"/>
                      <w:szCs w:val="18"/>
                    </w:rPr>
                    <w:t>处理。依托现厂危废暂存间。</w:t>
                  </w:r>
                </w:p>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废钢材边角料、报废的工件篮售予</w:t>
                  </w:r>
                  <w:r>
                    <w:rPr>
                      <w:rFonts w:hint="eastAsia" w:asciiTheme="minorEastAsia" w:hAnsiTheme="minorEastAsia" w:eastAsiaTheme="minorEastAsia" w:cstheme="minorEastAsia"/>
                      <w:sz w:val="18"/>
                      <w:szCs w:val="18"/>
                      <w:lang w:eastAsia="zh-CN"/>
                    </w:rPr>
                    <w:t>四川中再生环保科技服务有限公司</w:t>
                  </w:r>
                  <w:r>
                    <w:rPr>
                      <w:rFonts w:hint="eastAsia" w:asciiTheme="minorEastAsia" w:hAnsiTheme="minorEastAsia" w:eastAsiaTheme="minorEastAsia" w:cstheme="minorEastAsia"/>
                      <w:sz w:val="18"/>
                      <w:szCs w:val="18"/>
                    </w:rPr>
                    <w:t>，抛丸机粉尘收尘灰外售建材厂利用。</w:t>
                  </w:r>
                </w:p>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热镀锌锌锅锌液表面会产生锌灰，锅底会沉积锌渣属于待鉴定废物，公司应进行危废鉴别，根据鉴别结果确定其最终处置方式及去向；若为危险废物须交由具有相应危险废物处理资质的单位进行处置，若不是危险废物则按一般固废处置或利用；在危废鉴别前，以上固废按照危险废物进行管理。</w:t>
                  </w:r>
                </w:p>
                <w:p>
                  <w:pPr>
                    <w:pStyle w:val="17"/>
                    <w:spacing w:before="28"/>
                    <w:ind w:right="95"/>
                    <w:outlineLvl w:val="9"/>
                    <w:rPr>
                      <w:rFonts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sz w:val="18"/>
                      <w:szCs w:val="18"/>
                    </w:rPr>
                    <w:t>生活垃圾交环卫部门清运处理。</w:t>
                  </w:r>
                </w:p>
              </w:tc>
              <w:tc>
                <w:tcPr>
                  <w:tcW w:w="0" w:type="auto"/>
                  <w:vMerge w:val="restart"/>
                  <w:tcBorders>
                    <w:left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除油槽废槽液槽渣、酸洗槽废槽液槽渣、助镀液槽渣、锌锅烟气处理收尘灰渣、污水处理站污泥、废淬火油、废润滑油、废油桶及含油棉纱手套、废切削液、废除油剂桶、废盐酸桶、废助镀剂袋属于危险废物，委托</w:t>
                  </w:r>
                  <w:r>
                    <w:rPr>
                      <w:rFonts w:hint="eastAsia" w:asciiTheme="minorEastAsia" w:hAnsiTheme="minorEastAsia" w:eastAsiaTheme="minorEastAsia" w:cstheme="minorEastAsia"/>
                      <w:sz w:val="18"/>
                      <w:szCs w:val="18"/>
                      <w:lang w:eastAsia="zh-CN"/>
                    </w:rPr>
                    <w:t>珙县华洁危险废物治理有限责任公司</w:t>
                  </w:r>
                  <w:r>
                    <w:rPr>
                      <w:rFonts w:hint="eastAsia" w:asciiTheme="minorEastAsia" w:hAnsiTheme="minorEastAsia" w:eastAsiaTheme="minorEastAsia" w:cstheme="minorEastAsia"/>
                      <w:sz w:val="18"/>
                      <w:szCs w:val="18"/>
                    </w:rPr>
                    <w:t>处理。依托现厂危废暂存间。</w:t>
                  </w:r>
                </w:p>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废钢材边角料、报废的工件篮售予</w:t>
                  </w:r>
                  <w:r>
                    <w:rPr>
                      <w:rFonts w:hint="eastAsia" w:asciiTheme="minorEastAsia" w:hAnsiTheme="minorEastAsia" w:eastAsiaTheme="minorEastAsia" w:cstheme="minorEastAsia"/>
                      <w:sz w:val="18"/>
                      <w:szCs w:val="18"/>
                      <w:lang w:eastAsia="zh-CN"/>
                    </w:rPr>
                    <w:t>四川中再生环保科技服务有限公司</w:t>
                  </w:r>
                  <w:r>
                    <w:rPr>
                      <w:rFonts w:hint="eastAsia" w:asciiTheme="minorEastAsia" w:hAnsiTheme="minorEastAsia" w:eastAsiaTheme="minorEastAsia" w:cstheme="minorEastAsia"/>
                      <w:sz w:val="18"/>
                      <w:szCs w:val="18"/>
                    </w:rPr>
                    <w:t>，抛丸机粉尘收尘灰外售建材厂利用。</w:t>
                  </w:r>
                </w:p>
                <w:p>
                  <w:pPr>
                    <w:spacing w:line="360" w:lineRule="auto"/>
                    <w:ind w:firstLine="360" w:firstLineChars="200"/>
                    <w:outlineLvl w:val="9"/>
                    <w:rPr>
                      <w:rFonts w:hint="eastAsia" w:asciiTheme="minorEastAsia" w:hAnsiTheme="minorEastAsia" w:eastAsiaTheme="minorEastAsia" w:cstheme="minorEastAsia"/>
                      <w:sz w:val="18"/>
                      <w:szCs w:val="18"/>
                      <w:lang w:val="zh-CN" w:eastAsia="zh-CN" w:bidi="zh-CN"/>
                    </w:rPr>
                  </w:pPr>
                  <w:r>
                    <w:rPr>
                      <w:rFonts w:hint="eastAsia" w:asciiTheme="minorEastAsia" w:hAnsiTheme="minorEastAsia" w:eastAsiaTheme="minorEastAsia" w:cstheme="minorEastAsia"/>
                      <w:sz w:val="18"/>
                      <w:szCs w:val="18"/>
                      <w:lang w:val="en-US" w:eastAsia="zh-CN" w:bidi="zh-CN"/>
                    </w:rPr>
                    <w:t>根据《危险废物排除管理清单（2021 年版）》的公告 （公告 2021 年 第 66 号）</w:t>
                  </w:r>
                </w:p>
                <w:p>
                  <w:pPr>
                    <w:spacing w:line="360" w:lineRule="auto"/>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zh-CN" w:eastAsia="zh-CN" w:bidi="zh-CN"/>
                    </w:rPr>
                    <w:t>锌灰和锌渣不属于危险废物，按一般固废处置，直接售予四川中再生环保科技服务有限公司。</w:t>
                  </w:r>
                </w:p>
                <w:p>
                  <w:pPr>
                    <w:pStyle w:val="17"/>
                    <w:spacing w:before="28"/>
                    <w:ind w:right="95"/>
                    <w:outlineLvl w:val="9"/>
                    <w:rPr>
                      <w:rFonts w:asciiTheme="minorEastAsia" w:hAnsiTheme="minorEastAsia" w:eastAsiaTheme="minorEastAsia" w:cstheme="minorEastAsia"/>
                      <w:sz w:val="18"/>
                      <w:szCs w:val="18"/>
                      <w:lang w:val="en-US"/>
                    </w:rPr>
                  </w:pPr>
                  <w:r>
                    <w:rPr>
                      <w:rFonts w:hint="eastAsia" w:asciiTheme="minorEastAsia" w:hAnsiTheme="minorEastAsia" w:eastAsiaTheme="minorEastAsia" w:cstheme="minorEastAsia"/>
                      <w:sz w:val="18"/>
                      <w:szCs w:val="18"/>
                    </w:rPr>
                    <w:t>生活垃圾交环卫部门清运处理。</w:t>
                  </w:r>
                </w:p>
              </w:tc>
              <w:tc>
                <w:tcPr>
                  <w:tcW w:w="0" w:type="auto"/>
                  <w:vMerge w:val="restart"/>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p>
                  <w:pPr>
                    <w:jc w:val="center"/>
                    <w:outlineLvl w:val="9"/>
                    <w:rPr>
                      <w:rFonts w:asciiTheme="minorEastAsia" w:hAnsiTheme="minorEastAsia" w:eastAsiaTheme="minorEastAsia" w:cstheme="minorEastAsia"/>
                      <w:sz w:val="18"/>
                      <w:szCs w:val="18"/>
                    </w:rPr>
                  </w:pP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已有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p>
              </w:tc>
              <w:tc>
                <w:tcPr>
                  <w:tcW w:w="0" w:type="auto"/>
                  <w:gridSpan w:val="3"/>
                  <w:vMerge w:val="continue"/>
                  <w:tcBorders>
                    <w:left w:val="single" w:color="auto" w:sz="4" w:space="0"/>
                    <w:bottom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p>
              </w:tc>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p>
              </w:tc>
              <w:tc>
                <w:tcPr>
                  <w:tcW w:w="0" w:type="auto"/>
                  <w:vMerge w:val="continue"/>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6" w:hRule="atLeast"/>
              </w:trPr>
              <w:tc>
                <w:tcPr>
                  <w:tcW w:w="0" w:type="auto"/>
                  <w:gridSpan w:val="2"/>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地下水和</w:t>
                  </w:r>
                </w:p>
                <w:p>
                  <w:pPr>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土壤污染防治措施</w:t>
                  </w:r>
                </w:p>
              </w:tc>
              <w:tc>
                <w:tcPr>
                  <w:tcW w:w="0" w:type="auto"/>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危废暂存间已采用20cm厚P4等级抗渗混凝土+1mm厚环氧树脂漆层进行了防渗处理，</w:t>
                  </w:r>
                  <w:r>
                    <w:rPr>
                      <w:rFonts w:hint="eastAsia" w:asciiTheme="minorEastAsia" w:hAnsiTheme="minorEastAsia" w:eastAsiaTheme="minorEastAsia" w:cstheme="minorEastAsia"/>
                      <w:snapToGrid w:val="0"/>
                      <w:sz w:val="18"/>
                      <w:szCs w:val="18"/>
                    </w:rPr>
                    <w:t>防渗系数</w:t>
                  </w:r>
                  <w:r>
                    <w:rPr>
                      <w:rFonts w:hint="eastAsia" w:asciiTheme="minorEastAsia" w:hAnsiTheme="minorEastAsia" w:eastAsiaTheme="minorEastAsia" w:cstheme="minorEastAsia"/>
                      <w:sz w:val="18"/>
                      <w:szCs w:val="18"/>
                    </w:rPr>
                    <w:t>满足《危险废物贮存污染控制标准》（GB18597-2001）防渗要求（渗透系数K≤10</w:t>
                  </w:r>
                  <w:r>
                    <w:rPr>
                      <w:rFonts w:hint="eastAsia" w:asciiTheme="minorEastAsia" w:hAnsiTheme="minorEastAsia" w:eastAsiaTheme="minorEastAsia" w:cstheme="minorEastAsia"/>
                      <w:sz w:val="18"/>
                      <w:szCs w:val="18"/>
                      <w:vertAlign w:val="superscript"/>
                    </w:rPr>
                    <w:t>-10</w:t>
                  </w:r>
                  <w:r>
                    <w:rPr>
                      <w:rFonts w:hint="eastAsia" w:asciiTheme="minorEastAsia" w:hAnsiTheme="minorEastAsia" w:eastAsiaTheme="minorEastAsia" w:cstheme="minorEastAsia"/>
                      <w:sz w:val="18"/>
                      <w:szCs w:val="18"/>
                    </w:rPr>
                    <w:t>cm/s）。</w:t>
                  </w:r>
                </w:p>
                <w:p>
                  <w:pPr>
                    <w:spacing w:line="360" w:lineRule="auto"/>
                    <w:jc w:val="center"/>
                    <w:outlineLvl w:val="9"/>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热镀锌车间装置区为地面式布置，一旦泄漏易于发现。热镀锌车间装置区、污水处理站、危险化学品（盐酸、除油剂、助镀剂）存放区拟采用20cm厚P4等级抗渗混凝土+1mm厚水泥基渗透结晶型防水涂料进行防渗处理，确保</w:t>
                  </w:r>
                  <w:r>
                    <w:rPr>
                      <w:rFonts w:hint="eastAsia" w:asciiTheme="minorEastAsia" w:hAnsiTheme="minorEastAsia" w:eastAsiaTheme="minorEastAsia" w:cstheme="minorEastAsia"/>
                      <w:sz w:val="18"/>
                      <w:szCs w:val="18"/>
                      <w:lang w:val="zh-CN"/>
                    </w:rPr>
                    <w:t>防渗层等效黏土防渗层Mb≥6.0m，渗透系数≤10</w:t>
                  </w:r>
                  <w:r>
                    <w:rPr>
                      <w:rFonts w:hint="eastAsia" w:asciiTheme="minorEastAsia" w:hAnsiTheme="minorEastAsia" w:eastAsiaTheme="minorEastAsia" w:cstheme="minorEastAsia"/>
                      <w:sz w:val="18"/>
                      <w:szCs w:val="18"/>
                      <w:vertAlign w:val="superscript"/>
                      <w:lang w:val="zh-CN"/>
                    </w:rPr>
                    <w:t>-7</w:t>
                  </w:r>
                  <w:r>
                    <w:rPr>
                      <w:rFonts w:hint="eastAsia" w:asciiTheme="minorEastAsia" w:hAnsiTheme="minorEastAsia" w:eastAsiaTheme="minorEastAsia" w:cstheme="minorEastAsia"/>
                      <w:sz w:val="18"/>
                      <w:szCs w:val="18"/>
                      <w:lang w:val="zh-CN"/>
                    </w:rPr>
                    <w:t>cm/s。其余地面硬化即可。</w:t>
                  </w:r>
                </w:p>
                <w:p>
                  <w:pPr>
                    <w:pStyle w:val="17"/>
                    <w:spacing w:before="1" w:line="242" w:lineRule="auto"/>
                    <w:ind w:right="28"/>
                    <w:outlineLvl w:val="9"/>
                    <w:rPr>
                      <w:rFonts w:asciiTheme="minorEastAsia" w:hAnsiTheme="minorEastAsia" w:eastAsiaTheme="minorEastAsia" w:cstheme="minorEastAsia"/>
                      <w:spacing w:val="-8"/>
                      <w:sz w:val="18"/>
                      <w:szCs w:val="18"/>
                      <w:lang w:val="en-US"/>
                    </w:rPr>
                  </w:pPr>
                  <w:r>
                    <w:rPr>
                      <w:rFonts w:hint="eastAsia" w:asciiTheme="minorEastAsia" w:hAnsiTheme="minorEastAsia" w:eastAsiaTheme="minorEastAsia" w:cstheme="minorEastAsia"/>
                      <w:snapToGrid w:val="0"/>
                      <w:sz w:val="18"/>
                      <w:szCs w:val="18"/>
                    </w:rPr>
                    <w:t>紧固件生产车间涉油设备区已采用</w:t>
                  </w:r>
                  <w:r>
                    <w:rPr>
                      <w:rFonts w:hint="eastAsia" w:asciiTheme="minorEastAsia" w:hAnsiTheme="minorEastAsia" w:eastAsiaTheme="minorEastAsia" w:cstheme="minorEastAsia"/>
                      <w:sz w:val="18"/>
                      <w:szCs w:val="18"/>
                    </w:rPr>
                    <w:t>20cm厚P4等级抗渗混凝土+1mm厚环氧树脂漆层+钢质托盘存放进行防渗处理，</w:t>
                  </w:r>
                  <w:r>
                    <w:rPr>
                      <w:rFonts w:hint="eastAsia" w:asciiTheme="minorEastAsia" w:hAnsiTheme="minorEastAsia" w:eastAsiaTheme="minorEastAsia" w:cstheme="minorEastAsia"/>
                      <w:snapToGrid w:val="0"/>
                      <w:sz w:val="18"/>
                      <w:szCs w:val="18"/>
                    </w:rPr>
                    <w:t>热处理车间热处理区已采用</w:t>
                  </w:r>
                  <w:r>
                    <w:rPr>
                      <w:rFonts w:hint="eastAsia" w:asciiTheme="minorEastAsia" w:hAnsiTheme="minorEastAsia" w:eastAsiaTheme="minorEastAsia" w:cstheme="minorEastAsia"/>
                      <w:sz w:val="18"/>
                      <w:szCs w:val="18"/>
                    </w:rPr>
                    <w:t>20cm厚P4等级抗渗混凝土+丙纶防渗土工布+混凝土层进行防渗处理，</w:t>
                  </w:r>
                  <w:r>
                    <w:rPr>
                      <w:rFonts w:hint="eastAsia" w:asciiTheme="minorEastAsia" w:hAnsiTheme="minorEastAsia" w:eastAsiaTheme="minorEastAsia" w:cstheme="minorEastAsia"/>
                      <w:snapToGrid w:val="0"/>
                      <w:sz w:val="18"/>
                      <w:szCs w:val="18"/>
                    </w:rPr>
                    <w:t>紧固件生产车间其他加工区和拉丝切断车间已采用</w:t>
                  </w:r>
                  <w:r>
                    <w:rPr>
                      <w:rFonts w:hint="eastAsia" w:asciiTheme="minorEastAsia" w:hAnsiTheme="minorEastAsia" w:eastAsiaTheme="minorEastAsia" w:cstheme="minorEastAsia"/>
                      <w:sz w:val="18"/>
                      <w:szCs w:val="18"/>
                    </w:rPr>
                    <w:t>20cm厚P4等级抗渗混凝土进行了</w:t>
                  </w:r>
                  <w:r>
                    <w:rPr>
                      <w:rFonts w:hint="eastAsia" w:asciiTheme="minorEastAsia" w:hAnsiTheme="minorEastAsia" w:eastAsiaTheme="minorEastAsia" w:cstheme="minorEastAsia"/>
                      <w:snapToGrid w:val="0"/>
                      <w:sz w:val="18"/>
                      <w:szCs w:val="18"/>
                    </w:rPr>
                    <w:t>一般防渗处理，可确保生产区（一般防渗区）防渗效果不低于厚度为Mb≥1.5m、渗透系数度数K≤10</w:t>
                  </w:r>
                  <w:r>
                    <w:rPr>
                      <w:rFonts w:hint="eastAsia" w:asciiTheme="minorEastAsia" w:hAnsiTheme="minorEastAsia" w:eastAsiaTheme="minorEastAsia" w:cstheme="minorEastAsia"/>
                      <w:snapToGrid w:val="0"/>
                      <w:sz w:val="18"/>
                      <w:szCs w:val="18"/>
                      <w:vertAlign w:val="superscript"/>
                    </w:rPr>
                    <w:t>-7</w:t>
                  </w:r>
                  <w:r>
                    <w:rPr>
                      <w:rFonts w:hint="eastAsia" w:asciiTheme="minorEastAsia" w:hAnsiTheme="minorEastAsia" w:eastAsiaTheme="minorEastAsia" w:cstheme="minorEastAsia"/>
                      <w:snapToGrid w:val="0"/>
                      <w:sz w:val="18"/>
                      <w:szCs w:val="18"/>
                    </w:rPr>
                    <w:t>cm/s的黏土防渗层的防渗性能。其余区域已进行了硬化处理。</w:t>
                  </w:r>
                </w:p>
              </w:tc>
              <w:tc>
                <w:tcPr>
                  <w:tcW w:w="0" w:type="auto"/>
                  <w:tcBorders>
                    <w:left w:val="single" w:color="auto" w:sz="4" w:space="0"/>
                    <w:right w:val="single" w:color="auto" w:sz="4" w:space="0"/>
                  </w:tcBorders>
                  <w:vAlign w:val="center"/>
                </w:tcPr>
                <w:p>
                  <w:pPr>
                    <w:spacing w:line="360" w:lineRule="auto"/>
                    <w:jc w:val="center"/>
                    <w:outlineLvl w:val="9"/>
                    <w:rPr>
                      <w:rFonts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危废暂存间已采用</w:t>
                  </w:r>
                  <w:r>
                    <w:rPr>
                      <w:rFonts w:hint="eastAsia" w:asciiTheme="minorEastAsia" w:hAnsiTheme="minorEastAsia" w:eastAsiaTheme="minorEastAsia" w:cstheme="minorEastAsia"/>
                      <w:color w:val="000000"/>
                      <w:sz w:val="18"/>
                      <w:szCs w:val="18"/>
                    </w:rPr>
                    <w:t>20cm厚P4等级抗渗混凝土+1mm厚环氧树脂漆层</w:t>
                  </w:r>
                  <w:r>
                    <w:rPr>
                      <w:rFonts w:hint="eastAsia" w:asciiTheme="minorEastAsia" w:hAnsiTheme="minorEastAsia" w:eastAsiaTheme="minorEastAsia" w:cstheme="minorEastAsia"/>
                      <w:sz w:val="18"/>
                      <w:szCs w:val="18"/>
                    </w:rPr>
                    <w:t>进行了防渗处理，</w:t>
                  </w:r>
                  <w:r>
                    <w:rPr>
                      <w:rFonts w:hint="eastAsia" w:asciiTheme="minorEastAsia" w:hAnsiTheme="minorEastAsia" w:eastAsiaTheme="minorEastAsia" w:cstheme="minorEastAsia"/>
                      <w:snapToGrid w:val="0"/>
                      <w:sz w:val="18"/>
                      <w:szCs w:val="18"/>
                    </w:rPr>
                    <w:t>防渗系数</w:t>
                  </w:r>
                  <w:r>
                    <w:rPr>
                      <w:rFonts w:hint="eastAsia" w:asciiTheme="minorEastAsia" w:hAnsiTheme="minorEastAsia" w:eastAsiaTheme="minorEastAsia" w:cstheme="minorEastAsia"/>
                      <w:color w:val="000000"/>
                      <w:sz w:val="18"/>
                      <w:szCs w:val="18"/>
                    </w:rPr>
                    <w:t>满足</w:t>
                  </w:r>
                  <w:r>
                    <w:rPr>
                      <w:rFonts w:hint="eastAsia" w:asciiTheme="minorEastAsia" w:hAnsiTheme="minorEastAsia" w:eastAsiaTheme="minorEastAsia" w:cstheme="minorEastAsia"/>
                      <w:sz w:val="18"/>
                      <w:szCs w:val="18"/>
                    </w:rPr>
                    <w:t>《危险废物贮存污染控制标准》（GB18597-2001）防渗要求（渗透系数K≤10</w:t>
                  </w:r>
                  <w:r>
                    <w:rPr>
                      <w:rFonts w:hint="eastAsia" w:asciiTheme="minorEastAsia" w:hAnsiTheme="minorEastAsia" w:eastAsiaTheme="minorEastAsia" w:cstheme="minorEastAsia"/>
                      <w:sz w:val="18"/>
                      <w:szCs w:val="18"/>
                      <w:vertAlign w:val="superscript"/>
                    </w:rPr>
                    <w:t>-10</w:t>
                  </w:r>
                  <w:r>
                    <w:rPr>
                      <w:rFonts w:hint="eastAsia" w:asciiTheme="minorEastAsia" w:hAnsiTheme="minorEastAsia" w:eastAsiaTheme="minorEastAsia" w:cstheme="minorEastAsia"/>
                      <w:sz w:val="18"/>
                      <w:szCs w:val="18"/>
                    </w:rPr>
                    <w:t>cm/s）。</w:t>
                  </w:r>
                </w:p>
                <w:p>
                  <w:pPr>
                    <w:spacing w:line="360" w:lineRule="auto"/>
                    <w:jc w:val="center"/>
                    <w:outlineLvl w:val="9"/>
                    <w:rPr>
                      <w:rFonts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rPr>
                    <w:t>热镀锌车间装置区为地面式布置，一旦泄漏易于发现。热镀锌车间装置区、污水处理站、危险化学品（盐酸、除油剂、助镀剂）存放区拟采用</w:t>
                  </w:r>
                  <w:r>
                    <w:rPr>
                      <w:rFonts w:hint="eastAsia" w:asciiTheme="minorEastAsia" w:hAnsiTheme="minorEastAsia" w:eastAsiaTheme="minorEastAsia" w:cstheme="minorEastAsia"/>
                      <w:color w:val="000000"/>
                      <w:sz w:val="18"/>
                      <w:szCs w:val="18"/>
                    </w:rPr>
                    <w:t>20cm厚P4等级抗渗混凝土+1mm厚水泥基渗透结晶型防水涂料</w:t>
                  </w:r>
                  <w:r>
                    <w:rPr>
                      <w:rFonts w:hint="eastAsia" w:asciiTheme="minorEastAsia" w:hAnsiTheme="minorEastAsia" w:eastAsiaTheme="minorEastAsia" w:cstheme="minorEastAsia"/>
                      <w:sz w:val="18"/>
                      <w:szCs w:val="18"/>
                    </w:rPr>
                    <w:t>进行防渗处理，确保</w:t>
                  </w:r>
                  <w:r>
                    <w:rPr>
                      <w:rFonts w:hint="eastAsia" w:asciiTheme="minorEastAsia" w:hAnsiTheme="minorEastAsia" w:eastAsiaTheme="minorEastAsia" w:cstheme="minorEastAsia"/>
                      <w:sz w:val="18"/>
                      <w:szCs w:val="18"/>
                      <w:lang w:val="zh-CN"/>
                    </w:rPr>
                    <w:t>防渗层等效黏土防渗层Mb≥6.0m，渗透系数≤10</w:t>
                  </w:r>
                  <w:r>
                    <w:rPr>
                      <w:rFonts w:hint="eastAsia" w:asciiTheme="minorEastAsia" w:hAnsiTheme="minorEastAsia" w:eastAsiaTheme="minorEastAsia" w:cstheme="minorEastAsia"/>
                      <w:sz w:val="18"/>
                      <w:szCs w:val="18"/>
                      <w:vertAlign w:val="superscript"/>
                      <w:lang w:val="zh-CN"/>
                    </w:rPr>
                    <w:t>-7</w:t>
                  </w:r>
                  <w:r>
                    <w:rPr>
                      <w:rFonts w:hint="eastAsia" w:asciiTheme="minorEastAsia" w:hAnsiTheme="minorEastAsia" w:eastAsiaTheme="minorEastAsia" w:cstheme="minorEastAsia"/>
                      <w:sz w:val="18"/>
                      <w:szCs w:val="18"/>
                      <w:lang w:val="zh-CN"/>
                    </w:rPr>
                    <w:t>cm/s。其余地面硬化即可。</w:t>
                  </w:r>
                </w:p>
                <w:p>
                  <w:pPr>
                    <w:jc w:val="center"/>
                    <w:outlineLvl w:val="9"/>
                    <w:rPr>
                      <w:rFonts w:asciiTheme="minorEastAsia" w:hAnsiTheme="minorEastAsia" w:eastAsiaTheme="minorEastAsia" w:cstheme="minorEastAsia"/>
                      <w:color w:val="0000FF"/>
                      <w:sz w:val="18"/>
                      <w:szCs w:val="18"/>
                    </w:rPr>
                  </w:pPr>
                  <w:r>
                    <w:rPr>
                      <w:rFonts w:hint="eastAsia" w:asciiTheme="minorEastAsia" w:hAnsiTheme="minorEastAsia" w:eastAsiaTheme="minorEastAsia" w:cstheme="minorEastAsia"/>
                      <w:snapToGrid w:val="0"/>
                      <w:sz w:val="18"/>
                      <w:szCs w:val="18"/>
                    </w:rPr>
                    <w:t>紧固件生产车间涉油设备区已采用</w:t>
                  </w:r>
                  <w:r>
                    <w:rPr>
                      <w:rFonts w:hint="eastAsia" w:asciiTheme="minorEastAsia" w:hAnsiTheme="minorEastAsia" w:eastAsiaTheme="minorEastAsia" w:cstheme="minorEastAsia"/>
                      <w:color w:val="000000"/>
                      <w:sz w:val="18"/>
                      <w:szCs w:val="18"/>
                    </w:rPr>
                    <w:t>20cm厚P4等级抗渗混凝土+1mm厚环氧树脂漆层+钢质托盘存放进行防渗处理，</w:t>
                  </w:r>
                  <w:r>
                    <w:rPr>
                      <w:rFonts w:hint="eastAsia" w:asciiTheme="minorEastAsia" w:hAnsiTheme="minorEastAsia" w:eastAsiaTheme="minorEastAsia" w:cstheme="minorEastAsia"/>
                      <w:snapToGrid w:val="0"/>
                      <w:sz w:val="18"/>
                      <w:szCs w:val="18"/>
                    </w:rPr>
                    <w:t>热处理车间热处理区已采用</w:t>
                  </w:r>
                  <w:r>
                    <w:rPr>
                      <w:rFonts w:hint="eastAsia" w:asciiTheme="minorEastAsia" w:hAnsiTheme="minorEastAsia" w:eastAsiaTheme="minorEastAsia" w:cstheme="minorEastAsia"/>
                      <w:color w:val="000000"/>
                      <w:sz w:val="18"/>
                      <w:szCs w:val="18"/>
                    </w:rPr>
                    <w:t>20cm厚P4等级抗渗混凝土+</w:t>
                  </w:r>
                  <w:r>
                    <w:rPr>
                      <w:rFonts w:hint="eastAsia" w:asciiTheme="minorEastAsia" w:hAnsiTheme="minorEastAsia" w:eastAsiaTheme="minorEastAsia" w:cstheme="minorEastAsia"/>
                      <w:sz w:val="18"/>
                      <w:szCs w:val="18"/>
                    </w:rPr>
                    <w:t>丙纶防渗土工布+混凝土层进行防渗处理，</w:t>
                  </w:r>
                  <w:r>
                    <w:rPr>
                      <w:rFonts w:hint="eastAsia" w:asciiTheme="minorEastAsia" w:hAnsiTheme="minorEastAsia" w:eastAsiaTheme="minorEastAsia" w:cstheme="minorEastAsia"/>
                      <w:snapToGrid w:val="0"/>
                      <w:sz w:val="18"/>
                      <w:szCs w:val="18"/>
                    </w:rPr>
                    <w:t>紧固件生产车间其他加工区和拉丝切断车间已采用</w:t>
                  </w:r>
                  <w:r>
                    <w:rPr>
                      <w:rFonts w:hint="eastAsia" w:asciiTheme="minorEastAsia" w:hAnsiTheme="minorEastAsia" w:eastAsiaTheme="minorEastAsia" w:cstheme="minorEastAsia"/>
                      <w:color w:val="000000"/>
                      <w:sz w:val="18"/>
                      <w:szCs w:val="18"/>
                    </w:rPr>
                    <w:t>20cm厚P4等级抗渗混凝土</w:t>
                  </w:r>
                  <w:r>
                    <w:rPr>
                      <w:rFonts w:hint="eastAsia" w:asciiTheme="minorEastAsia" w:hAnsiTheme="minorEastAsia" w:eastAsiaTheme="minorEastAsia" w:cstheme="minorEastAsia"/>
                      <w:sz w:val="18"/>
                      <w:szCs w:val="18"/>
                    </w:rPr>
                    <w:t>进行了</w:t>
                  </w:r>
                  <w:r>
                    <w:rPr>
                      <w:rFonts w:hint="eastAsia" w:asciiTheme="minorEastAsia" w:hAnsiTheme="minorEastAsia" w:eastAsiaTheme="minorEastAsia" w:cstheme="minorEastAsia"/>
                      <w:snapToGrid w:val="0"/>
                      <w:sz w:val="18"/>
                      <w:szCs w:val="18"/>
                    </w:rPr>
                    <w:t>一般防渗处理，可确保生产区（一般防渗区）防渗效果不低于厚度为Mb≥1.5m、渗透系数度数K≤10</w:t>
                  </w:r>
                  <w:r>
                    <w:rPr>
                      <w:rFonts w:hint="eastAsia" w:asciiTheme="minorEastAsia" w:hAnsiTheme="minorEastAsia" w:eastAsiaTheme="minorEastAsia" w:cstheme="minorEastAsia"/>
                      <w:snapToGrid w:val="0"/>
                      <w:sz w:val="18"/>
                      <w:szCs w:val="18"/>
                      <w:vertAlign w:val="superscript"/>
                    </w:rPr>
                    <w:t>-7</w:t>
                  </w:r>
                  <w:r>
                    <w:rPr>
                      <w:rFonts w:hint="eastAsia" w:asciiTheme="minorEastAsia" w:hAnsiTheme="minorEastAsia" w:eastAsiaTheme="minorEastAsia" w:cstheme="minorEastAsia"/>
                      <w:snapToGrid w:val="0"/>
                      <w:sz w:val="18"/>
                      <w:szCs w:val="18"/>
                    </w:rPr>
                    <w:t>cm/s的黏土防渗层的防渗性能。其余区域已进行了硬化处理。</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r>
                    <w:rPr>
                      <w:rFonts w:hint="eastAsia" w:asciiTheme="minorEastAsia" w:hAnsiTheme="minorEastAsia" w:eastAsiaTheme="minorEastAsia" w:cstheme="minorEastAsia"/>
                      <w:color w:val="0000FF"/>
                      <w:sz w:val="18"/>
                      <w:szCs w:val="18"/>
                    </w:rPr>
                    <w:t>10</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r>
                    <w:rPr>
                      <w:rFonts w:hint="eastAsia" w:asciiTheme="minorEastAsia" w:hAnsiTheme="minorEastAsia" w:eastAsiaTheme="minorEastAsia" w:cstheme="minorEastAsia"/>
                      <w:color w:val="0000FF"/>
                      <w:sz w:val="18"/>
                      <w:szCs w:val="18"/>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6" w:hRule="atLeast"/>
              </w:trPr>
              <w:tc>
                <w:tcPr>
                  <w:tcW w:w="998" w:type="dxa"/>
                  <w:gridSpan w:val="2"/>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r>
                    <w:rPr>
                      <w:spacing w:val="-8"/>
                      <w:sz w:val="18"/>
                      <w:szCs w:val="18"/>
                    </w:rPr>
                    <w:t>环境风险防范措施</w:t>
                  </w:r>
                </w:p>
              </w:tc>
              <w:tc>
                <w:tcPr>
                  <w:tcW w:w="3361" w:type="dxa"/>
                  <w:gridSpan w:val="2"/>
                  <w:tcBorders>
                    <w:top w:val="single" w:color="auto" w:sz="4" w:space="0"/>
                    <w:left w:val="single" w:color="auto" w:sz="4" w:space="0"/>
                    <w:right w:val="single" w:color="auto" w:sz="4" w:space="0"/>
                  </w:tcBorders>
                  <w:vAlign w:val="center"/>
                </w:tcPr>
                <w:p>
                  <w:pPr>
                    <w:pStyle w:val="15"/>
                    <w:spacing w:beforeLines="0"/>
                    <w:ind w:firstLine="0" w:firstLineChars="0"/>
                    <w:jc w:val="center"/>
                    <w:outlineLvl w:val="9"/>
                    <w:rPr>
                      <w:sz w:val="18"/>
                      <w:szCs w:val="18"/>
                    </w:rPr>
                  </w:pPr>
                  <w:r>
                    <w:rPr>
                      <w:rFonts w:hint="eastAsia"/>
                      <w:sz w:val="18"/>
                      <w:szCs w:val="18"/>
                    </w:rPr>
                    <w:t>（1）项目按《建筑设计防火规范》等规范要求进行合理布置，应充分考虑安全防护距离、防火间距、消防和疏散通道等问题。</w:t>
                  </w:r>
                </w:p>
                <w:p>
                  <w:pPr>
                    <w:spacing w:line="360" w:lineRule="auto"/>
                    <w:jc w:val="center"/>
                    <w:outlineLvl w:val="9"/>
                    <w:rPr>
                      <w:sz w:val="18"/>
                      <w:szCs w:val="18"/>
                    </w:rPr>
                  </w:pPr>
                  <w:r>
                    <w:rPr>
                      <w:rFonts w:hint="eastAsia"/>
                      <w:bCs/>
                      <w:sz w:val="18"/>
                      <w:szCs w:val="18"/>
                    </w:rPr>
                    <w:t>（2）各危化品均采用危险化学品运输车辆进行运输，运输过程中应标明危化品品种、数量等</w:t>
                  </w:r>
                  <w:r>
                    <w:rPr>
                      <w:rFonts w:hint="eastAsia"/>
                      <w:sz w:val="18"/>
                      <w:szCs w:val="18"/>
                    </w:rPr>
                    <w:t>。</w:t>
                  </w:r>
                </w:p>
                <w:p>
                  <w:pPr>
                    <w:spacing w:line="360" w:lineRule="auto"/>
                    <w:jc w:val="center"/>
                    <w:outlineLvl w:val="9"/>
                    <w:rPr>
                      <w:sz w:val="18"/>
                      <w:szCs w:val="18"/>
                    </w:rPr>
                  </w:pPr>
                  <w:r>
                    <w:rPr>
                      <w:sz w:val="18"/>
                      <w:szCs w:val="18"/>
                    </w:rPr>
                    <w:t>（</w:t>
                  </w:r>
                  <w:r>
                    <w:rPr>
                      <w:rFonts w:hint="eastAsia"/>
                      <w:sz w:val="18"/>
                      <w:szCs w:val="18"/>
                    </w:rPr>
                    <w:t>3</w:t>
                  </w:r>
                  <w:r>
                    <w:rPr>
                      <w:sz w:val="18"/>
                      <w:szCs w:val="18"/>
                    </w:rPr>
                    <w:t>）</w:t>
                  </w:r>
                  <w:r>
                    <w:rPr>
                      <w:rFonts w:hint="eastAsia"/>
                      <w:sz w:val="18"/>
                      <w:szCs w:val="18"/>
                    </w:rPr>
                    <w:t>危废暂存间已采用20</w:t>
                  </w:r>
                  <w:r>
                    <w:rPr>
                      <w:sz w:val="18"/>
                      <w:szCs w:val="18"/>
                    </w:rPr>
                    <w:t>cm厚P</w:t>
                  </w:r>
                  <w:r>
                    <w:rPr>
                      <w:rFonts w:hint="eastAsia"/>
                      <w:sz w:val="18"/>
                      <w:szCs w:val="18"/>
                    </w:rPr>
                    <w:t>4</w:t>
                  </w:r>
                  <w:r>
                    <w:rPr>
                      <w:sz w:val="18"/>
                      <w:szCs w:val="18"/>
                    </w:rPr>
                    <w:t>等级抗渗混凝土+</w:t>
                  </w:r>
                  <w:r>
                    <w:rPr>
                      <w:rFonts w:hint="eastAsia"/>
                      <w:sz w:val="18"/>
                      <w:szCs w:val="18"/>
                    </w:rPr>
                    <w:t>1</w:t>
                  </w:r>
                  <w:r>
                    <w:rPr>
                      <w:sz w:val="18"/>
                      <w:szCs w:val="18"/>
                    </w:rPr>
                    <w:t>mm厚环氧树脂漆层+</w:t>
                  </w:r>
                  <w:r>
                    <w:rPr>
                      <w:rFonts w:hint="eastAsia"/>
                      <w:sz w:val="18"/>
                      <w:szCs w:val="18"/>
                    </w:rPr>
                    <w:t>进行了重点防渗处理，并设置防泄漏收集设施。废油桶设置在防漏托盘内。</w:t>
                  </w:r>
                </w:p>
                <w:p>
                  <w:pPr>
                    <w:spacing w:line="360" w:lineRule="auto"/>
                    <w:jc w:val="center"/>
                    <w:outlineLvl w:val="9"/>
                    <w:rPr>
                      <w:sz w:val="18"/>
                      <w:szCs w:val="18"/>
                      <w:lang w:val="zh-CN"/>
                    </w:rPr>
                  </w:pPr>
                  <w:r>
                    <w:rPr>
                      <w:rFonts w:hint="eastAsia"/>
                      <w:sz w:val="18"/>
                      <w:szCs w:val="18"/>
                    </w:rPr>
                    <w:t>（4）热镀锌车间装置区为地面式布置，一旦泄漏易于发现。热镀锌车间装置区、污水处理站、危险化学品（盐酸、除油剂、助镀剂）存放区拟采用20</w:t>
                  </w:r>
                  <w:r>
                    <w:rPr>
                      <w:sz w:val="18"/>
                      <w:szCs w:val="18"/>
                    </w:rPr>
                    <w:t>cm厚P</w:t>
                  </w:r>
                  <w:r>
                    <w:rPr>
                      <w:rFonts w:hint="eastAsia"/>
                      <w:sz w:val="18"/>
                      <w:szCs w:val="18"/>
                    </w:rPr>
                    <w:t>4</w:t>
                  </w:r>
                  <w:r>
                    <w:rPr>
                      <w:sz w:val="18"/>
                      <w:szCs w:val="18"/>
                    </w:rPr>
                    <w:t>等级抗渗混凝土+</w:t>
                  </w:r>
                  <w:r>
                    <w:rPr>
                      <w:color w:val="000000"/>
                      <w:sz w:val="18"/>
                      <w:szCs w:val="18"/>
                    </w:rPr>
                    <w:t xml:space="preserve"> 1mm厚水泥基渗透结晶型防水涂料</w:t>
                  </w:r>
                  <w:r>
                    <w:rPr>
                      <w:rFonts w:hint="eastAsia"/>
                      <w:sz w:val="18"/>
                      <w:szCs w:val="18"/>
                    </w:rPr>
                    <w:t>进行重点防渗处理</w:t>
                  </w:r>
                  <w:r>
                    <w:rPr>
                      <w:sz w:val="18"/>
                      <w:szCs w:val="18"/>
                      <w:lang w:val="zh-CN"/>
                    </w:rPr>
                    <w:t>。</w:t>
                  </w:r>
                </w:p>
                <w:p>
                  <w:pPr>
                    <w:spacing w:line="360" w:lineRule="auto"/>
                    <w:jc w:val="center"/>
                    <w:outlineLvl w:val="9"/>
                    <w:rPr>
                      <w:sz w:val="18"/>
                      <w:szCs w:val="18"/>
                      <w:lang w:val="zh-CN"/>
                    </w:rPr>
                  </w:pPr>
                  <w:r>
                    <w:rPr>
                      <w:rFonts w:hint="eastAsia"/>
                      <w:sz w:val="18"/>
                      <w:szCs w:val="18"/>
                      <w:lang w:val="zh-CN"/>
                    </w:rPr>
                    <w:t>（5）</w:t>
                  </w:r>
                  <w:r>
                    <w:rPr>
                      <w:sz w:val="18"/>
                      <w:szCs w:val="18"/>
                      <w:lang w:val="zh-CN"/>
                    </w:rPr>
                    <w:t>盐酸桶等化学品存放区修建防渗围堰，围堰容积约</w:t>
                  </w:r>
                  <w:r>
                    <w:rPr>
                      <w:rFonts w:hint="eastAsia"/>
                      <w:sz w:val="18"/>
                      <w:szCs w:val="18"/>
                      <w:lang w:val="zh-CN"/>
                    </w:rPr>
                    <w:t>1m</w:t>
                  </w:r>
                  <w:r>
                    <w:rPr>
                      <w:rFonts w:hint="eastAsia"/>
                      <w:sz w:val="18"/>
                      <w:szCs w:val="18"/>
                      <w:vertAlign w:val="superscript"/>
                      <w:lang w:val="zh-CN"/>
                    </w:rPr>
                    <w:t>3</w:t>
                  </w:r>
                  <w:r>
                    <w:rPr>
                      <w:rFonts w:hint="eastAsia"/>
                      <w:sz w:val="18"/>
                      <w:szCs w:val="18"/>
                      <w:lang w:val="zh-CN"/>
                    </w:rPr>
                    <w:t>，满足泄漏盐酸全部收集。热镀锌前处理线区域设置防渗截流沟和泄漏收集池，泄漏收集池容积不低于1.8m</w:t>
                  </w:r>
                  <w:r>
                    <w:rPr>
                      <w:rFonts w:hint="eastAsia"/>
                      <w:sz w:val="18"/>
                      <w:szCs w:val="18"/>
                      <w:vertAlign w:val="superscript"/>
                      <w:lang w:val="zh-CN"/>
                    </w:rPr>
                    <w:t>3</w:t>
                  </w:r>
                  <w:r>
                    <w:rPr>
                      <w:rFonts w:hint="eastAsia"/>
                      <w:sz w:val="18"/>
                      <w:szCs w:val="18"/>
                      <w:lang w:val="zh-CN"/>
                    </w:rPr>
                    <w:t>。此部分投资约2万元。</w:t>
                  </w:r>
                </w:p>
                <w:p>
                  <w:pPr>
                    <w:spacing w:line="360" w:lineRule="auto"/>
                    <w:jc w:val="center"/>
                    <w:outlineLvl w:val="9"/>
                    <w:rPr>
                      <w:sz w:val="18"/>
                      <w:szCs w:val="18"/>
                      <w:lang w:val="zh-CN"/>
                    </w:rPr>
                  </w:pPr>
                  <w:r>
                    <w:rPr>
                      <w:rFonts w:hint="eastAsia"/>
                      <w:sz w:val="18"/>
                      <w:szCs w:val="18"/>
                      <w:lang w:val="zh-CN"/>
                    </w:rPr>
                    <w:t>（6）污水处理站事故废水暂存可依托现有容积60m</w:t>
                  </w:r>
                  <w:r>
                    <w:rPr>
                      <w:rFonts w:hint="eastAsia"/>
                      <w:sz w:val="18"/>
                      <w:szCs w:val="18"/>
                      <w:vertAlign w:val="superscript"/>
                      <w:lang w:val="zh-CN"/>
                    </w:rPr>
                    <w:t>3</w:t>
                  </w:r>
                  <w:r>
                    <w:rPr>
                      <w:rFonts w:hint="eastAsia"/>
                      <w:sz w:val="18"/>
                      <w:szCs w:val="18"/>
                      <w:lang w:val="zh-CN"/>
                    </w:rPr>
                    <w:t>的事故应急池。</w:t>
                  </w:r>
                </w:p>
                <w:p>
                  <w:pPr>
                    <w:spacing w:line="360" w:lineRule="auto"/>
                    <w:jc w:val="center"/>
                    <w:outlineLvl w:val="9"/>
                    <w:rPr>
                      <w:rFonts w:asciiTheme="minorEastAsia" w:hAnsiTheme="minorEastAsia" w:eastAsiaTheme="minorEastAsia" w:cstheme="minorEastAsia"/>
                      <w:snapToGrid w:val="0"/>
                      <w:sz w:val="18"/>
                      <w:szCs w:val="18"/>
                    </w:rPr>
                  </w:pPr>
                  <w:r>
                    <w:rPr>
                      <w:sz w:val="18"/>
                      <w:szCs w:val="18"/>
                      <w:lang w:val="zh-CN"/>
                    </w:rPr>
                    <w:t>（</w:t>
                  </w:r>
                  <w:r>
                    <w:rPr>
                      <w:rFonts w:hint="eastAsia"/>
                      <w:sz w:val="18"/>
                      <w:szCs w:val="18"/>
                      <w:lang w:val="zh-CN"/>
                    </w:rPr>
                    <w:t>7</w:t>
                  </w:r>
                  <w:r>
                    <w:rPr>
                      <w:sz w:val="18"/>
                      <w:szCs w:val="18"/>
                      <w:lang w:val="zh-CN"/>
                    </w:rPr>
                    <w:t>）针对本项目修订突发事故环境应急预案，并报送内江市隆昌生态环境局备案</w:t>
                  </w:r>
                </w:p>
              </w:tc>
              <w:tc>
                <w:tcPr>
                  <w:tcW w:w="0" w:type="auto"/>
                  <w:tcBorders>
                    <w:left w:val="single" w:color="auto" w:sz="4" w:space="0"/>
                    <w:right w:val="single" w:color="auto" w:sz="4" w:space="0"/>
                  </w:tcBorders>
                  <w:vAlign w:val="center"/>
                </w:tcPr>
                <w:p>
                  <w:pPr>
                    <w:pStyle w:val="15"/>
                    <w:spacing w:beforeLines="0"/>
                    <w:ind w:firstLine="0" w:firstLineChars="0"/>
                    <w:jc w:val="center"/>
                    <w:outlineLvl w:val="9"/>
                    <w:rPr>
                      <w:sz w:val="18"/>
                      <w:szCs w:val="18"/>
                    </w:rPr>
                  </w:pPr>
                  <w:r>
                    <w:rPr>
                      <w:rFonts w:hint="eastAsia"/>
                      <w:sz w:val="18"/>
                      <w:szCs w:val="18"/>
                    </w:rPr>
                    <w:t>（1）项目按《建筑设计防火规范》等规范要求进行合理布置，应充分考虑安全防护距离、防火间距、消防和疏散通道等问题。</w:t>
                  </w:r>
                </w:p>
                <w:p>
                  <w:pPr>
                    <w:spacing w:line="360" w:lineRule="auto"/>
                    <w:jc w:val="center"/>
                    <w:outlineLvl w:val="9"/>
                    <w:rPr>
                      <w:sz w:val="18"/>
                      <w:szCs w:val="18"/>
                    </w:rPr>
                  </w:pPr>
                  <w:r>
                    <w:rPr>
                      <w:rFonts w:hint="eastAsia"/>
                      <w:bCs/>
                      <w:sz w:val="18"/>
                      <w:szCs w:val="18"/>
                    </w:rPr>
                    <w:t>（2）各危化品均采用危险化学品运输车辆进行运输，运输过程中应标明危化品品种、数量等</w:t>
                  </w:r>
                  <w:r>
                    <w:rPr>
                      <w:rFonts w:hint="eastAsia"/>
                      <w:sz w:val="18"/>
                      <w:szCs w:val="18"/>
                    </w:rPr>
                    <w:t>。</w:t>
                  </w:r>
                </w:p>
                <w:p>
                  <w:pPr>
                    <w:spacing w:line="360" w:lineRule="auto"/>
                    <w:jc w:val="center"/>
                    <w:outlineLvl w:val="9"/>
                    <w:rPr>
                      <w:sz w:val="18"/>
                      <w:szCs w:val="18"/>
                    </w:rPr>
                  </w:pPr>
                  <w:r>
                    <w:rPr>
                      <w:sz w:val="18"/>
                      <w:szCs w:val="18"/>
                    </w:rPr>
                    <w:t>（</w:t>
                  </w:r>
                  <w:r>
                    <w:rPr>
                      <w:rFonts w:hint="eastAsia"/>
                      <w:sz w:val="18"/>
                      <w:szCs w:val="18"/>
                    </w:rPr>
                    <w:t>3</w:t>
                  </w:r>
                  <w:r>
                    <w:rPr>
                      <w:sz w:val="18"/>
                      <w:szCs w:val="18"/>
                    </w:rPr>
                    <w:t>）</w:t>
                  </w:r>
                  <w:r>
                    <w:rPr>
                      <w:rFonts w:hint="eastAsia"/>
                      <w:sz w:val="18"/>
                      <w:szCs w:val="18"/>
                    </w:rPr>
                    <w:t>危废暂存间已采用20</w:t>
                  </w:r>
                  <w:r>
                    <w:rPr>
                      <w:sz w:val="18"/>
                      <w:szCs w:val="18"/>
                    </w:rPr>
                    <w:t>cm厚P</w:t>
                  </w:r>
                  <w:r>
                    <w:rPr>
                      <w:rFonts w:hint="eastAsia"/>
                      <w:sz w:val="18"/>
                      <w:szCs w:val="18"/>
                    </w:rPr>
                    <w:t>4</w:t>
                  </w:r>
                  <w:r>
                    <w:rPr>
                      <w:sz w:val="18"/>
                      <w:szCs w:val="18"/>
                    </w:rPr>
                    <w:t>等级抗渗混凝土+</w:t>
                  </w:r>
                  <w:r>
                    <w:rPr>
                      <w:rFonts w:hint="eastAsia"/>
                      <w:sz w:val="18"/>
                      <w:szCs w:val="18"/>
                    </w:rPr>
                    <w:t>1</w:t>
                  </w:r>
                  <w:r>
                    <w:rPr>
                      <w:sz w:val="18"/>
                      <w:szCs w:val="18"/>
                    </w:rPr>
                    <w:t>mm厚环氧树脂漆层+</w:t>
                  </w:r>
                  <w:r>
                    <w:rPr>
                      <w:rFonts w:hint="eastAsia"/>
                      <w:sz w:val="18"/>
                      <w:szCs w:val="18"/>
                    </w:rPr>
                    <w:t>进行了重点防渗处理，并设置防泄漏收集设施。废油桶设置在防漏托盘内。</w:t>
                  </w:r>
                </w:p>
                <w:p>
                  <w:pPr>
                    <w:spacing w:line="360" w:lineRule="auto"/>
                    <w:jc w:val="center"/>
                    <w:outlineLvl w:val="9"/>
                    <w:rPr>
                      <w:sz w:val="18"/>
                      <w:szCs w:val="18"/>
                      <w:lang w:val="zh-CN"/>
                    </w:rPr>
                  </w:pPr>
                  <w:r>
                    <w:rPr>
                      <w:rFonts w:hint="eastAsia"/>
                      <w:sz w:val="18"/>
                      <w:szCs w:val="18"/>
                    </w:rPr>
                    <w:t>（4）热镀锌车间装置区为地面式布置，一旦泄漏易于发现。热镀锌车间装置区、污水处理站、危险化学品（盐酸、除油剂、助镀剂）存放区拟采用20</w:t>
                  </w:r>
                  <w:r>
                    <w:rPr>
                      <w:sz w:val="18"/>
                      <w:szCs w:val="18"/>
                    </w:rPr>
                    <w:t>cm厚P</w:t>
                  </w:r>
                  <w:r>
                    <w:rPr>
                      <w:rFonts w:hint="eastAsia"/>
                      <w:sz w:val="18"/>
                      <w:szCs w:val="18"/>
                    </w:rPr>
                    <w:t>4</w:t>
                  </w:r>
                  <w:r>
                    <w:rPr>
                      <w:sz w:val="18"/>
                      <w:szCs w:val="18"/>
                    </w:rPr>
                    <w:t>等级抗渗混凝土+</w:t>
                  </w:r>
                  <w:r>
                    <w:rPr>
                      <w:color w:val="000000"/>
                      <w:sz w:val="18"/>
                      <w:szCs w:val="18"/>
                    </w:rPr>
                    <w:t xml:space="preserve"> 1mm厚水泥基渗透结晶型防水涂料</w:t>
                  </w:r>
                  <w:r>
                    <w:rPr>
                      <w:rFonts w:hint="eastAsia"/>
                      <w:sz w:val="18"/>
                      <w:szCs w:val="18"/>
                    </w:rPr>
                    <w:t>进行重点防渗处理</w:t>
                  </w:r>
                  <w:r>
                    <w:rPr>
                      <w:sz w:val="18"/>
                      <w:szCs w:val="18"/>
                      <w:lang w:val="zh-CN"/>
                    </w:rPr>
                    <w:t>。</w:t>
                  </w:r>
                </w:p>
                <w:p>
                  <w:pPr>
                    <w:spacing w:line="360" w:lineRule="auto"/>
                    <w:jc w:val="center"/>
                    <w:outlineLvl w:val="9"/>
                    <w:rPr>
                      <w:sz w:val="18"/>
                      <w:szCs w:val="18"/>
                      <w:lang w:val="zh-CN"/>
                    </w:rPr>
                  </w:pPr>
                  <w:r>
                    <w:rPr>
                      <w:rFonts w:hint="eastAsia"/>
                      <w:sz w:val="18"/>
                      <w:szCs w:val="18"/>
                      <w:lang w:val="zh-CN"/>
                    </w:rPr>
                    <w:t>（5）</w:t>
                  </w:r>
                  <w:r>
                    <w:rPr>
                      <w:sz w:val="18"/>
                      <w:szCs w:val="18"/>
                      <w:lang w:val="zh-CN"/>
                    </w:rPr>
                    <w:t>盐酸桶等化学品存放区修建防渗围堰，围堰容积约</w:t>
                  </w:r>
                  <w:r>
                    <w:rPr>
                      <w:rFonts w:hint="eastAsia"/>
                      <w:sz w:val="18"/>
                      <w:szCs w:val="18"/>
                      <w:lang w:val="zh-CN"/>
                    </w:rPr>
                    <w:t>1m</w:t>
                  </w:r>
                  <w:r>
                    <w:rPr>
                      <w:rFonts w:hint="eastAsia"/>
                      <w:sz w:val="18"/>
                      <w:szCs w:val="18"/>
                      <w:vertAlign w:val="superscript"/>
                      <w:lang w:val="zh-CN"/>
                    </w:rPr>
                    <w:t>3</w:t>
                  </w:r>
                  <w:r>
                    <w:rPr>
                      <w:rFonts w:hint="eastAsia"/>
                      <w:sz w:val="18"/>
                      <w:szCs w:val="18"/>
                      <w:lang w:val="zh-CN"/>
                    </w:rPr>
                    <w:t>，满足泄漏盐酸全部收集。热镀锌前处理线区域设置防渗截流沟和泄漏收集池，泄漏收集池容积不低于1.8m</w:t>
                  </w:r>
                  <w:r>
                    <w:rPr>
                      <w:rFonts w:hint="eastAsia"/>
                      <w:sz w:val="18"/>
                      <w:szCs w:val="18"/>
                      <w:vertAlign w:val="superscript"/>
                      <w:lang w:val="zh-CN"/>
                    </w:rPr>
                    <w:t>3</w:t>
                  </w:r>
                  <w:r>
                    <w:rPr>
                      <w:rFonts w:hint="eastAsia"/>
                      <w:sz w:val="18"/>
                      <w:szCs w:val="18"/>
                      <w:lang w:val="zh-CN"/>
                    </w:rPr>
                    <w:t>。此部分投资约2万元。</w:t>
                  </w:r>
                </w:p>
                <w:p>
                  <w:pPr>
                    <w:spacing w:line="360" w:lineRule="auto"/>
                    <w:jc w:val="center"/>
                    <w:outlineLvl w:val="9"/>
                    <w:rPr>
                      <w:sz w:val="18"/>
                      <w:szCs w:val="18"/>
                      <w:lang w:val="zh-CN"/>
                    </w:rPr>
                  </w:pPr>
                  <w:r>
                    <w:rPr>
                      <w:rFonts w:hint="eastAsia"/>
                      <w:sz w:val="18"/>
                      <w:szCs w:val="18"/>
                      <w:lang w:val="zh-CN"/>
                    </w:rPr>
                    <w:t>（6）污水处理站事故废水暂存可依托现有容积60m</w:t>
                  </w:r>
                  <w:r>
                    <w:rPr>
                      <w:rFonts w:hint="eastAsia"/>
                      <w:sz w:val="18"/>
                      <w:szCs w:val="18"/>
                      <w:vertAlign w:val="superscript"/>
                      <w:lang w:val="zh-CN"/>
                    </w:rPr>
                    <w:t>3</w:t>
                  </w:r>
                  <w:r>
                    <w:rPr>
                      <w:rFonts w:hint="eastAsia"/>
                      <w:sz w:val="18"/>
                      <w:szCs w:val="18"/>
                      <w:lang w:val="zh-CN"/>
                    </w:rPr>
                    <w:t>的事故应急池。</w:t>
                  </w:r>
                </w:p>
                <w:p>
                  <w:pPr>
                    <w:jc w:val="center"/>
                    <w:outlineLvl w:val="9"/>
                    <w:rPr>
                      <w:rFonts w:asciiTheme="minorEastAsia" w:hAnsiTheme="minorEastAsia" w:eastAsiaTheme="minorEastAsia" w:cstheme="minorEastAsia"/>
                      <w:snapToGrid w:val="0"/>
                      <w:sz w:val="18"/>
                      <w:szCs w:val="18"/>
                    </w:rPr>
                  </w:pPr>
                  <w:r>
                    <w:rPr>
                      <w:sz w:val="18"/>
                      <w:szCs w:val="18"/>
                      <w:lang w:val="zh-CN"/>
                    </w:rPr>
                    <w:t>（</w:t>
                  </w:r>
                  <w:r>
                    <w:rPr>
                      <w:rFonts w:hint="eastAsia"/>
                      <w:sz w:val="18"/>
                      <w:szCs w:val="18"/>
                      <w:lang w:val="zh-CN"/>
                    </w:rPr>
                    <w:t>7</w:t>
                  </w:r>
                  <w:r>
                    <w:rPr>
                      <w:sz w:val="18"/>
                      <w:szCs w:val="18"/>
                      <w:lang w:val="zh-CN"/>
                    </w:rPr>
                    <w:t>）针对本项目修订突发事故环境应急预案，并报送内江市隆昌生态环境局备案</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r>
                    <w:rPr>
                      <w:rFonts w:hint="eastAsia" w:asciiTheme="minorEastAsia" w:hAnsiTheme="minorEastAsia" w:eastAsiaTheme="minorEastAsia" w:cstheme="minorEastAsia"/>
                      <w:color w:val="0000FF"/>
                      <w:sz w:val="18"/>
                      <w:szCs w:val="18"/>
                    </w:rPr>
                    <w:t>2</w:t>
                  </w:r>
                </w:p>
              </w:tc>
              <w:tc>
                <w:tcPr>
                  <w:tcW w:w="0" w:type="auto"/>
                  <w:tcBorders>
                    <w:left w:val="single" w:color="auto" w:sz="4" w:space="0"/>
                    <w:right w:val="single" w:color="auto" w:sz="4" w:space="0"/>
                  </w:tcBorders>
                  <w:vAlign w:val="center"/>
                </w:tcPr>
                <w:p>
                  <w:pPr>
                    <w:jc w:val="center"/>
                    <w:outlineLvl w:val="9"/>
                    <w:rPr>
                      <w:rFonts w:asciiTheme="minorEastAsia" w:hAnsiTheme="minorEastAsia" w:eastAsiaTheme="minorEastAsia" w:cstheme="minorEastAsia"/>
                      <w:color w:val="0000FF"/>
                      <w:sz w:val="18"/>
                      <w:szCs w:val="18"/>
                    </w:rPr>
                  </w:pPr>
                  <w:r>
                    <w:rPr>
                      <w:rFonts w:hint="eastAsia" w:asciiTheme="minorEastAsia" w:hAnsiTheme="minorEastAsia" w:eastAsiaTheme="minorEastAsia" w:cstheme="minorEastAsia"/>
                      <w:color w:val="0000FF"/>
                      <w:sz w:val="18"/>
                      <w:szCs w:val="18"/>
                    </w:rPr>
                    <w:t>2</w:t>
                  </w:r>
                </w:p>
              </w:tc>
            </w:tr>
          </w:tbl>
          <w:p>
            <w:pPr>
              <w:spacing w:line="360" w:lineRule="auto"/>
              <w:outlineLvl w:val="9"/>
            </w:pPr>
          </w:p>
        </w:tc>
      </w:tr>
    </w:tbl>
    <w:p>
      <w:r>
        <w:br w:type="page"/>
      </w:r>
    </w:p>
    <w:p>
      <w:pPr>
        <w:outlineLvl w:val="0"/>
        <w:rPr>
          <w:rFonts w:asciiTheme="majorEastAsia" w:hAnsiTheme="majorEastAsia" w:eastAsiaTheme="majorEastAsia" w:cstheme="majorEastAsia"/>
          <w:b/>
          <w:sz w:val="28"/>
          <w:szCs w:val="28"/>
        </w:rPr>
      </w:pPr>
      <w:bookmarkStart w:id="25" w:name="_Toc30170"/>
      <w:bookmarkStart w:id="26" w:name="_Toc18779_WPSOffice_Level1"/>
      <w:bookmarkStart w:id="27" w:name="_Toc29400_WPSOffice_Level1"/>
      <w:bookmarkStart w:id="28" w:name="_Toc28681"/>
      <w:bookmarkStart w:id="29" w:name="_Toc30069"/>
      <w:bookmarkStart w:id="30" w:name="_Toc10321_WPSOffice_Level1"/>
      <w:r>
        <w:rPr>
          <w:rFonts w:hint="eastAsia" w:asciiTheme="majorEastAsia" w:hAnsiTheme="majorEastAsia" w:eastAsiaTheme="majorEastAsia" w:cstheme="majorEastAsia"/>
          <w:b/>
          <w:sz w:val="28"/>
          <w:szCs w:val="28"/>
        </w:rPr>
        <w:t>表四 环境影响评价主要结论和环评批复</w:t>
      </w:r>
      <w:bookmarkEnd w:id="25"/>
      <w:bookmarkEnd w:id="26"/>
      <w:bookmarkEnd w:id="27"/>
      <w:bookmarkEnd w:id="28"/>
      <w:bookmarkEnd w:id="29"/>
      <w:bookmarkEnd w:id="30"/>
    </w:p>
    <w:tbl>
      <w:tblPr>
        <w:tblStyle w:val="13"/>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360" w:lineRule="auto"/>
              <w:outlineLvl w:val="9"/>
              <w:rPr>
                <w:rFonts w:ascii="宋体" w:hAnsi="宋体" w:cs="宋体"/>
                <w:b/>
                <w:bCs/>
                <w:sz w:val="24"/>
              </w:rPr>
            </w:pPr>
            <w:r>
              <w:rPr>
                <w:rFonts w:hint="eastAsia" w:ascii="宋体" w:hAnsi="宋体" w:cs="宋体"/>
                <w:b/>
                <w:bCs/>
                <w:sz w:val="24"/>
              </w:rPr>
              <w:t>环评结论与建议</w:t>
            </w:r>
          </w:p>
          <w:p>
            <w:pPr>
              <w:pStyle w:val="26"/>
              <w:ind w:firstLine="480" w:firstLineChars="200"/>
              <w:outlineLvl w:val="9"/>
              <w:rPr>
                <w:rFonts w:ascii="Times New Roman" w:hAnsi="Times New Roman"/>
                <w:b/>
              </w:rPr>
            </w:pPr>
            <w:r>
              <w:rPr>
                <w:rFonts w:hint="eastAsia" w:ascii="Times New Roman" w:hAnsi="Times New Roman"/>
              </w:rPr>
              <w:t>四川东博轨道科技有限公司在</w:t>
            </w:r>
            <w:r>
              <w:rPr>
                <w:rFonts w:ascii="Times New Roman" w:hAnsi="Times New Roman"/>
              </w:rPr>
              <w:t>隆昌市黄土坡工业园环城东路</w:t>
            </w:r>
            <w:r>
              <w:rPr>
                <w:rFonts w:hint="eastAsia" w:ascii="Times New Roman" w:hAnsi="Times New Roman"/>
              </w:rPr>
              <w:t>203号现厂</w:t>
            </w:r>
            <w:r>
              <w:rPr>
                <w:rFonts w:ascii="Times New Roman" w:hAnsi="Times New Roman"/>
              </w:rPr>
              <w:t>实施</w:t>
            </w:r>
            <w:r>
              <w:t>新增</w:t>
            </w:r>
            <w:r>
              <w:rPr>
                <w:rFonts w:hint="eastAsia"/>
              </w:rPr>
              <w:t>1.5万吨/年紧固件生产扩建项目</w:t>
            </w:r>
            <w:r>
              <w:rPr>
                <w:rFonts w:hint="eastAsia" w:ascii="Times New Roman" w:hAnsi="Times New Roman"/>
              </w:rPr>
              <w:t>，拟采取的污染防治措施可确保达标排放，对各环境要素影响较小，不会改变区域环境功能等级，</w:t>
            </w:r>
            <w:r>
              <w:rPr>
                <w:rFonts w:ascii="Times New Roman" w:hAnsi="Times New Roman"/>
                <w:color w:val="000000"/>
              </w:rPr>
              <w:t>从环境角度分析项目可行。</w:t>
            </w:r>
          </w:p>
          <w:p>
            <w:pPr>
              <w:spacing w:line="360" w:lineRule="auto"/>
              <w:outlineLvl w:val="9"/>
              <w:rPr>
                <w:rFonts w:ascii="宋体" w:hAnsi="宋体" w:cs="宋体"/>
                <w:b/>
                <w:bCs/>
                <w:sz w:val="24"/>
              </w:rPr>
            </w:pPr>
            <w:r>
              <w:rPr>
                <w:rFonts w:hint="eastAsia" w:ascii="宋体" w:hAnsi="宋体" w:cs="宋体"/>
                <w:b/>
                <w:bCs/>
                <w:sz w:val="24"/>
              </w:rPr>
              <w:t>环评批复摘要</w:t>
            </w:r>
          </w:p>
          <w:p>
            <w:pPr>
              <w:pStyle w:val="26"/>
              <w:ind w:firstLine="480" w:firstLineChars="200"/>
              <w:outlineLvl w:val="9"/>
              <w:rPr>
                <w:rFonts w:ascii="Times New Roman" w:hAnsi="Times New Roman"/>
              </w:rPr>
            </w:pPr>
            <w:r>
              <w:rPr>
                <w:rFonts w:hint="eastAsia" w:ascii="Times New Roman" w:hAnsi="Times New Roman"/>
              </w:rPr>
              <w:t>一、项目建设和运行中应重点做好以下工作：</w:t>
            </w:r>
          </w:p>
          <w:p>
            <w:pPr>
              <w:pStyle w:val="26"/>
              <w:ind w:firstLine="480" w:firstLineChars="200"/>
              <w:outlineLvl w:val="9"/>
              <w:rPr>
                <w:rFonts w:ascii="Times New Roman" w:hAnsi="Times New Roman"/>
              </w:rPr>
            </w:pPr>
            <w:r>
              <w:rPr>
                <w:rFonts w:hint="eastAsia" w:ascii="Times New Roman" w:hAnsi="Times New Roman"/>
              </w:rPr>
              <w:t>1、落实“报告表”提出的水污染防治措施。施工期生活污水依托现有预处理池处理后进入经开区污水处理厂处理，施工废水用于地坪养护，不排放；运营期酸雾处理配套的水洗塔废水作为酸洗池补水，不排放，经污水处理站处理的除油清洗废水、酸洗清洗废水、水洗塔废水和经预处理池处理的生活污水达《污水综合排放标准》（GB8978-1996）三级标准后通过园区污水管网排入经开区污水处理厂处理。</w:t>
            </w:r>
          </w:p>
          <w:p>
            <w:pPr>
              <w:pStyle w:val="26"/>
              <w:ind w:firstLine="480" w:firstLineChars="200"/>
              <w:outlineLvl w:val="9"/>
              <w:rPr>
                <w:rFonts w:ascii="Times New Roman" w:hAnsi="Times New Roman"/>
              </w:rPr>
            </w:pPr>
            <w:r>
              <w:rPr>
                <w:rFonts w:hint="eastAsia" w:ascii="Times New Roman" w:hAnsi="Times New Roman"/>
              </w:rPr>
              <w:t>2、落实“报告表”提出的大气污染防治措施。运营期抛丸粉尘经系统自带的“沉降分离器+旋风除尘器+滤筒除尘器”处理后由15m排气筒排放，热处理烟气经集气罩收集至“油雾净化器+UV光解+活性炭吸附装置”处理后由15m进排气筒排放，酸洗废气经密闭收集至水洗塔处理后由15m排气筒排放，锌锅烟气经密闭收集至“脉冲布袋除尘器+水洗塔”处理后和锌锅加热炉天然气燃烧烟气由15m高排气筒排放。</w:t>
            </w:r>
          </w:p>
          <w:p>
            <w:pPr>
              <w:pStyle w:val="26"/>
              <w:ind w:firstLine="480" w:firstLineChars="200"/>
              <w:outlineLvl w:val="9"/>
              <w:rPr>
                <w:rFonts w:ascii="Times New Roman" w:hAnsi="Times New Roman"/>
              </w:rPr>
            </w:pPr>
            <w:r>
              <w:rPr>
                <w:rFonts w:hint="eastAsia" w:ascii="Times New Roman" w:hAnsi="Times New Roman"/>
              </w:rPr>
              <w:t>3、落实“报告表”提出的噪声污染控制措施。施工期采取合理安排施工时间、文明施工的等措施；运营期采取选用低噪声设备合理布局、消声等措施。</w:t>
            </w:r>
          </w:p>
          <w:p>
            <w:pPr>
              <w:pStyle w:val="26"/>
              <w:ind w:firstLine="480" w:firstLineChars="200"/>
              <w:outlineLvl w:val="9"/>
              <w:rPr>
                <w:rFonts w:ascii="Times New Roman" w:hAnsi="Times New Roman"/>
              </w:rPr>
            </w:pPr>
            <w:r>
              <w:rPr>
                <w:rFonts w:hint="eastAsia" w:ascii="Times New Roman" w:hAnsi="Times New Roman"/>
              </w:rPr>
              <w:t>4、落实“报告表”提出的各类固废的收集、处置和综合利用措施。施工期生活垃圾由环卫部门统一清运、废包装材料、费耗材外售废品收购站，废气建渣运至指定场所；运营期储油槽废槽液槽渣、酸洗槽废槽液槽渣、助镀槽槽渣、锌锅烟气处理收尘灰渣、污水处理站污泥、废淬火油、废矿物油及废油桶、含油废棉纱手套和废切削液委托</w:t>
            </w:r>
            <w:r>
              <w:rPr>
                <w:rFonts w:hint="eastAsia" w:ascii="Times New Roman" w:hAnsi="Times New Roman"/>
                <w:lang w:eastAsia="zh-CN"/>
              </w:rPr>
              <w:t>珙县华洁危险废物治理有限责任公司</w:t>
            </w:r>
            <w:r>
              <w:rPr>
                <w:rFonts w:hint="eastAsia" w:ascii="Times New Roman" w:hAnsi="Times New Roman"/>
              </w:rPr>
              <w:t>处理，废钢材边角料返回混料工段利用，收尘带外售建材厂，废工件篮外售金属回收公司，锌锅灰渣经危废鉴别后按规定处置。</w:t>
            </w:r>
          </w:p>
          <w:p>
            <w:pPr>
              <w:pStyle w:val="26"/>
              <w:ind w:firstLine="480" w:firstLineChars="200"/>
              <w:outlineLvl w:val="9"/>
              <w:rPr>
                <w:rFonts w:ascii="Times New Roman" w:hAnsi="Times New Roman"/>
              </w:rPr>
            </w:pPr>
            <w:r>
              <w:rPr>
                <w:rFonts w:hint="eastAsia" w:ascii="Times New Roman" w:hAnsi="Times New Roman"/>
              </w:rPr>
              <w:t>5、落实“报告表”提出的以新带老措施。拆除QPQ盐浴生产线，安装排气筒，在雨水排口、污水排口设置规范标志牌，标明排水类型及主要污染物，对抛丸区西侧整体封闭，加装门隔声，运营期加强管理。</w:t>
            </w:r>
          </w:p>
          <w:p>
            <w:pPr>
              <w:pStyle w:val="26"/>
              <w:ind w:firstLine="480" w:firstLineChars="200"/>
              <w:outlineLvl w:val="9"/>
              <w:rPr>
                <w:rFonts w:ascii="Times New Roman" w:hAnsi="Times New Roman"/>
              </w:rPr>
            </w:pPr>
            <w:r>
              <w:rPr>
                <w:rFonts w:hint="eastAsia" w:ascii="Times New Roman" w:hAnsi="Times New Roman"/>
              </w:rPr>
              <w:t>二、项目必须严格执行配套建设的环境保护设施与主体工程同时设计、同时施工、同时投产使用的环境保护“三同时”制度。项目调试运营前须取得排污许可证，同时，你公示应按规定标准和程序，在项目竣工后对配套建设的环境保护设施开展验收，经验收合格后，放课正式投入运营。</w:t>
            </w:r>
          </w:p>
          <w:p>
            <w:pPr>
              <w:pStyle w:val="26"/>
              <w:ind w:firstLine="480" w:firstLineChars="200"/>
              <w:outlineLvl w:val="9"/>
              <w:rPr>
                <w:rFonts w:ascii="Times New Roman" w:hAnsi="Times New Roman"/>
              </w:rPr>
            </w:pPr>
            <w:r>
              <w:rPr>
                <w:rFonts w:hint="eastAsia" w:ascii="Times New Roman" w:hAnsi="Times New Roman"/>
              </w:rPr>
              <w:t>三、本批复自下达之日起5年内未开工建设，以及项目的性质、规模、地点、采用的生产工艺或者防治污染、防止生态.破坏的措施发生重大变动的，应当重新报批项目的环境影响评价文件。</w:t>
            </w:r>
          </w:p>
          <w:p>
            <w:pPr>
              <w:pStyle w:val="26"/>
              <w:ind w:firstLine="480" w:firstLineChars="200"/>
              <w:outlineLvl w:val="9"/>
              <w:rPr>
                <w:rFonts w:ascii="Times New Roman" w:hAnsi="Times New Roman"/>
              </w:rPr>
            </w:pPr>
            <w:r>
              <w:rPr>
                <w:rFonts w:hint="eastAsia" w:ascii="Times New Roman" w:hAnsi="Times New Roman"/>
              </w:rPr>
              <w:t>四、若违反《环境影响评价法》和《建设项目环境保护管理条例》的有关规定，我局将依法给予行政处罚。</w:t>
            </w:r>
          </w:p>
          <w:p>
            <w:pPr>
              <w:pStyle w:val="26"/>
              <w:ind w:firstLine="480" w:firstLineChars="200"/>
              <w:outlineLvl w:val="9"/>
              <w:rPr>
                <w:rFonts w:ascii="Times New Roman" w:hAnsi="Times New Roman"/>
              </w:rPr>
            </w:pPr>
            <w:r>
              <w:rPr>
                <w:rFonts w:hint="eastAsia" w:ascii="Times New Roman" w:hAnsi="Times New Roman"/>
              </w:rPr>
              <w:t>五、我局委托内江市隆昌生态环境保护综合行政执法大队组织开展该项目的“三同时”监督检查和日常监督管理工作。</w:t>
            </w:r>
          </w:p>
          <w:p>
            <w:pPr>
              <w:pStyle w:val="2"/>
              <w:outlineLvl w:val="9"/>
            </w:pPr>
          </w:p>
          <w:p>
            <w:pPr>
              <w:outlineLvl w:val="9"/>
            </w:pPr>
          </w:p>
        </w:tc>
      </w:tr>
    </w:tbl>
    <w:p/>
    <w:p>
      <w:r>
        <w:br w:type="page"/>
      </w:r>
    </w:p>
    <w:p>
      <w:pPr>
        <w:outlineLvl w:val="0"/>
        <w:rPr>
          <w:rFonts w:asciiTheme="majorEastAsia" w:hAnsiTheme="majorEastAsia" w:eastAsiaTheme="majorEastAsia" w:cstheme="majorEastAsia"/>
          <w:b/>
          <w:color w:val="auto"/>
          <w:sz w:val="28"/>
          <w:szCs w:val="28"/>
        </w:rPr>
      </w:pPr>
      <w:bookmarkStart w:id="31" w:name="_Toc29029"/>
      <w:bookmarkStart w:id="32" w:name="_Toc989"/>
      <w:bookmarkStart w:id="33" w:name="_Toc10789_WPSOffice_Level1"/>
      <w:bookmarkStart w:id="34" w:name="_Toc2890_WPSOffice_Level1"/>
      <w:bookmarkStart w:id="35" w:name="_Toc21511_WPSOffice_Level1"/>
      <w:bookmarkStart w:id="36" w:name="_Toc22839"/>
      <w:r>
        <w:rPr>
          <w:rFonts w:hint="eastAsia" w:asciiTheme="majorEastAsia" w:hAnsiTheme="majorEastAsia" w:eastAsiaTheme="majorEastAsia" w:cstheme="majorEastAsia"/>
          <w:b/>
          <w:color w:val="auto"/>
          <w:sz w:val="28"/>
          <w:szCs w:val="28"/>
        </w:rPr>
        <w:t>表五 质量控制及质量保证</w:t>
      </w:r>
      <w:bookmarkEnd w:id="31"/>
      <w:bookmarkEnd w:id="32"/>
      <w:bookmarkEnd w:id="33"/>
      <w:bookmarkEnd w:id="34"/>
      <w:bookmarkEnd w:id="35"/>
      <w:bookmarkEnd w:id="36"/>
    </w:p>
    <w:tbl>
      <w:tblPr>
        <w:tblStyle w:val="12"/>
        <w:tblpPr w:leftFromText="180" w:rightFromText="180" w:vertAnchor="text" w:tblpX="1"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1" w:hRule="atLeast"/>
        </w:trPr>
        <w:tc>
          <w:tcPr>
            <w:tcW w:w="9388" w:type="dxa"/>
          </w:tcPr>
          <w:p>
            <w:pPr>
              <w:spacing w:line="480" w:lineRule="exact"/>
              <w:ind w:firstLine="480" w:firstLineChars="200"/>
              <w:outlineLvl w:val="9"/>
              <w:rPr>
                <w:rFonts w:ascii="宋体" w:hAnsi="宋体" w:cs="宋体"/>
                <w:sz w:val="24"/>
              </w:rPr>
            </w:pPr>
            <w:r>
              <w:rPr>
                <w:rFonts w:hint="eastAsia" w:ascii="宋体" w:hAnsi="宋体" w:cs="宋体"/>
                <w:sz w:val="24"/>
              </w:rPr>
              <w:t>为确保监测所得数据的代表性、完整性和准确性，须对监测全过程（包括监测布点、采样、样品运输储存、实验分析、数据处理等）进行质量控制。</w:t>
            </w:r>
          </w:p>
          <w:p>
            <w:pPr>
              <w:spacing w:line="480" w:lineRule="exact"/>
              <w:ind w:firstLine="480" w:firstLineChars="200"/>
              <w:outlineLvl w:val="9"/>
              <w:rPr>
                <w:rFonts w:ascii="宋体" w:hAnsi="宋体" w:cs="宋体"/>
                <w:sz w:val="24"/>
              </w:rPr>
            </w:pPr>
            <w:r>
              <w:rPr>
                <w:rFonts w:hint="eastAsia" w:ascii="宋体" w:hAnsi="宋体" w:cs="宋体"/>
                <w:sz w:val="24"/>
              </w:rPr>
              <w:t>1、严格按照验收监测方案的要求开展监测工作。</w:t>
            </w:r>
          </w:p>
          <w:p>
            <w:pPr>
              <w:spacing w:line="480" w:lineRule="exact"/>
              <w:ind w:firstLine="480" w:firstLineChars="200"/>
              <w:outlineLvl w:val="9"/>
              <w:rPr>
                <w:rFonts w:ascii="宋体" w:hAnsi="宋体" w:cs="宋体"/>
                <w:sz w:val="24"/>
              </w:rPr>
            </w:pPr>
            <w:r>
              <w:rPr>
                <w:rFonts w:hint="eastAsia" w:ascii="宋体" w:hAnsi="宋体" w:cs="宋体"/>
                <w:sz w:val="24"/>
              </w:rPr>
              <w:t>2、验收监测中使用的布点、采样、分析测试方法，选择目前适用的国家和行业标准分析方法、监测技术规范，其次是国家环保总局推荐的统一分析方法或试行分析方法以及有关规定等。监测质量保证按《环境监测技术规范》等技术规范要求，进行全过程质量控制。</w:t>
            </w:r>
          </w:p>
          <w:p>
            <w:pPr>
              <w:spacing w:line="480" w:lineRule="exact"/>
              <w:ind w:firstLine="480" w:firstLineChars="200"/>
              <w:outlineLvl w:val="9"/>
              <w:rPr>
                <w:rFonts w:ascii="宋体" w:hAnsi="宋体" w:cs="宋体"/>
                <w:sz w:val="24"/>
              </w:rPr>
            </w:pPr>
            <w:r>
              <w:rPr>
                <w:rFonts w:hint="eastAsia" w:ascii="宋体" w:hAnsi="宋体" w:cs="宋体"/>
                <w:sz w:val="24"/>
              </w:rPr>
              <w:t>3、验收监测采样和分析人员，具有环境监测资质合格证；所有监测仪器、量具均经过计量部门检定合格并在有效期间使用。</w:t>
            </w:r>
          </w:p>
          <w:p>
            <w:pPr>
              <w:spacing w:line="480" w:lineRule="exact"/>
              <w:ind w:firstLine="480" w:firstLineChars="200"/>
              <w:outlineLvl w:val="9"/>
              <w:rPr>
                <w:rFonts w:ascii="宋体" w:hAnsi="宋体" w:cs="宋体"/>
                <w:sz w:val="24"/>
              </w:rPr>
            </w:pPr>
            <w:r>
              <w:rPr>
                <w:rFonts w:hint="eastAsia" w:ascii="宋体" w:hAnsi="宋体" w:cs="宋体"/>
                <w:sz w:val="24"/>
              </w:rPr>
              <w:t>4、验收监测前对烟尘烟气采样器进行校核，校核合格后使用；监测前后对噪声仪进行校正，测定前后声级≤0.5 dB (A)，以此对分析、测定结果进行质量控制。</w:t>
            </w:r>
          </w:p>
          <w:p>
            <w:pPr>
              <w:spacing w:line="480" w:lineRule="exact"/>
              <w:ind w:firstLine="480" w:firstLineChars="200"/>
              <w:outlineLvl w:val="9"/>
              <w:rPr>
                <w:rFonts w:ascii="宋体" w:hAnsi="宋体" w:cs="宋体"/>
                <w:sz w:val="24"/>
              </w:rPr>
            </w:pPr>
            <w:r>
              <w:rPr>
                <w:rFonts w:hint="eastAsia" w:ascii="宋体" w:hAnsi="宋体" w:cs="宋体"/>
                <w:sz w:val="24"/>
              </w:rPr>
              <w:t>5、实验室样品分析均要求同步完成全程序双空白实验、做样品总数10%的加标回收和平行双样分析。</w:t>
            </w:r>
          </w:p>
          <w:p>
            <w:pPr>
              <w:spacing w:line="480" w:lineRule="exact"/>
              <w:ind w:firstLine="480" w:firstLineChars="200"/>
              <w:outlineLvl w:val="9"/>
              <w:rPr>
                <w:rFonts w:ascii="宋体" w:hAnsi="宋体" w:cs="宋体"/>
                <w:sz w:val="24"/>
              </w:rPr>
            </w:pPr>
            <w:r>
              <w:rPr>
                <w:rFonts w:hint="eastAsia" w:ascii="宋体" w:hAnsi="宋体" w:cs="宋体"/>
                <w:sz w:val="24"/>
              </w:rPr>
              <w:t>6、监测报告严格执行“三级审查”制度。</w:t>
            </w:r>
          </w:p>
          <w:p>
            <w:pPr>
              <w:spacing w:line="480" w:lineRule="exact"/>
              <w:ind w:firstLine="480" w:firstLineChars="200"/>
              <w:outlineLvl w:val="9"/>
              <w:rPr>
                <w:rFonts w:ascii="宋体" w:hAnsi="宋体" w:cs="宋体"/>
                <w:sz w:val="24"/>
              </w:rPr>
            </w:pPr>
            <w:r>
              <w:rPr>
                <w:rFonts w:hint="eastAsia" w:ascii="宋体" w:hAnsi="宋体" w:cs="宋体"/>
                <w:sz w:val="24"/>
              </w:rPr>
              <w:t>7、监测分析方法：本次验收监测过程从采样、分析、数据处理均按《排污单位自行监测技术指南总则》（HJ819-2017）监测质量控制要求，所使用的监测分析方法均为国家标准或经国家环保部认定的分析方法。</w:t>
            </w:r>
          </w:p>
          <w:p>
            <w:pPr>
              <w:spacing w:line="480" w:lineRule="exact"/>
              <w:ind w:firstLine="480" w:firstLineChars="200"/>
              <w:outlineLvl w:val="9"/>
              <w:rPr>
                <w:rFonts w:ascii="宋体" w:hAnsi="宋体" w:cs="宋体"/>
                <w:sz w:val="24"/>
              </w:rPr>
            </w:pPr>
            <w:r>
              <w:rPr>
                <w:rFonts w:hint="eastAsia" w:ascii="宋体" w:hAnsi="宋体" w:cs="宋体"/>
                <w:sz w:val="24"/>
              </w:rPr>
              <w:t>8监测分析方法及方法来源</w:t>
            </w:r>
          </w:p>
          <w:p>
            <w:pPr>
              <w:spacing w:line="480" w:lineRule="exact"/>
              <w:ind w:firstLine="480" w:firstLineChars="200"/>
              <w:outlineLvl w:val="9"/>
              <w:rPr>
                <w:rFonts w:ascii="宋体" w:hAnsi="宋体" w:cs="宋体"/>
                <w:sz w:val="24"/>
              </w:rPr>
            </w:pPr>
            <w:r>
              <w:rPr>
                <w:rFonts w:hint="eastAsia" w:ascii="宋体" w:hAnsi="宋体" w:cs="宋体"/>
                <w:sz w:val="24"/>
              </w:rPr>
              <w:t xml:space="preserve">   本次监测项目的监测方法、方法来源、使用仪器及检出限见表5-1至5-4。</w:t>
            </w:r>
          </w:p>
          <w:p>
            <w:pPr>
              <w:ind w:firstLine="480"/>
              <w:jc w:val="center"/>
              <w:outlineLvl w:val="9"/>
              <w:rPr>
                <w:rFonts w:ascii="宋体" w:hAnsi="宋体" w:cs="宋体"/>
                <w:b/>
                <w:sz w:val="24"/>
              </w:rPr>
            </w:pPr>
            <w:r>
              <w:rPr>
                <w:rFonts w:hint="eastAsia" w:ascii="宋体" w:hAnsi="宋体" w:cs="宋体"/>
                <w:b/>
                <w:sz w:val="24"/>
              </w:rPr>
              <w:t>表5-1 噪声检测方法、方法来源、使用仪器及检出限</w:t>
            </w:r>
          </w:p>
          <w:tbl>
            <w:tblPr>
              <w:tblStyle w:val="12"/>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497"/>
              <w:gridCol w:w="685"/>
              <w:gridCol w:w="3579"/>
              <w:gridCol w:w="2862"/>
              <w:gridCol w:w="549"/>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tblHeader/>
              </w:trPr>
              <w:tc>
                <w:tcPr>
                  <w:tcW w:w="816" w:type="pct"/>
                  <w:vAlign w:val="center"/>
                </w:tcPr>
                <w:p>
                  <w:pPr>
                    <w:spacing w:line="340" w:lineRule="exact"/>
                    <w:jc w:val="center"/>
                    <w:outlineLvl w:val="9"/>
                    <w:rPr>
                      <w:rFonts w:ascii="Times New Roman" w:hAnsi="Times New Roman"/>
                      <w:b/>
                      <w:bCs/>
                      <w:szCs w:val="21"/>
                    </w:rPr>
                  </w:pPr>
                  <w:r>
                    <w:rPr>
                      <w:rFonts w:ascii="Times New Roman" w:hAnsi="Times New Roman"/>
                      <w:b/>
                      <w:bCs/>
                      <w:szCs w:val="21"/>
                    </w:rPr>
                    <w:t>检测项目</w:t>
                  </w:r>
                </w:p>
              </w:tc>
              <w:tc>
                <w:tcPr>
                  <w:tcW w:w="373" w:type="pct"/>
                  <w:vAlign w:val="center"/>
                </w:tcPr>
                <w:p>
                  <w:pPr>
                    <w:spacing w:line="340" w:lineRule="exact"/>
                    <w:jc w:val="center"/>
                    <w:outlineLvl w:val="9"/>
                    <w:rPr>
                      <w:rFonts w:ascii="Times New Roman" w:hAnsi="Times New Roman"/>
                      <w:b/>
                      <w:bCs/>
                      <w:szCs w:val="21"/>
                    </w:rPr>
                  </w:pPr>
                  <w:r>
                    <w:rPr>
                      <w:rFonts w:ascii="Times New Roman" w:hAnsi="Times New Roman"/>
                      <w:b/>
                      <w:bCs/>
                      <w:szCs w:val="21"/>
                    </w:rPr>
                    <w:t>检测方法</w:t>
                  </w:r>
                </w:p>
              </w:tc>
              <w:tc>
                <w:tcPr>
                  <w:tcW w:w="1950" w:type="pct"/>
                  <w:vAlign w:val="center"/>
                </w:tcPr>
                <w:p>
                  <w:pPr>
                    <w:spacing w:line="340" w:lineRule="exact"/>
                    <w:jc w:val="center"/>
                    <w:outlineLvl w:val="9"/>
                    <w:rPr>
                      <w:rFonts w:ascii="Times New Roman" w:hAnsi="Times New Roman"/>
                      <w:b/>
                      <w:bCs/>
                      <w:szCs w:val="21"/>
                    </w:rPr>
                  </w:pPr>
                  <w:r>
                    <w:rPr>
                      <w:rFonts w:ascii="Times New Roman" w:hAnsi="Times New Roman"/>
                      <w:b/>
                      <w:bCs/>
                      <w:szCs w:val="21"/>
                    </w:rPr>
                    <w:t>方法来源</w:t>
                  </w:r>
                </w:p>
              </w:tc>
              <w:tc>
                <w:tcPr>
                  <w:tcW w:w="1559" w:type="pct"/>
                  <w:vAlign w:val="center"/>
                </w:tcPr>
                <w:p>
                  <w:pPr>
                    <w:spacing w:line="340" w:lineRule="exact"/>
                    <w:jc w:val="center"/>
                    <w:outlineLvl w:val="9"/>
                    <w:rPr>
                      <w:rFonts w:ascii="Times New Roman" w:hAnsi="Times New Roman"/>
                      <w:b/>
                      <w:bCs/>
                      <w:szCs w:val="21"/>
                    </w:rPr>
                  </w:pPr>
                  <w:r>
                    <w:rPr>
                      <w:rFonts w:ascii="Times New Roman" w:hAnsi="Times New Roman"/>
                      <w:b/>
                      <w:bCs/>
                      <w:szCs w:val="21"/>
                    </w:rPr>
                    <w:t>使用仪器及编号</w:t>
                  </w:r>
                </w:p>
              </w:tc>
              <w:tc>
                <w:tcPr>
                  <w:tcW w:w="299" w:type="pct"/>
                  <w:vAlign w:val="center"/>
                </w:tcPr>
                <w:p>
                  <w:pPr>
                    <w:spacing w:line="360" w:lineRule="exact"/>
                    <w:jc w:val="center"/>
                    <w:outlineLvl w:val="9"/>
                    <w:rPr>
                      <w:rFonts w:ascii="Times New Roman" w:hAnsi="Times New Roman"/>
                      <w:b/>
                      <w:bCs/>
                      <w:szCs w:val="21"/>
                    </w:rPr>
                  </w:pPr>
                  <w:r>
                    <w:rPr>
                      <w:rFonts w:ascii="Times New Roman" w:hAnsi="Times New Roman"/>
                      <w:b/>
                      <w:bCs/>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6" w:type="pct"/>
                  <w:vAlign w:val="center"/>
                </w:tcPr>
                <w:p>
                  <w:pPr>
                    <w:spacing w:line="360" w:lineRule="exact"/>
                    <w:jc w:val="center"/>
                    <w:outlineLvl w:val="9"/>
                    <w:rPr>
                      <w:rFonts w:ascii="Times New Roman" w:hAnsi="Times New Roman"/>
                      <w:szCs w:val="21"/>
                    </w:rPr>
                  </w:pPr>
                  <w:r>
                    <w:rPr>
                      <w:rFonts w:hint="eastAsia" w:ascii="Times New Roman" w:hAnsi="Times New Roman"/>
                      <w:szCs w:val="21"/>
                    </w:rPr>
                    <w:t>工业企业厂界环境噪声</w:t>
                  </w:r>
                </w:p>
              </w:tc>
              <w:tc>
                <w:tcPr>
                  <w:tcW w:w="373" w:type="pct"/>
                  <w:vAlign w:val="center"/>
                </w:tcPr>
                <w:p>
                  <w:pPr>
                    <w:spacing w:line="260" w:lineRule="exact"/>
                    <w:jc w:val="center"/>
                    <w:outlineLvl w:val="9"/>
                    <w:rPr>
                      <w:rFonts w:ascii="Times New Roman" w:hAnsi="Times New Roman"/>
                      <w:szCs w:val="21"/>
                    </w:rPr>
                  </w:pPr>
                  <w:r>
                    <w:rPr>
                      <w:rFonts w:ascii="Times New Roman" w:hAnsi="Times New Roman"/>
                      <w:szCs w:val="21"/>
                    </w:rPr>
                    <w:t>/</w:t>
                  </w:r>
                </w:p>
              </w:tc>
              <w:tc>
                <w:tcPr>
                  <w:tcW w:w="1950" w:type="pct"/>
                  <w:vAlign w:val="center"/>
                </w:tcPr>
                <w:p>
                  <w:pPr>
                    <w:shd w:val="clear" w:color="auto" w:fill="FFFFFF"/>
                    <w:adjustRightInd/>
                    <w:snapToGrid/>
                    <w:jc w:val="center"/>
                    <w:outlineLvl w:val="9"/>
                    <w:rPr>
                      <w:rFonts w:ascii="Times New Roman" w:hAnsi="Times New Roman"/>
                    </w:rPr>
                  </w:pPr>
                  <w:r>
                    <w:rPr>
                      <w:rFonts w:ascii="Times New Roman" w:hAnsi="Times New Roman"/>
                      <w:szCs w:val="21"/>
                    </w:rPr>
                    <w:t>工业企业厂界环境噪声排放标准 GB 12348-2008</w:t>
                  </w:r>
                </w:p>
                <w:p>
                  <w:pPr>
                    <w:shd w:val="clear" w:color="auto" w:fill="FFFFFF"/>
                    <w:adjustRightInd/>
                    <w:snapToGrid/>
                    <w:jc w:val="center"/>
                    <w:outlineLvl w:val="9"/>
                    <w:rPr>
                      <w:rFonts w:ascii="Times New Roman" w:hAnsi="Times New Roman"/>
                    </w:rPr>
                  </w:pPr>
                  <w:r>
                    <w:rPr>
                      <w:rFonts w:hint="eastAsia" w:ascii="Times New Roman" w:hAnsi="Times New Roman"/>
                    </w:rPr>
                    <w:t>环境噪声监测技术规范 噪声测量值修正HJ 706-2014</w:t>
                  </w:r>
                </w:p>
              </w:tc>
              <w:tc>
                <w:tcPr>
                  <w:tcW w:w="1559" w:type="pct"/>
                  <w:vAlign w:val="center"/>
                </w:tcPr>
                <w:p>
                  <w:pPr>
                    <w:jc w:val="center"/>
                    <w:outlineLvl w:val="9"/>
                    <w:rPr>
                      <w:rFonts w:ascii="Times New Roman" w:hAnsi="Times New Roman"/>
                      <w:szCs w:val="21"/>
                    </w:rPr>
                  </w:pPr>
                  <w:r>
                    <w:rPr>
                      <w:rFonts w:ascii="Times New Roman" w:hAnsi="Times New Roman"/>
                      <w:szCs w:val="21"/>
                    </w:rPr>
                    <w:t>多功能声级计AWA5688/JLYQ</w:t>
                  </w:r>
                  <w:r>
                    <w:rPr>
                      <w:rFonts w:hint="eastAsia" w:ascii="Times New Roman" w:hAnsi="Times New Roman"/>
                      <w:szCs w:val="21"/>
                    </w:rPr>
                    <w:t>021</w:t>
                  </w:r>
                </w:p>
                <w:p>
                  <w:pPr>
                    <w:jc w:val="center"/>
                    <w:outlineLvl w:val="9"/>
                    <w:rPr>
                      <w:rFonts w:ascii="Times New Roman" w:hAnsi="Times New Roman"/>
                      <w:szCs w:val="21"/>
                    </w:rPr>
                  </w:pPr>
                  <w:r>
                    <w:rPr>
                      <w:rFonts w:ascii="Times New Roman" w:hAnsi="Times New Roman"/>
                      <w:szCs w:val="21"/>
                    </w:rPr>
                    <w:t>声校准器</w:t>
                  </w:r>
                </w:p>
                <w:p>
                  <w:pPr>
                    <w:jc w:val="center"/>
                    <w:outlineLvl w:val="9"/>
                    <w:rPr>
                      <w:rFonts w:ascii="Times New Roman" w:hAnsi="Times New Roman"/>
                      <w:szCs w:val="21"/>
                    </w:rPr>
                  </w:pPr>
                  <w:r>
                    <w:rPr>
                      <w:rFonts w:ascii="Times New Roman" w:hAnsi="Times New Roman"/>
                      <w:szCs w:val="21"/>
                    </w:rPr>
                    <w:t>AWA6022A/JLYQ</w:t>
                  </w:r>
                  <w:r>
                    <w:rPr>
                      <w:rFonts w:hint="eastAsia" w:ascii="Times New Roman" w:hAnsi="Times New Roman"/>
                      <w:szCs w:val="21"/>
                    </w:rPr>
                    <w:t>022</w:t>
                  </w:r>
                </w:p>
              </w:tc>
              <w:tc>
                <w:tcPr>
                  <w:tcW w:w="299" w:type="pct"/>
                  <w:vAlign w:val="center"/>
                </w:tcPr>
                <w:p>
                  <w:pPr>
                    <w:spacing w:line="360" w:lineRule="exact"/>
                    <w:jc w:val="center"/>
                    <w:outlineLvl w:val="9"/>
                    <w:rPr>
                      <w:rFonts w:ascii="Times New Roman" w:hAnsi="Times New Roman"/>
                      <w:szCs w:val="21"/>
                    </w:rPr>
                  </w:pPr>
                  <w:r>
                    <w:rPr>
                      <w:rFonts w:ascii="Times New Roman" w:hAnsi="Times New Roman"/>
                      <w:szCs w:val="21"/>
                    </w:rPr>
                    <w:t>/</w:t>
                  </w:r>
                </w:p>
              </w:tc>
            </w:tr>
          </w:tbl>
          <w:p>
            <w:pPr>
              <w:jc w:val="center"/>
              <w:outlineLvl w:val="9"/>
              <w:rPr>
                <w:rFonts w:ascii="宋体" w:hAnsi="宋体" w:cs="宋体"/>
                <w:sz w:val="24"/>
              </w:rPr>
            </w:pPr>
            <w:r>
              <w:rPr>
                <w:rFonts w:hint="eastAsia" w:ascii="宋体" w:hAnsi="宋体" w:cs="宋体"/>
                <w:b/>
                <w:sz w:val="24"/>
              </w:rPr>
              <w:t>表5-2  无组织检测方法、方法来源、使用仪器及检出限</w:t>
            </w:r>
          </w:p>
          <w:tbl>
            <w:tblPr>
              <w:tblStyle w:val="12"/>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459"/>
              <w:gridCol w:w="1240"/>
              <w:gridCol w:w="3171"/>
              <w:gridCol w:w="2085"/>
              <w:gridCol w:w="121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检测项目</w:t>
                  </w:r>
                </w:p>
              </w:tc>
              <w:tc>
                <w:tcPr>
                  <w:tcW w:w="691"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检测方法</w:t>
                  </w:r>
                </w:p>
              </w:tc>
              <w:tc>
                <w:tcPr>
                  <w:tcW w:w="1743"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方法来源</w:t>
                  </w:r>
                </w:p>
              </w:tc>
              <w:tc>
                <w:tcPr>
                  <w:tcW w:w="1075"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使用仪器及编号</w:t>
                  </w:r>
                </w:p>
              </w:tc>
              <w:tc>
                <w:tcPr>
                  <w:tcW w:w="678"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 w:val="21"/>
                      <w:szCs w:val="21"/>
                    </w:rPr>
                    <w:t>非甲烷总烃</w:t>
                  </w:r>
                </w:p>
              </w:tc>
              <w:tc>
                <w:tcPr>
                  <w:tcW w:w="691" w:type="pct"/>
                  <w:vAlign w:val="center"/>
                </w:tcPr>
                <w:p>
                  <w:pPr>
                    <w:widowControl w:val="0"/>
                    <w:adjustRightInd/>
                    <w:snapToGrid/>
                    <w:spacing w:line="240" w:lineRule="exact"/>
                    <w:jc w:val="center"/>
                    <w:outlineLvl w:val="9"/>
                    <w:rPr>
                      <w:rFonts w:ascii="Times New Roman" w:hAnsi="Times New Roman"/>
                      <w:sz w:val="21"/>
                      <w:szCs w:val="24"/>
                    </w:rPr>
                  </w:pPr>
                  <w:r>
                    <w:rPr>
                      <w:rFonts w:ascii="Times New Roman" w:hAnsi="Times New Roman"/>
                    </w:rPr>
                    <w:t>气相色谱法</w:t>
                  </w:r>
                </w:p>
              </w:tc>
              <w:tc>
                <w:tcPr>
                  <w:tcW w:w="1743" w:type="pct"/>
                  <w:vAlign w:val="center"/>
                </w:tcPr>
                <w:p>
                  <w:pPr>
                    <w:widowControl w:val="0"/>
                    <w:adjustRightInd/>
                    <w:snapToGrid/>
                    <w:spacing w:line="240" w:lineRule="exact"/>
                    <w:jc w:val="center"/>
                    <w:outlineLvl w:val="9"/>
                    <w:rPr>
                      <w:rFonts w:ascii="Times New Roman" w:hAnsi="Times New Roman"/>
                    </w:rPr>
                  </w:pPr>
                  <w:r>
                    <w:rPr>
                      <w:rFonts w:ascii="Times New Roman" w:hAnsi="Times New Roman"/>
                    </w:rPr>
                    <w:t>环境空气 总烃、甲烷和非甲烷总烃的测定 直接进样-气相色谱法</w:t>
                  </w:r>
                </w:p>
                <w:p>
                  <w:pPr>
                    <w:widowControl w:val="0"/>
                    <w:adjustRightInd/>
                    <w:snapToGrid/>
                    <w:spacing w:line="240" w:lineRule="exact"/>
                    <w:jc w:val="center"/>
                    <w:outlineLvl w:val="9"/>
                    <w:rPr>
                      <w:rFonts w:ascii="Times New Roman" w:hAnsi="Times New Roman"/>
                      <w:sz w:val="21"/>
                      <w:szCs w:val="24"/>
                    </w:rPr>
                  </w:pPr>
                  <w:r>
                    <w:rPr>
                      <w:rFonts w:ascii="Times New Roman" w:hAnsi="Times New Roman"/>
                    </w:rPr>
                    <w:t xml:space="preserve"> HJ 604-2017</w:t>
                  </w:r>
                </w:p>
              </w:tc>
              <w:tc>
                <w:tcPr>
                  <w:tcW w:w="1075" w:type="pct"/>
                  <w:vAlign w:val="center"/>
                </w:tcPr>
                <w:p>
                  <w:pPr>
                    <w:widowControl w:val="0"/>
                    <w:adjustRightInd/>
                    <w:snapToGrid/>
                    <w:spacing w:line="240" w:lineRule="exact"/>
                    <w:jc w:val="center"/>
                    <w:outlineLvl w:val="9"/>
                    <w:rPr>
                      <w:rFonts w:ascii="Times New Roman" w:hAnsi="Times New Roman"/>
                      <w:szCs w:val="21"/>
                    </w:rPr>
                  </w:pPr>
                  <w:r>
                    <w:rPr>
                      <w:rFonts w:ascii="Times New Roman" w:hAnsi="Times New Roman"/>
                      <w:szCs w:val="21"/>
                    </w:rPr>
                    <w:t>气相色谱仪</w:t>
                  </w:r>
                </w:p>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GC2020/JLYQ025</w:t>
                  </w:r>
                </w:p>
              </w:tc>
              <w:tc>
                <w:tcPr>
                  <w:tcW w:w="678"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0.07mg/m</w:t>
                  </w:r>
                  <w:r>
                    <w:rPr>
                      <w:rFonts w:ascii="Times New Roman" w:hAnsi="Times New Roman"/>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rPr>
                    <w:t>颗粒物</w:t>
                  </w:r>
                </w:p>
              </w:tc>
              <w:tc>
                <w:tcPr>
                  <w:tcW w:w="691" w:type="pct"/>
                  <w:vAlign w:val="center"/>
                </w:tcPr>
                <w:p>
                  <w:pPr>
                    <w:widowControl w:val="0"/>
                    <w:adjustRightInd/>
                    <w:snapToGrid/>
                    <w:spacing w:line="240" w:lineRule="exact"/>
                    <w:jc w:val="center"/>
                    <w:outlineLvl w:val="9"/>
                    <w:rPr>
                      <w:rFonts w:ascii="Times New Roman" w:hAnsi="Times New Roman"/>
                      <w:sz w:val="21"/>
                      <w:szCs w:val="24"/>
                    </w:rPr>
                  </w:pPr>
                  <w:r>
                    <w:rPr>
                      <w:rFonts w:ascii="Times New Roman" w:hAnsi="Times New Roman"/>
                      <w:szCs w:val="21"/>
                    </w:rPr>
                    <w:t>重量法</w:t>
                  </w:r>
                </w:p>
              </w:tc>
              <w:tc>
                <w:tcPr>
                  <w:tcW w:w="1743" w:type="pct"/>
                  <w:vAlign w:val="center"/>
                </w:tcPr>
                <w:p>
                  <w:pPr>
                    <w:widowControl w:val="0"/>
                    <w:adjustRightInd/>
                    <w:snapToGrid/>
                    <w:spacing w:line="240" w:lineRule="exact"/>
                    <w:jc w:val="center"/>
                    <w:outlineLvl w:val="9"/>
                    <w:rPr>
                      <w:rFonts w:ascii="Times New Roman" w:hAnsi="Times New Roman"/>
                      <w:szCs w:val="21"/>
                    </w:rPr>
                  </w:pPr>
                  <w:r>
                    <w:fldChar w:fldCharType="begin"/>
                  </w:r>
                  <w:r>
                    <w:instrText xml:space="preserve"> HYPERLINK "http://www.es.org.cn/siteadmin/File/StdView.php?bzlistID=458" \t "_blank" </w:instrText>
                  </w:r>
                  <w:r>
                    <w:fldChar w:fldCharType="separate"/>
                  </w:r>
                  <w:r>
                    <w:rPr>
                      <w:rFonts w:ascii="Times New Roman" w:hAnsi="Times New Roman"/>
                      <w:szCs w:val="21"/>
                    </w:rPr>
                    <w:t>环境空气 总悬浮颗粒物的测定</w:t>
                  </w:r>
                  <w:r>
                    <w:rPr>
                      <w:rFonts w:hint="eastAsia" w:ascii="Times New Roman" w:hAnsi="Times New Roman"/>
                      <w:szCs w:val="21"/>
                    </w:rPr>
                    <w:t xml:space="preserve"> </w:t>
                  </w:r>
                  <w:r>
                    <w:rPr>
                      <w:rFonts w:ascii="Times New Roman" w:hAnsi="Times New Roman"/>
                      <w:szCs w:val="21"/>
                    </w:rPr>
                    <w:t>重量法</w:t>
                  </w:r>
                  <w:r>
                    <w:rPr>
                      <w:rFonts w:ascii="Times New Roman" w:hAnsi="Times New Roman"/>
                      <w:szCs w:val="21"/>
                    </w:rPr>
                    <w:fldChar w:fldCharType="end"/>
                  </w:r>
                  <w:r>
                    <w:fldChar w:fldCharType="begin"/>
                  </w:r>
                  <w:r>
                    <w:instrText xml:space="preserve"> HYPERLINK "http://www.es.org.cn/siteadmin/File/StdView.php?bzlistID=458" \t "_blank" </w:instrText>
                  </w:r>
                  <w:r>
                    <w:fldChar w:fldCharType="separate"/>
                  </w:r>
                  <w:r>
                    <w:rPr>
                      <w:rFonts w:ascii="Times New Roman" w:hAnsi="Times New Roman"/>
                      <w:szCs w:val="21"/>
                    </w:rPr>
                    <w:t>GB/T</w:t>
                  </w:r>
                  <w:r>
                    <w:rPr>
                      <w:rFonts w:hint="eastAsia" w:ascii="Times New Roman" w:hAnsi="Times New Roman"/>
                      <w:szCs w:val="21"/>
                    </w:rPr>
                    <w:t xml:space="preserve"> </w:t>
                  </w:r>
                  <w:r>
                    <w:rPr>
                      <w:rFonts w:ascii="Times New Roman" w:hAnsi="Times New Roman"/>
                      <w:szCs w:val="21"/>
                    </w:rPr>
                    <w:t>15432-1995</w:t>
                  </w:r>
                  <w:r>
                    <w:rPr>
                      <w:rFonts w:ascii="Times New Roman" w:hAnsi="Times New Roman"/>
                      <w:szCs w:val="21"/>
                    </w:rPr>
                    <w:fldChar w:fldCharType="end"/>
                  </w:r>
                  <w:r>
                    <w:rPr>
                      <w:rFonts w:hint="eastAsia" w:ascii="Times New Roman" w:hAnsi="Times New Roman"/>
                      <w:szCs w:val="21"/>
                    </w:rPr>
                    <w:t xml:space="preserve"> </w:t>
                  </w:r>
                </w:p>
                <w:p>
                  <w:pPr>
                    <w:widowControl w:val="0"/>
                    <w:adjustRightInd/>
                    <w:snapToGrid/>
                    <w:spacing w:line="240" w:lineRule="exact"/>
                    <w:jc w:val="center"/>
                    <w:outlineLvl w:val="9"/>
                    <w:rPr>
                      <w:rFonts w:ascii="Times New Roman" w:hAnsi="Times New Roman"/>
                      <w:sz w:val="21"/>
                      <w:szCs w:val="24"/>
                    </w:rPr>
                  </w:pPr>
                  <w:r>
                    <w:fldChar w:fldCharType="begin"/>
                  </w:r>
                  <w:r>
                    <w:instrText xml:space="preserve"> HYPERLINK "http://www.es.org.cn/siteadmin/File/StdView.php?bzlistID=458" \t "_blank" </w:instrText>
                  </w:r>
                  <w:r>
                    <w:fldChar w:fldCharType="separate"/>
                  </w:r>
                  <w:r>
                    <w:rPr>
                      <w:rFonts w:ascii="Times New Roman" w:hAnsi="Times New Roman"/>
                      <w:szCs w:val="21"/>
                    </w:rPr>
                    <w:t>环境空气 总悬浮颗粒物的测定</w:t>
                  </w:r>
                  <w:r>
                    <w:rPr>
                      <w:rFonts w:hint="eastAsia" w:ascii="Times New Roman" w:hAnsi="Times New Roman"/>
                      <w:szCs w:val="21"/>
                    </w:rPr>
                    <w:t xml:space="preserve"> </w:t>
                  </w:r>
                  <w:r>
                    <w:rPr>
                      <w:rFonts w:ascii="Times New Roman" w:hAnsi="Times New Roman"/>
                      <w:szCs w:val="21"/>
                    </w:rPr>
                    <w:t>重量法</w:t>
                  </w:r>
                  <w:r>
                    <w:rPr>
                      <w:rFonts w:ascii="Times New Roman" w:hAnsi="Times New Roman"/>
                      <w:szCs w:val="21"/>
                    </w:rPr>
                    <w:fldChar w:fldCharType="end"/>
                  </w:r>
                  <w:r>
                    <w:fldChar w:fldCharType="begin"/>
                  </w:r>
                  <w:r>
                    <w:instrText xml:space="preserve"> HYPERLINK "http://www.es.org.cn/siteadmin/File/StdView.php?bzlistID=458" \t "_blank" </w:instrText>
                  </w:r>
                  <w:r>
                    <w:fldChar w:fldCharType="separate"/>
                  </w:r>
                  <w:r>
                    <w:rPr>
                      <w:rFonts w:ascii="Times New Roman" w:hAnsi="Times New Roman"/>
                      <w:szCs w:val="21"/>
                    </w:rPr>
                    <w:t>GB/T</w:t>
                  </w:r>
                  <w:r>
                    <w:rPr>
                      <w:rFonts w:hint="eastAsia" w:ascii="Times New Roman" w:hAnsi="Times New Roman"/>
                      <w:szCs w:val="21"/>
                    </w:rPr>
                    <w:t xml:space="preserve"> </w:t>
                  </w:r>
                  <w:r>
                    <w:rPr>
                      <w:rFonts w:ascii="Times New Roman" w:hAnsi="Times New Roman"/>
                      <w:szCs w:val="21"/>
                    </w:rPr>
                    <w:t>15432-1995</w:t>
                  </w:r>
                  <w:r>
                    <w:rPr>
                      <w:rFonts w:ascii="Times New Roman" w:hAnsi="Times New Roman"/>
                      <w:szCs w:val="21"/>
                    </w:rPr>
                    <w:fldChar w:fldCharType="end"/>
                  </w:r>
                  <w:r>
                    <w:rPr>
                      <w:rFonts w:ascii="Times New Roman" w:hAnsi="Times New Roman"/>
                      <w:szCs w:val="21"/>
                    </w:rPr>
                    <w:t>修改单</w:t>
                  </w:r>
                </w:p>
              </w:tc>
              <w:tc>
                <w:tcPr>
                  <w:tcW w:w="1075" w:type="pct"/>
                  <w:vAlign w:val="center"/>
                </w:tcPr>
                <w:p>
                  <w:pPr>
                    <w:widowControl w:val="0"/>
                    <w:adjustRightInd/>
                    <w:snapToGrid/>
                    <w:spacing w:line="240" w:lineRule="exact"/>
                    <w:jc w:val="center"/>
                    <w:outlineLvl w:val="9"/>
                    <w:rPr>
                      <w:rFonts w:ascii="Times New Roman" w:hAnsi="Times New Roman"/>
                      <w:szCs w:val="21"/>
                    </w:rPr>
                  </w:pPr>
                  <w:r>
                    <w:rPr>
                      <w:rFonts w:ascii="Times New Roman" w:hAnsi="Times New Roman"/>
                      <w:szCs w:val="21"/>
                    </w:rPr>
                    <w:t>十万分之一天平</w:t>
                  </w:r>
                </w:p>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HZ-104/35S/JLYQ010</w:t>
                  </w:r>
                </w:p>
              </w:tc>
              <w:tc>
                <w:tcPr>
                  <w:tcW w:w="678"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0.001mg/m</w:t>
                  </w:r>
                  <w:r>
                    <w:rPr>
                      <w:rFonts w:ascii="Times New Roman" w:hAnsi="Times New Roman"/>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spacing w:line="260" w:lineRule="exact"/>
                    <w:jc w:val="center"/>
                    <w:outlineLvl w:val="9"/>
                    <w:rPr>
                      <w:rFonts w:ascii="Times New Roman" w:hAnsi="Times New Roman"/>
                      <w:kern w:val="2"/>
                      <w:sz w:val="21"/>
                      <w:szCs w:val="21"/>
                    </w:rPr>
                  </w:pPr>
                  <w:r>
                    <w:rPr>
                      <w:rFonts w:hint="eastAsia" w:ascii="Times New Roman" w:hAnsi="Times New Roman"/>
                      <w:sz w:val="21"/>
                      <w:szCs w:val="21"/>
                    </w:rPr>
                    <w:t>氮氧化物</w:t>
                  </w:r>
                </w:p>
              </w:tc>
              <w:tc>
                <w:tcPr>
                  <w:tcW w:w="691" w:type="pct"/>
                  <w:vAlign w:val="center"/>
                </w:tcPr>
                <w:p>
                  <w:pPr>
                    <w:shd w:val="clear" w:color="auto" w:fill="FFFFFF"/>
                    <w:spacing w:line="260" w:lineRule="exact"/>
                    <w:jc w:val="center"/>
                    <w:outlineLvl w:val="9"/>
                    <w:rPr>
                      <w:rFonts w:ascii="Times New Roman" w:hAnsi="Times New Roman"/>
                      <w:sz w:val="21"/>
                      <w:szCs w:val="21"/>
                    </w:rPr>
                  </w:pPr>
                  <w:r>
                    <w:rPr>
                      <w:rFonts w:hint="eastAsia" w:ascii="Times New Roman" w:hAnsi="Times New Roman"/>
                      <w:sz w:val="21"/>
                      <w:szCs w:val="21"/>
                    </w:rPr>
                    <w:t>盐酸萘乙二胺分光光度法</w:t>
                  </w:r>
                </w:p>
              </w:tc>
              <w:tc>
                <w:tcPr>
                  <w:tcW w:w="1743" w:type="pct"/>
                  <w:vAlign w:val="center"/>
                </w:tcPr>
                <w:p>
                  <w:pPr>
                    <w:shd w:val="clear" w:color="auto" w:fill="FFFFFF"/>
                    <w:spacing w:line="260" w:lineRule="exact"/>
                    <w:jc w:val="center"/>
                    <w:outlineLvl w:val="9"/>
                    <w:rPr>
                      <w:rFonts w:ascii="Times New Roman" w:hAnsi="Times New Roman"/>
                      <w:sz w:val="21"/>
                      <w:szCs w:val="21"/>
                    </w:rPr>
                  </w:pPr>
                  <w:r>
                    <w:rPr>
                      <w:rFonts w:hint="eastAsia" w:ascii="Times New Roman" w:hAnsi="Times New Roman"/>
                      <w:sz w:val="21"/>
                      <w:szCs w:val="21"/>
                    </w:rPr>
                    <w:t>环境空气 氮氧化物（一氧化氮和二氧化氮）的测定 盐酸萘乙二胺分光光度法 HJ 479-2009</w:t>
                  </w:r>
                </w:p>
                <w:p>
                  <w:pPr>
                    <w:shd w:val="clear" w:color="auto" w:fill="FFFFFF"/>
                    <w:spacing w:line="260" w:lineRule="exact"/>
                    <w:jc w:val="center"/>
                    <w:outlineLvl w:val="9"/>
                    <w:rPr>
                      <w:rFonts w:ascii="Times New Roman" w:hAnsi="Times New Roman"/>
                      <w:sz w:val="21"/>
                      <w:szCs w:val="21"/>
                    </w:rPr>
                  </w:pPr>
                  <w:r>
                    <w:rPr>
                      <w:rFonts w:hint="eastAsia" w:ascii="Times New Roman" w:hAnsi="Times New Roman"/>
                      <w:sz w:val="21"/>
                      <w:szCs w:val="21"/>
                    </w:rPr>
                    <w:t>环境空气 氮氧化物（一氧化氮和二氧化氮）的测定 盐酸萘乙二胺分光光度法 HJ 479-2009修改单</w:t>
                  </w:r>
                </w:p>
              </w:tc>
              <w:tc>
                <w:tcPr>
                  <w:tcW w:w="1075" w:type="pct"/>
                  <w:vAlign w:val="center"/>
                </w:tcPr>
                <w:p>
                  <w:pPr>
                    <w:shd w:val="clear" w:color="auto" w:fill="FFFFFF"/>
                    <w:spacing w:line="260" w:lineRule="exact"/>
                    <w:jc w:val="center"/>
                    <w:outlineLvl w:val="9"/>
                    <w:rPr>
                      <w:rFonts w:ascii="Times New Roman" w:hAnsi="Times New Roman"/>
                      <w:sz w:val="21"/>
                      <w:szCs w:val="21"/>
                    </w:rPr>
                  </w:pPr>
                  <w:r>
                    <w:rPr>
                      <w:rFonts w:hint="eastAsia" w:ascii="Times New Roman" w:hAnsi="Times New Roman"/>
                      <w:sz w:val="21"/>
                      <w:szCs w:val="21"/>
                    </w:rPr>
                    <w:t xml:space="preserve">紫外可见分光光度计       </w:t>
                  </w:r>
                  <w:r>
                    <w:rPr>
                      <w:rFonts w:ascii="Times New Roman" w:hAnsi="Times New Roman"/>
                      <w:sz w:val="21"/>
                      <w:szCs w:val="21"/>
                    </w:rPr>
                    <w:t>UV-1100/JLYQ018</w:t>
                  </w:r>
                </w:p>
              </w:tc>
              <w:tc>
                <w:tcPr>
                  <w:tcW w:w="678" w:type="pct"/>
                  <w:vAlign w:val="center"/>
                </w:tcPr>
                <w:p>
                  <w:pPr>
                    <w:jc w:val="center"/>
                    <w:textAlignment w:val="center"/>
                    <w:outlineLvl w:val="9"/>
                    <w:rPr>
                      <w:rFonts w:ascii="Times New Roman" w:hAnsi="Times New Roman"/>
                      <w:color w:val="000000"/>
                      <w:sz w:val="21"/>
                      <w:szCs w:val="21"/>
                    </w:rPr>
                  </w:pPr>
                  <w:r>
                    <w:rPr>
                      <w:rFonts w:hint="eastAsia" w:ascii="Times New Roman" w:hAnsi="Times New Roman"/>
                      <w:color w:val="000000"/>
                      <w:sz w:val="21"/>
                      <w:szCs w:val="21"/>
                    </w:rPr>
                    <w:t>0.005</w:t>
                  </w:r>
                  <w:r>
                    <w:rPr>
                      <w:rFonts w:ascii="Times New Roman" w:hAnsi="Times New Roman"/>
                      <w:color w:val="000000"/>
                      <w:sz w:val="21"/>
                      <w:szCs w:val="21"/>
                    </w:rPr>
                    <w:t>mg/m</w:t>
                  </w:r>
                  <w:r>
                    <w:rPr>
                      <w:rFonts w:ascii="Times New Roman" w:hAnsi="Times New Roman"/>
                      <w:color w:val="000000"/>
                      <w:sz w:val="21"/>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spacing w:line="260" w:lineRule="exact"/>
                    <w:jc w:val="center"/>
                    <w:outlineLvl w:val="9"/>
                    <w:rPr>
                      <w:rFonts w:ascii="Times New Roman" w:hAnsi="Times New Roman"/>
                      <w:kern w:val="2"/>
                      <w:sz w:val="21"/>
                      <w:szCs w:val="21"/>
                    </w:rPr>
                  </w:pPr>
                  <w:r>
                    <w:rPr>
                      <w:rFonts w:hint="eastAsia" w:ascii="Times New Roman" w:hAnsi="Times New Roman"/>
                      <w:sz w:val="21"/>
                      <w:szCs w:val="21"/>
                    </w:rPr>
                    <w:t>二氧化硫</w:t>
                  </w:r>
                </w:p>
              </w:tc>
              <w:tc>
                <w:tcPr>
                  <w:tcW w:w="691" w:type="pct"/>
                  <w:vAlign w:val="center"/>
                </w:tcPr>
                <w:p>
                  <w:pPr>
                    <w:widowControl w:val="0"/>
                    <w:adjustRightInd/>
                    <w:snapToGrid/>
                    <w:spacing w:line="240" w:lineRule="exact"/>
                    <w:jc w:val="center"/>
                    <w:outlineLvl w:val="9"/>
                    <w:rPr>
                      <w:rFonts w:ascii="Times New Roman" w:hAnsi="Times New Roman"/>
                      <w:szCs w:val="21"/>
                    </w:rPr>
                  </w:pPr>
                  <w:r>
                    <w:rPr>
                      <w:rFonts w:hint="eastAsia" w:ascii="Times New Roman" w:hAnsi="Times New Roman"/>
                      <w:szCs w:val="21"/>
                    </w:rPr>
                    <w:t>甲醛吸收-副玫瑰苯胺分光光度法</w:t>
                  </w:r>
                </w:p>
              </w:tc>
              <w:tc>
                <w:tcPr>
                  <w:tcW w:w="1743" w:type="pct"/>
                  <w:vAlign w:val="center"/>
                </w:tcPr>
                <w:p>
                  <w:pPr>
                    <w:widowControl w:val="0"/>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环境空气 二氧化硫的测定 甲醛吸收-副玫瑰苯胺分光光度法</w:t>
                  </w:r>
                </w:p>
                <w:p>
                  <w:pPr>
                    <w:widowControl w:val="0"/>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 xml:space="preserve"> HJ 482-2009</w:t>
                  </w:r>
                </w:p>
                <w:p>
                  <w:pPr>
                    <w:widowControl w:val="0"/>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环境空气 二氧化硫的测定 甲醛吸收-副玫瑰苯胺分光光度法</w:t>
                  </w:r>
                </w:p>
                <w:p>
                  <w:pPr>
                    <w:widowControl w:val="0"/>
                    <w:adjustRightInd/>
                    <w:snapToGrid/>
                    <w:spacing w:line="240" w:lineRule="exact"/>
                    <w:jc w:val="center"/>
                    <w:outlineLvl w:val="9"/>
                    <w:rPr>
                      <w:rFonts w:ascii="Times New Roman" w:hAnsi="Times New Roman"/>
                      <w:szCs w:val="21"/>
                    </w:rPr>
                  </w:pPr>
                  <w:r>
                    <w:rPr>
                      <w:rFonts w:hint="eastAsia" w:ascii="Times New Roman" w:hAnsi="Times New Roman"/>
                      <w:sz w:val="21"/>
                      <w:szCs w:val="21"/>
                    </w:rPr>
                    <w:t xml:space="preserve"> HJ 482-2009修改单</w:t>
                  </w:r>
                </w:p>
              </w:tc>
              <w:tc>
                <w:tcPr>
                  <w:tcW w:w="1075" w:type="pct"/>
                  <w:vAlign w:val="center"/>
                </w:tcPr>
                <w:p>
                  <w:pPr>
                    <w:widowControl w:val="0"/>
                    <w:adjustRightInd/>
                    <w:snapToGrid/>
                    <w:spacing w:line="240" w:lineRule="exact"/>
                    <w:jc w:val="center"/>
                    <w:outlineLvl w:val="9"/>
                    <w:rPr>
                      <w:rFonts w:ascii="Times New Roman" w:hAnsi="Times New Roman"/>
                      <w:szCs w:val="21"/>
                    </w:rPr>
                  </w:pPr>
                  <w:r>
                    <w:rPr>
                      <w:rFonts w:hint="eastAsia" w:ascii="Times New Roman" w:hAnsi="Times New Roman"/>
                      <w:sz w:val="21"/>
                      <w:szCs w:val="21"/>
                    </w:rPr>
                    <w:t xml:space="preserve">紫外可见分光光度计       </w:t>
                  </w:r>
                  <w:r>
                    <w:rPr>
                      <w:rFonts w:ascii="Times New Roman" w:hAnsi="Times New Roman"/>
                      <w:sz w:val="21"/>
                      <w:szCs w:val="21"/>
                    </w:rPr>
                    <w:t>UV-1100/JLYQ018</w:t>
                  </w:r>
                </w:p>
              </w:tc>
              <w:tc>
                <w:tcPr>
                  <w:tcW w:w="678" w:type="pct"/>
                  <w:vAlign w:val="center"/>
                </w:tcPr>
                <w:p>
                  <w:pPr>
                    <w:widowControl w:val="0"/>
                    <w:adjustRightInd/>
                    <w:snapToGrid/>
                    <w:spacing w:line="240" w:lineRule="exact"/>
                    <w:jc w:val="center"/>
                    <w:outlineLvl w:val="9"/>
                    <w:rPr>
                      <w:rFonts w:ascii="Times New Roman" w:hAnsi="Times New Roman"/>
                      <w:szCs w:val="21"/>
                    </w:rPr>
                  </w:pPr>
                  <w:r>
                    <w:rPr>
                      <w:rFonts w:hint="eastAsia" w:ascii="Times New Roman" w:hAnsi="Times New Roman"/>
                      <w:szCs w:val="21"/>
                    </w:rPr>
                    <w:t>0.007</w:t>
                  </w:r>
                  <w:r>
                    <w:rPr>
                      <w:rFonts w:ascii="Times New Roman" w:hAnsi="Times New Roman"/>
                      <w:color w:val="000000"/>
                      <w:sz w:val="21"/>
                      <w:szCs w:val="21"/>
                    </w:rPr>
                    <w:t>mg/m</w:t>
                  </w:r>
                  <w:r>
                    <w:rPr>
                      <w:rFonts w:ascii="Times New Roman" w:hAnsi="Times New Roman"/>
                      <w:color w:val="000000"/>
                      <w:sz w:val="21"/>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10" w:type="pct"/>
                  <w:vAlign w:val="center"/>
                </w:tcPr>
                <w:p>
                  <w:pPr>
                    <w:widowControl w:val="0"/>
                    <w:adjustRightInd/>
                    <w:snapToGrid/>
                    <w:jc w:val="center"/>
                    <w:outlineLvl w:val="9"/>
                    <w:rPr>
                      <w:rFonts w:ascii="Times New Roman" w:hAnsi="Times New Roman"/>
                      <w:kern w:val="2"/>
                      <w:sz w:val="21"/>
                      <w:szCs w:val="21"/>
                    </w:rPr>
                  </w:pPr>
                  <w:r>
                    <w:rPr>
                      <w:rFonts w:ascii="Times New Roman" w:hAnsi="Times New Roman"/>
                      <w:szCs w:val="21"/>
                    </w:rPr>
                    <w:t>*</w:t>
                  </w:r>
                  <w:r>
                    <w:rPr>
                      <w:rFonts w:hint="eastAsia" w:ascii="Times New Roman" w:hAnsi="Times New Roman"/>
                      <w:szCs w:val="21"/>
                    </w:rPr>
                    <w:t>氯化氢</w:t>
                  </w:r>
                </w:p>
              </w:tc>
              <w:tc>
                <w:tcPr>
                  <w:tcW w:w="691" w:type="pct"/>
                  <w:vAlign w:val="center"/>
                </w:tcPr>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离子色谱法</w:t>
                  </w:r>
                </w:p>
              </w:tc>
              <w:tc>
                <w:tcPr>
                  <w:tcW w:w="1743" w:type="pct"/>
                  <w:vAlign w:val="center"/>
                </w:tcPr>
                <w:p>
                  <w:pPr>
                    <w:adjustRightInd/>
                    <w:snapToGrid/>
                    <w:jc w:val="center"/>
                    <w:outlineLvl w:val="9"/>
                    <w:rPr>
                      <w:rFonts w:ascii="Times New Roman" w:hAnsi="Times New Roman"/>
                      <w:bCs/>
                      <w:color w:val="000000"/>
                      <w:sz w:val="21"/>
                      <w:szCs w:val="21"/>
                    </w:rPr>
                  </w:pPr>
                  <w:r>
                    <w:rPr>
                      <w:rFonts w:hint="eastAsia" w:ascii="Times New Roman" w:hAnsi="Times New Roman"/>
                      <w:bCs/>
                      <w:color w:val="000000"/>
                      <w:sz w:val="21"/>
                      <w:szCs w:val="21"/>
                    </w:rPr>
                    <w:t xml:space="preserve">环境空气和废气 氯化氢的测定 </w:t>
                  </w:r>
                  <w:r>
                    <w:rPr>
                      <w:rFonts w:ascii="Times New Roman" w:hAnsi="Times New Roman"/>
                      <w:bCs/>
                      <w:color w:val="000000"/>
                      <w:sz w:val="21"/>
                      <w:szCs w:val="21"/>
                    </w:rPr>
                    <w:t>离子色谱法</w:t>
                  </w:r>
                </w:p>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HJ 549-2016</w:t>
                  </w:r>
                </w:p>
              </w:tc>
              <w:tc>
                <w:tcPr>
                  <w:tcW w:w="1075" w:type="pct"/>
                  <w:vAlign w:val="center"/>
                </w:tcPr>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ICS-600</w:t>
                  </w:r>
                  <w:r>
                    <w:rPr>
                      <w:rFonts w:hint="eastAsia" w:ascii="Times New Roman" w:hAnsi="Times New Roman"/>
                      <w:bCs/>
                      <w:color w:val="000000"/>
                      <w:sz w:val="21"/>
                      <w:szCs w:val="21"/>
                    </w:rPr>
                    <w:t xml:space="preserve"> 离子色谱仪 DFSJC-006</w:t>
                  </w:r>
                </w:p>
              </w:tc>
              <w:tc>
                <w:tcPr>
                  <w:tcW w:w="678" w:type="pct"/>
                  <w:vAlign w:val="center"/>
                </w:tcPr>
                <w:p>
                  <w:pPr>
                    <w:adjustRightInd/>
                    <w:snapToGrid/>
                    <w:jc w:val="center"/>
                    <w:outlineLvl w:val="9"/>
                    <w:rPr>
                      <w:rFonts w:ascii="Times New Roman" w:hAnsi="Times New Roman"/>
                      <w:bCs/>
                      <w:color w:val="000000"/>
                      <w:kern w:val="2"/>
                      <w:sz w:val="21"/>
                      <w:szCs w:val="21"/>
                    </w:rPr>
                  </w:pPr>
                  <w:r>
                    <w:rPr>
                      <w:rFonts w:hint="eastAsia" w:ascii="Times New Roman" w:hAnsi="Times New Roman"/>
                      <w:bCs/>
                      <w:color w:val="000000"/>
                      <w:sz w:val="21"/>
                      <w:szCs w:val="21"/>
                    </w:rPr>
                    <w:t>0.02</w:t>
                  </w:r>
                  <w:r>
                    <w:rPr>
                      <w:rFonts w:hint="eastAsia" w:ascii="Times New Roman" w:hAnsi="Times New Roman"/>
                      <w:bCs/>
                      <w:iCs/>
                      <w:color w:val="000000"/>
                      <w:sz w:val="21"/>
                      <w:szCs w:val="21"/>
                    </w:rPr>
                    <w:t>mg/</w:t>
                  </w:r>
                  <w:r>
                    <w:rPr>
                      <w:rFonts w:ascii="Times New Roman" w:hAnsi="Times New Roman"/>
                      <w:bCs/>
                      <w:iCs/>
                      <w:color w:val="000000"/>
                      <w:sz w:val="21"/>
                      <w:szCs w:val="21"/>
                    </w:rPr>
                    <w:t>m</w:t>
                  </w:r>
                  <w:r>
                    <w:rPr>
                      <w:rFonts w:ascii="Times New Roman" w:hAnsi="Times New Roman"/>
                      <w:bCs/>
                      <w:iCs/>
                      <w:color w:val="000000"/>
                      <w:sz w:val="21"/>
                      <w:szCs w:val="21"/>
                      <w:vertAlign w:val="superscript"/>
                    </w:rPr>
                    <w:t>3</w:t>
                  </w:r>
                </w:p>
              </w:tc>
            </w:tr>
          </w:tbl>
          <w:p>
            <w:pPr>
              <w:jc w:val="center"/>
              <w:outlineLvl w:val="9"/>
              <w:rPr>
                <w:rFonts w:ascii="宋体" w:hAnsi="宋体" w:cs="宋体"/>
                <w:sz w:val="24"/>
              </w:rPr>
            </w:pPr>
            <w:r>
              <w:rPr>
                <w:rFonts w:hint="eastAsia" w:ascii="宋体" w:hAnsi="宋体" w:cs="宋体"/>
                <w:b/>
                <w:sz w:val="24"/>
              </w:rPr>
              <w:t>表5-3  废水检测方法、方法来源、使用仪器及检出限</w:t>
            </w:r>
          </w:p>
          <w:tbl>
            <w:tblPr>
              <w:tblStyle w:val="12"/>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561"/>
              <w:gridCol w:w="1491"/>
              <w:gridCol w:w="2786"/>
              <w:gridCol w:w="2122"/>
              <w:gridCol w:w="121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b/>
                      <w:bCs/>
                      <w:szCs w:val="21"/>
                    </w:rPr>
                  </w:pPr>
                  <w:r>
                    <w:rPr>
                      <w:rFonts w:ascii="Times New Roman" w:hAnsi="Times New Roman"/>
                      <w:b/>
                      <w:bCs/>
                      <w:szCs w:val="21"/>
                    </w:rPr>
                    <w:t>检测项目</w:t>
                  </w:r>
                </w:p>
              </w:tc>
              <w:tc>
                <w:tcPr>
                  <w:tcW w:w="828" w:type="pct"/>
                  <w:vAlign w:val="center"/>
                </w:tcPr>
                <w:p>
                  <w:pPr>
                    <w:adjustRightInd/>
                    <w:snapToGrid/>
                    <w:spacing w:line="240" w:lineRule="exact"/>
                    <w:jc w:val="center"/>
                    <w:outlineLvl w:val="9"/>
                    <w:rPr>
                      <w:rFonts w:ascii="Times New Roman" w:hAnsi="Times New Roman"/>
                      <w:b/>
                      <w:bCs/>
                      <w:szCs w:val="21"/>
                    </w:rPr>
                  </w:pPr>
                  <w:r>
                    <w:rPr>
                      <w:rFonts w:ascii="Times New Roman" w:hAnsi="Times New Roman"/>
                      <w:b/>
                      <w:bCs/>
                      <w:szCs w:val="21"/>
                    </w:rPr>
                    <w:t>检测方法</w:t>
                  </w:r>
                </w:p>
              </w:tc>
              <w:tc>
                <w:tcPr>
                  <w:tcW w:w="1534" w:type="pct"/>
                  <w:vAlign w:val="center"/>
                </w:tcPr>
                <w:p>
                  <w:pPr>
                    <w:adjustRightInd/>
                    <w:snapToGrid/>
                    <w:spacing w:line="240" w:lineRule="exact"/>
                    <w:jc w:val="center"/>
                    <w:outlineLvl w:val="9"/>
                    <w:rPr>
                      <w:rFonts w:ascii="Times New Roman" w:hAnsi="Times New Roman"/>
                      <w:b/>
                      <w:bCs/>
                      <w:szCs w:val="21"/>
                    </w:rPr>
                  </w:pPr>
                  <w:r>
                    <w:rPr>
                      <w:rFonts w:ascii="Times New Roman" w:hAnsi="Times New Roman"/>
                      <w:b/>
                      <w:bCs/>
                      <w:szCs w:val="21"/>
                    </w:rPr>
                    <w:t>方法来源</w:t>
                  </w:r>
                </w:p>
              </w:tc>
              <w:tc>
                <w:tcPr>
                  <w:tcW w:w="1093" w:type="pct"/>
                  <w:vAlign w:val="center"/>
                </w:tcPr>
                <w:p>
                  <w:pPr>
                    <w:adjustRightInd/>
                    <w:snapToGrid/>
                    <w:spacing w:line="240" w:lineRule="exact"/>
                    <w:jc w:val="center"/>
                    <w:outlineLvl w:val="9"/>
                    <w:rPr>
                      <w:rFonts w:ascii="Times New Roman" w:hAnsi="Times New Roman"/>
                      <w:b/>
                      <w:bCs/>
                      <w:szCs w:val="21"/>
                    </w:rPr>
                  </w:pPr>
                  <w:r>
                    <w:rPr>
                      <w:rFonts w:ascii="Times New Roman" w:hAnsi="Times New Roman"/>
                      <w:b/>
                      <w:bCs/>
                      <w:szCs w:val="21"/>
                    </w:rPr>
                    <w:t>使用仪器及编号</w:t>
                  </w:r>
                </w:p>
              </w:tc>
              <w:tc>
                <w:tcPr>
                  <w:tcW w:w="676" w:type="pct"/>
                  <w:vAlign w:val="center"/>
                </w:tcPr>
                <w:p>
                  <w:pPr>
                    <w:adjustRightInd/>
                    <w:snapToGrid/>
                    <w:spacing w:line="240" w:lineRule="exact"/>
                    <w:jc w:val="center"/>
                    <w:outlineLvl w:val="9"/>
                    <w:rPr>
                      <w:rFonts w:ascii="Times New Roman" w:hAnsi="Times New Roman"/>
                      <w:b/>
                      <w:bCs/>
                      <w:szCs w:val="21"/>
                    </w:rPr>
                  </w:pPr>
                  <w:r>
                    <w:rPr>
                      <w:rFonts w:ascii="Times New Roman" w:hAnsi="Times New Roman"/>
                      <w:b/>
                      <w:bCs/>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pH</w:t>
                  </w:r>
                </w:p>
              </w:tc>
              <w:tc>
                <w:tcPr>
                  <w:tcW w:w="828"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电极法</w:t>
                  </w:r>
                </w:p>
              </w:tc>
              <w:tc>
                <w:tcPr>
                  <w:tcW w:w="1534" w:type="pct"/>
                  <w:vAlign w:val="center"/>
                </w:tcPr>
                <w:p>
                  <w:pPr>
                    <w:shd w:val="clear" w:color="auto" w:fill="FFFFFF"/>
                    <w:adjustRightInd/>
                    <w:snapToGrid/>
                    <w:spacing w:line="240" w:lineRule="exact"/>
                    <w:jc w:val="center"/>
                    <w:outlineLvl w:val="9"/>
                    <w:rPr>
                      <w:rFonts w:ascii="Times New Roman" w:hAnsi="Times New Roman"/>
                      <w:szCs w:val="21"/>
                    </w:rPr>
                  </w:pPr>
                  <w:r>
                    <w:rPr>
                      <w:rFonts w:ascii="Times New Roman" w:hAnsi="Times New Roman"/>
                      <w:szCs w:val="21"/>
                    </w:rPr>
                    <w:t>水质 pH值的测定 电极法</w:t>
                  </w:r>
                </w:p>
                <w:p>
                  <w:pPr>
                    <w:shd w:val="clear" w:color="auto" w:fill="FFFFFF"/>
                    <w:adjustRightInd/>
                    <w:snapToGrid/>
                    <w:spacing w:line="240" w:lineRule="exact"/>
                    <w:jc w:val="center"/>
                    <w:outlineLvl w:val="9"/>
                    <w:rPr>
                      <w:rFonts w:ascii="Times New Roman" w:hAnsi="Times New Roman"/>
                      <w:szCs w:val="21"/>
                    </w:rPr>
                  </w:pPr>
                  <w:r>
                    <w:rPr>
                      <w:rFonts w:hint="eastAsia" w:ascii="Times New Roman" w:hAnsi="Times New Roman"/>
                      <w:szCs w:val="21"/>
                    </w:rPr>
                    <w:t>HJ 1147-2020</w:t>
                  </w:r>
                </w:p>
              </w:tc>
              <w:tc>
                <w:tcPr>
                  <w:tcW w:w="1093"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便携式 pH计 PHBJ-260/JLYQ</w:t>
                  </w:r>
                  <w:r>
                    <w:rPr>
                      <w:rFonts w:hint="eastAsia" w:ascii="Times New Roman" w:hAnsi="Times New Roman"/>
                      <w:szCs w:val="21"/>
                    </w:rPr>
                    <w:t>126</w:t>
                  </w:r>
                </w:p>
              </w:tc>
              <w:tc>
                <w:tcPr>
                  <w:tcW w:w="676"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rPr>
                  </w:pPr>
                  <w:r>
                    <w:rPr>
                      <w:rFonts w:ascii="Times New Roman" w:hAnsi="Times New Roman"/>
                      <w:szCs w:val="21"/>
                    </w:rPr>
                    <w:t>化学需氧量</w:t>
                  </w:r>
                </w:p>
              </w:tc>
              <w:tc>
                <w:tcPr>
                  <w:tcW w:w="828"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重铬酸盐法</w:t>
                  </w:r>
                </w:p>
              </w:tc>
              <w:tc>
                <w:tcPr>
                  <w:tcW w:w="1534"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水质 化学需氧量的测定 重铬酸盐法HJ 828-2017</w:t>
                  </w:r>
                </w:p>
              </w:tc>
              <w:tc>
                <w:tcPr>
                  <w:tcW w:w="1093"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w:t>
                  </w:r>
                </w:p>
              </w:tc>
              <w:tc>
                <w:tcPr>
                  <w:tcW w:w="676"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4mg/L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五日生化需氧量</w:t>
                  </w:r>
                </w:p>
              </w:tc>
              <w:tc>
                <w:tcPr>
                  <w:tcW w:w="828"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稀释与接种法</w:t>
                  </w:r>
                </w:p>
              </w:tc>
              <w:tc>
                <w:tcPr>
                  <w:tcW w:w="1534"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水质 五日生化需氧量（BOD</w:t>
                  </w:r>
                  <w:r>
                    <w:rPr>
                      <w:rFonts w:ascii="Times New Roman" w:hAnsi="Times New Roman"/>
                      <w:szCs w:val="21"/>
                      <w:vertAlign w:val="subscript"/>
                    </w:rPr>
                    <w:t>5</w:t>
                  </w:r>
                  <w:r>
                    <w:rPr>
                      <w:rFonts w:ascii="Times New Roman" w:hAnsi="Times New Roman"/>
                      <w:szCs w:val="21"/>
                    </w:rPr>
                    <w:t>）的测定 稀释与接种法</w:t>
                  </w:r>
                </w:p>
                <w:p>
                  <w:pPr>
                    <w:adjustRightInd/>
                    <w:snapToGrid/>
                    <w:spacing w:line="240" w:lineRule="exact"/>
                    <w:jc w:val="center"/>
                    <w:outlineLvl w:val="9"/>
                    <w:rPr>
                      <w:rFonts w:ascii="Times New Roman" w:hAnsi="Times New Roman"/>
                      <w:szCs w:val="21"/>
                    </w:rPr>
                  </w:pPr>
                  <w:r>
                    <w:rPr>
                      <w:rFonts w:ascii="Times New Roman" w:hAnsi="Times New Roman"/>
                      <w:szCs w:val="21"/>
                    </w:rPr>
                    <w:t>HJ 505-2009</w:t>
                  </w:r>
                </w:p>
              </w:tc>
              <w:tc>
                <w:tcPr>
                  <w:tcW w:w="1093"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生化培养箱</w:t>
                  </w:r>
                </w:p>
                <w:p>
                  <w:pPr>
                    <w:adjustRightInd/>
                    <w:snapToGrid/>
                    <w:spacing w:line="240" w:lineRule="exact"/>
                    <w:jc w:val="center"/>
                    <w:outlineLvl w:val="9"/>
                    <w:rPr>
                      <w:rFonts w:ascii="Times New Roman" w:hAnsi="Times New Roman"/>
                      <w:szCs w:val="21"/>
                    </w:rPr>
                  </w:pPr>
                  <w:r>
                    <w:rPr>
                      <w:rFonts w:ascii="Times New Roman" w:hAnsi="Times New Roman"/>
                      <w:szCs w:val="21"/>
                    </w:rPr>
                    <w:t xml:space="preserve"> SPX-250/JLYQ023</w:t>
                  </w:r>
                </w:p>
              </w:tc>
              <w:tc>
                <w:tcPr>
                  <w:tcW w:w="676"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0.5mg/L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rPr>
                  </w:pPr>
                  <w:r>
                    <w:rPr>
                      <w:rFonts w:ascii="Times New Roman" w:hAnsi="Times New Roman"/>
                      <w:szCs w:val="21"/>
                    </w:rPr>
                    <w:t>悬浮物</w:t>
                  </w:r>
                </w:p>
              </w:tc>
              <w:tc>
                <w:tcPr>
                  <w:tcW w:w="828"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重量法</w:t>
                  </w:r>
                </w:p>
              </w:tc>
              <w:tc>
                <w:tcPr>
                  <w:tcW w:w="1534"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水质 悬浮物的测定 重量法</w:t>
                  </w:r>
                </w:p>
                <w:p>
                  <w:pPr>
                    <w:adjustRightInd/>
                    <w:snapToGrid/>
                    <w:spacing w:line="240" w:lineRule="exact"/>
                    <w:jc w:val="center"/>
                    <w:outlineLvl w:val="9"/>
                    <w:rPr>
                      <w:rFonts w:ascii="Times New Roman" w:hAnsi="Times New Roman"/>
                      <w:szCs w:val="21"/>
                    </w:rPr>
                  </w:pPr>
                  <w:r>
                    <w:rPr>
                      <w:rFonts w:ascii="Times New Roman" w:hAnsi="Times New Roman"/>
                      <w:szCs w:val="21"/>
                    </w:rPr>
                    <w:t>GB 11901-89</w:t>
                  </w:r>
                </w:p>
              </w:tc>
              <w:tc>
                <w:tcPr>
                  <w:tcW w:w="1093"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万分之一天平HZK-FA210/JLYQ011</w:t>
                  </w:r>
                </w:p>
              </w:tc>
              <w:tc>
                <w:tcPr>
                  <w:tcW w:w="676"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4mg/L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rPr>
                  </w:pPr>
                  <w:r>
                    <w:rPr>
                      <w:rFonts w:ascii="Times New Roman" w:hAnsi="Times New Roman"/>
                      <w:szCs w:val="21"/>
                    </w:rPr>
                    <w:t>氨氮</w:t>
                  </w:r>
                </w:p>
              </w:tc>
              <w:tc>
                <w:tcPr>
                  <w:tcW w:w="828"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纳氏试剂分光光度法</w:t>
                  </w:r>
                </w:p>
              </w:tc>
              <w:tc>
                <w:tcPr>
                  <w:tcW w:w="1534"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水质 氨氮的测定 纳氏试剂分光光度法HJ 535-2009</w:t>
                  </w:r>
                </w:p>
              </w:tc>
              <w:tc>
                <w:tcPr>
                  <w:tcW w:w="1093"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紫外可见分光光度计UV-1100/JLYQ018</w:t>
                  </w:r>
                </w:p>
              </w:tc>
              <w:tc>
                <w:tcPr>
                  <w:tcW w:w="676" w:type="pct"/>
                  <w:vAlign w:val="center"/>
                </w:tcPr>
                <w:p>
                  <w:pPr>
                    <w:adjustRightInd/>
                    <w:snapToGrid/>
                    <w:spacing w:line="240" w:lineRule="exact"/>
                    <w:jc w:val="center"/>
                    <w:outlineLvl w:val="9"/>
                    <w:rPr>
                      <w:rFonts w:ascii="Times New Roman" w:hAnsi="Times New Roman"/>
                      <w:szCs w:val="21"/>
                    </w:rPr>
                  </w:pPr>
                  <w:r>
                    <w:rPr>
                      <w:rFonts w:ascii="Times New Roman" w:hAnsi="Times New Roman"/>
                      <w:szCs w:val="21"/>
                    </w:rPr>
                    <w:t>0.025mg/L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石油类</w:t>
                  </w:r>
                </w:p>
              </w:tc>
              <w:tc>
                <w:tcPr>
                  <w:tcW w:w="828" w:type="pct"/>
                  <w:vAlign w:val="center"/>
                </w:tcPr>
                <w:p>
                  <w:pPr>
                    <w:spacing w:line="260" w:lineRule="exact"/>
                    <w:jc w:val="center"/>
                    <w:outlineLvl w:val="9"/>
                    <w:rPr>
                      <w:rFonts w:ascii="Times New Roman" w:hAnsi="Times New Roman"/>
                      <w:sz w:val="21"/>
                      <w:szCs w:val="21"/>
                    </w:rPr>
                  </w:pPr>
                  <w:r>
                    <w:rPr>
                      <w:rFonts w:hint="eastAsia" w:ascii="Times New Roman" w:hAnsi="Times New Roman"/>
                      <w:szCs w:val="21"/>
                    </w:rPr>
                    <w:t>红外分光光度法</w:t>
                  </w:r>
                </w:p>
              </w:tc>
              <w:tc>
                <w:tcPr>
                  <w:tcW w:w="1534" w:type="pct"/>
                  <w:vAlign w:val="center"/>
                </w:tcPr>
                <w:p>
                  <w:pPr>
                    <w:spacing w:line="260" w:lineRule="exact"/>
                    <w:jc w:val="center"/>
                    <w:outlineLvl w:val="9"/>
                    <w:rPr>
                      <w:rFonts w:ascii="Times New Roman" w:hAnsi="Times New Roman"/>
                      <w:szCs w:val="21"/>
                    </w:rPr>
                  </w:pPr>
                  <w:r>
                    <w:rPr>
                      <w:rFonts w:hint="eastAsia" w:ascii="Times New Roman" w:hAnsi="Times New Roman"/>
                      <w:szCs w:val="21"/>
                    </w:rPr>
                    <w:t>水质</w:t>
                  </w:r>
                  <w:r>
                    <w:rPr>
                      <w:rFonts w:ascii="Times New Roman" w:hAnsi="Times New Roman"/>
                      <w:szCs w:val="21"/>
                    </w:rPr>
                    <w:t xml:space="preserve"> 石油类和动植物油类的测定 红外分光光度法</w:t>
                  </w:r>
                </w:p>
                <w:p>
                  <w:pPr>
                    <w:spacing w:line="260" w:lineRule="exact"/>
                    <w:jc w:val="center"/>
                    <w:outlineLvl w:val="9"/>
                    <w:rPr>
                      <w:rFonts w:ascii="Times New Roman" w:hAnsi="Times New Roman"/>
                      <w:sz w:val="21"/>
                      <w:szCs w:val="21"/>
                    </w:rPr>
                  </w:pPr>
                  <w:r>
                    <w:rPr>
                      <w:rFonts w:ascii="Times New Roman" w:hAnsi="Times New Roman"/>
                      <w:szCs w:val="21"/>
                    </w:rPr>
                    <w:t xml:space="preserve"> HJ 637-2018</w:t>
                  </w:r>
                </w:p>
              </w:tc>
              <w:tc>
                <w:tcPr>
                  <w:tcW w:w="1093" w:type="pct"/>
                  <w:vAlign w:val="center"/>
                </w:tcPr>
                <w:p>
                  <w:pPr>
                    <w:spacing w:line="260" w:lineRule="exact"/>
                    <w:jc w:val="center"/>
                    <w:outlineLvl w:val="9"/>
                    <w:rPr>
                      <w:rFonts w:ascii="Times New Roman" w:hAnsi="Times New Roman"/>
                      <w:sz w:val="21"/>
                      <w:szCs w:val="21"/>
                    </w:rPr>
                  </w:pPr>
                  <w:r>
                    <w:rPr>
                      <w:rFonts w:hint="eastAsia" w:ascii="Times New Roman" w:hAnsi="Times New Roman"/>
                      <w:szCs w:val="21"/>
                    </w:rPr>
                    <w:t>红外测油仪</w:t>
                  </w:r>
                  <w:r>
                    <w:rPr>
                      <w:rFonts w:ascii="Times New Roman" w:hAnsi="Times New Roman"/>
                      <w:szCs w:val="21"/>
                    </w:rPr>
                    <w:t xml:space="preserve"> MAI-50G/JLYQ008</w:t>
                  </w:r>
                </w:p>
              </w:tc>
              <w:tc>
                <w:tcPr>
                  <w:tcW w:w="676" w:type="pct"/>
                  <w:vAlign w:val="center"/>
                </w:tcPr>
                <w:p>
                  <w:pPr>
                    <w:spacing w:line="360" w:lineRule="exact"/>
                    <w:jc w:val="center"/>
                    <w:outlineLvl w:val="9"/>
                    <w:rPr>
                      <w:rFonts w:ascii="Times New Roman" w:hAnsi="Times New Roman"/>
                      <w:kern w:val="2"/>
                      <w:sz w:val="21"/>
                      <w:szCs w:val="21"/>
                    </w:rPr>
                  </w:pPr>
                  <w:r>
                    <w:rPr>
                      <w:rFonts w:hint="eastAsia" w:ascii="Times New Roman" w:hAnsi="Times New Roman"/>
                      <w:sz w:val="21"/>
                      <w:szCs w:val="21"/>
                    </w:rPr>
                    <w:t>0.06</w:t>
                  </w:r>
                  <w:r>
                    <w:rPr>
                      <w:rFonts w:ascii="Times New Roman" w:hAnsi="Times New Roman"/>
                      <w:sz w:val="21"/>
                      <w:szCs w:val="21"/>
                    </w:rPr>
                    <w:t>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氯化物</w:t>
                  </w:r>
                </w:p>
              </w:tc>
              <w:tc>
                <w:tcPr>
                  <w:tcW w:w="828" w:type="pct"/>
                  <w:vAlign w:val="center"/>
                </w:tcPr>
                <w:p>
                  <w:pPr>
                    <w:spacing w:line="260" w:lineRule="exact"/>
                    <w:jc w:val="center"/>
                    <w:outlineLvl w:val="9"/>
                    <w:rPr>
                      <w:rFonts w:ascii="Times New Roman" w:hAnsi="Times New Roman"/>
                      <w:sz w:val="21"/>
                      <w:szCs w:val="21"/>
                    </w:rPr>
                  </w:pPr>
                  <w:r>
                    <w:rPr>
                      <w:rFonts w:hint="eastAsia" w:ascii="Times New Roman" w:hAnsi="Times New Roman"/>
                      <w:szCs w:val="21"/>
                    </w:rPr>
                    <w:t>硝酸银滴定法</w:t>
                  </w:r>
                </w:p>
              </w:tc>
              <w:tc>
                <w:tcPr>
                  <w:tcW w:w="1534" w:type="pct"/>
                  <w:vAlign w:val="center"/>
                </w:tcPr>
                <w:p>
                  <w:pPr>
                    <w:spacing w:line="260" w:lineRule="exact"/>
                    <w:jc w:val="center"/>
                    <w:outlineLvl w:val="9"/>
                    <w:rPr>
                      <w:rFonts w:ascii="Times New Roman" w:hAnsi="Times New Roman"/>
                      <w:sz w:val="21"/>
                      <w:szCs w:val="21"/>
                    </w:rPr>
                  </w:pPr>
                  <w:r>
                    <w:rPr>
                      <w:rFonts w:hint="eastAsia" w:ascii="Times New Roman" w:hAnsi="Times New Roman"/>
                      <w:szCs w:val="21"/>
                    </w:rPr>
                    <w:t>水质 氯化物的测定 硝酸银滴定法 GB 11896-89</w:t>
                  </w:r>
                </w:p>
              </w:tc>
              <w:tc>
                <w:tcPr>
                  <w:tcW w:w="1093" w:type="pct"/>
                  <w:vAlign w:val="center"/>
                </w:tcPr>
                <w:p>
                  <w:pPr>
                    <w:spacing w:line="260" w:lineRule="exact"/>
                    <w:jc w:val="center"/>
                    <w:outlineLvl w:val="9"/>
                    <w:rPr>
                      <w:rFonts w:ascii="Times New Roman" w:hAnsi="Times New Roman"/>
                      <w:sz w:val="21"/>
                      <w:szCs w:val="21"/>
                    </w:rPr>
                  </w:pPr>
                  <w:r>
                    <w:rPr>
                      <w:rFonts w:hint="eastAsia" w:ascii="Times New Roman" w:hAnsi="Times New Roman"/>
                      <w:szCs w:val="21"/>
                    </w:rPr>
                    <w:t>/</w:t>
                  </w:r>
                </w:p>
              </w:tc>
              <w:tc>
                <w:tcPr>
                  <w:tcW w:w="676" w:type="pct"/>
                  <w:vAlign w:val="center"/>
                </w:tcPr>
                <w:p>
                  <w:pPr>
                    <w:spacing w:line="360" w:lineRule="exact"/>
                    <w:jc w:val="center"/>
                    <w:outlineLvl w:val="9"/>
                    <w:rPr>
                      <w:rFonts w:ascii="Times New Roman" w:hAnsi="Times New Roman"/>
                      <w:kern w:val="2"/>
                      <w:sz w:val="21"/>
                      <w:szCs w:val="21"/>
                    </w:rPr>
                  </w:pPr>
                  <w:r>
                    <w:rPr>
                      <w:rFonts w:hint="eastAsia" w:ascii="Times New Roman" w:hAnsi="Times New Roman"/>
                      <w:sz w:val="21"/>
                      <w:szCs w:val="21"/>
                    </w:rPr>
                    <w:t>2</w:t>
                  </w:r>
                  <w:r>
                    <w:rPr>
                      <w:rFonts w:ascii="Times New Roman" w:hAnsi="Times New Roman"/>
                      <w:sz w:val="21"/>
                      <w:szCs w:val="21"/>
                    </w:rPr>
                    <w:t>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jc w:val="center"/>
                    <w:textAlignment w:val="center"/>
                    <w:outlineLvl w:val="9"/>
                    <w:rPr>
                      <w:rFonts w:ascii="宋体" w:hAnsi="宋体" w:cs="宋体"/>
                      <w:color w:val="000000"/>
                      <w:sz w:val="21"/>
                      <w:szCs w:val="21"/>
                    </w:rPr>
                  </w:pPr>
                  <w:r>
                    <w:rPr>
                      <w:rFonts w:hint="eastAsia" w:ascii="Times New Roman" w:hAnsi="Times New Roman"/>
                    </w:rPr>
                    <w:t>*铁</w:t>
                  </w:r>
                </w:p>
              </w:tc>
              <w:tc>
                <w:tcPr>
                  <w:tcW w:w="828" w:type="pct"/>
                  <w:vAlign w:val="center"/>
                </w:tcPr>
                <w:p>
                  <w:pPr>
                    <w:widowControl w:val="0"/>
                    <w:adjustRightInd/>
                    <w:snapToGrid/>
                    <w:spacing w:line="260" w:lineRule="exact"/>
                    <w:jc w:val="center"/>
                    <w:outlineLvl w:val="9"/>
                    <w:rPr>
                      <w:rFonts w:ascii="Times New Roman" w:hAnsi="Times New Roman"/>
                      <w:kern w:val="2"/>
                      <w:sz w:val="21"/>
                      <w:szCs w:val="21"/>
                    </w:rPr>
                  </w:pPr>
                  <w:r>
                    <w:rPr>
                      <w:rFonts w:hint="eastAsia" w:ascii="Times New Roman" w:hAnsi="Times New Roman"/>
                      <w:kern w:val="2"/>
                      <w:sz w:val="21"/>
                      <w:szCs w:val="21"/>
                    </w:rPr>
                    <w:t>火焰原子吸收分光光度法</w:t>
                  </w:r>
                </w:p>
              </w:tc>
              <w:tc>
                <w:tcPr>
                  <w:tcW w:w="1534" w:type="pct"/>
                  <w:vAlign w:val="center"/>
                </w:tcPr>
                <w:p>
                  <w:pPr>
                    <w:adjustRightInd/>
                    <w:snapToGrid/>
                    <w:spacing w:line="260" w:lineRule="exact"/>
                    <w:jc w:val="center"/>
                    <w:outlineLvl w:val="9"/>
                    <w:rPr>
                      <w:rFonts w:ascii="Times New Roman" w:hAnsi="Times New Roman"/>
                      <w:kern w:val="2"/>
                      <w:sz w:val="21"/>
                      <w:szCs w:val="21"/>
                    </w:rPr>
                  </w:pPr>
                  <w:r>
                    <w:rPr>
                      <w:rFonts w:hint="eastAsia" w:ascii="Times New Roman" w:hAnsi="Times New Roman"/>
                      <w:kern w:val="2"/>
                      <w:sz w:val="21"/>
                      <w:szCs w:val="21"/>
                    </w:rPr>
                    <w:t>水质 铁、锰的测定 火焰原子吸收分光光度法GB 11911-89</w:t>
                  </w:r>
                </w:p>
              </w:tc>
              <w:tc>
                <w:tcPr>
                  <w:tcW w:w="1093" w:type="pct"/>
                  <w:vAlign w:val="center"/>
                </w:tcPr>
                <w:p>
                  <w:pPr>
                    <w:adjustRightInd/>
                    <w:snapToGrid/>
                    <w:spacing w:line="260" w:lineRule="exact"/>
                    <w:jc w:val="center"/>
                    <w:outlineLvl w:val="9"/>
                    <w:rPr>
                      <w:rFonts w:ascii="Times New Roman" w:hAnsi="Times New Roman"/>
                      <w:sz w:val="21"/>
                      <w:szCs w:val="21"/>
                    </w:rPr>
                  </w:pPr>
                  <w:r>
                    <w:rPr>
                      <w:rFonts w:hint="eastAsia" w:ascii="Times New Roman" w:hAnsi="Times New Roman"/>
                      <w:sz w:val="21"/>
                      <w:szCs w:val="21"/>
                    </w:rPr>
                    <w:t xml:space="preserve">TAS-990AFG </w:t>
                  </w:r>
                </w:p>
                <w:p>
                  <w:pPr>
                    <w:adjustRightInd/>
                    <w:snapToGrid/>
                    <w:spacing w:line="260" w:lineRule="exact"/>
                    <w:jc w:val="center"/>
                    <w:outlineLvl w:val="9"/>
                    <w:rPr>
                      <w:rFonts w:ascii="Times New Roman" w:hAnsi="Times New Roman"/>
                      <w:sz w:val="21"/>
                      <w:szCs w:val="21"/>
                    </w:rPr>
                  </w:pPr>
                  <w:r>
                    <w:rPr>
                      <w:rFonts w:hint="eastAsia" w:ascii="Times New Roman" w:hAnsi="Times New Roman"/>
                      <w:sz w:val="21"/>
                      <w:szCs w:val="21"/>
                    </w:rPr>
                    <w:t>原子吸收分光光度计DFSJC-001</w:t>
                  </w:r>
                </w:p>
              </w:tc>
              <w:tc>
                <w:tcPr>
                  <w:tcW w:w="676" w:type="pct"/>
                  <w:vAlign w:val="center"/>
                </w:tcPr>
                <w:p>
                  <w:pPr>
                    <w:spacing w:line="360" w:lineRule="exact"/>
                    <w:jc w:val="center"/>
                    <w:outlineLvl w:val="9"/>
                    <w:rPr>
                      <w:rFonts w:ascii="Times New Roman" w:hAnsi="Times New Roman"/>
                      <w:kern w:val="2"/>
                      <w:sz w:val="21"/>
                      <w:szCs w:val="21"/>
                    </w:rPr>
                  </w:pPr>
                  <w:r>
                    <w:rPr>
                      <w:rFonts w:hint="eastAsia" w:ascii="Times New Roman" w:hAnsi="Times New Roman"/>
                      <w:sz w:val="21"/>
                      <w:szCs w:val="21"/>
                    </w:rPr>
                    <w:t>0.03</w:t>
                  </w:r>
                  <w:r>
                    <w:rPr>
                      <w:rFonts w:ascii="Times New Roman" w:hAnsi="Times New Roman"/>
                      <w:sz w:val="21"/>
                      <w:szCs w:val="21"/>
                    </w:rPr>
                    <w:t>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*锌</w:t>
                  </w:r>
                </w:p>
              </w:tc>
              <w:tc>
                <w:tcPr>
                  <w:tcW w:w="828" w:type="pct"/>
                  <w:vAlign w:val="center"/>
                </w:tcPr>
                <w:p>
                  <w:pPr>
                    <w:shd w:val="clear" w:color="auto" w:fill="FFFFFF"/>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原子吸收分光光度法</w:t>
                  </w:r>
                </w:p>
              </w:tc>
              <w:tc>
                <w:tcPr>
                  <w:tcW w:w="1534" w:type="pct"/>
                  <w:vAlign w:val="center"/>
                </w:tcPr>
                <w:p>
                  <w:pPr>
                    <w:shd w:val="clear" w:color="auto" w:fill="FFFFFF"/>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水质 铜、锌、铅、镉的测定 原子吸收分光光度法GB 7475-87</w:t>
                  </w:r>
                </w:p>
              </w:tc>
              <w:tc>
                <w:tcPr>
                  <w:tcW w:w="1093" w:type="pct"/>
                </w:tcPr>
                <w:p>
                  <w:pPr>
                    <w:shd w:val="clear" w:color="auto" w:fill="FFFFFF"/>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 xml:space="preserve">TAS-990AFG </w:t>
                  </w:r>
                </w:p>
                <w:p>
                  <w:pPr>
                    <w:shd w:val="clear" w:color="auto" w:fill="FFFFFF"/>
                    <w:adjustRightInd/>
                    <w:snapToGrid/>
                    <w:spacing w:line="240" w:lineRule="exact"/>
                    <w:jc w:val="center"/>
                    <w:outlineLvl w:val="9"/>
                    <w:rPr>
                      <w:rFonts w:ascii="Times New Roman" w:hAnsi="Times New Roman"/>
                      <w:sz w:val="21"/>
                      <w:szCs w:val="21"/>
                    </w:rPr>
                  </w:pPr>
                  <w:r>
                    <w:rPr>
                      <w:rFonts w:hint="eastAsia" w:ascii="Times New Roman" w:hAnsi="Times New Roman"/>
                      <w:sz w:val="21"/>
                      <w:szCs w:val="21"/>
                    </w:rPr>
                    <w:t>原子吸收分光光度计DFSJC-001</w:t>
                  </w:r>
                </w:p>
              </w:tc>
              <w:tc>
                <w:tcPr>
                  <w:tcW w:w="676" w:type="pct"/>
                  <w:vAlign w:val="center"/>
                </w:tcPr>
                <w:p>
                  <w:pPr>
                    <w:spacing w:line="360" w:lineRule="exact"/>
                    <w:jc w:val="center"/>
                    <w:outlineLvl w:val="9"/>
                    <w:rPr>
                      <w:rFonts w:ascii="Times New Roman" w:hAnsi="Times New Roman"/>
                      <w:kern w:val="2"/>
                      <w:sz w:val="21"/>
                      <w:szCs w:val="21"/>
                    </w:rPr>
                  </w:pPr>
                  <w:r>
                    <w:rPr>
                      <w:rFonts w:hint="eastAsia" w:ascii="Times New Roman" w:hAnsi="Times New Roman"/>
                      <w:sz w:val="21"/>
                      <w:szCs w:val="21"/>
                    </w:rPr>
                    <w:t>0.005</w:t>
                  </w:r>
                  <w:r>
                    <w:rPr>
                      <w:rFonts w:ascii="Times New Roman" w:hAnsi="Times New Roman"/>
                      <w:sz w:val="21"/>
                      <w:szCs w:val="21"/>
                    </w:rPr>
                    <w:t>mg/L</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867" w:type="pct"/>
                  <w:vAlign w:val="center"/>
                </w:tcPr>
                <w:p>
                  <w:pPr>
                    <w:adjustRightInd/>
                    <w:snapToGrid/>
                    <w:spacing w:line="240" w:lineRule="exact"/>
                    <w:jc w:val="center"/>
                    <w:outlineLvl w:val="9"/>
                    <w:rPr>
                      <w:rFonts w:ascii="Times New Roman" w:hAnsi="Times New Roman"/>
                      <w:sz w:val="21"/>
                      <w:szCs w:val="21"/>
                    </w:rPr>
                  </w:pPr>
                  <w:r>
                    <w:rPr>
                      <w:rFonts w:hint="eastAsia" w:ascii="Times New Roman" w:hAnsi="Times New Roman"/>
                      <w:szCs w:val="21"/>
                    </w:rPr>
                    <w:t>流量</w:t>
                  </w:r>
                </w:p>
              </w:tc>
              <w:tc>
                <w:tcPr>
                  <w:tcW w:w="828" w:type="pct"/>
                  <w:vAlign w:val="center"/>
                </w:tcPr>
                <w:p>
                  <w:pPr>
                    <w:shd w:val="clear" w:color="auto" w:fill="FFFFFF"/>
                    <w:adjustRightInd/>
                    <w:snapToGrid/>
                    <w:spacing w:line="240" w:lineRule="exact"/>
                    <w:jc w:val="center"/>
                    <w:outlineLvl w:val="9"/>
                    <w:rPr>
                      <w:rFonts w:ascii="Times New Roman" w:hAnsi="Times New Roman"/>
                      <w:sz w:val="21"/>
                      <w:szCs w:val="21"/>
                    </w:rPr>
                  </w:pPr>
                  <w:r>
                    <w:rPr>
                      <w:rFonts w:hint="eastAsia" w:ascii="Times New Roman" w:hAnsi="Times New Roman"/>
                      <w:szCs w:val="21"/>
                    </w:rPr>
                    <w:t>流量计法</w:t>
                  </w:r>
                </w:p>
              </w:tc>
              <w:tc>
                <w:tcPr>
                  <w:tcW w:w="1534" w:type="pct"/>
                  <w:vAlign w:val="center"/>
                </w:tcPr>
                <w:p>
                  <w:pPr>
                    <w:adjustRightInd/>
                    <w:snapToGrid/>
                    <w:spacing w:line="240" w:lineRule="exact"/>
                    <w:jc w:val="center"/>
                    <w:outlineLvl w:val="9"/>
                    <w:rPr>
                      <w:rFonts w:ascii="Times New Roman" w:hAnsi="Times New Roman"/>
                      <w:szCs w:val="21"/>
                    </w:rPr>
                  </w:pPr>
                  <w:r>
                    <w:rPr>
                      <w:rFonts w:hint="eastAsia" w:ascii="Times New Roman" w:hAnsi="Times New Roman"/>
                      <w:szCs w:val="21"/>
                    </w:rPr>
                    <w:t xml:space="preserve">污水监测技术规范 </w:t>
                  </w:r>
                </w:p>
                <w:p>
                  <w:pPr>
                    <w:adjustRightInd/>
                    <w:snapToGrid/>
                    <w:spacing w:line="240" w:lineRule="exact"/>
                    <w:jc w:val="center"/>
                    <w:outlineLvl w:val="9"/>
                    <w:rPr>
                      <w:rFonts w:ascii="Times New Roman" w:hAnsi="Times New Roman"/>
                      <w:sz w:val="21"/>
                      <w:szCs w:val="21"/>
                    </w:rPr>
                  </w:pPr>
                  <w:r>
                    <w:rPr>
                      <w:rFonts w:hint="eastAsia" w:ascii="Times New Roman" w:hAnsi="Times New Roman"/>
                      <w:szCs w:val="21"/>
                    </w:rPr>
                    <w:t xml:space="preserve"> HJ 91.1-2019</w:t>
                  </w:r>
                </w:p>
              </w:tc>
              <w:tc>
                <w:tcPr>
                  <w:tcW w:w="1093" w:type="pct"/>
                  <w:vAlign w:val="center"/>
                </w:tcPr>
                <w:p>
                  <w:pPr>
                    <w:adjustRightInd/>
                    <w:snapToGrid/>
                    <w:spacing w:line="240" w:lineRule="exact"/>
                    <w:jc w:val="center"/>
                    <w:outlineLvl w:val="9"/>
                    <w:rPr>
                      <w:rFonts w:ascii="Times New Roman" w:hAnsi="Times New Roman"/>
                      <w:kern w:val="2"/>
                      <w:sz w:val="21"/>
                      <w:szCs w:val="24"/>
                    </w:rPr>
                  </w:pPr>
                  <w:r>
                    <w:rPr>
                      <w:rFonts w:hint="eastAsia" w:ascii="Times New Roman" w:hAnsi="Times New Roman"/>
                    </w:rPr>
                    <w:t>便携式明渠流量计 HX-F3/JLYQ142</w:t>
                  </w:r>
                </w:p>
              </w:tc>
              <w:tc>
                <w:tcPr>
                  <w:tcW w:w="676" w:type="pct"/>
                  <w:vAlign w:val="center"/>
                </w:tcPr>
                <w:p>
                  <w:pPr>
                    <w:adjustRightInd/>
                    <w:snapToGrid/>
                    <w:spacing w:line="240" w:lineRule="exact"/>
                    <w:jc w:val="center"/>
                    <w:outlineLvl w:val="9"/>
                    <w:rPr>
                      <w:rFonts w:ascii="Times New Roman" w:hAnsi="Times New Roman"/>
                      <w:kern w:val="2"/>
                      <w:sz w:val="21"/>
                      <w:szCs w:val="21"/>
                    </w:rPr>
                  </w:pPr>
                  <w:r>
                    <w:rPr>
                      <w:rFonts w:hint="eastAsia" w:ascii="Times New Roman" w:hAnsi="Times New Roman"/>
                      <w:szCs w:val="21"/>
                    </w:rPr>
                    <w:t>/</w:t>
                  </w:r>
                </w:p>
              </w:tc>
            </w:tr>
          </w:tbl>
          <w:p>
            <w:pPr>
              <w:jc w:val="center"/>
              <w:outlineLvl w:val="9"/>
              <w:rPr>
                <w:rFonts w:ascii="宋体" w:hAnsi="宋体" w:cs="宋体"/>
                <w:sz w:val="24"/>
              </w:rPr>
            </w:pPr>
            <w:r>
              <w:rPr>
                <w:rFonts w:hint="eastAsia" w:ascii="宋体" w:hAnsi="宋体" w:cs="宋体"/>
                <w:b/>
                <w:sz w:val="24"/>
              </w:rPr>
              <w:t>表5-4  有组织废气检测方法、方法来源、使用仪器及检出限</w:t>
            </w:r>
          </w:p>
          <w:tbl>
            <w:tblPr>
              <w:tblStyle w:val="12"/>
              <w:tblW w:w="5000"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1438"/>
              <w:gridCol w:w="1483"/>
              <w:gridCol w:w="2931"/>
              <w:gridCol w:w="2085"/>
              <w:gridCol w:w="1235"/>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检测项目</w:t>
                  </w:r>
                </w:p>
              </w:tc>
              <w:tc>
                <w:tcPr>
                  <w:tcW w:w="811"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检测方法</w:t>
                  </w:r>
                </w:p>
              </w:tc>
              <w:tc>
                <w:tcPr>
                  <w:tcW w:w="1600"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方法来源</w:t>
                  </w:r>
                </w:p>
              </w:tc>
              <w:tc>
                <w:tcPr>
                  <w:tcW w:w="1123"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使用仪器及编号</w:t>
                  </w:r>
                </w:p>
              </w:tc>
              <w:tc>
                <w:tcPr>
                  <w:tcW w:w="676" w:type="pct"/>
                  <w:vAlign w:val="center"/>
                </w:tcPr>
                <w:p>
                  <w:pPr>
                    <w:widowControl w:val="0"/>
                    <w:adjustRightInd/>
                    <w:snapToGrid/>
                    <w:spacing w:line="240" w:lineRule="exact"/>
                    <w:jc w:val="center"/>
                    <w:outlineLvl w:val="9"/>
                    <w:rPr>
                      <w:rFonts w:ascii="Times New Roman" w:hAnsi="Times New Roman"/>
                      <w:b/>
                      <w:bCs/>
                      <w:szCs w:val="21"/>
                    </w:rPr>
                  </w:pPr>
                  <w:r>
                    <w:rPr>
                      <w:rFonts w:ascii="Times New Roman" w:hAnsi="Times New Roman"/>
                      <w:b/>
                      <w:bCs/>
                      <w:szCs w:val="21"/>
                    </w:rPr>
                    <w:t>检出限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widowControl w:val="0"/>
                    <w:adjustRightInd/>
                    <w:snapToGrid/>
                    <w:spacing w:line="240" w:lineRule="exact"/>
                    <w:jc w:val="center"/>
                    <w:outlineLvl w:val="9"/>
                    <w:rPr>
                      <w:rFonts w:ascii="Times New Roman" w:hAnsi="Times New Roman"/>
                      <w:szCs w:val="21"/>
                    </w:rPr>
                  </w:pPr>
                  <w:r>
                    <w:rPr>
                      <w:rFonts w:ascii="Times New Roman" w:hAnsi="Times New Roman"/>
                      <w:sz w:val="21"/>
                      <w:szCs w:val="21"/>
                    </w:rPr>
                    <w:t>非甲烷总烃</w:t>
                  </w:r>
                </w:p>
              </w:tc>
              <w:tc>
                <w:tcPr>
                  <w:tcW w:w="811" w:type="pct"/>
                  <w:vAlign w:val="center"/>
                </w:tcPr>
                <w:p>
                  <w:pPr>
                    <w:widowControl w:val="0"/>
                    <w:adjustRightInd/>
                    <w:snapToGrid/>
                    <w:spacing w:line="240" w:lineRule="exact"/>
                    <w:jc w:val="center"/>
                    <w:outlineLvl w:val="9"/>
                    <w:rPr>
                      <w:rFonts w:ascii="Times New Roman" w:hAnsi="Times New Roman"/>
                      <w:sz w:val="21"/>
                      <w:szCs w:val="21"/>
                    </w:rPr>
                  </w:pPr>
                  <w:r>
                    <w:rPr>
                      <w:rFonts w:ascii="Times New Roman" w:hAnsi="Times New Roman"/>
                    </w:rPr>
                    <w:t>气相色谱法</w:t>
                  </w:r>
                </w:p>
              </w:tc>
              <w:tc>
                <w:tcPr>
                  <w:tcW w:w="1600" w:type="pct"/>
                  <w:vAlign w:val="center"/>
                </w:tcPr>
                <w:p>
                  <w:pPr>
                    <w:widowControl w:val="0"/>
                    <w:adjustRightInd/>
                    <w:snapToGrid/>
                    <w:spacing w:line="240" w:lineRule="exact"/>
                    <w:jc w:val="center"/>
                    <w:outlineLvl w:val="9"/>
                    <w:rPr>
                      <w:rFonts w:ascii="Times New Roman" w:hAnsi="Times New Roman"/>
                    </w:rPr>
                  </w:pPr>
                  <w:r>
                    <w:rPr>
                      <w:rFonts w:ascii="Times New Roman" w:hAnsi="Times New Roman"/>
                    </w:rPr>
                    <w:t xml:space="preserve">固定污染源废气 总烃、甲烷和非甲烷总烃的测定 气相色谱法 </w:t>
                  </w:r>
                </w:p>
                <w:p>
                  <w:pPr>
                    <w:widowControl w:val="0"/>
                    <w:adjustRightInd/>
                    <w:snapToGrid/>
                    <w:spacing w:line="240" w:lineRule="exact"/>
                    <w:jc w:val="center"/>
                    <w:outlineLvl w:val="9"/>
                    <w:rPr>
                      <w:rFonts w:ascii="Times New Roman" w:hAnsi="Times New Roman"/>
                      <w:sz w:val="21"/>
                      <w:szCs w:val="21"/>
                    </w:rPr>
                  </w:pPr>
                  <w:r>
                    <w:rPr>
                      <w:rFonts w:ascii="Times New Roman" w:hAnsi="Times New Roman"/>
                    </w:rPr>
                    <w:t>HJ 38-2017</w:t>
                  </w:r>
                </w:p>
              </w:tc>
              <w:tc>
                <w:tcPr>
                  <w:tcW w:w="1123" w:type="pct"/>
                  <w:vAlign w:val="center"/>
                </w:tcPr>
                <w:p>
                  <w:pPr>
                    <w:widowControl w:val="0"/>
                    <w:adjustRightInd/>
                    <w:snapToGrid/>
                    <w:spacing w:line="240" w:lineRule="exact"/>
                    <w:jc w:val="center"/>
                    <w:outlineLvl w:val="9"/>
                    <w:rPr>
                      <w:rFonts w:ascii="Times New Roman" w:hAnsi="Times New Roman"/>
                      <w:szCs w:val="21"/>
                    </w:rPr>
                  </w:pPr>
                  <w:r>
                    <w:rPr>
                      <w:rFonts w:ascii="Times New Roman" w:hAnsi="Times New Roman"/>
                      <w:szCs w:val="21"/>
                    </w:rPr>
                    <w:t>气相色谱仪</w:t>
                  </w:r>
                </w:p>
                <w:p>
                  <w:pPr>
                    <w:widowControl w:val="0"/>
                    <w:adjustRightInd/>
                    <w:snapToGrid/>
                    <w:spacing w:line="240" w:lineRule="exact"/>
                    <w:jc w:val="center"/>
                    <w:outlineLvl w:val="9"/>
                    <w:rPr>
                      <w:rFonts w:ascii="Times New Roman" w:hAnsi="Times New Roman"/>
                      <w:szCs w:val="21"/>
                    </w:rPr>
                  </w:pPr>
                  <w:r>
                    <w:rPr>
                      <w:rFonts w:ascii="Times New Roman" w:hAnsi="Times New Roman"/>
                      <w:szCs w:val="21"/>
                    </w:rPr>
                    <w:t>GC2020/JLYQ025</w:t>
                  </w:r>
                </w:p>
              </w:tc>
              <w:tc>
                <w:tcPr>
                  <w:tcW w:w="676" w:type="pct"/>
                  <w:vAlign w:val="center"/>
                </w:tcPr>
                <w:p>
                  <w:pPr>
                    <w:widowControl w:val="0"/>
                    <w:adjustRightInd/>
                    <w:snapToGrid/>
                    <w:spacing w:line="240" w:lineRule="exact"/>
                    <w:jc w:val="center"/>
                    <w:outlineLvl w:val="9"/>
                    <w:rPr>
                      <w:rFonts w:ascii="Times New Roman" w:hAnsi="Times New Roman"/>
                      <w:szCs w:val="21"/>
                    </w:rPr>
                  </w:pPr>
                  <w:r>
                    <w:rPr>
                      <w:rFonts w:ascii="Times New Roman" w:hAnsi="Times New Roman"/>
                      <w:szCs w:val="21"/>
                    </w:rPr>
                    <w:t>0.07mg/m</w:t>
                  </w:r>
                  <w:r>
                    <w:rPr>
                      <w:rFonts w:ascii="Times New Roman" w:hAnsi="Times New Roman"/>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rPr>
                    <w:t>颗粒物</w:t>
                  </w:r>
                </w:p>
              </w:tc>
              <w:tc>
                <w:tcPr>
                  <w:tcW w:w="811" w:type="pct"/>
                  <w:vAlign w:val="center"/>
                </w:tcPr>
                <w:p>
                  <w:pPr>
                    <w:widowControl w:val="0"/>
                    <w:adjustRightInd/>
                    <w:snapToGrid/>
                    <w:spacing w:line="240" w:lineRule="exact"/>
                    <w:jc w:val="center"/>
                    <w:outlineLvl w:val="9"/>
                    <w:rPr>
                      <w:rFonts w:ascii="Times New Roman" w:hAnsi="Times New Roman"/>
                      <w:sz w:val="21"/>
                      <w:szCs w:val="24"/>
                    </w:rPr>
                  </w:pPr>
                  <w:r>
                    <w:rPr>
                      <w:rFonts w:ascii="Times New Roman" w:hAnsi="Times New Roman"/>
                      <w:szCs w:val="21"/>
                    </w:rPr>
                    <w:t>重量法</w:t>
                  </w:r>
                </w:p>
              </w:tc>
              <w:tc>
                <w:tcPr>
                  <w:tcW w:w="1600" w:type="pct"/>
                  <w:vAlign w:val="center"/>
                </w:tcPr>
                <w:p>
                  <w:pPr>
                    <w:widowControl w:val="0"/>
                    <w:adjustRightInd/>
                    <w:snapToGrid/>
                    <w:spacing w:line="240" w:lineRule="exact"/>
                    <w:jc w:val="center"/>
                    <w:outlineLvl w:val="9"/>
                    <w:rPr>
                      <w:rFonts w:ascii="Times New Roman" w:hAnsi="Times New Roman"/>
                      <w:sz w:val="21"/>
                      <w:szCs w:val="24"/>
                    </w:rPr>
                  </w:pPr>
                  <w:r>
                    <w:rPr>
                      <w:rFonts w:ascii="Times New Roman" w:hAnsi="Times New Roman"/>
                      <w:sz w:val="21"/>
                      <w:szCs w:val="21"/>
                    </w:rPr>
                    <w:t>固定污染源废气 低浓度颗粒物的测定 重量法 HJ 836-2017</w:t>
                  </w:r>
                </w:p>
              </w:tc>
              <w:tc>
                <w:tcPr>
                  <w:tcW w:w="1123"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十万分之一天平 HZ-104/35S/JLYQ0</w:t>
                  </w:r>
                  <w:r>
                    <w:rPr>
                      <w:rFonts w:hint="eastAsia" w:ascii="Times New Roman" w:hAnsi="Times New Roman"/>
                      <w:szCs w:val="21"/>
                    </w:rPr>
                    <w:t>10</w:t>
                  </w:r>
                </w:p>
              </w:tc>
              <w:tc>
                <w:tcPr>
                  <w:tcW w:w="676" w:type="pct"/>
                  <w:vAlign w:val="center"/>
                </w:tcPr>
                <w:p>
                  <w:pPr>
                    <w:widowControl w:val="0"/>
                    <w:adjustRightInd/>
                    <w:snapToGrid/>
                    <w:spacing w:line="240" w:lineRule="exact"/>
                    <w:jc w:val="center"/>
                    <w:outlineLvl w:val="9"/>
                    <w:rPr>
                      <w:rFonts w:ascii="Times New Roman" w:hAnsi="Times New Roman"/>
                      <w:kern w:val="2"/>
                      <w:sz w:val="21"/>
                      <w:szCs w:val="21"/>
                    </w:rPr>
                  </w:pPr>
                  <w:r>
                    <w:rPr>
                      <w:rFonts w:ascii="Times New Roman" w:hAnsi="Times New Roman"/>
                      <w:szCs w:val="21"/>
                    </w:rPr>
                    <w:t>1.0mg/m</w:t>
                  </w:r>
                  <w:r>
                    <w:rPr>
                      <w:rFonts w:ascii="Times New Roman" w:hAnsi="Times New Roman"/>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spacing w:line="260" w:lineRule="exact"/>
                    <w:jc w:val="center"/>
                    <w:outlineLvl w:val="9"/>
                    <w:rPr>
                      <w:rFonts w:ascii="Times New Roman" w:hAnsi="Times New Roman"/>
                      <w:kern w:val="2"/>
                      <w:sz w:val="21"/>
                      <w:szCs w:val="21"/>
                    </w:rPr>
                  </w:pPr>
                  <w:r>
                    <w:rPr>
                      <w:rFonts w:ascii="Times New Roman" w:hAnsi="Times New Roman"/>
                      <w:sz w:val="21"/>
                      <w:szCs w:val="21"/>
                    </w:rPr>
                    <w:t>氮氧化物</w:t>
                  </w:r>
                </w:p>
              </w:tc>
              <w:tc>
                <w:tcPr>
                  <w:tcW w:w="811" w:type="pct"/>
                  <w:vAlign w:val="center"/>
                </w:tcPr>
                <w:p>
                  <w:pPr>
                    <w:spacing w:line="260" w:lineRule="exact"/>
                    <w:jc w:val="center"/>
                    <w:outlineLvl w:val="9"/>
                    <w:rPr>
                      <w:rFonts w:ascii="Times New Roman" w:hAnsi="Times New Roman"/>
                      <w:sz w:val="21"/>
                      <w:szCs w:val="21"/>
                    </w:rPr>
                  </w:pPr>
                  <w:r>
                    <w:rPr>
                      <w:rStyle w:val="27"/>
                      <w:rFonts w:hint="default" w:ascii="Times New Roman" w:hAnsi="Times New Roman" w:cs="Times New Roman"/>
                    </w:rPr>
                    <w:t>定电位电解法</w:t>
                  </w:r>
                </w:p>
              </w:tc>
              <w:tc>
                <w:tcPr>
                  <w:tcW w:w="1600" w:type="pct"/>
                  <w:vAlign w:val="center"/>
                </w:tcPr>
                <w:p>
                  <w:pPr>
                    <w:jc w:val="center"/>
                    <w:textAlignment w:val="center"/>
                    <w:outlineLvl w:val="9"/>
                    <w:rPr>
                      <w:rFonts w:ascii="Times New Roman" w:hAnsi="Times New Roman"/>
                      <w:color w:val="000000"/>
                      <w:kern w:val="2"/>
                      <w:sz w:val="21"/>
                      <w:szCs w:val="21"/>
                    </w:rPr>
                  </w:pPr>
                  <w:r>
                    <w:rPr>
                      <w:rStyle w:val="28"/>
                      <w:rFonts w:hint="default" w:ascii="Times New Roman" w:hAnsi="Times New Roman" w:cs="Times New Roman"/>
                      <w:sz w:val="21"/>
                      <w:szCs w:val="21"/>
                    </w:rPr>
                    <w:t>固定污染源废气 氮氧化物的测定 定电位电解法HJ 693-2014</w:t>
                  </w:r>
                </w:p>
              </w:tc>
              <w:tc>
                <w:tcPr>
                  <w:tcW w:w="1123" w:type="pct"/>
                  <w:vAlign w:val="center"/>
                </w:tcPr>
                <w:p>
                  <w:pPr>
                    <w:jc w:val="center"/>
                    <w:textAlignment w:val="center"/>
                    <w:outlineLvl w:val="9"/>
                    <w:rPr>
                      <w:rFonts w:ascii="Times New Roman" w:hAnsi="Times New Roman"/>
                      <w:kern w:val="2"/>
                      <w:sz w:val="21"/>
                      <w:szCs w:val="21"/>
                    </w:rPr>
                  </w:pPr>
                  <w:r>
                    <w:rPr>
                      <w:rFonts w:ascii="Times New Roman" w:hAnsi="Times New Roman"/>
                      <w:sz w:val="21"/>
                      <w:szCs w:val="21"/>
                    </w:rPr>
                    <w:t xml:space="preserve"> 智能烟尘烟气分析仪        EM-3088/JLYQ</w:t>
                  </w:r>
                  <w:r>
                    <w:rPr>
                      <w:rFonts w:hint="eastAsia" w:ascii="Times New Roman" w:hAnsi="Times New Roman"/>
                      <w:sz w:val="21"/>
                      <w:szCs w:val="21"/>
                    </w:rPr>
                    <w:t>059</w:t>
                  </w:r>
                </w:p>
              </w:tc>
              <w:tc>
                <w:tcPr>
                  <w:tcW w:w="676" w:type="pct"/>
                  <w:vAlign w:val="center"/>
                </w:tcPr>
                <w:p>
                  <w:pPr>
                    <w:jc w:val="center"/>
                    <w:textAlignment w:val="center"/>
                    <w:outlineLvl w:val="9"/>
                    <w:rPr>
                      <w:rFonts w:ascii="Times New Roman" w:hAnsi="Times New Roman"/>
                      <w:kern w:val="2"/>
                      <w:sz w:val="21"/>
                      <w:szCs w:val="21"/>
                    </w:rPr>
                  </w:pPr>
                  <w:r>
                    <w:rPr>
                      <w:rFonts w:ascii="Times New Roman" w:hAnsi="Times New Roman"/>
                      <w:color w:val="000000"/>
                      <w:sz w:val="21"/>
                      <w:szCs w:val="21"/>
                    </w:rPr>
                    <w:t>3mg/m</w:t>
                  </w:r>
                  <w:r>
                    <w:rPr>
                      <w:rFonts w:ascii="Times New Roman" w:hAnsi="Times New Roman"/>
                      <w:color w:val="000000"/>
                      <w:sz w:val="21"/>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spacing w:line="260" w:lineRule="exact"/>
                    <w:jc w:val="center"/>
                    <w:outlineLvl w:val="9"/>
                    <w:rPr>
                      <w:rFonts w:ascii="Times New Roman" w:hAnsi="Times New Roman"/>
                      <w:kern w:val="2"/>
                      <w:sz w:val="21"/>
                      <w:szCs w:val="21"/>
                    </w:rPr>
                  </w:pPr>
                  <w:r>
                    <w:rPr>
                      <w:rFonts w:hint="eastAsia" w:ascii="Times New Roman" w:hAnsi="Times New Roman"/>
                      <w:sz w:val="21"/>
                      <w:szCs w:val="21"/>
                    </w:rPr>
                    <w:t>二氧化硫</w:t>
                  </w:r>
                </w:p>
              </w:tc>
              <w:tc>
                <w:tcPr>
                  <w:tcW w:w="811" w:type="pct"/>
                  <w:vAlign w:val="center"/>
                </w:tcPr>
                <w:p>
                  <w:pPr>
                    <w:spacing w:line="260" w:lineRule="exact"/>
                    <w:jc w:val="center"/>
                    <w:outlineLvl w:val="9"/>
                    <w:rPr>
                      <w:rFonts w:ascii="Times New Roman" w:hAnsi="Times New Roman"/>
                      <w:sz w:val="21"/>
                      <w:szCs w:val="24"/>
                    </w:rPr>
                  </w:pPr>
                  <w:r>
                    <w:rPr>
                      <w:rFonts w:hint="eastAsia" w:ascii="Times New Roman" w:hAnsi="Times New Roman"/>
                    </w:rPr>
                    <w:t>定电位电解法</w:t>
                  </w:r>
                </w:p>
              </w:tc>
              <w:tc>
                <w:tcPr>
                  <w:tcW w:w="1600" w:type="pct"/>
                  <w:vAlign w:val="center"/>
                </w:tcPr>
                <w:p>
                  <w:pPr>
                    <w:spacing w:line="320" w:lineRule="exact"/>
                    <w:jc w:val="center"/>
                    <w:outlineLvl w:val="9"/>
                    <w:rPr>
                      <w:rFonts w:ascii="Times New Roman" w:hAnsi="Times New Roman"/>
                      <w:sz w:val="21"/>
                      <w:szCs w:val="24"/>
                    </w:rPr>
                  </w:pPr>
                  <w:r>
                    <w:rPr>
                      <w:rFonts w:hint="eastAsia" w:ascii="Times New Roman" w:hAnsi="Times New Roman"/>
                    </w:rPr>
                    <w:t>固定污染源废气 二氧化硫的测定 定电位电解法 HJ 57-2017</w:t>
                  </w:r>
                </w:p>
              </w:tc>
              <w:tc>
                <w:tcPr>
                  <w:tcW w:w="1123" w:type="pct"/>
                  <w:vAlign w:val="center"/>
                </w:tcPr>
                <w:p>
                  <w:pPr>
                    <w:spacing w:line="340" w:lineRule="exact"/>
                    <w:jc w:val="center"/>
                    <w:outlineLvl w:val="9"/>
                    <w:rPr>
                      <w:rFonts w:ascii="Times New Roman" w:hAnsi="Times New Roman"/>
                      <w:kern w:val="2"/>
                      <w:sz w:val="21"/>
                      <w:szCs w:val="21"/>
                    </w:rPr>
                  </w:pPr>
                  <w:r>
                    <w:rPr>
                      <w:rFonts w:hint="eastAsia" w:ascii="Times New Roman" w:hAnsi="Times New Roman"/>
                      <w:szCs w:val="21"/>
                    </w:rPr>
                    <w:t>智能烟尘烟气分析仪 EM-3088/JLYQ059</w:t>
                  </w:r>
                </w:p>
              </w:tc>
              <w:tc>
                <w:tcPr>
                  <w:tcW w:w="676" w:type="pct"/>
                  <w:vAlign w:val="center"/>
                </w:tcPr>
                <w:p>
                  <w:pPr>
                    <w:spacing w:line="360" w:lineRule="exact"/>
                    <w:jc w:val="center"/>
                    <w:outlineLvl w:val="9"/>
                    <w:rPr>
                      <w:rFonts w:ascii="Times New Roman" w:hAnsi="Times New Roman"/>
                      <w:kern w:val="2"/>
                      <w:sz w:val="21"/>
                      <w:szCs w:val="21"/>
                    </w:rPr>
                  </w:pPr>
                  <w:r>
                    <w:rPr>
                      <w:rFonts w:hint="eastAsia" w:ascii="Times New Roman" w:hAnsi="Times New Roman"/>
                      <w:szCs w:val="21"/>
                    </w:rPr>
                    <w:t>3</w:t>
                  </w:r>
                  <w:r>
                    <w:rPr>
                      <w:rFonts w:ascii="Times New Roman" w:hAnsi="Times New Roman"/>
                      <w:szCs w:val="21"/>
                    </w:rPr>
                    <w:t>mg/m</w:t>
                  </w:r>
                  <w:r>
                    <w:rPr>
                      <w:rFonts w:ascii="Times New Roman" w:hAnsi="Times New Roman"/>
                      <w:szCs w:val="21"/>
                      <w:vertAlign w:val="superscript"/>
                    </w:rPr>
                    <w:t>3</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425" w:hRule="atLeast"/>
                <w:tblHeader/>
              </w:trPr>
              <w:tc>
                <w:tcPr>
                  <w:tcW w:w="787" w:type="pct"/>
                  <w:vAlign w:val="center"/>
                </w:tcPr>
                <w:p>
                  <w:pPr>
                    <w:widowControl w:val="0"/>
                    <w:adjustRightInd/>
                    <w:snapToGrid/>
                    <w:jc w:val="center"/>
                    <w:outlineLvl w:val="9"/>
                    <w:rPr>
                      <w:rFonts w:ascii="Times New Roman" w:hAnsi="Times New Roman"/>
                      <w:kern w:val="2"/>
                      <w:sz w:val="21"/>
                      <w:szCs w:val="21"/>
                    </w:rPr>
                  </w:pPr>
                  <w:r>
                    <w:rPr>
                      <w:rFonts w:ascii="Times New Roman" w:hAnsi="Times New Roman"/>
                      <w:szCs w:val="21"/>
                    </w:rPr>
                    <w:t>*</w:t>
                  </w:r>
                  <w:r>
                    <w:rPr>
                      <w:rFonts w:hint="eastAsia" w:ascii="Times New Roman" w:hAnsi="Times New Roman"/>
                      <w:szCs w:val="21"/>
                    </w:rPr>
                    <w:t>氯化氢</w:t>
                  </w:r>
                </w:p>
              </w:tc>
              <w:tc>
                <w:tcPr>
                  <w:tcW w:w="811" w:type="pct"/>
                  <w:vAlign w:val="center"/>
                </w:tcPr>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离子色谱法</w:t>
                  </w:r>
                </w:p>
              </w:tc>
              <w:tc>
                <w:tcPr>
                  <w:tcW w:w="1600" w:type="pct"/>
                  <w:vAlign w:val="center"/>
                </w:tcPr>
                <w:p>
                  <w:pPr>
                    <w:adjustRightInd/>
                    <w:snapToGrid/>
                    <w:jc w:val="center"/>
                    <w:outlineLvl w:val="9"/>
                    <w:rPr>
                      <w:rFonts w:ascii="Times New Roman" w:hAnsi="Times New Roman"/>
                      <w:bCs/>
                      <w:color w:val="000000"/>
                      <w:sz w:val="21"/>
                      <w:szCs w:val="21"/>
                    </w:rPr>
                  </w:pPr>
                  <w:r>
                    <w:rPr>
                      <w:rFonts w:hint="eastAsia" w:ascii="Times New Roman" w:hAnsi="Times New Roman"/>
                      <w:bCs/>
                      <w:color w:val="000000"/>
                      <w:sz w:val="21"/>
                      <w:szCs w:val="21"/>
                    </w:rPr>
                    <w:t xml:space="preserve">环境空气和废气 氯化氢的测定 </w:t>
                  </w:r>
                  <w:r>
                    <w:rPr>
                      <w:rFonts w:ascii="Times New Roman" w:hAnsi="Times New Roman"/>
                      <w:bCs/>
                      <w:color w:val="000000"/>
                      <w:sz w:val="21"/>
                      <w:szCs w:val="21"/>
                    </w:rPr>
                    <w:t>离子色谱法</w:t>
                  </w:r>
                </w:p>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HJ 549-2016</w:t>
                  </w:r>
                </w:p>
              </w:tc>
              <w:tc>
                <w:tcPr>
                  <w:tcW w:w="1123" w:type="pct"/>
                  <w:vAlign w:val="center"/>
                </w:tcPr>
                <w:p>
                  <w:pPr>
                    <w:adjustRightInd/>
                    <w:snapToGrid/>
                    <w:jc w:val="center"/>
                    <w:outlineLvl w:val="9"/>
                    <w:rPr>
                      <w:rFonts w:ascii="Times New Roman" w:hAnsi="Times New Roman"/>
                      <w:bCs/>
                      <w:color w:val="000000"/>
                      <w:kern w:val="2"/>
                      <w:sz w:val="21"/>
                      <w:szCs w:val="21"/>
                    </w:rPr>
                  </w:pPr>
                  <w:r>
                    <w:rPr>
                      <w:rFonts w:ascii="Times New Roman" w:hAnsi="Times New Roman"/>
                      <w:bCs/>
                      <w:color w:val="000000"/>
                      <w:sz w:val="21"/>
                      <w:szCs w:val="21"/>
                    </w:rPr>
                    <w:t>ICS-600</w:t>
                  </w:r>
                  <w:r>
                    <w:rPr>
                      <w:rFonts w:hint="eastAsia" w:ascii="Times New Roman" w:hAnsi="Times New Roman"/>
                      <w:bCs/>
                      <w:color w:val="000000"/>
                      <w:sz w:val="21"/>
                      <w:szCs w:val="21"/>
                    </w:rPr>
                    <w:t xml:space="preserve"> 离子色谱仪 DFSJC-006</w:t>
                  </w:r>
                </w:p>
              </w:tc>
              <w:tc>
                <w:tcPr>
                  <w:tcW w:w="676" w:type="pct"/>
                  <w:vAlign w:val="center"/>
                </w:tcPr>
                <w:p>
                  <w:pPr>
                    <w:adjustRightInd/>
                    <w:snapToGrid/>
                    <w:jc w:val="center"/>
                    <w:outlineLvl w:val="9"/>
                    <w:rPr>
                      <w:rFonts w:ascii="Times New Roman" w:hAnsi="Times New Roman"/>
                      <w:bCs/>
                      <w:color w:val="000000"/>
                      <w:kern w:val="2"/>
                      <w:sz w:val="21"/>
                      <w:szCs w:val="21"/>
                    </w:rPr>
                  </w:pPr>
                  <w:r>
                    <w:rPr>
                      <w:rFonts w:hint="eastAsia" w:ascii="Times New Roman" w:hAnsi="Times New Roman"/>
                      <w:bCs/>
                      <w:color w:val="000000"/>
                      <w:sz w:val="21"/>
                      <w:szCs w:val="21"/>
                    </w:rPr>
                    <w:t>0.2</w:t>
                  </w:r>
                  <w:r>
                    <w:rPr>
                      <w:rFonts w:hint="eastAsia" w:ascii="Times New Roman" w:hAnsi="Times New Roman"/>
                      <w:bCs/>
                      <w:iCs/>
                      <w:color w:val="000000"/>
                      <w:sz w:val="21"/>
                      <w:szCs w:val="21"/>
                    </w:rPr>
                    <w:t>mg/</w:t>
                  </w:r>
                  <w:r>
                    <w:rPr>
                      <w:rFonts w:ascii="Times New Roman" w:hAnsi="Times New Roman"/>
                      <w:bCs/>
                      <w:iCs/>
                      <w:color w:val="000000"/>
                      <w:sz w:val="21"/>
                      <w:szCs w:val="21"/>
                    </w:rPr>
                    <w:t>m</w:t>
                  </w:r>
                  <w:r>
                    <w:rPr>
                      <w:rFonts w:ascii="Times New Roman" w:hAnsi="Times New Roman"/>
                      <w:bCs/>
                      <w:iCs/>
                      <w:color w:val="000000"/>
                      <w:sz w:val="21"/>
                      <w:szCs w:val="21"/>
                      <w:vertAlign w:val="superscript"/>
                    </w:rPr>
                    <w:t>3</w:t>
                  </w:r>
                </w:p>
              </w:tc>
            </w:tr>
          </w:tbl>
          <w:p>
            <w:pPr>
              <w:pStyle w:val="6"/>
              <w:spacing w:line="360" w:lineRule="auto"/>
              <w:ind w:left="0" w:leftChars="0"/>
              <w:outlineLvl w:val="9"/>
              <w:rPr>
                <w:rFonts w:asciiTheme="majorEastAsia" w:hAnsiTheme="majorEastAsia" w:eastAsiaTheme="majorEastAsia" w:cstheme="majorEastAsia"/>
                <w:bCs/>
                <w:sz w:val="24"/>
              </w:rPr>
            </w:pPr>
          </w:p>
        </w:tc>
      </w:tr>
    </w:tbl>
    <w:p/>
    <w:p>
      <w:r>
        <w:br w:type="page"/>
      </w:r>
    </w:p>
    <w:p>
      <w:pPr>
        <w:outlineLvl w:val="0"/>
        <w:rPr>
          <w:rFonts w:asciiTheme="majorEastAsia" w:hAnsiTheme="majorEastAsia" w:eastAsiaTheme="majorEastAsia" w:cstheme="majorEastAsia"/>
          <w:b/>
          <w:color w:val="auto"/>
          <w:sz w:val="28"/>
          <w:szCs w:val="28"/>
        </w:rPr>
      </w:pPr>
      <w:bookmarkStart w:id="37" w:name="_Toc6629"/>
      <w:bookmarkStart w:id="38" w:name="_Toc26559"/>
      <w:bookmarkStart w:id="39" w:name="_Toc1752"/>
      <w:bookmarkStart w:id="40" w:name="_Toc17348_WPSOffice_Level1"/>
      <w:bookmarkStart w:id="41" w:name="_Toc20393_WPSOffice_Level1"/>
      <w:r>
        <w:rPr>
          <w:rFonts w:hint="eastAsia" w:asciiTheme="majorEastAsia" w:hAnsiTheme="majorEastAsia" w:eastAsiaTheme="majorEastAsia" w:cstheme="majorEastAsia"/>
          <w:b/>
          <w:color w:val="auto"/>
          <w:sz w:val="28"/>
          <w:szCs w:val="28"/>
        </w:rPr>
        <w:t>表六 验收监测内容</w:t>
      </w:r>
      <w:bookmarkEnd w:id="37"/>
      <w:bookmarkEnd w:id="38"/>
      <w:bookmarkEnd w:id="39"/>
      <w:bookmarkEnd w:id="40"/>
      <w:bookmarkEnd w:id="41"/>
    </w:p>
    <w:tbl>
      <w:tblPr>
        <w:tblStyle w:val="12"/>
        <w:tblpPr w:leftFromText="180" w:rightFromText="180" w:vertAnchor="text" w:tblpX="1" w:tblpY="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9" w:hRule="atLeast"/>
        </w:trPr>
        <w:tc>
          <w:tcPr>
            <w:tcW w:w="0" w:type="auto"/>
          </w:tcPr>
          <w:p>
            <w:pPr>
              <w:spacing w:line="240" w:lineRule="auto"/>
              <w:outlineLvl w:val="9"/>
              <w:rPr>
                <w:rFonts w:ascii="宋体" w:hAnsi="宋体" w:cs="宋体"/>
              </w:rPr>
            </w:pPr>
            <w:r>
              <w:rPr>
                <w:rFonts w:hint="eastAsia" w:ascii="宋体" w:hAnsi="宋体" w:cs="宋体"/>
              </w:rPr>
              <w:t>6.1、验收监测评价标准</w:t>
            </w:r>
          </w:p>
          <w:p>
            <w:pPr>
              <w:spacing w:line="360" w:lineRule="auto"/>
              <w:ind w:firstLine="480" w:firstLineChars="200"/>
              <w:outlineLvl w:val="9"/>
              <w:rPr>
                <w:rFonts w:ascii="Times New Roman" w:hAnsi="Times New Roman"/>
                <w:sz w:val="24"/>
                <w:szCs w:val="24"/>
              </w:rPr>
            </w:pPr>
            <w:r>
              <w:rPr>
                <w:rFonts w:ascii="Times New Roman" w:hAnsi="Times New Roman"/>
                <w:sz w:val="24"/>
                <w:szCs w:val="24"/>
              </w:rPr>
              <w:t>有组织废气</w:t>
            </w:r>
            <w:r>
              <w:rPr>
                <w:rFonts w:hint="eastAsia" w:ascii="Times New Roman" w:hAnsi="Times New Roman"/>
                <w:sz w:val="24"/>
                <w:szCs w:val="24"/>
              </w:rPr>
              <w:t>非甲烷总烃</w:t>
            </w:r>
            <w:r>
              <w:rPr>
                <w:rFonts w:ascii="Times New Roman" w:hAnsi="Times New Roman"/>
                <w:bCs/>
                <w:sz w:val="24"/>
                <w:szCs w:val="24"/>
              </w:rPr>
              <w:t>（</w:t>
            </w:r>
            <w:r>
              <w:rPr>
                <w:rFonts w:ascii="Times New Roman" w:hAnsi="Times New Roman"/>
                <w:sz w:val="24"/>
                <w:szCs w:val="24"/>
              </w:rPr>
              <w:t>VOCs 以综合响应的方法测量非甲烷有机化合物（以 NMOC 表示，以碳计））执行《四川省固定污染源大气挥发性有机物排放标准》（DB51/ 2377-2017）</w:t>
            </w:r>
            <w:r>
              <w:rPr>
                <w:rFonts w:hint="eastAsia" w:ascii="Times New Roman" w:hAnsi="Times New Roman"/>
                <w:sz w:val="24"/>
                <w:szCs w:val="24"/>
              </w:rPr>
              <w:t>表3中表面涂装行业排放浓度限值，2#、3#点位的颗粒物、1#点位的</w:t>
            </w:r>
            <w:r>
              <w:rPr>
                <w:rFonts w:ascii="Times New Roman" w:hAnsi="Times New Roman"/>
                <w:sz w:val="24"/>
                <w:szCs w:val="24"/>
              </w:rPr>
              <w:t>*</w:t>
            </w:r>
            <w:r>
              <w:rPr>
                <w:rFonts w:hint="eastAsia" w:ascii="Times New Roman" w:hAnsi="Times New Roman"/>
                <w:sz w:val="24"/>
                <w:szCs w:val="24"/>
              </w:rPr>
              <w:t>氯化氢</w:t>
            </w:r>
            <w:r>
              <w:rPr>
                <w:rFonts w:ascii="Times New Roman" w:hAnsi="Times New Roman"/>
                <w:sz w:val="24"/>
                <w:szCs w:val="24"/>
              </w:rPr>
              <w:t>执行</w:t>
            </w:r>
            <w:r>
              <w:rPr>
                <w:rFonts w:ascii="Times New Roman" w:hAnsi="Times New Roman"/>
                <w:bCs/>
                <w:sz w:val="24"/>
                <w:szCs w:val="24"/>
              </w:rPr>
              <w:t>《大气污染物综合排放标准》（GB</w:t>
            </w:r>
            <w:r>
              <w:rPr>
                <w:rFonts w:hint="eastAsia" w:ascii="Times New Roman" w:hAnsi="Times New Roman"/>
                <w:sz w:val="24"/>
                <w:szCs w:val="24"/>
              </w:rPr>
              <w:t xml:space="preserve"> </w:t>
            </w:r>
            <w:r>
              <w:rPr>
                <w:rFonts w:ascii="Times New Roman" w:hAnsi="Times New Roman"/>
                <w:sz w:val="24"/>
                <w:szCs w:val="24"/>
              </w:rPr>
              <w:t>16297-1996）表2中</w:t>
            </w:r>
            <w:r>
              <w:rPr>
                <w:rFonts w:hint="eastAsia" w:ascii="Times New Roman" w:hAnsi="Times New Roman"/>
                <w:sz w:val="24"/>
                <w:szCs w:val="24"/>
              </w:rPr>
              <w:t>有</w:t>
            </w:r>
            <w:r>
              <w:rPr>
                <w:rFonts w:ascii="Times New Roman" w:hAnsi="Times New Roman"/>
                <w:sz w:val="24"/>
                <w:szCs w:val="24"/>
              </w:rPr>
              <w:t>组织</w:t>
            </w:r>
            <w:r>
              <w:rPr>
                <w:rFonts w:hint="eastAsia" w:ascii="Times New Roman" w:hAnsi="Times New Roman"/>
                <w:sz w:val="24"/>
                <w:szCs w:val="24"/>
              </w:rPr>
              <w:t>二级排放标准</w:t>
            </w:r>
            <w:r>
              <w:rPr>
                <w:rFonts w:ascii="Times New Roman" w:hAnsi="Times New Roman"/>
                <w:sz w:val="24"/>
                <w:szCs w:val="24"/>
              </w:rPr>
              <w:t>限值</w:t>
            </w:r>
            <w:r>
              <w:rPr>
                <w:rFonts w:hint="eastAsia" w:ascii="Times New Roman" w:hAnsi="Times New Roman"/>
                <w:sz w:val="24"/>
                <w:szCs w:val="24"/>
              </w:rPr>
              <w:t>，见下表6-1-1；4#点位的颗粒物、二氧化硫、氮氧化物执行《四川省工业炉窑大气污染物综合治理实施清单》标准限值，</w:t>
            </w:r>
            <w:r>
              <w:rPr>
                <w:rFonts w:ascii="Times New Roman" w:hAnsi="Times New Roman"/>
                <w:bCs/>
                <w:sz w:val="24"/>
                <w:szCs w:val="24"/>
              </w:rPr>
              <w:t>见下表</w:t>
            </w:r>
            <w:r>
              <w:rPr>
                <w:rFonts w:hint="eastAsia" w:ascii="Times New Roman" w:hAnsi="Times New Roman"/>
                <w:bCs/>
                <w:sz w:val="24"/>
                <w:szCs w:val="24"/>
              </w:rPr>
              <w:t>6</w:t>
            </w:r>
            <w:r>
              <w:rPr>
                <w:rFonts w:ascii="Times New Roman" w:hAnsi="Times New Roman"/>
                <w:bCs/>
                <w:sz w:val="24"/>
                <w:szCs w:val="24"/>
              </w:rPr>
              <w:t>-</w:t>
            </w:r>
            <w:r>
              <w:rPr>
                <w:rFonts w:hint="eastAsia" w:ascii="Times New Roman" w:hAnsi="Times New Roman"/>
                <w:bCs/>
                <w:sz w:val="24"/>
                <w:szCs w:val="24"/>
              </w:rPr>
              <w:t>1-2。</w:t>
            </w:r>
          </w:p>
          <w:p>
            <w:pPr>
              <w:spacing w:line="360" w:lineRule="auto"/>
              <w:ind w:firstLine="480" w:firstLineChars="200"/>
              <w:outlineLvl w:val="9"/>
              <w:rPr>
                <w:rFonts w:ascii="Times New Roman" w:hAnsi="Times New Roman"/>
                <w:bCs/>
                <w:sz w:val="24"/>
                <w:szCs w:val="24"/>
              </w:rPr>
            </w:pPr>
            <w:r>
              <w:rPr>
                <w:rFonts w:hint="eastAsia" w:ascii="Times New Roman" w:hAnsi="Times New Roman"/>
                <w:bCs/>
                <w:sz w:val="24"/>
                <w:szCs w:val="24"/>
              </w:rPr>
              <w:t>工业企业厂界环境</w:t>
            </w:r>
            <w:r>
              <w:rPr>
                <w:rFonts w:ascii="Times New Roman" w:hAnsi="Times New Roman"/>
                <w:bCs/>
                <w:sz w:val="24"/>
                <w:szCs w:val="24"/>
              </w:rPr>
              <w:t>噪声执行《工业企业厂界环境噪声排放标准》（GB 12348-2008）表1中</w:t>
            </w:r>
            <w:r>
              <w:rPr>
                <w:rFonts w:hint="eastAsia" w:ascii="Times New Roman" w:hAnsi="Times New Roman"/>
                <w:bCs/>
                <w:sz w:val="24"/>
                <w:szCs w:val="24"/>
              </w:rPr>
              <w:t>3</w:t>
            </w:r>
            <w:r>
              <w:rPr>
                <w:rFonts w:ascii="Times New Roman" w:hAnsi="Times New Roman"/>
                <w:bCs/>
                <w:sz w:val="24"/>
                <w:szCs w:val="24"/>
              </w:rPr>
              <w:t>类功能区标准限值，见下表</w:t>
            </w:r>
            <w:r>
              <w:rPr>
                <w:rFonts w:hint="eastAsia" w:ascii="Times New Roman" w:hAnsi="Times New Roman"/>
                <w:bCs/>
                <w:sz w:val="24"/>
                <w:szCs w:val="24"/>
              </w:rPr>
              <w:t>6</w:t>
            </w:r>
            <w:r>
              <w:rPr>
                <w:rFonts w:ascii="Times New Roman" w:hAnsi="Times New Roman"/>
                <w:bCs/>
                <w:sz w:val="24"/>
                <w:szCs w:val="24"/>
              </w:rPr>
              <w:t>-</w:t>
            </w:r>
            <w:r>
              <w:rPr>
                <w:rFonts w:hint="eastAsia" w:ascii="Times New Roman" w:hAnsi="Times New Roman"/>
                <w:bCs/>
                <w:sz w:val="24"/>
                <w:szCs w:val="24"/>
              </w:rPr>
              <w:t>2</w:t>
            </w:r>
            <w:r>
              <w:rPr>
                <w:rFonts w:ascii="Times New Roman" w:hAnsi="Times New Roman"/>
                <w:bCs/>
                <w:sz w:val="24"/>
                <w:szCs w:val="24"/>
              </w:rPr>
              <w:t>。</w:t>
            </w:r>
          </w:p>
          <w:p>
            <w:pPr>
              <w:spacing w:line="360" w:lineRule="auto"/>
              <w:ind w:firstLine="480" w:firstLineChars="200"/>
              <w:outlineLvl w:val="9"/>
              <w:rPr>
                <w:rFonts w:ascii="Times New Roman" w:hAnsi="Times New Roman"/>
                <w:bCs/>
                <w:sz w:val="24"/>
                <w:szCs w:val="24"/>
              </w:rPr>
            </w:pPr>
            <w:r>
              <w:rPr>
                <w:rFonts w:ascii="Times New Roman" w:hAnsi="Times New Roman"/>
                <w:sz w:val="24"/>
                <w:szCs w:val="24"/>
              </w:rPr>
              <w:t>无组织废气</w:t>
            </w:r>
            <w:r>
              <w:rPr>
                <w:rFonts w:hint="eastAsia" w:ascii="Times New Roman" w:hAnsi="Times New Roman"/>
                <w:sz w:val="24"/>
                <w:szCs w:val="24"/>
              </w:rPr>
              <w:t>非甲烷总烃</w:t>
            </w:r>
            <w:r>
              <w:rPr>
                <w:rFonts w:ascii="Times New Roman" w:hAnsi="Times New Roman"/>
                <w:bCs/>
                <w:sz w:val="24"/>
                <w:szCs w:val="24"/>
              </w:rPr>
              <w:t>（</w:t>
            </w:r>
            <w:r>
              <w:rPr>
                <w:rFonts w:ascii="Times New Roman" w:hAnsi="Times New Roman"/>
                <w:sz w:val="24"/>
                <w:szCs w:val="24"/>
              </w:rPr>
              <w:t>VOCs 以综合响应的方法测量非甲烷有机化合物（以 NMOC 表示，以碳计））执行《四川省固定污染源大气挥发性有机物排放标准》（DB51/ 2377-2017）表</w:t>
            </w:r>
            <w:r>
              <w:rPr>
                <w:rFonts w:hint="eastAsia" w:ascii="Times New Roman" w:hAnsi="Times New Roman"/>
                <w:sz w:val="24"/>
                <w:szCs w:val="24"/>
              </w:rPr>
              <w:t>5中其他无组织排放监控浓度限值，颗粒物、二氧化硫、氮氧化物、</w:t>
            </w:r>
            <w:r>
              <w:rPr>
                <w:rFonts w:ascii="Times New Roman" w:hAnsi="Times New Roman"/>
                <w:sz w:val="24"/>
                <w:szCs w:val="24"/>
              </w:rPr>
              <w:t>*</w:t>
            </w:r>
            <w:r>
              <w:rPr>
                <w:rFonts w:hint="eastAsia" w:ascii="Times New Roman" w:hAnsi="Times New Roman"/>
                <w:sz w:val="24"/>
                <w:szCs w:val="24"/>
              </w:rPr>
              <w:t>氯化氢</w:t>
            </w:r>
            <w:bookmarkStart w:id="59" w:name="_GoBack"/>
            <w:bookmarkEnd w:id="59"/>
            <w:r>
              <w:rPr>
                <w:rFonts w:ascii="Times New Roman" w:hAnsi="Times New Roman"/>
                <w:sz w:val="24"/>
                <w:szCs w:val="24"/>
              </w:rPr>
              <w:t>执行</w:t>
            </w:r>
            <w:r>
              <w:rPr>
                <w:rFonts w:ascii="Times New Roman" w:hAnsi="Times New Roman"/>
                <w:bCs/>
                <w:sz w:val="24"/>
                <w:szCs w:val="24"/>
              </w:rPr>
              <w:t>《大气污染物综合排放标准》（GB</w:t>
            </w:r>
            <w:r>
              <w:rPr>
                <w:rFonts w:hint="eastAsia" w:ascii="Times New Roman" w:hAnsi="Times New Roman"/>
                <w:sz w:val="24"/>
                <w:szCs w:val="24"/>
              </w:rPr>
              <w:t xml:space="preserve"> </w:t>
            </w:r>
            <w:r>
              <w:rPr>
                <w:rFonts w:ascii="Times New Roman" w:hAnsi="Times New Roman"/>
                <w:sz w:val="24"/>
                <w:szCs w:val="24"/>
              </w:rPr>
              <w:t>16297-1996）表2</w:t>
            </w:r>
            <w:r>
              <w:rPr>
                <w:rFonts w:hint="eastAsia" w:ascii="Times New Roman" w:hAnsi="Times New Roman"/>
                <w:sz w:val="24"/>
                <w:szCs w:val="24"/>
              </w:rPr>
              <w:t>中无组织排放限值，</w:t>
            </w:r>
            <w:r>
              <w:rPr>
                <w:rFonts w:ascii="Times New Roman" w:hAnsi="Times New Roman"/>
                <w:bCs/>
                <w:sz w:val="24"/>
                <w:szCs w:val="24"/>
              </w:rPr>
              <w:t>见下表</w:t>
            </w:r>
            <w:r>
              <w:rPr>
                <w:rFonts w:hint="eastAsia" w:ascii="Times New Roman" w:hAnsi="Times New Roman"/>
                <w:bCs/>
                <w:sz w:val="24"/>
                <w:szCs w:val="24"/>
              </w:rPr>
              <w:t>6</w:t>
            </w:r>
            <w:r>
              <w:rPr>
                <w:rFonts w:ascii="Times New Roman" w:hAnsi="Times New Roman"/>
                <w:bCs/>
                <w:sz w:val="24"/>
                <w:szCs w:val="24"/>
              </w:rPr>
              <w:t>-</w:t>
            </w:r>
            <w:r>
              <w:rPr>
                <w:rFonts w:hint="eastAsia" w:ascii="Times New Roman" w:hAnsi="Times New Roman"/>
                <w:bCs/>
                <w:sz w:val="24"/>
                <w:szCs w:val="24"/>
              </w:rPr>
              <w:t>3</w:t>
            </w:r>
            <w:r>
              <w:rPr>
                <w:rFonts w:ascii="Times New Roman" w:hAnsi="Times New Roman"/>
                <w:bCs/>
                <w:sz w:val="24"/>
                <w:szCs w:val="24"/>
              </w:rPr>
              <w:t>。</w:t>
            </w:r>
          </w:p>
          <w:p>
            <w:pPr>
              <w:pStyle w:val="11"/>
              <w:spacing w:line="360" w:lineRule="auto"/>
              <w:outlineLvl w:val="9"/>
              <w:rPr>
                <w:rFonts w:ascii="Times New Roman"/>
              </w:rPr>
            </w:pPr>
            <w:r>
              <w:rPr>
                <w:rFonts w:ascii="Times New Roman"/>
                <w:bCs/>
              </w:rPr>
              <w:t>废水执行《</w:t>
            </w:r>
            <w:r>
              <w:rPr>
                <w:rFonts w:hint="eastAsia" w:ascii="Times New Roman"/>
                <w:bCs/>
              </w:rPr>
              <w:t>污水综合排放标准</w:t>
            </w:r>
            <w:r>
              <w:rPr>
                <w:rFonts w:ascii="Times New Roman"/>
                <w:bCs/>
              </w:rPr>
              <w:t>》</w:t>
            </w:r>
            <w:r>
              <w:rPr>
                <w:rFonts w:hint="eastAsia" w:ascii="Times New Roman"/>
                <w:bCs/>
              </w:rPr>
              <w:t>（GB 8978-1996）</w:t>
            </w:r>
            <w:r>
              <w:rPr>
                <w:rFonts w:ascii="Times New Roman"/>
                <w:bCs/>
              </w:rPr>
              <w:t>表</w:t>
            </w:r>
            <w:r>
              <w:rPr>
                <w:rFonts w:hint="eastAsia" w:ascii="Times New Roman"/>
              </w:rPr>
              <w:t>4</w:t>
            </w:r>
            <w:r>
              <w:rPr>
                <w:rFonts w:ascii="Times New Roman"/>
                <w:bCs/>
              </w:rPr>
              <w:t>中</w:t>
            </w:r>
            <w:r>
              <w:rPr>
                <w:rFonts w:hint="eastAsia" w:ascii="Times New Roman"/>
                <w:bCs/>
              </w:rPr>
              <w:t>三级排放标准限值</w:t>
            </w:r>
            <w:r>
              <w:rPr>
                <w:rFonts w:hint="eastAsia" w:ascii="Times New Roman"/>
              </w:rPr>
              <w:t>，见下表6-4。</w:t>
            </w:r>
          </w:p>
          <w:p>
            <w:pPr>
              <w:widowControl w:val="0"/>
              <w:adjustRightInd/>
              <w:snapToGrid/>
              <w:spacing w:line="400" w:lineRule="exact"/>
              <w:jc w:val="center"/>
              <w:outlineLvl w:val="9"/>
              <w:rPr>
                <w:rFonts w:ascii="Times New Roman" w:hAnsi="Times New Roman"/>
                <w:b/>
                <w:bCs/>
                <w:sz w:val="28"/>
              </w:rPr>
            </w:pPr>
            <w:r>
              <w:rPr>
                <w:rFonts w:ascii="Times New Roman" w:hAnsi="Times New Roman"/>
                <w:b/>
                <w:bCs/>
                <w:sz w:val="28"/>
                <w:szCs w:val="28"/>
              </w:rPr>
              <w:t>表</w:t>
            </w:r>
            <w:r>
              <w:rPr>
                <w:rFonts w:hint="eastAsia" w:ascii="Times New Roman" w:hAnsi="Times New Roman"/>
                <w:b/>
                <w:bCs/>
                <w:sz w:val="28"/>
                <w:szCs w:val="28"/>
              </w:rPr>
              <w:t>6</w:t>
            </w:r>
            <w:r>
              <w:rPr>
                <w:rFonts w:ascii="Times New Roman" w:hAnsi="Times New Roman"/>
                <w:b/>
                <w:bCs/>
                <w:sz w:val="28"/>
                <w:szCs w:val="28"/>
              </w:rPr>
              <w:t>-</w:t>
            </w:r>
            <w:r>
              <w:rPr>
                <w:rFonts w:hint="eastAsia" w:ascii="Times New Roman" w:hAnsi="Times New Roman"/>
                <w:b/>
                <w:bCs/>
                <w:sz w:val="28"/>
                <w:szCs w:val="28"/>
              </w:rPr>
              <w:t>1-1</w:t>
            </w:r>
            <w:r>
              <w:rPr>
                <w:rFonts w:ascii="Times New Roman" w:hAnsi="Times New Roman"/>
                <w:b/>
                <w:bCs/>
                <w:sz w:val="28"/>
                <w:szCs w:val="28"/>
              </w:rPr>
              <w:t>有组织废气排放限值</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0"/>
              <w:gridCol w:w="1124"/>
              <w:gridCol w:w="2732"/>
              <w:gridCol w:w="3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0" w:type="auto"/>
                  <w:vMerge w:val="restart"/>
                  <w:tcBorders>
                    <w:left w:val="nil"/>
                  </w:tcBorders>
                  <w:vAlign w:val="center"/>
                </w:tcPr>
                <w:p>
                  <w:pPr>
                    <w:spacing w:line="360" w:lineRule="auto"/>
                    <w:jc w:val="center"/>
                    <w:outlineLvl w:val="9"/>
                    <w:rPr>
                      <w:rFonts w:ascii="Times New Roman" w:hAnsi="Times New Roman"/>
                      <w:b/>
                      <w:bCs/>
                      <w:szCs w:val="21"/>
                    </w:rPr>
                  </w:pPr>
                  <w:r>
                    <w:rPr>
                      <w:rFonts w:ascii="Times New Roman" w:hAnsi="Times New Roman"/>
                      <w:b/>
                      <w:bCs/>
                      <w:szCs w:val="21"/>
                    </w:rPr>
                    <w:t>序号</w:t>
                  </w:r>
                </w:p>
              </w:tc>
              <w:tc>
                <w:tcPr>
                  <w:tcW w:w="0" w:type="auto"/>
                  <w:vMerge w:val="restart"/>
                  <w:vAlign w:val="center"/>
                </w:tcPr>
                <w:p>
                  <w:pPr>
                    <w:spacing w:line="360" w:lineRule="auto"/>
                    <w:jc w:val="center"/>
                    <w:outlineLvl w:val="9"/>
                    <w:rPr>
                      <w:rFonts w:ascii="Times New Roman" w:hAnsi="Times New Roman"/>
                      <w:b/>
                      <w:bCs/>
                      <w:szCs w:val="21"/>
                    </w:rPr>
                  </w:pPr>
                  <w:r>
                    <w:rPr>
                      <w:rFonts w:ascii="Times New Roman" w:hAnsi="Times New Roman"/>
                      <w:b/>
                      <w:bCs/>
                      <w:szCs w:val="21"/>
                    </w:rPr>
                    <w:t>污染物</w:t>
                  </w:r>
                </w:p>
              </w:tc>
              <w:tc>
                <w:tcPr>
                  <w:tcW w:w="0" w:type="auto"/>
                  <w:vMerge w:val="restart"/>
                  <w:vAlign w:val="center"/>
                </w:tcPr>
                <w:p>
                  <w:pPr>
                    <w:jc w:val="center"/>
                    <w:outlineLvl w:val="9"/>
                    <w:rPr>
                      <w:rFonts w:ascii="Times New Roman" w:hAnsi="Times New Roman"/>
                      <w:b/>
                      <w:bCs/>
                      <w:szCs w:val="21"/>
                    </w:rPr>
                  </w:pPr>
                  <w:r>
                    <w:rPr>
                      <w:rFonts w:ascii="Times New Roman" w:hAnsi="Times New Roman"/>
                      <w:b/>
                      <w:bCs/>
                      <w:szCs w:val="21"/>
                    </w:rPr>
                    <w:t>最高允许排放浓度（mg/m</w:t>
                  </w:r>
                  <w:r>
                    <w:rPr>
                      <w:rFonts w:ascii="Times New Roman" w:hAnsi="Times New Roman"/>
                      <w:b/>
                      <w:bCs/>
                      <w:szCs w:val="21"/>
                      <w:vertAlign w:val="superscript"/>
                    </w:rPr>
                    <w:t>3</w:t>
                  </w:r>
                  <w:r>
                    <w:rPr>
                      <w:rFonts w:ascii="Times New Roman" w:hAnsi="Times New Roman"/>
                      <w:b/>
                      <w:bCs/>
                      <w:szCs w:val="21"/>
                    </w:rPr>
                    <w:t>）</w:t>
                  </w:r>
                </w:p>
              </w:tc>
              <w:tc>
                <w:tcPr>
                  <w:tcW w:w="0" w:type="auto"/>
                  <w:tcBorders>
                    <w:right w:val="nil"/>
                  </w:tcBorders>
                  <w:vAlign w:val="center"/>
                </w:tcPr>
                <w:p>
                  <w:pPr>
                    <w:spacing w:line="360" w:lineRule="auto"/>
                    <w:jc w:val="center"/>
                    <w:outlineLvl w:val="9"/>
                    <w:rPr>
                      <w:rFonts w:ascii="Times New Roman" w:hAnsi="Times New Roman"/>
                      <w:b/>
                      <w:bCs/>
                      <w:szCs w:val="21"/>
                    </w:rPr>
                  </w:pPr>
                  <w:r>
                    <w:rPr>
                      <w:rFonts w:ascii="Times New Roman" w:hAnsi="Times New Roman"/>
                      <w:b/>
                      <w:bCs/>
                      <w:szCs w:val="21"/>
                    </w:rPr>
                    <w:t>与排气筒对应的最高允许排放</w:t>
                  </w:r>
                  <w:r>
                    <w:rPr>
                      <w:rFonts w:hint="eastAsia" w:ascii="Times New Roman" w:hAnsi="Times New Roman"/>
                      <w:b/>
                      <w:bCs/>
                      <w:szCs w:val="21"/>
                    </w:rPr>
                    <w:t>速率</w:t>
                  </w:r>
                  <w:r>
                    <w:rPr>
                      <w:rFonts w:ascii="Times New Roman" w:hAnsi="Times New Roman"/>
                      <w:b/>
                      <w:bCs/>
                      <w:szCs w:val="21"/>
                    </w:rPr>
                    <w:t>（kg/h）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0" w:type="auto"/>
                  <w:vMerge w:val="continue"/>
                  <w:tcBorders>
                    <w:left w:val="nil"/>
                  </w:tcBorders>
                </w:tcPr>
                <w:p>
                  <w:pPr>
                    <w:spacing w:line="360" w:lineRule="auto"/>
                    <w:jc w:val="center"/>
                    <w:outlineLvl w:val="9"/>
                    <w:rPr>
                      <w:rFonts w:ascii="Times New Roman" w:hAnsi="Times New Roman"/>
                      <w:b/>
                      <w:bCs/>
                      <w:szCs w:val="21"/>
                    </w:rPr>
                  </w:pPr>
                </w:p>
              </w:tc>
              <w:tc>
                <w:tcPr>
                  <w:tcW w:w="0" w:type="auto"/>
                  <w:vMerge w:val="continue"/>
                </w:tcPr>
                <w:p>
                  <w:pPr>
                    <w:spacing w:line="360" w:lineRule="auto"/>
                    <w:ind w:firstLine="252"/>
                    <w:jc w:val="center"/>
                    <w:outlineLvl w:val="9"/>
                    <w:rPr>
                      <w:rFonts w:ascii="Times New Roman" w:hAnsi="Times New Roman"/>
                      <w:b/>
                      <w:bCs/>
                      <w:szCs w:val="21"/>
                    </w:rPr>
                  </w:pPr>
                </w:p>
              </w:tc>
              <w:tc>
                <w:tcPr>
                  <w:tcW w:w="0" w:type="auto"/>
                  <w:vMerge w:val="continue"/>
                </w:tcPr>
                <w:p>
                  <w:pPr>
                    <w:spacing w:line="360" w:lineRule="auto"/>
                    <w:jc w:val="center"/>
                    <w:outlineLvl w:val="9"/>
                    <w:rPr>
                      <w:rFonts w:ascii="Times New Roman" w:hAnsi="Times New Roman"/>
                      <w:b/>
                      <w:bCs/>
                      <w:szCs w:val="21"/>
                    </w:rPr>
                  </w:pPr>
                </w:p>
              </w:tc>
              <w:tc>
                <w:tcPr>
                  <w:tcW w:w="0" w:type="auto"/>
                  <w:tcBorders>
                    <w:right w:val="nil"/>
                  </w:tcBorders>
                  <w:vAlign w:val="center"/>
                </w:tcPr>
                <w:p>
                  <w:pPr>
                    <w:spacing w:line="360" w:lineRule="auto"/>
                    <w:jc w:val="center"/>
                    <w:outlineLvl w:val="9"/>
                    <w:rPr>
                      <w:rFonts w:ascii="Times New Roman" w:hAnsi="Times New Roman"/>
                      <w:b/>
                      <w:bCs/>
                      <w:color w:val="000000"/>
                      <w:szCs w:val="21"/>
                    </w:rPr>
                  </w:pPr>
                  <w:r>
                    <w:rPr>
                      <w:rFonts w:hint="eastAsia" w:ascii="Times New Roman" w:hAnsi="Times New Roman"/>
                      <w:b/>
                      <w:bCs/>
                      <w:color w:val="000000"/>
                      <w:szCs w:val="21"/>
                    </w:rPr>
                    <w:t>15</w:t>
                  </w:r>
                  <w:r>
                    <w:rPr>
                      <w:rFonts w:ascii="Times New Roman" w:hAnsi="Times New Roman"/>
                      <w:b/>
                      <w:bCs/>
                      <w:color w:val="000000"/>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0" w:type="auto"/>
                  <w:tcBorders>
                    <w:left w:val="nil"/>
                  </w:tcBorders>
                  <w:vAlign w:val="center"/>
                </w:tcPr>
                <w:p>
                  <w:pPr>
                    <w:spacing w:line="360" w:lineRule="auto"/>
                    <w:jc w:val="center"/>
                    <w:outlineLvl w:val="9"/>
                    <w:rPr>
                      <w:rFonts w:ascii="Times New Roman" w:hAnsi="Times New Roman"/>
                      <w:szCs w:val="21"/>
                    </w:rPr>
                  </w:pPr>
                  <w:r>
                    <w:rPr>
                      <w:rFonts w:ascii="Times New Roman" w:hAnsi="Times New Roman"/>
                      <w:szCs w:val="21"/>
                    </w:rPr>
                    <w:t>1</w:t>
                  </w:r>
                </w:p>
              </w:tc>
              <w:tc>
                <w:tcPr>
                  <w:tcW w:w="0" w:type="auto"/>
                </w:tcPr>
                <w:p>
                  <w:pPr>
                    <w:spacing w:line="360" w:lineRule="auto"/>
                    <w:jc w:val="center"/>
                    <w:outlineLvl w:val="9"/>
                    <w:rPr>
                      <w:rFonts w:ascii="Times New Roman" w:hAnsi="Times New Roman"/>
                      <w:szCs w:val="21"/>
                    </w:rPr>
                  </w:pPr>
                  <w:r>
                    <w:rPr>
                      <w:rFonts w:ascii="Times New Roman" w:hAnsi="Times New Roman"/>
                      <w:sz w:val="21"/>
                      <w:szCs w:val="21"/>
                    </w:rPr>
                    <w:t>非甲烷总烃</w:t>
                  </w:r>
                </w:p>
              </w:tc>
              <w:tc>
                <w:tcPr>
                  <w:tcW w:w="0" w:type="auto"/>
                </w:tcPr>
                <w:p>
                  <w:pPr>
                    <w:spacing w:line="360" w:lineRule="auto"/>
                    <w:jc w:val="center"/>
                    <w:outlineLvl w:val="9"/>
                    <w:rPr>
                      <w:rFonts w:ascii="Times New Roman" w:hAnsi="Times New Roman"/>
                      <w:szCs w:val="21"/>
                    </w:rPr>
                  </w:pPr>
                  <w:r>
                    <w:rPr>
                      <w:rFonts w:hint="eastAsia" w:ascii="Times New Roman" w:hAnsi="Times New Roman"/>
                      <w:szCs w:val="21"/>
                    </w:rPr>
                    <w:t>60</w:t>
                  </w:r>
                </w:p>
              </w:tc>
              <w:tc>
                <w:tcPr>
                  <w:tcW w:w="0" w:type="auto"/>
                  <w:tcBorders>
                    <w:right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0" w:type="auto"/>
                  <w:tcBorders>
                    <w:left w:val="nil"/>
                  </w:tcBorders>
                  <w:vAlign w:val="center"/>
                </w:tcPr>
                <w:p>
                  <w:pPr>
                    <w:spacing w:line="360" w:lineRule="auto"/>
                    <w:jc w:val="center"/>
                    <w:outlineLvl w:val="9"/>
                    <w:rPr>
                      <w:rFonts w:ascii="Times New Roman" w:hAnsi="Times New Roman"/>
                      <w:szCs w:val="21"/>
                    </w:rPr>
                  </w:pPr>
                  <w:r>
                    <w:rPr>
                      <w:rFonts w:hint="eastAsia" w:ascii="Times New Roman" w:hAnsi="Times New Roman"/>
                      <w:szCs w:val="21"/>
                    </w:rPr>
                    <w:t>2</w:t>
                  </w:r>
                </w:p>
              </w:tc>
              <w:tc>
                <w:tcPr>
                  <w:tcW w:w="0" w:type="auto"/>
                  <w:vAlign w:val="center"/>
                </w:tcPr>
                <w:p>
                  <w:pPr>
                    <w:spacing w:line="260" w:lineRule="exact"/>
                    <w:jc w:val="center"/>
                    <w:outlineLvl w:val="9"/>
                    <w:rPr>
                      <w:rFonts w:ascii="Times New Roman" w:hAnsi="Times New Roman"/>
                      <w:sz w:val="21"/>
                      <w:szCs w:val="21"/>
                    </w:rPr>
                  </w:pPr>
                  <w:r>
                    <w:rPr>
                      <w:rFonts w:hint="eastAsia" w:ascii="Times New Roman" w:hAnsi="Times New Roman"/>
                      <w:sz w:val="21"/>
                      <w:szCs w:val="21"/>
                    </w:rPr>
                    <w:t>颗粒物</w:t>
                  </w:r>
                </w:p>
              </w:tc>
              <w:tc>
                <w:tcPr>
                  <w:tcW w:w="0" w:type="auto"/>
                </w:tcPr>
                <w:p>
                  <w:pPr>
                    <w:spacing w:line="360" w:lineRule="auto"/>
                    <w:jc w:val="center"/>
                    <w:outlineLvl w:val="9"/>
                    <w:rPr>
                      <w:rFonts w:ascii="Times New Roman" w:hAnsi="Times New Roman"/>
                      <w:sz w:val="21"/>
                      <w:szCs w:val="21"/>
                    </w:rPr>
                  </w:pPr>
                  <w:r>
                    <w:rPr>
                      <w:rFonts w:hint="eastAsia" w:ascii="Times New Roman" w:hAnsi="Times New Roman"/>
                      <w:sz w:val="21"/>
                      <w:szCs w:val="21"/>
                    </w:rPr>
                    <w:t>120</w:t>
                  </w:r>
                </w:p>
              </w:tc>
              <w:tc>
                <w:tcPr>
                  <w:tcW w:w="0" w:type="auto"/>
                  <w:tcBorders>
                    <w:right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exact"/>
                <w:jc w:val="center"/>
              </w:trPr>
              <w:tc>
                <w:tcPr>
                  <w:tcW w:w="0" w:type="auto"/>
                  <w:tcBorders>
                    <w:left w:val="nil"/>
                  </w:tcBorders>
                  <w:vAlign w:val="center"/>
                </w:tcPr>
                <w:p>
                  <w:pPr>
                    <w:spacing w:line="360" w:lineRule="auto"/>
                    <w:jc w:val="center"/>
                    <w:outlineLvl w:val="9"/>
                    <w:rPr>
                      <w:rFonts w:ascii="Times New Roman" w:hAnsi="Times New Roman"/>
                      <w:szCs w:val="21"/>
                    </w:rPr>
                  </w:pPr>
                  <w:r>
                    <w:rPr>
                      <w:rFonts w:hint="eastAsia" w:ascii="Times New Roman" w:hAnsi="Times New Roman"/>
                      <w:szCs w:val="21"/>
                    </w:rPr>
                    <w:t>3</w:t>
                  </w:r>
                </w:p>
              </w:tc>
              <w:tc>
                <w:tcPr>
                  <w:tcW w:w="0" w:type="auto"/>
                  <w:vAlign w:val="center"/>
                </w:tcPr>
                <w:p>
                  <w:pPr>
                    <w:spacing w:line="260" w:lineRule="exact"/>
                    <w:jc w:val="center"/>
                    <w:outlineLvl w:val="9"/>
                    <w:rPr>
                      <w:rFonts w:ascii="Times New Roman" w:hAnsi="Times New Roman"/>
                      <w:kern w:val="2"/>
                      <w:sz w:val="21"/>
                      <w:szCs w:val="21"/>
                    </w:rPr>
                  </w:pPr>
                  <w:r>
                    <w:rPr>
                      <w:rFonts w:ascii="Times New Roman" w:hAnsi="Times New Roman"/>
                      <w:sz w:val="21"/>
                      <w:szCs w:val="21"/>
                    </w:rPr>
                    <w:t>*</w:t>
                  </w:r>
                  <w:r>
                    <w:rPr>
                      <w:rFonts w:hint="eastAsia" w:ascii="Times New Roman" w:hAnsi="Times New Roman"/>
                      <w:sz w:val="21"/>
                      <w:szCs w:val="21"/>
                    </w:rPr>
                    <w:t>氯化氢</w:t>
                  </w:r>
                </w:p>
              </w:tc>
              <w:tc>
                <w:tcPr>
                  <w:tcW w:w="0" w:type="auto"/>
                </w:tcPr>
                <w:p>
                  <w:pPr>
                    <w:spacing w:line="360" w:lineRule="auto"/>
                    <w:jc w:val="center"/>
                    <w:outlineLvl w:val="9"/>
                    <w:rPr>
                      <w:rFonts w:ascii="Times New Roman" w:hAnsi="Times New Roman"/>
                      <w:kern w:val="2"/>
                      <w:sz w:val="21"/>
                      <w:szCs w:val="21"/>
                    </w:rPr>
                  </w:pPr>
                  <w:r>
                    <w:rPr>
                      <w:rFonts w:hint="eastAsia" w:ascii="Times New Roman" w:hAnsi="Times New Roman"/>
                      <w:sz w:val="21"/>
                      <w:szCs w:val="21"/>
                    </w:rPr>
                    <w:t>100</w:t>
                  </w:r>
                </w:p>
              </w:tc>
              <w:tc>
                <w:tcPr>
                  <w:tcW w:w="0" w:type="auto"/>
                  <w:tcBorders>
                    <w:right w:val="nil"/>
                  </w:tcBorders>
                  <w:vAlign w:val="center"/>
                </w:tcPr>
                <w:p>
                  <w:pPr>
                    <w:spacing w:line="360" w:lineRule="auto"/>
                    <w:jc w:val="center"/>
                    <w:outlineLvl w:val="9"/>
                    <w:rPr>
                      <w:rFonts w:ascii="Times New Roman" w:hAnsi="Times New Roman"/>
                      <w:kern w:val="2"/>
                      <w:sz w:val="21"/>
                      <w:szCs w:val="21"/>
                    </w:rPr>
                  </w:pPr>
                  <w:r>
                    <w:rPr>
                      <w:rFonts w:hint="eastAsia" w:ascii="Times New Roman" w:hAnsi="Times New Roman"/>
                      <w:sz w:val="21"/>
                      <w:szCs w:val="21"/>
                    </w:rPr>
                    <w:t>0.26</w:t>
                  </w:r>
                </w:p>
              </w:tc>
            </w:tr>
          </w:tbl>
          <w:p>
            <w:pPr>
              <w:widowControl w:val="0"/>
              <w:adjustRightInd/>
              <w:snapToGrid/>
              <w:spacing w:line="400" w:lineRule="exact"/>
              <w:jc w:val="center"/>
              <w:outlineLvl w:val="9"/>
              <w:rPr>
                <w:rFonts w:ascii="Times New Roman" w:hAnsi="Times New Roman"/>
                <w:b/>
                <w:bCs/>
                <w:sz w:val="28"/>
                <w:szCs w:val="28"/>
              </w:rPr>
            </w:pPr>
            <w:r>
              <w:rPr>
                <w:rFonts w:ascii="Times New Roman" w:hAnsi="Times New Roman"/>
                <w:b/>
                <w:bCs/>
                <w:sz w:val="28"/>
                <w:szCs w:val="28"/>
              </w:rPr>
              <w:t>表</w:t>
            </w:r>
            <w:r>
              <w:rPr>
                <w:rFonts w:hint="eastAsia" w:ascii="Times New Roman" w:hAnsi="Times New Roman"/>
                <w:b/>
                <w:bCs/>
                <w:sz w:val="28"/>
                <w:szCs w:val="28"/>
              </w:rPr>
              <w:t>6</w:t>
            </w:r>
            <w:r>
              <w:rPr>
                <w:rFonts w:ascii="Times New Roman" w:hAnsi="Times New Roman"/>
                <w:b/>
                <w:bCs/>
                <w:sz w:val="28"/>
                <w:szCs w:val="28"/>
              </w:rPr>
              <w:t>-1</w:t>
            </w:r>
            <w:r>
              <w:rPr>
                <w:rFonts w:hint="eastAsia" w:ascii="Times New Roman" w:hAnsi="Times New Roman"/>
                <w:b/>
                <w:bCs/>
                <w:sz w:val="28"/>
                <w:szCs w:val="28"/>
              </w:rPr>
              <w:t>-2</w:t>
            </w:r>
            <w:r>
              <w:rPr>
                <w:rFonts w:ascii="Times New Roman" w:hAnsi="Times New Roman"/>
                <w:b/>
                <w:bCs/>
                <w:sz w:val="28"/>
                <w:szCs w:val="28"/>
              </w:rPr>
              <w:t>有组织废气排放限值</w:t>
            </w:r>
          </w:p>
          <w:tbl>
            <w:tblPr>
              <w:tblStyle w:val="13"/>
              <w:tblW w:w="0" w:type="auto"/>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1464"/>
              <w:gridCol w:w="1305"/>
              <w:gridCol w:w="1500"/>
              <w:gridCol w:w="1689"/>
              <w:gridCol w:w="2348"/>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898" w:type="dxa"/>
                  <w:tcBorders>
                    <w:tl2br w:val="nil"/>
                    <w:tr2bl w:val="nil"/>
                  </w:tcBorders>
                  <w:vAlign w:val="center"/>
                </w:tcPr>
                <w:p>
                  <w:pPr>
                    <w:spacing w:line="360" w:lineRule="auto"/>
                    <w:jc w:val="center"/>
                    <w:outlineLvl w:val="9"/>
                    <w:rPr>
                      <w:rFonts w:ascii="Times New Roman" w:hAnsi="Times New Roman"/>
                      <w:b/>
                      <w:bCs/>
                      <w:color w:val="C00000"/>
                      <w:sz w:val="21"/>
                      <w:szCs w:val="21"/>
                    </w:rPr>
                  </w:pPr>
                  <w:r>
                    <w:rPr>
                      <w:rFonts w:ascii="Times New Roman" w:hAnsi="Times New Roman"/>
                      <w:b/>
                      <w:bCs/>
                      <w:sz w:val="21"/>
                      <w:szCs w:val="21"/>
                    </w:rPr>
                    <w:t>序号</w:t>
                  </w:r>
                </w:p>
              </w:tc>
              <w:tc>
                <w:tcPr>
                  <w:tcW w:w="1673" w:type="dxa"/>
                  <w:tcBorders>
                    <w:tl2br w:val="nil"/>
                    <w:tr2bl w:val="nil"/>
                  </w:tcBorders>
                  <w:vAlign w:val="center"/>
                </w:tcPr>
                <w:p>
                  <w:pPr>
                    <w:spacing w:line="360" w:lineRule="auto"/>
                    <w:jc w:val="center"/>
                    <w:outlineLvl w:val="9"/>
                    <w:rPr>
                      <w:rFonts w:ascii="Times New Roman" w:hAnsi="Times New Roman"/>
                      <w:b/>
                      <w:bCs/>
                      <w:color w:val="C00000"/>
                      <w:sz w:val="21"/>
                      <w:szCs w:val="21"/>
                    </w:rPr>
                  </w:pPr>
                  <w:r>
                    <w:rPr>
                      <w:rFonts w:ascii="Times New Roman" w:hAnsi="Times New Roman"/>
                      <w:b/>
                      <w:bCs/>
                      <w:sz w:val="21"/>
                      <w:szCs w:val="21"/>
                    </w:rPr>
                    <w:t>污染物</w:t>
                  </w:r>
                </w:p>
              </w:tc>
              <w:tc>
                <w:tcPr>
                  <w:tcW w:w="1950" w:type="dxa"/>
                  <w:tcBorders>
                    <w:left w:val="single" w:color="000000" w:sz="4" w:space="0"/>
                    <w:right w:val="single" w:color="000000" w:sz="4" w:space="0"/>
                    <w:tl2br w:val="nil"/>
                    <w:tr2bl w:val="nil"/>
                  </w:tcBorders>
                  <w:vAlign w:val="center"/>
                </w:tcPr>
                <w:p>
                  <w:pPr>
                    <w:jc w:val="center"/>
                    <w:outlineLvl w:val="9"/>
                    <w:rPr>
                      <w:rFonts w:ascii="Times New Roman" w:hAnsi="Times New Roman"/>
                      <w:b/>
                      <w:bCs/>
                      <w:kern w:val="2"/>
                      <w:sz w:val="21"/>
                      <w:szCs w:val="21"/>
                    </w:rPr>
                  </w:pPr>
                  <w:r>
                    <w:rPr>
                      <w:rFonts w:ascii="Times New Roman" w:hAnsi="Times New Roman"/>
                      <w:b/>
                      <w:bCs/>
                      <w:kern w:val="2"/>
                      <w:sz w:val="21"/>
                      <w:szCs w:val="21"/>
                    </w:rPr>
                    <w:t>燃料类型</w:t>
                  </w:r>
                </w:p>
              </w:tc>
              <w:tc>
                <w:tcPr>
                  <w:tcW w:w="2042" w:type="dxa"/>
                  <w:tcBorders>
                    <w:left w:val="single" w:color="000000" w:sz="4" w:space="0"/>
                    <w:tl2br w:val="nil"/>
                    <w:tr2bl w:val="nil"/>
                  </w:tcBorders>
                  <w:vAlign w:val="center"/>
                </w:tcPr>
                <w:p>
                  <w:pPr>
                    <w:jc w:val="center"/>
                    <w:outlineLvl w:val="9"/>
                    <w:rPr>
                      <w:rFonts w:ascii="Times New Roman" w:hAnsi="Times New Roman"/>
                      <w:b/>
                      <w:bCs/>
                      <w:kern w:val="2"/>
                      <w:sz w:val="21"/>
                      <w:szCs w:val="21"/>
                    </w:rPr>
                  </w:pPr>
                  <w:r>
                    <w:rPr>
                      <w:rFonts w:ascii="Times New Roman" w:hAnsi="Times New Roman"/>
                      <w:b/>
                      <w:bCs/>
                      <w:kern w:val="2"/>
                      <w:sz w:val="21"/>
                      <w:szCs w:val="21"/>
                    </w:rPr>
                    <w:t>基准含氧量（%）</w:t>
                  </w:r>
                </w:p>
              </w:tc>
              <w:tc>
                <w:tcPr>
                  <w:tcW w:w="2821" w:type="dxa"/>
                  <w:tcBorders>
                    <w:left w:val="single" w:color="000000" w:sz="4" w:space="0"/>
                    <w:tl2br w:val="nil"/>
                    <w:tr2bl w:val="nil"/>
                  </w:tcBorders>
                  <w:vAlign w:val="center"/>
                </w:tcPr>
                <w:p>
                  <w:pPr>
                    <w:jc w:val="center"/>
                    <w:outlineLvl w:val="9"/>
                    <w:rPr>
                      <w:rFonts w:ascii="Times New Roman" w:hAnsi="Times New Roman"/>
                      <w:b/>
                      <w:bCs/>
                      <w:sz w:val="21"/>
                      <w:szCs w:val="21"/>
                    </w:rPr>
                  </w:pPr>
                  <w:r>
                    <w:rPr>
                      <w:rFonts w:ascii="Times New Roman" w:hAnsi="Times New Roman"/>
                      <w:b/>
                      <w:bCs/>
                      <w:sz w:val="21"/>
                      <w:szCs w:val="21"/>
                    </w:rPr>
                    <w:t>大气污染物排放限值（mg/m</w:t>
                  </w:r>
                  <w:r>
                    <w:rPr>
                      <w:rFonts w:ascii="Times New Roman" w:hAnsi="Times New Roman"/>
                      <w:b/>
                      <w:bCs/>
                      <w:sz w:val="21"/>
                      <w:szCs w:val="21"/>
                      <w:vertAlign w:val="superscript"/>
                    </w:rPr>
                    <w:t>3</w:t>
                  </w:r>
                  <w:r>
                    <w:rPr>
                      <w:rFonts w:ascii="Times New Roman" w:hAnsi="Times New Roman"/>
                      <w:b/>
                      <w:bCs/>
                      <w:sz w:val="21"/>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898" w:type="dxa"/>
                  <w:tcBorders>
                    <w:tl2br w:val="nil"/>
                    <w:tr2bl w:val="nil"/>
                  </w:tcBorders>
                  <w:vAlign w:val="center"/>
                </w:tcPr>
                <w:p>
                  <w:pPr>
                    <w:spacing w:line="360" w:lineRule="auto"/>
                    <w:jc w:val="center"/>
                    <w:outlineLvl w:val="9"/>
                    <w:rPr>
                      <w:rFonts w:ascii="Times New Roman" w:hAnsi="Times New Roman"/>
                      <w:sz w:val="21"/>
                      <w:szCs w:val="21"/>
                    </w:rPr>
                  </w:pPr>
                  <w:r>
                    <w:rPr>
                      <w:rFonts w:ascii="Times New Roman" w:hAnsi="Times New Roman"/>
                      <w:sz w:val="21"/>
                      <w:szCs w:val="21"/>
                    </w:rPr>
                    <w:t>1</w:t>
                  </w:r>
                </w:p>
              </w:tc>
              <w:tc>
                <w:tcPr>
                  <w:tcW w:w="1673" w:type="dxa"/>
                  <w:tcBorders>
                    <w:tl2br w:val="nil"/>
                    <w:tr2bl w:val="nil"/>
                  </w:tcBorders>
                  <w:vAlign w:val="center"/>
                </w:tcPr>
                <w:p>
                  <w:pPr>
                    <w:spacing w:line="360" w:lineRule="auto"/>
                    <w:jc w:val="center"/>
                    <w:outlineLvl w:val="9"/>
                    <w:rPr>
                      <w:rFonts w:ascii="Times New Roman" w:hAnsi="Times New Roman"/>
                      <w:bCs/>
                      <w:sz w:val="21"/>
                      <w:szCs w:val="21"/>
                    </w:rPr>
                  </w:pPr>
                  <w:r>
                    <w:rPr>
                      <w:rFonts w:hint="eastAsia" w:ascii="Times New Roman" w:hAnsi="Times New Roman"/>
                      <w:bCs/>
                      <w:sz w:val="21"/>
                      <w:szCs w:val="21"/>
                    </w:rPr>
                    <w:t>颗粒物</w:t>
                  </w:r>
                </w:p>
              </w:tc>
              <w:tc>
                <w:tcPr>
                  <w:tcW w:w="1950" w:type="dxa"/>
                  <w:vMerge w:val="restart"/>
                  <w:tcBorders>
                    <w:left w:val="single" w:color="000000" w:sz="4" w:space="0"/>
                    <w:righ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r>
                    <w:rPr>
                      <w:rFonts w:ascii="Times New Roman" w:hAnsi="Times New Roman"/>
                      <w:kern w:val="2"/>
                      <w:sz w:val="21"/>
                      <w:szCs w:val="21"/>
                    </w:rPr>
                    <w:t>天然气</w:t>
                  </w:r>
                </w:p>
              </w:tc>
              <w:tc>
                <w:tcPr>
                  <w:tcW w:w="2042" w:type="dxa"/>
                  <w:vMerge w:val="restart"/>
                  <w:tcBorders>
                    <w:lef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r>
                    <w:rPr>
                      <w:rFonts w:ascii="Times New Roman" w:hAnsi="Times New Roman"/>
                      <w:kern w:val="2"/>
                      <w:sz w:val="21"/>
                      <w:szCs w:val="21"/>
                    </w:rPr>
                    <w:t>3.5</w:t>
                  </w:r>
                </w:p>
              </w:tc>
              <w:tc>
                <w:tcPr>
                  <w:tcW w:w="2821" w:type="dxa"/>
                  <w:tcBorders>
                    <w:left w:val="single" w:color="000000" w:sz="4" w:space="0"/>
                    <w:tl2br w:val="nil"/>
                    <w:tr2bl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30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898" w:type="dxa"/>
                  <w:tcBorders>
                    <w:tl2br w:val="nil"/>
                    <w:tr2bl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2</w:t>
                  </w:r>
                </w:p>
              </w:tc>
              <w:tc>
                <w:tcPr>
                  <w:tcW w:w="1673" w:type="dxa"/>
                  <w:tcBorders>
                    <w:tl2br w:val="nil"/>
                    <w:tr2bl w:val="nil"/>
                  </w:tcBorders>
                  <w:vAlign w:val="center"/>
                </w:tcPr>
                <w:p>
                  <w:pPr>
                    <w:spacing w:line="360" w:lineRule="auto"/>
                    <w:jc w:val="center"/>
                    <w:outlineLvl w:val="9"/>
                    <w:rPr>
                      <w:rFonts w:ascii="Times New Roman" w:hAnsi="Times New Roman"/>
                      <w:bCs/>
                      <w:sz w:val="21"/>
                      <w:szCs w:val="21"/>
                    </w:rPr>
                  </w:pPr>
                  <w:r>
                    <w:rPr>
                      <w:rFonts w:hint="eastAsia" w:ascii="Times New Roman" w:hAnsi="Times New Roman"/>
                      <w:bCs/>
                      <w:sz w:val="21"/>
                      <w:szCs w:val="21"/>
                    </w:rPr>
                    <w:t>二氧化硫</w:t>
                  </w:r>
                </w:p>
              </w:tc>
              <w:tc>
                <w:tcPr>
                  <w:tcW w:w="1950" w:type="dxa"/>
                  <w:vMerge w:val="continue"/>
                  <w:tcBorders>
                    <w:left w:val="single" w:color="000000" w:sz="4" w:space="0"/>
                    <w:righ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p>
              </w:tc>
              <w:tc>
                <w:tcPr>
                  <w:tcW w:w="2042" w:type="dxa"/>
                  <w:vMerge w:val="continue"/>
                  <w:tcBorders>
                    <w:lef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p>
              </w:tc>
              <w:tc>
                <w:tcPr>
                  <w:tcW w:w="2821" w:type="dxa"/>
                  <w:tcBorders>
                    <w:left w:val="single" w:color="000000" w:sz="4" w:space="0"/>
                    <w:tl2br w:val="nil"/>
                    <w:tr2bl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200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1898" w:type="dxa"/>
                  <w:tcBorders>
                    <w:tl2br w:val="nil"/>
                    <w:tr2bl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3</w:t>
                  </w:r>
                </w:p>
              </w:tc>
              <w:tc>
                <w:tcPr>
                  <w:tcW w:w="1673" w:type="dxa"/>
                  <w:tcBorders>
                    <w:tl2br w:val="nil"/>
                    <w:tr2bl w:val="nil"/>
                  </w:tcBorders>
                  <w:vAlign w:val="center"/>
                </w:tcPr>
                <w:p>
                  <w:pPr>
                    <w:spacing w:line="360" w:lineRule="auto"/>
                    <w:jc w:val="center"/>
                    <w:outlineLvl w:val="9"/>
                    <w:rPr>
                      <w:rFonts w:ascii="Times New Roman" w:hAnsi="Times New Roman"/>
                      <w:bCs/>
                      <w:sz w:val="21"/>
                      <w:szCs w:val="21"/>
                    </w:rPr>
                  </w:pPr>
                  <w:r>
                    <w:rPr>
                      <w:rFonts w:hint="eastAsia" w:ascii="Times New Roman" w:hAnsi="Times New Roman"/>
                      <w:bCs/>
                      <w:sz w:val="21"/>
                      <w:szCs w:val="21"/>
                    </w:rPr>
                    <w:t>氮氧化物</w:t>
                  </w:r>
                </w:p>
              </w:tc>
              <w:tc>
                <w:tcPr>
                  <w:tcW w:w="1950" w:type="dxa"/>
                  <w:vMerge w:val="continue"/>
                  <w:tcBorders>
                    <w:left w:val="single" w:color="000000" w:sz="4" w:space="0"/>
                    <w:righ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p>
              </w:tc>
              <w:tc>
                <w:tcPr>
                  <w:tcW w:w="2042" w:type="dxa"/>
                  <w:vMerge w:val="continue"/>
                  <w:tcBorders>
                    <w:left w:val="single" w:color="000000" w:sz="4" w:space="0"/>
                    <w:tl2br w:val="nil"/>
                    <w:tr2bl w:val="nil"/>
                  </w:tcBorders>
                  <w:vAlign w:val="center"/>
                </w:tcPr>
                <w:p>
                  <w:pPr>
                    <w:spacing w:line="360" w:lineRule="auto"/>
                    <w:jc w:val="center"/>
                    <w:outlineLvl w:val="9"/>
                    <w:rPr>
                      <w:rFonts w:ascii="Times New Roman" w:hAnsi="Times New Roman"/>
                      <w:kern w:val="2"/>
                      <w:sz w:val="21"/>
                      <w:szCs w:val="21"/>
                    </w:rPr>
                  </w:pPr>
                </w:p>
              </w:tc>
              <w:tc>
                <w:tcPr>
                  <w:tcW w:w="2821" w:type="dxa"/>
                  <w:tcBorders>
                    <w:left w:val="single" w:color="000000" w:sz="4" w:space="0"/>
                    <w:tl2br w:val="nil"/>
                    <w:tr2bl w:val="nil"/>
                  </w:tcBorders>
                  <w:vAlign w:val="center"/>
                </w:tcPr>
                <w:p>
                  <w:pPr>
                    <w:spacing w:line="360" w:lineRule="auto"/>
                    <w:jc w:val="center"/>
                    <w:outlineLvl w:val="9"/>
                    <w:rPr>
                      <w:rFonts w:ascii="Times New Roman" w:hAnsi="Times New Roman"/>
                      <w:sz w:val="21"/>
                      <w:szCs w:val="21"/>
                    </w:rPr>
                  </w:pPr>
                  <w:r>
                    <w:rPr>
                      <w:rFonts w:hint="eastAsia" w:ascii="Times New Roman" w:hAnsi="Times New Roman"/>
                      <w:sz w:val="21"/>
                      <w:szCs w:val="21"/>
                    </w:rPr>
                    <w:t>300</w:t>
                  </w:r>
                </w:p>
              </w:tc>
            </w:tr>
          </w:tbl>
          <w:p>
            <w:pPr>
              <w:widowControl w:val="0"/>
              <w:adjustRightInd/>
              <w:snapToGrid/>
              <w:spacing w:line="400" w:lineRule="exact"/>
              <w:jc w:val="right"/>
              <w:outlineLvl w:val="9"/>
              <w:rPr>
                <w:rFonts w:ascii="Times New Roman" w:hAnsi="Times New Roman"/>
              </w:rPr>
            </w:pPr>
            <w:r>
              <w:rPr>
                <w:rFonts w:ascii="Times New Roman" w:hAnsi="Times New Roman"/>
                <w:b/>
                <w:bCs/>
                <w:sz w:val="28"/>
                <w:szCs w:val="28"/>
              </w:rPr>
              <w:t>表</w:t>
            </w:r>
            <w:r>
              <w:rPr>
                <w:rFonts w:hint="eastAsia" w:ascii="Times New Roman" w:hAnsi="Times New Roman"/>
                <w:b/>
                <w:bCs/>
                <w:sz w:val="28"/>
                <w:szCs w:val="28"/>
              </w:rPr>
              <w:t>6</w:t>
            </w:r>
            <w:r>
              <w:rPr>
                <w:rFonts w:ascii="Times New Roman" w:hAnsi="Times New Roman"/>
                <w:b/>
                <w:bCs/>
                <w:sz w:val="28"/>
                <w:szCs w:val="28"/>
              </w:rPr>
              <w:t>-</w:t>
            </w:r>
            <w:r>
              <w:rPr>
                <w:rFonts w:hint="eastAsia" w:ascii="Times New Roman" w:hAnsi="Times New Roman"/>
                <w:b/>
                <w:bCs/>
                <w:sz w:val="28"/>
                <w:szCs w:val="28"/>
              </w:rPr>
              <w:t>2</w:t>
            </w:r>
            <w:r>
              <w:rPr>
                <w:rFonts w:ascii="Times New Roman" w:hAnsi="Times New Roman"/>
                <w:b/>
                <w:bCs/>
                <w:sz w:val="28"/>
                <w:szCs w:val="28"/>
              </w:rPr>
              <w:t xml:space="preserve">噪声排放限值 </w:t>
            </w:r>
            <w:r>
              <w:rPr>
                <w:rFonts w:ascii="Times New Roman" w:hAnsi="Times New Roman"/>
                <w:b/>
                <w:bCs/>
                <w:sz w:val="24"/>
                <w:szCs w:val="24"/>
              </w:rPr>
              <w:t xml:space="preserve">      </w:t>
            </w:r>
            <w:r>
              <w:rPr>
                <w:rFonts w:hint="eastAsia" w:ascii="Times New Roman" w:hAnsi="Times New Roman"/>
                <w:b/>
                <w:bCs/>
                <w:sz w:val="24"/>
                <w:szCs w:val="24"/>
              </w:rPr>
              <w:t xml:space="preserve">          </w:t>
            </w:r>
            <w:r>
              <w:rPr>
                <w:rFonts w:ascii="Times New Roman" w:hAnsi="Times New Roman"/>
                <w:sz w:val="24"/>
                <w:szCs w:val="24"/>
              </w:rPr>
              <w:t>单位dB</w:t>
            </w:r>
            <w:r>
              <w:rPr>
                <w:rFonts w:hint="eastAsia" w:ascii="Times New Roman" w:hAnsi="Times New Roman"/>
                <w:sz w:val="24"/>
                <w:szCs w:val="24"/>
              </w:rPr>
              <w:t>（</w:t>
            </w:r>
            <w:r>
              <w:rPr>
                <w:rFonts w:ascii="Times New Roman" w:hAnsi="Times New Roman"/>
                <w:sz w:val="24"/>
                <w:szCs w:val="24"/>
              </w:rPr>
              <w:t>A</w:t>
            </w:r>
            <w:r>
              <w:rPr>
                <w:rFonts w:hint="eastAsia" w:ascii="Times New Roman" w:hAnsi="Times New Roman"/>
                <w:sz w:val="24"/>
                <w:szCs w:val="24"/>
              </w:rPr>
              <w:t>）</w:t>
            </w:r>
          </w:p>
          <w:tbl>
            <w:tblPr>
              <w:tblStyle w:val="13"/>
              <w:tblW w:w="10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36"/>
              <w:gridCol w:w="5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36" w:type="dxa"/>
                  <w:vMerge w:val="restart"/>
                  <w:tcBorders>
                    <w:left w:val="nil"/>
                  </w:tcBorders>
                  <w:vAlign w:val="center"/>
                </w:tcPr>
                <w:p>
                  <w:pPr>
                    <w:jc w:val="center"/>
                    <w:outlineLvl w:val="9"/>
                    <w:rPr>
                      <w:rFonts w:ascii="Times New Roman" w:hAnsi="Times New Roman"/>
                      <w:b/>
                      <w:bCs/>
                      <w:sz w:val="21"/>
                      <w:szCs w:val="21"/>
                    </w:rPr>
                  </w:pPr>
                  <w:r>
                    <w:rPr>
                      <w:rFonts w:hint="eastAsia" w:ascii="Times New Roman" w:hAnsi="Times New Roman"/>
                      <w:b/>
                      <w:bCs/>
                      <w:sz w:val="21"/>
                      <w:szCs w:val="21"/>
                    </w:rPr>
                    <w:t>厂界外</w:t>
                  </w:r>
                  <w:r>
                    <w:rPr>
                      <w:rFonts w:ascii="Times New Roman" w:hAnsi="Times New Roman"/>
                      <w:b/>
                      <w:bCs/>
                      <w:sz w:val="21"/>
                      <w:szCs w:val="21"/>
                    </w:rPr>
                    <w:t>声环境功能区类别</w:t>
                  </w:r>
                </w:p>
              </w:tc>
              <w:tc>
                <w:tcPr>
                  <w:tcW w:w="5236" w:type="dxa"/>
                  <w:tcBorders>
                    <w:right w:val="nil"/>
                  </w:tcBorders>
                  <w:vAlign w:val="center"/>
                </w:tcPr>
                <w:p>
                  <w:pPr>
                    <w:jc w:val="center"/>
                    <w:outlineLvl w:val="9"/>
                    <w:rPr>
                      <w:rFonts w:ascii="Times New Roman" w:hAnsi="Times New Roman"/>
                      <w:b/>
                      <w:bCs/>
                      <w:sz w:val="21"/>
                      <w:szCs w:val="21"/>
                    </w:rPr>
                  </w:pPr>
                  <w:r>
                    <w:rPr>
                      <w:rFonts w:ascii="Times New Roman" w:hAnsi="Times New Roman"/>
                      <w:b/>
                      <w:bCs/>
                      <w:sz w:val="21"/>
                      <w:szCs w:val="21"/>
                    </w:rPr>
                    <w:t>时段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36" w:type="dxa"/>
                  <w:vMerge w:val="continue"/>
                  <w:tcBorders>
                    <w:left w:val="nil"/>
                  </w:tcBorders>
                  <w:vAlign w:val="center"/>
                </w:tcPr>
                <w:p>
                  <w:pPr>
                    <w:jc w:val="center"/>
                    <w:outlineLvl w:val="9"/>
                    <w:rPr>
                      <w:rFonts w:ascii="Times New Roman" w:hAnsi="Times New Roman"/>
                      <w:b/>
                      <w:bCs/>
                      <w:sz w:val="21"/>
                      <w:szCs w:val="21"/>
                    </w:rPr>
                  </w:pPr>
                </w:p>
              </w:tc>
              <w:tc>
                <w:tcPr>
                  <w:tcW w:w="5236" w:type="dxa"/>
                  <w:tcBorders>
                    <w:right w:val="nil"/>
                  </w:tcBorders>
                  <w:vAlign w:val="center"/>
                </w:tcPr>
                <w:p>
                  <w:pPr>
                    <w:jc w:val="center"/>
                    <w:outlineLvl w:val="9"/>
                    <w:rPr>
                      <w:rFonts w:ascii="Times New Roman" w:hAnsi="Times New Roman"/>
                      <w:b/>
                      <w:bCs/>
                      <w:sz w:val="21"/>
                      <w:szCs w:val="21"/>
                    </w:rPr>
                  </w:pPr>
                  <w:r>
                    <w:rPr>
                      <w:rFonts w:ascii="Times New Roman" w:hAnsi="Times New Roman"/>
                      <w:b/>
                      <w:bCs/>
                      <w:sz w:val="21"/>
                      <w:szCs w:val="21"/>
                    </w:rPr>
                    <w:t>昼间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5236" w:type="dxa"/>
                  <w:tcBorders>
                    <w:lef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3</w:t>
                  </w:r>
                  <w:r>
                    <w:rPr>
                      <w:rFonts w:ascii="Times New Roman" w:hAnsi="Times New Roman"/>
                      <w:sz w:val="21"/>
                      <w:szCs w:val="21"/>
                    </w:rPr>
                    <w:t>类</w:t>
                  </w:r>
                </w:p>
              </w:tc>
              <w:tc>
                <w:tcPr>
                  <w:tcW w:w="5236" w:type="dxa"/>
                  <w:tcBorders>
                    <w:righ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65</w:t>
                  </w:r>
                </w:p>
              </w:tc>
            </w:tr>
          </w:tbl>
          <w:p>
            <w:pPr>
              <w:widowControl w:val="0"/>
              <w:adjustRightInd/>
              <w:snapToGrid/>
              <w:spacing w:line="400" w:lineRule="exact"/>
              <w:jc w:val="center"/>
              <w:outlineLvl w:val="9"/>
              <w:rPr>
                <w:rFonts w:ascii="Times New Roman" w:hAnsi="Times New Roman"/>
                <w:b/>
                <w:bCs/>
                <w:sz w:val="28"/>
                <w:szCs w:val="28"/>
              </w:rPr>
            </w:pPr>
            <w:r>
              <w:rPr>
                <w:rFonts w:ascii="Times New Roman" w:hAnsi="Times New Roman"/>
                <w:b/>
                <w:bCs/>
                <w:sz w:val="28"/>
                <w:szCs w:val="28"/>
              </w:rPr>
              <w:t>表</w:t>
            </w:r>
            <w:r>
              <w:rPr>
                <w:rFonts w:hint="eastAsia" w:ascii="Times New Roman" w:hAnsi="Times New Roman"/>
                <w:b/>
                <w:bCs/>
                <w:sz w:val="28"/>
                <w:szCs w:val="28"/>
              </w:rPr>
              <w:t>6</w:t>
            </w:r>
            <w:r>
              <w:rPr>
                <w:rFonts w:ascii="Times New Roman" w:hAnsi="Times New Roman"/>
                <w:b/>
                <w:bCs/>
                <w:sz w:val="28"/>
                <w:szCs w:val="28"/>
              </w:rPr>
              <w:t>-</w:t>
            </w:r>
            <w:r>
              <w:rPr>
                <w:rFonts w:hint="eastAsia" w:ascii="Times New Roman" w:hAnsi="Times New Roman"/>
                <w:b/>
                <w:bCs/>
                <w:sz w:val="28"/>
                <w:szCs w:val="28"/>
              </w:rPr>
              <w:t>3</w:t>
            </w:r>
            <w:r>
              <w:rPr>
                <w:rFonts w:ascii="Times New Roman" w:hAnsi="Times New Roman"/>
                <w:b/>
                <w:bCs/>
                <w:sz w:val="28"/>
                <w:szCs w:val="28"/>
              </w:rPr>
              <w:t>无组织废气排放限值</w:t>
            </w:r>
          </w:p>
          <w:tbl>
            <w:tblPr>
              <w:tblStyle w:val="13"/>
              <w:tblW w:w="10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6"/>
              <w:gridCol w:w="4096"/>
              <w:gridCol w:w="3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456" w:type="dxa"/>
                  <w:tcBorders>
                    <w:top w:val="single" w:color="auto" w:sz="4" w:space="0"/>
                    <w:left w:val="nil"/>
                  </w:tcBorders>
                  <w:vAlign w:val="center"/>
                </w:tcPr>
                <w:p>
                  <w:pPr>
                    <w:spacing w:line="360" w:lineRule="auto"/>
                    <w:jc w:val="center"/>
                    <w:outlineLvl w:val="9"/>
                    <w:rPr>
                      <w:rFonts w:ascii="Times New Roman" w:hAnsi="Times New Roman"/>
                      <w:b/>
                      <w:bCs/>
                      <w:color w:val="C00000"/>
                      <w:sz w:val="21"/>
                      <w:szCs w:val="21"/>
                    </w:rPr>
                  </w:pPr>
                  <w:r>
                    <w:rPr>
                      <w:rFonts w:ascii="Times New Roman" w:hAnsi="Times New Roman"/>
                      <w:b/>
                      <w:bCs/>
                      <w:sz w:val="21"/>
                      <w:szCs w:val="21"/>
                    </w:rPr>
                    <w:t>序号</w:t>
                  </w:r>
                </w:p>
              </w:tc>
              <w:tc>
                <w:tcPr>
                  <w:tcW w:w="4096" w:type="dxa"/>
                  <w:tcBorders>
                    <w:top w:val="single" w:color="auto" w:sz="4" w:space="0"/>
                  </w:tcBorders>
                  <w:vAlign w:val="center"/>
                </w:tcPr>
                <w:p>
                  <w:pPr>
                    <w:spacing w:line="360" w:lineRule="auto"/>
                    <w:jc w:val="center"/>
                    <w:outlineLvl w:val="9"/>
                    <w:rPr>
                      <w:rFonts w:ascii="Times New Roman" w:hAnsi="Times New Roman"/>
                      <w:b/>
                      <w:bCs/>
                      <w:color w:val="C00000"/>
                      <w:sz w:val="21"/>
                      <w:szCs w:val="21"/>
                    </w:rPr>
                  </w:pPr>
                  <w:r>
                    <w:rPr>
                      <w:rFonts w:ascii="Times New Roman" w:hAnsi="Times New Roman"/>
                      <w:b/>
                      <w:bCs/>
                      <w:sz w:val="21"/>
                      <w:szCs w:val="21"/>
                    </w:rPr>
                    <w:t>污染物</w:t>
                  </w:r>
                </w:p>
              </w:tc>
              <w:tc>
                <w:tcPr>
                  <w:tcW w:w="3943" w:type="dxa"/>
                  <w:tcBorders>
                    <w:top w:val="single" w:color="auto" w:sz="4" w:space="0"/>
                    <w:right w:val="nil"/>
                  </w:tcBorders>
                  <w:vAlign w:val="center"/>
                </w:tcPr>
                <w:p>
                  <w:pPr>
                    <w:spacing w:line="360" w:lineRule="auto"/>
                    <w:jc w:val="center"/>
                    <w:outlineLvl w:val="9"/>
                    <w:rPr>
                      <w:rFonts w:ascii="Times New Roman" w:hAnsi="Times New Roman"/>
                      <w:b/>
                      <w:bCs/>
                      <w:color w:val="C00000"/>
                      <w:sz w:val="21"/>
                      <w:szCs w:val="21"/>
                    </w:rPr>
                  </w:pPr>
                  <w:r>
                    <w:rPr>
                      <w:rFonts w:ascii="Times New Roman" w:hAnsi="Times New Roman"/>
                      <w:b/>
                      <w:bCs/>
                      <w:sz w:val="21"/>
                      <w:szCs w:val="21"/>
                    </w:rPr>
                    <w:t>无组织排放浓度</w:t>
                  </w:r>
                  <w:r>
                    <w:rPr>
                      <w:rFonts w:hint="eastAsia" w:ascii="Times New Roman" w:hAnsi="Times New Roman"/>
                      <w:b/>
                      <w:bCs/>
                      <w:sz w:val="21"/>
                      <w:szCs w:val="21"/>
                    </w:rPr>
                    <w:t>限值</w:t>
                  </w:r>
                  <w:r>
                    <w:rPr>
                      <w:rFonts w:ascii="Times New Roman" w:hAnsi="Times New Roman"/>
                      <w:b/>
                      <w:bCs/>
                      <w:sz w:val="21"/>
                      <w:szCs w:val="21"/>
                    </w:rPr>
                    <w:t>（mg/m</w:t>
                  </w:r>
                  <w:r>
                    <w:rPr>
                      <w:rFonts w:ascii="Times New Roman" w:hAnsi="Times New Roman"/>
                      <w:b/>
                      <w:bCs/>
                      <w:sz w:val="21"/>
                      <w:szCs w:val="21"/>
                      <w:vertAlign w:val="superscript"/>
                    </w:rPr>
                    <w:t>3</w:t>
                  </w:r>
                  <w:r>
                    <w:rPr>
                      <w:rFonts w:ascii="Times New Roman" w:hAnsi="Times New Roman"/>
                      <w:b/>
                      <w:bCs/>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456" w:type="dxa"/>
                  <w:tcBorders>
                    <w:left w:val="nil"/>
                  </w:tcBorders>
                  <w:vAlign w:val="center"/>
                </w:tcPr>
                <w:p>
                  <w:pPr>
                    <w:spacing w:line="360" w:lineRule="auto"/>
                    <w:jc w:val="center"/>
                    <w:outlineLvl w:val="9"/>
                    <w:rPr>
                      <w:rFonts w:ascii="Times New Roman" w:hAnsi="Times New Roman"/>
                      <w:color w:val="000000"/>
                      <w:sz w:val="21"/>
                      <w:szCs w:val="21"/>
                    </w:rPr>
                  </w:pPr>
                  <w:r>
                    <w:rPr>
                      <w:rFonts w:ascii="Times New Roman" w:hAnsi="Times New Roman"/>
                      <w:color w:val="000000"/>
                      <w:sz w:val="21"/>
                      <w:szCs w:val="21"/>
                    </w:rPr>
                    <w:t>1</w:t>
                  </w:r>
                </w:p>
              </w:tc>
              <w:tc>
                <w:tcPr>
                  <w:tcW w:w="4096" w:type="dxa"/>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颗粒物</w:t>
                  </w:r>
                </w:p>
              </w:tc>
              <w:tc>
                <w:tcPr>
                  <w:tcW w:w="3943" w:type="dxa"/>
                  <w:tcBorders>
                    <w:righ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456" w:type="dxa"/>
                  <w:tcBorders>
                    <w:left w:val="nil"/>
                  </w:tcBorders>
                  <w:vAlign w:val="center"/>
                </w:tcPr>
                <w:p>
                  <w:pPr>
                    <w:spacing w:line="360" w:lineRule="auto"/>
                    <w:jc w:val="center"/>
                    <w:outlineLvl w:val="9"/>
                    <w:rPr>
                      <w:rFonts w:ascii="Times New Roman" w:hAnsi="Times New Roman"/>
                      <w:color w:val="000000"/>
                      <w:sz w:val="21"/>
                      <w:szCs w:val="21"/>
                    </w:rPr>
                  </w:pPr>
                  <w:r>
                    <w:rPr>
                      <w:rFonts w:ascii="Times New Roman" w:hAnsi="Times New Roman"/>
                      <w:color w:val="000000"/>
                      <w:sz w:val="21"/>
                      <w:szCs w:val="21"/>
                    </w:rPr>
                    <w:t>2</w:t>
                  </w:r>
                </w:p>
              </w:tc>
              <w:tc>
                <w:tcPr>
                  <w:tcW w:w="4096" w:type="dxa"/>
                  <w:vAlign w:val="center"/>
                </w:tcPr>
                <w:p>
                  <w:pPr>
                    <w:spacing w:line="360" w:lineRule="auto"/>
                    <w:jc w:val="center"/>
                    <w:outlineLvl w:val="9"/>
                    <w:rPr>
                      <w:rFonts w:ascii="Times New Roman" w:hAnsi="Times New Roman"/>
                      <w:bCs/>
                      <w:kern w:val="2"/>
                      <w:sz w:val="21"/>
                      <w:szCs w:val="21"/>
                    </w:rPr>
                  </w:pPr>
                  <w:r>
                    <w:rPr>
                      <w:rFonts w:hint="eastAsia" w:ascii="Times New Roman" w:hAnsi="Times New Roman"/>
                      <w:bCs/>
                      <w:sz w:val="21"/>
                      <w:szCs w:val="21"/>
                    </w:rPr>
                    <w:t>非甲烷总烃</w:t>
                  </w:r>
                </w:p>
              </w:tc>
              <w:tc>
                <w:tcPr>
                  <w:tcW w:w="3943" w:type="dxa"/>
                  <w:tcBorders>
                    <w:right w:val="nil"/>
                  </w:tcBorders>
                  <w:vAlign w:val="center"/>
                </w:tcPr>
                <w:p>
                  <w:pPr>
                    <w:spacing w:line="360" w:lineRule="auto"/>
                    <w:jc w:val="center"/>
                    <w:outlineLvl w:val="9"/>
                    <w:rPr>
                      <w:rFonts w:ascii="Times New Roman" w:hAnsi="Times New Roman"/>
                      <w:color w:val="000000"/>
                      <w:kern w:val="2"/>
                      <w:sz w:val="21"/>
                      <w:szCs w:val="21"/>
                    </w:rPr>
                  </w:pPr>
                  <w:r>
                    <w:rPr>
                      <w:rFonts w:hint="eastAsia" w:ascii="Times New Roman" w:hAnsi="Times New Roman"/>
                      <w:color w:val="000000"/>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456" w:type="dxa"/>
                  <w:tcBorders>
                    <w:lef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3</w:t>
                  </w:r>
                </w:p>
              </w:tc>
              <w:tc>
                <w:tcPr>
                  <w:tcW w:w="4096" w:type="dxa"/>
                  <w:vAlign w:val="center"/>
                </w:tcPr>
                <w:p>
                  <w:pPr>
                    <w:spacing w:line="360" w:lineRule="auto"/>
                    <w:jc w:val="center"/>
                    <w:outlineLvl w:val="9"/>
                    <w:rPr>
                      <w:rFonts w:ascii="Times New Roman" w:hAnsi="Times New Roman"/>
                      <w:bCs/>
                      <w:sz w:val="21"/>
                      <w:szCs w:val="21"/>
                    </w:rPr>
                  </w:pPr>
                  <w:r>
                    <w:rPr>
                      <w:rFonts w:hint="eastAsia" w:ascii="Times New Roman" w:hAnsi="Times New Roman"/>
                      <w:bCs/>
                      <w:sz w:val="21"/>
                      <w:szCs w:val="21"/>
                    </w:rPr>
                    <w:t>二氧化硫</w:t>
                  </w:r>
                </w:p>
              </w:tc>
              <w:tc>
                <w:tcPr>
                  <w:tcW w:w="3943" w:type="dxa"/>
                  <w:tcBorders>
                    <w:righ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0.40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456" w:type="dxa"/>
                  <w:tcBorders>
                    <w:lef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4</w:t>
                  </w:r>
                </w:p>
              </w:tc>
              <w:tc>
                <w:tcPr>
                  <w:tcW w:w="4096" w:type="dxa"/>
                  <w:vAlign w:val="center"/>
                </w:tcPr>
                <w:p>
                  <w:pPr>
                    <w:spacing w:line="360" w:lineRule="auto"/>
                    <w:jc w:val="center"/>
                    <w:outlineLvl w:val="9"/>
                    <w:rPr>
                      <w:rFonts w:ascii="Times New Roman" w:hAnsi="Times New Roman"/>
                      <w:bCs/>
                      <w:sz w:val="21"/>
                      <w:szCs w:val="21"/>
                    </w:rPr>
                  </w:pPr>
                  <w:r>
                    <w:rPr>
                      <w:rFonts w:hint="eastAsia" w:ascii="Times New Roman" w:hAnsi="Times New Roman"/>
                      <w:bCs/>
                      <w:sz w:val="21"/>
                      <w:szCs w:val="21"/>
                    </w:rPr>
                    <w:t>氮氧化物</w:t>
                  </w:r>
                </w:p>
              </w:tc>
              <w:tc>
                <w:tcPr>
                  <w:tcW w:w="3943" w:type="dxa"/>
                  <w:tcBorders>
                    <w:righ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2456" w:type="dxa"/>
                  <w:tcBorders>
                    <w:lef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5</w:t>
                  </w:r>
                </w:p>
              </w:tc>
              <w:tc>
                <w:tcPr>
                  <w:tcW w:w="4096" w:type="dxa"/>
                  <w:vAlign w:val="center"/>
                </w:tcPr>
                <w:p>
                  <w:pPr>
                    <w:spacing w:line="360" w:lineRule="auto"/>
                    <w:jc w:val="center"/>
                    <w:outlineLvl w:val="9"/>
                    <w:rPr>
                      <w:rFonts w:ascii="Times New Roman" w:hAnsi="Times New Roman"/>
                      <w:bCs/>
                      <w:sz w:val="21"/>
                      <w:szCs w:val="21"/>
                    </w:rPr>
                  </w:pPr>
                  <w:r>
                    <w:rPr>
                      <w:rFonts w:ascii="Times New Roman" w:hAnsi="Times New Roman"/>
                      <w:sz w:val="21"/>
                      <w:szCs w:val="21"/>
                    </w:rPr>
                    <w:t>*</w:t>
                  </w:r>
                  <w:r>
                    <w:rPr>
                      <w:rFonts w:hint="eastAsia" w:ascii="Times New Roman" w:hAnsi="Times New Roman"/>
                      <w:bCs/>
                      <w:sz w:val="21"/>
                      <w:szCs w:val="21"/>
                    </w:rPr>
                    <w:t>氯化氢</w:t>
                  </w:r>
                </w:p>
              </w:tc>
              <w:tc>
                <w:tcPr>
                  <w:tcW w:w="3943" w:type="dxa"/>
                  <w:tcBorders>
                    <w:right w:val="nil"/>
                  </w:tcBorders>
                  <w:vAlign w:val="center"/>
                </w:tcPr>
                <w:p>
                  <w:pPr>
                    <w:spacing w:line="360" w:lineRule="auto"/>
                    <w:jc w:val="center"/>
                    <w:outlineLvl w:val="9"/>
                    <w:rPr>
                      <w:rFonts w:ascii="Times New Roman" w:hAnsi="Times New Roman"/>
                      <w:color w:val="000000"/>
                      <w:sz w:val="21"/>
                      <w:szCs w:val="21"/>
                    </w:rPr>
                  </w:pPr>
                  <w:r>
                    <w:rPr>
                      <w:rFonts w:hint="eastAsia" w:ascii="Times New Roman" w:hAnsi="Times New Roman"/>
                      <w:color w:val="000000"/>
                      <w:sz w:val="21"/>
                      <w:szCs w:val="21"/>
                    </w:rPr>
                    <w:t>0.20</w:t>
                  </w:r>
                </w:p>
              </w:tc>
            </w:tr>
          </w:tbl>
          <w:p>
            <w:pPr>
              <w:widowControl w:val="0"/>
              <w:adjustRightInd/>
              <w:snapToGrid/>
              <w:spacing w:line="400" w:lineRule="exact"/>
              <w:jc w:val="center"/>
              <w:outlineLvl w:val="9"/>
              <w:rPr>
                <w:rFonts w:ascii="Times New Roman" w:hAnsi="Times New Roman"/>
                <w:b/>
                <w:bCs/>
                <w:sz w:val="28"/>
                <w:szCs w:val="28"/>
              </w:rPr>
            </w:pPr>
          </w:p>
          <w:p>
            <w:pPr>
              <w:widowControl w:val="0"/>
              <w:adjustRightInd/>
              <w:snapToGrid/>
              <w:spacing w:line="400" w:lineRule="exact"/>
              <w:jc w:val="center"/>
              <w:outlineLvl w:val="9"/>
              <w:rPr>
                <w:rFonts w:ascii="Times New Roman" w:hAnsi="Times New Roman"/>
                <w:b/>
                <w:bCs/>
                <w:sz w:val="28"/>
                <w:szCs w:val="28"/>
              </w:rPr>
            </w:pPr>
            <w:r>
              <w:rPr>
                <w:rFonts w:ascii="Times New Roman" w:hAnsi="Times New Roman"/>
                <w:b/>
                <w:bCs/>
                <w:sz w:val="28"/>
                <w:szCs w:val="28"/>
              </w:rPr>
              <w:t>表</w:t>
            </w:r>
            <w:r>
              <w:rPr>
                <w:rFonts w:hint="eastAsia" w:ascii="Times New Roman" w:hAnsi="Times New Roman"/>
                <w:b/>
                <w:bCs/>
                <w:sz w:val="28"/>
                <w:szCs w:val="28"/>
              </w:rPr>
              <w:t>6</w:t>
            </w:r>
            <w:r>
              <w:rPr>
                <w:rFonts w:ascii="Times New Roman" w:hAnsi="Times New Roman"/>
                <w:b/>
                <w:bCs/>
                <w:sz w:val="28"/>
                <w:szCs w:val="28"/>
              </w:rPr>
              <w:t>-</w:t>
            </w:r>
            <w:r>
              <w:rPr>
                <w:rFonts w:hint="eastAsia" w:ascii="Times New Roman" w:hAnsi="Times New Roman"/>
                <w:b/>
                <w:bCs/>
                <w:sz w:val="28"/>
                <w:szCs w:val="28"/>
              </w:rPr>
              <w:t>4</w:t>
            </w:r>
            <w:r>
              <w:rPr>
                <w:rFonts w:ascii="Times New Roman" w:hAnsi="Times New Roman"/>
                <w:b/>
                <w:bCs/>
                <w:sz w:val="28"/>
                <w:szCs w:val="28"/>
              </w:rPr>
              <w:t>废水排放限值</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2562"/>
              <w:gridCol w:w="45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b/>
                      <w:bCs/>
                      <w:sz w:val="21"/>
                      <w:szCs w:val="21"/>
                    </w:rPr>
                  </w:pPr>
                  <w:r>
                    <w:rPr>
                      <w:rFonts w:ascii="Times New Roman" w:hAnsi="Times New Roman"/>
                      <w:b/>
                      <w:bCs/>
                      <w:sz w:val="21"/>
                      <w:szCs w:val="21"/>
                    </w:rPr>
                    <w:t>序号</w:t>
                  </w:r>
                </w:p>
              </w:tc>
              <w:tc>
                <w:tcPr>
                  <w:tcW w:w="3143" w:type="dxa"/>
                  <w:vAlign w:val="center"/>
                </w:tcPr>
                <w:p>
                  <w:pPr>
                    <w:jc w:val="center"/>
                    <w:outlineLvl w:val="9"/>
                    <w:rPr>
                      <w:rFonts w:ascii="Times New Roman" w:hAnsi="Times New Roman"/>
                      <w:b/>
                      <w:bCs/>
                      <w:sz w:val="21"/>
                      <w:szCs w:val="21"/>
                    </w:rPr>
                  </w:pPr>
                  <w:r>
                    <w:rPr>
                      <w:rFonts w:ascii="Times New Roman" w:hAnsi="Times New Roman"/>
                      <w:b/>
                      <w:bCs/>
                      <w:sz w:val="21"/>
                      <w:szCs w:val="21"/>
                    </w:rPr>
                    <w:t>污染物</w:t>
                  </w:r>
                </w:p>
              </w:tc>
              <w:tc>
                <w:tcPr>
                  <w:tcW w:w="5840" w:type="dxa"/>
                  <w:tcBorders>
                    <w:right w:val="nil"/>
                  </w:tcBorders>
                  <w:vAlign w:val="center"/>
                </w:tcPr>
                <w:p>
                  <w:pPr>
                    <w:jc w:val="center"/>
                    <w:outlineLvl w:val="9"/>
                    <w:rPr>
                      <w:rFonts w:ascii="Times New Roman" w:hAnsi="Times New Roman"/>
                      <w:b/>
                      <w:bCs/>
                      <w:sz w:val="21"/>
                      <w:szCs w:val="21"/>
                    </w:rPr>
                  </w:pPr>
                  <w:r>
                    <w:rPr>
                      <w:rFonts w:hint="eastAsia" w:ascii="Times New Roman" w:hAnsi="Times New Roman"/>
                      <w:b/>
                      <w:bCs/>
                      <w:sz w:val="21"/>
                      <w:szCs w:val="21"/>
                    </w:rPr>
                    <w:t>废水</w:t>
                  </w:r>
                  <w:r>
                    <w:rPr>
                      <w:rFonts w:ascii="Times New Roman" w:hAnsi="Times New Roman"/>
                      <w:b/>
                      <w:bCs/>
                      <w:sz w:val="21"/>
                      <w:szCs w:val="21"/>
                    </w:rPr>
                    <w:t>排放浓度限值（mg/L）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1</w:t>
                  </w:r>
                </w:p>
              </w:tc>
              <w:tc>
                <w:tcPr>
                  <w:tcW w:w="3143" w:type="dxa"/>
                  <w:vAlign w:val="center"/>
                </w:tcPr>
                <w:p>
                  <w:pPr>
                    <w:spacing w:line="340" w:lineRule="exact"/>
                    <w:jc w:val="center"/>
                    <w:outlineLvl w:val="9"/>
                    <w:rPr>
                      <w:rFonts w:ascii="Times New Roman" w:hAnsi="Times New Roman"/>
                      <w:kern w:val="2"/>
                      <w:sz w:val="21"/>
                      <w:szCs w:val="21"/>
                    </w:rPr>
                  </w:pPr>
                  <w:r>
                    <w:rPr>
                      <w:rFonts w:ascii="Times New Roman" w:hAnsi="Times New Roman"/>
                    </w:rPr>
                    <w:t>pH</w:t>
                  </w:r>
                  <w:r>
                    <w:rPr>
                      <w:rFonts w:hint="eastAsia" w:ascii="Times New Roman" w:hAnsi="Times New Roman"/>
                    </w:rPr>
                    <w:t>（无量纲）</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kern w:val="2"/>
                      <w:sz w:val="21"/>
                      <w:szCs w:val="21"/>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2</w:t>
                  </w:r>
                </w:p>
              </w:tc>
              <w:tc>
                <w:tcPr>
                  <w:tcW w:w="3143" w:type="dxa"/>
                  <w:vAlign w:val="center"/>
                </w:tcPr>
                <w:p>
                  <w:pPr>
                    <w:spacing w:line="260" w:lineRule="exact"/>
                    <w:jc w:val="center"/>
                    <w:outlineLvl w:val="9"/>
                    <w:rPr>
                      <w:rFonts w:ascii="Times New Roman" w:hAnsi="Times New Roman"/>
                      <w:kern w:val="2"/>
                      <w:sz w:val="21"/>
                      <w:szCs w:val="24"/>
                    </w:rPr>
                  </w:pPr>
                  <w:r>
                    <w:rPr>
                      <w:rFonts w:ascii="Times New Roman" w:hAnsi="Times New Roman"/>
                      <w:szCs w:val="21"/>
                    </w:rPr>
                    <w:t>化学需氧量</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kern w:val="2"/>
                      <w:sz w:val="21"/>
                      <w:szCs w:val="21"/>
                    </w:rPr>
                    <w:t>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3</w:t>
                  </w:r>
                </w:p>
              </w:tc>
              <w:tc>
                <w:tcPr>
                  <w:tcW w:w="3143" w:type="dxa"/>
                  <w:vAlign w:val="center"/>
                </w:tcPr>
                <w:p>
                  <w:pPr>
                    <w:spacing w:line="260" w:lineRule="exact"/>
                    <w:jc w:val="center"/>
                    <w:outlineLvl w:val="9"/>
                    <w:rPr>
                      <w:rFonts w:ascii="Times New Roman" w:hAnsi="Times New Roman"/>
                      <w:kern w:val="2"/>
                      <w:sz w:val="21"/>
                      <w:szCs w:val="24"/>
                    </w:rPr>
                  </w:pPr>
                  <w:r>
                    <w:rPr>
                      <w:rFonts w:ascii="Times New Roman" w:hAnsi="Times New Roman"/>
                      <w:szCs w:val="21"/>
                    </w:rPr>
                    <w:t>五日生化需氧量</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kern w:val="2"/>
                      <w:sz w:val="21"/>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4</w:t>
                  </w:r>
                </w:p>
              </w:tc>
              <w:tc>
                <w:tcPr>
                  <w:tcW w:w="3143" w:type="dxa"/>
                  <w:vAlign w:val="center"/>
                </w:tcPr>
                <w:p>
                  <w:pPr>
                    <w:spacing w:line="260" w:lineRule="exact"/>
                    <w:jc w:val="center"/>
                    <w:outlineLvl w:val="9"/>
                    <w:rPr>
                      <w:rFonts w:ascii="Times New Roman" w:hAnsi="Times New Roman"/>
                      <w:sz w:val="21"/>
                      <w:szCs w:val="21"/>
                    </w:rPr>
                  </w:pPr>
                  <w:r>
                    <w:rPr>
                      <w:rFonts w:ascii="Times New Roman" w:hAnsi="Times New Roman"/>
                      <w:szCs w:val="21"/>
                    </w:rPr>
                    <w:t>悬浮物</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5</w:t>
                  </w:r>
                </w:p>
              </w:tc>
              <w:tc>
                <w:tcPr>
                  <w:tcW w:w="3143" w:type="dxa"/>
                  <w:vAlign w:val="center"/>
                </w:tcPr>
                <w:p>
                  <w:pPr>
                    <w:spacing w:line="320" w:lineRule="exact"/>
                    <w:jc w:val="center"/>
                    <w:outlineLvl w:val="9"/>
                    <w:rPr>
                      <w:rFonts w:ascii="Times New Roman" w:hAnsi="Times New Roman"/>
                      <w:sz w:val="21"/>
                      <w:szCs w:val="21"/>
                    </w:rPr>
                  </w:pPr>
                  <w:r>
                    <w:rPr>
                      <w:rFonts w:ascii="Times New Roman" w:hAnsi="Times New Roman"/>
                      <w:szCs w:val="21"/>
                    </w:rPr>
                    <w:t>氨氮</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ascii="Times New Roman" w:hAnsi="Times New Roman"/>
                      <w:sz w:val="21"/>
                      <w:szCs w:val="21"/>
                    </w:rPr>
                    <w:t>6</w:t>
                  </w:r>
                </w:p>
              </w:tc>
              <w:tc>
                <w:tcPr>
                  <w:tcW w:w="3143" w:type="dxa"/>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石油类</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7</w:t>
                  </w:r>
                </w:p>
              </w:tc>
              <w:tc>
                <w:tcPr>
                  <w:tcW w:w="3143" w:type="dxa"/>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氯化物</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8</w:t>
                  </w:r>
                </w:p>
              </w:tc>
              <w:tc>
                <w:tcPr>
                  <w:tcW w:w="0" w:type="auto"/>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*铁</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9</w:t>
                  </w:r>
                </w:p>
              </w:tc>
              <w:tc>
                <w:tcPr>
                  <w:tcW w:w="0" w:type="auto"/>
                  <w:vAlign w:val="center"/>
                </w:tcPr>
                <w:p>
                  <w:pPr>
                    <w:spacing w:line="320" w:lineRule="exact"/>
                    <w:jc w:val="center"/>
                    <w:outlineLvl w:val="9"/>
                    <w:rPr>
                      <w:rFonts w:ascii="Times New Roman" w:hAnsi="Times New Roman"/>
                      <w:sz w:val="21"/>
                      <w:szCs w:val="21"/>
                    </w:rPr>
                  </w:pPr>
                  <w:r>
                    <w:rPr>
                      <w:rFonts w:hint="eastAsia" w:ascii="Times New Roman" w:hAnsi="Times New Roman"/>
                      <w:szCs w:val="21"/>
                    </w:rPr>
                    <w:t>*锌</w:t>
                  </w:r>
                </w:p>
              </w:tc>
              <w:tc>
                <w:tcPr>
                  <w:tcW w:w="5840" w:type="dxa"/>
                  <w:tcBorders>
                    <w:right w:val="nil"/>
                  </w:tcBorders>
                  <w:vAlign w:val="center"/>
                </w:tcPr>
                <w:p>
                  <w:pPr>
                    <w:jc w:val="center"/>
                    <w:outlineLvl w:val="9"/>
                    <w:rPr>
                      <w:rFonts w:ascii="Times New Roman" w:hAnsi="Times New Roman"/>
                      <w:kern w:val="2"/>
                      <w:sz w:val="21"/>
                      <w:szCs w:val="21"/>
                    </w:rPr>
                  </w:pPr>
                  <w:r>
                    <w:rPr>
                      <w:rFonts w:hint="eastAsia" w:ascii="Times New Roman" w:hAnsi="Times New Roman"/>
                      <w:sz w:val="21"/>
                      <w:szCs w:val="21"/>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4" w:type="dxa"/>
                  <w:tcBorders>
                    <w:lef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10</w:t>
                  </w:r>
                </w:p>
              </w:tc>
              <w:tc>
                <w:tcPr>
                  <w:tcW w:w="0" w:type="auto"/>
                  <w:vAlign w:val="center"/>
                </w:tcPr>
                <w:p>
                  <w:pPr>
                    <w:spacing w:line="320" w:lineRule="exact"/>
                    <w:jc w:val="center"/>
                    <w:outlineLvl w:val="9"/>
                    <w:rPr>
                      <w:rFonts w:ascii="Times New Roman" w:hAnsi="Times New Roman"/>
                      <w:szCs w:val="21"/>
                    </w:rPr>
                  </w:pPr>
                  <w:r>
                    <w:rPr>
                      <w:rFonts w:hint="eastAsia" w:ascii="Times New Roman" w:hAnsi="Times New Roman"/>
                      <w:szCs w:val="21"/>
                    </w:rPr>
                    <w:t>流量（m</w:t>
                  </w:r>
                  <w:r>
                    <w:rPr>
                      <w:rFonts w:hint="eastAsia" w:ascii="Times New Roman" w:hAnsi="Times New Roman"/>
                      <w:szCs w:val="21"/>
                      <w:vertAlign w:val="superscript"/>
                    </w:rPr>
                    <w:t>3</w:t>
                  </w:r>
                  <w:r>
                    <w:rPr>
                      <w:rFonts w:hint="eastAsia" w:ascii="Times New Roman" w:hAnsi="Times New Roman"/>
                      <w:szCs w:val="21"/>
                    </w:rPr>
                    <w:t>/h）</w:t>
                  </w:r>
                </w:p>
              </w:tc>
              <w:tc>
                <w:tcPr>
                  <w:tcW w:w="5840" w:type="dxa"/>
                  <w:tcBorders>
                    <w:right w:val="nil"/>
                  </w:tcBorders>
                  <w:vAlign w:val="center"/>
                </w:tcPr>
                <w:p>
                  <w:pPr>
                    <w:jc w:val="center"/>
                    <w:outlineLvl w:val="9"/>
                    <w:rPr>
                      <w:rFonts w:ascii="Times New Roman" w:hAnsi="Times New Roman"/>
                      <w:sz w:val="21"/>
                      <w:szCs w:val="21"/>
                    </w:rPr>
                  </w:pPr>
                  <w:r>
                    <w:rPr>
                      <w:rFonts w:hint="eastAsia" w:ascii="Times New Roman" w:hAnsi="Times New Roman"/>
                      <w:sz w:val="21"/>
                      <w:szCs w:val="21"/>
                    </w:rPr>
                    <w:t>/</w:t>
                  </w:r>
                </w:p>
              </w:tc>
            </w:tr>
          </w:tbl>
          <w:p>
            <w:pPr>
              <w:jc w:val="center"/>
              <w:outlineLvl w:val="9"/>
              <w:rPr>
                <w:rFonts w:ascii="宋体" w:hAnsi="宋体" w:cs="宋体"/>
                <w:b/>
                <w:bCs/>
                <w:sz w:val="24"/>
              </w:rPr>
            </w:pPr>
          </w:p>
          <w:p>
            <w:pPr>
              <w:spacing w:line="360" w:lineRule="auto"/>
              <w:outlineLvl w:val="9"/>
              <w:rPr>
                <w:rFonts w:ascii="宋体" w:hAnsi="宋体" w:cs="宋体"/>
              </w:rPr>
            </w:pPr>
            <w:r>
              <w:rPr>
                <w:rFonts w:hint="eastAsia" w:ascii="宋体" w:hAnsi="宋体" w:cs="宋体"/>
              </w:rPr>
              <w:t>6.2、验收监测内容</w:t>
            </w:r>
          </w:p>
          <w:p>
            <w:pPr>
              <w:spacing w:line="360" w:lineRule="auto"/>
              <w:ind w:firstLine="555"/>
              <w:outlineLvl w:val="9"/>
              <w:rPr>
                <w:rFonts w:ascii="宋体" w:hAnsi="宋体" w:cs="宋体"/>
                <w:sz w:val="24"/>
              </w:rPr>
            </w:pPr>
            <w:r>
              <w:rPr>
                <w:rFonts w:hint="eastAsia" w:ascii="宋体" w:hAnsi="宋体" w:cs="宋体"/>
                <w:sz w:val="24"/>
              </w:rPr>
              <w:t>本次验收监测范围：四川东博轨道科技有限公司</w:t>
            </w:r>
            <w:r>
              <w:rPr>
                <w:sz w:val="24"/>
              </w:rPr>
              <w:t>新增</w:t>
            </w:r>
            <w:r>
              <w:rPr>
                <w:rFonts w:hint="eastAsia"/>
                <w:sz w:val="24"/>
              </w:rPr>
              <w:t>1.5万吨/年紧固件生产扩建项目</w:t>
            </w:r>
            <w:r>
              <w:rPr>
                <w:rFonts w:hint="eastAsia" w:ascii="宋体" w:hAnsi="宋体" w:cs="宋体"/>
                <w:sz w:val="24"/>
              </w:rPr>
              <w:t>。本次验收监测内容为：废水检测、废气检测；噪声检测。</w:t>
            </w:r>
          </w:p>
          <w:p>
            <w:pPr>
              <w:spacing w:line="360" w:lineRule="auto"/>
              <w:ind w:firstLine="480" w:firstLineChars="200"/>
              <w:outlineLvl w:val="9"/>
              <w:rPr>
                <w:rFonts w:ascii="宋体" w:hAnsi="宋体" w:cs="宋体"/>
                <w:sz w:val="24"/>
              </w:rPr>
            </w:pPr>
            <w:r>
              <w:rPr>
                <w:rFonts w:hint="eastAsia" w:ascii="宋体" w:hAnsi="宋体" w:cs="宋体"/>
                <w:sz w:val="24"/>
              </w:rPr>
              <w:t>监测内容表如下：</w:t>
            </w:r>
          </w:p>
          <w:tbl>
            <w:tblPr>
              <w:tblStyle w:val="12"/>
              <w:tblW w:w="5000"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943"/>
              <w:gridCol w:w="3316"/>
              <w:gridCol w:w="2193"/>
              <w:gridCol w:w="185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jc w:val="center"/>
              </w:trPr>
              <w:tc>
                <w:tcPr>
                  <w:tcW w:w="568" w:type="pct"/>
                  <w:vAlign w:val="center"/>
                </w:tcPr>
                <w:p>
                  <w:pPr>
                    <w:spacing w:line="320" w:lineRule="exact"/>
                    <w:jc w:val="center"/>
                    <w:outlineLvl w:val="9"/>
                    <w:rPr>
                      <w:rFonts w:ascii="Times New Roman" w:hAnsi="Times New Roman"/>
                      <w:b/>
                      <w:bCs/>
                      <w:szCs w:val="21"/>
                    </w:rPr>
                  </w:pPr>
                  <w:r>
                    <w:rPr>
                      <w:rFonts w:ascii="Times New Roman" w:hAnsi="Times New Roman"/>
                      <w:b/>
                      <w:bCs/>
                      <w:szCs w:val="21"/>
                    </w:rPr>
                    <w:t>类  别</w:t>
                  </w:r>
                </w:p>
              </w:tc>
              <w:tc>
                <w:tcPr>
                  <w:tcW w:w="1996" w:type="pct"/>
                  <w:vAlign w:val="center"/>
                </w:tcPr>
                <w:p>
                  <w:pPr>
                    <w:spacing w:line="320" w:lineRule="exact"/>
                    <w:jc w:val="center"/>
                    <w:outlineLvl w:val="9"/>
                    <w:rPr>
                      <w:rFonts w:ascii="Times New Roman" w:hAnsi="Times New Roman"/>
                      <w:b/>
                      <w:bCs/>
                      <w:szCs w:val="21"/>
                    </w:rPr>
                  </w:pPr>
                  <w:r>
                    <w:rPr>
                      <w:rFonts w:ascii="Times New Roman" w:hAnsi="Times New Roman"/>
                      <w:b/>
                      <w:bCs/>
                      <w:szCs w:val="21"/>
                    </w:rPr>
                    <w:t>检测项目</w:t>
                  </w:r>
                </w:p>
              </w:tc>
              <w:tc>
                <w:tcPr>
                  <w:tcW w:w="1320" w:type="pct"/>
                  <w:vAlign w:val="center"/>
                </w:tcPr>
                <w:p>
                  <w:pPr>
                    <w:spacing w:line="320" w:lineRule="exact"/>
                    <w:jc w:val="center"/>
                    <w:outlineLvl w:val="9"/>
                    <w:rPr>
                      <w:rFonts w:ascii="Times New Roman" w:hAnsi="Times New Roman"/>
                      <w:b/>
                      <w:bCs/>
                      <w:szCs w:val="21"/>
                    </w:rPr>
                  </w:pPr>
                  <w:r>
                    <w:rPr>
                      <w:rFonts w:ascii="Times New Roman" w:hAnsi="Times New Roman"/>
                      <w:b/>
                      <w:bCs/>
                      <w:szCs w:val="21"/>
                    </w:rPr>
                    <w:t>检测点位</w:t>
                  </w:r>
                </w:p>
              </w:tc>
              <w:tc>
                <w:tcPr>
                  <w:tcW w:w="1116" w:type="pct"/>
                  <w:vAlign w:val="center"/>
                </w:tcPr>
                <w:p>
                  <w:pPr>
                    <w:spacing w:line="320" w:lineRule="exact"/>
                    <w:jc w:val="center"/>
                    <w:outlineLvl w:val="9"/>
                    <w:rPr>
                      <w:rFonts w:ascii="Times New Roman" w:hAnsi="Times New Roman"/>
                      <w:b/>
                      <w:bCs/>
                      <w:szCs w:val="21"/>
                    </w:rPr>
                  </w:pPr>
                  <w:r>
                    <w:rPr>
                      <w:rFonts w:ascii="Times New Roman" w:hAnsi="Times New Roman"/>
                      <w:b/>
                      <w:bCs/>
                      <w:szCs w:val="21"/>
                    </w:rPr>
                    <w:t>检测频次</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jc w:val="center"/>
              </w:trPr>
              <w:tc>
                <w:tcPr>
                  <w:tcW w:w="568" w:type="pct"/>
                  <w:vMerge w:val="restart"/>
                  <w:vAlign w:val="center"/>
                </w:tcPr>
                <w:p>
                  <w:pPr>
                    <w:spacing w:line="360" w:lineRule="exact"/>
                    <w:jc w:val="center"/>
                    <w:outlineLvl w:val="9"/>
                    <w:rPr>
                      <w:rFonts w:ascii="Times New Roman" w:hAnsi="Times New Roman"/>
                      <w:szCs w:val="21"/>
                    </w:rPr>
                  </w:pPr>
                  <w:r>
                    <w:rPr>
                      <w:rFonts w:ascii="Times New Roman" w:hAnsi="Times New Roman"/>
                      <w:szCs w:val="21"/>
                    </w:rPr>
                    <w:t>噪声</w:t>
                  </w:r>
                </w:p>
              </w:tc>
              <w:tc>
                <w:tcPr>
                  <w:tcW w:w="1996" w:type="pct"/>
                  <w:vMerge w:val="restart"/>
                  <w:vAlign w:val="center"/>
                </w:tcPr>
                <w:p>
                  <w:pPr>
                    <w:spacing w:line="360" w:lineRule="exact"/>
                    <w:jc w:val="center"/>
                    <w:outlineLvl w:val="9"/>
                    <w:rPr>
                      <w:rFonts w:ascii="Times New Roman" w:hAnsi="Times New Roman"/>
                      <w:szCs w:val="21"/>
                    </w:rPr>
                  </w:pPr>
                  <w:r>
                    <w:rPr>
                      <w:rFonts w:hint="eastAsia" w:ascii="Times New Roman" w:hAnsi="Times New Roman"/>
                      <w:szCs w:val="21"/>
                    </w:rPr>
                    <w:t>工业企业厂界环境噪声</w:t>
                  </w: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1"/>
                    </w:rPr>
                  </w:pPr>
                  <w:r>
                    <w:rPr>
                      <w:rFonts w:hint="eastAsia" w:ascii="Times New Roman" w:hAnsi="Times New Roman"/>
                      <w:kern w:val="2"/>
                      <w:sz w:val="21"/>
                      <w:szCs w:val="21"/>
                    </w:rPr>
                    <w:t>西</w:t>
                  </w:r>
                  <w:r>
                    <w:rPr>
                      <w:rFonts w:ascii="Times New Roman" w:hAnsi="Times New Roman"/>
                      <w:kern w:val="2"/>
                      <w:sz w:val="21"/>
                      <w:szCs w:val="21"/>
                    </w:rPr>
                    <w:t>侧厂界</w:t>
                  </w:r>
                  <w:r>
                    <w:rPr>
                      <w:rFonts w:hint="eastAsia" w:ascii="Times New Roman" w:hAnsi="Times New Roman"/>
                      <w:kern w:val="2"/>
                      <w:sz w:val="21"/>
                      <w:szCs w:val="21"/>
                    </w:rPr>
                    <w:t>外1m处</w:t>
                  </w:r>
                </w:p>
              </w:tc>
              <w:tc>
                <w:tcPr>
                  <w:tcW w:w="1116" w:type="pct"/>
                  <w:vMerge w:val="restart"/>
                  <w:vAlign w:val="center"/>
                </w:tcPr>
                <w:p>
                  <w:pPr>
                    <w:spacing w:line="320" w:lineRule="exact"/>
                    <w:jc w:val="center"/>
                    <w:outlineLvl w:val="9"/>
                    <w:rPr>
                      <w:rFonts w:ascii="Times New Roman" w:hAnsi="Times New Roman"/>
                      <w:szCs w:val="21"/>
                    </w:rPr>
                  </w:pPr>
                  <w:r>
                    <w:rPr>
                      <w:rFonts w:ascii="Times New Roman" w:hAnsi="Times New Roman"/>
                      <w:szCs w:val="21"/>
                    </w:rPr>
                    <w:t>昼</w:t>
                  </w:r>
                  <w:r>
                    <w:rPr>
                      <w:rFonts w:hint="eastAsia" w:ascii="Times New Roman" w:hAnsi="Times New Roman"/>
                      <w:szCs w:val="21"/>
                    </w:rPr>
                    <w:t>间2</w:t>
                  </w:r>
                  <w:r>
                    <w:rPr>
                      <w:rFonts w:ascii="Times New Roman" w:hAnsi="Times New Roman"/>
                      <w:szCs w:val="21"/>
                    </w:rPr>
                    <w:t>次、共</w:t>
                  </w:r>
                  <w:r>
                    <w:rPr>
                      <w:rFonts w:hint="eastAsia" w:ascii="Times New Roman" w:hAnsi="Times New Roman"/>
                      <w:szCs w:val="21"/>
                    </w:rPr>
                    <w:t>2</w:t>
                  </w:r>
                  <w:r>
                    <w:rPr>
                      <w:rFonts w:ascii="Times New Roman" w:hAnsi="Times New Roman"/>
                      <w:szCs w:val="21"/>
                    </w:rPr>
                    <w:t>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jc w:val="center"/>
              </w:trPr>
              <w:tc>
                <w:tcPr>
                  <w:tcW w:w="568" w:type="pct"/>
                  <w:vMerge w:val="continue"/>
                  <w:vAlign w:val="center"/>
                </w:tcPr>
                <w:p>
                  <w:pPr>
                    <w:spacing w:line="320" w:lineRule="exact"/>
                    <w:jc w:val="center"/>
                    <w:outlineLvl w:val="9"/>
                    <w:rPr>
                      <w:rFonts w:ascii="Times New Roman" w:hAnsi="Times New Roman"/>
                      <w:szCs w:val="21"/>
                    </w:rPr>
                  </w:pPr>
                </w:p>
              </w:tc>
              <w:tc>
                <w:tcPr>
                  <w:tcW w:w="1996" w:type="pct"/>
                  <w:vMerge w:val="continue"/>
                  <w:vAlign w:val="center"/>
                </w:tcPr>
                <w:p>
                  <w:pPr>
                    <w:spacing w:line="320" w:lineRule="exact"/>
                    <w:jc w:val="center"/>
                    <w:outlineLvl w:val="9"/>
                    <w:rPr>
                      <w:rFonts w:ascii="Times New Roman" w:hAnsi="Times New Roman"/>
                      <w:szCs w:val="21"/>
                    </w:rPr>
                  </w:pP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4"/>
                    </w:rPr>
                  </w:pPr>
                  <w:r>
                    <w:rPr>
                      <w:rFonts w:hint="eastAsia" w:ascii="Times New Roman" w:hAnsi="Times New Roman"/>
                      <w:kern w:val="2"/>
                      <w:sz w:val="21"/>
                      <w:szCs w:val="21"/>
                    </w:rPr>
                    <w:t>北</w:t>
                  </w:r>
                  <w:r>
                    <w:rPr>
                      <w:rFonts w:ascii="Times New Roman" w:hAnsi="Times New Roman"/>
                      <w:kern w:val="2"/>
                      <w:sz w:val="21"/>
                      <w:szCs w:val="21"/>
                    </w:rPr>
                    <w:t>侧厂界</w:t>
                  </w:r>
                  <w:r>
                    <w:rPr>
                      <w:rFonts w:hint="eastAsia" w:ascii="Times New Roman" w:hAnsi="Times New Roman"/>
                      <w:kern w:val="2"/>
                      <w:sz w:val="21"/>
                      <w:szCs w:val="21"/>
                    </w:rPr>
                    <w:t>外1m处</w:t>
                  </w:r>
                </w:p>
              </w:tc>
              <w:tc>
                <w:tcPr>
                  <w:tcW w:w="1116" w:type="pct"/>
                  <w:vMerge w:val="continue"/>
                  <w:vAlign w:val="center"/>
                </w:tcPr>
                <w:p>
                  <w:pPr>
                    <w:spacing w:line="320" w:lineRule="exact"/>
                    <w:jc w:val="center"/>
                    <w:outlineLvl w:val="9"/>
                    <w:rPr>
                      <w:rFonts w:ascii="Times New Roman" w:hAnsi="Times New Roman"/>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jc w:val="center"/>
              </w:trPr>
              <w:tc>
                <w:tcPr>
                  <w:tcW w:w="568" w:type="pct"/>
                  <w:vMerge w:val="continue"/>
                  <w:vAlign w:val="center"/>
                </w:tcPr>
                <w:p>
                  <w:pPr>
                    <w:spacing w:line="320" w:lineRule="exact"/>
                    <w:jc w:val="center"/>
                    <w:outlineLvl w:val="9"/>
                    <w:rPr>
                      <w:rFonts w:ascii="Times New Roman" w:hAnsi="Times New Roman"/>
                      <w:szCs w:val="21"/>
                    </w:rPr>
                  </w:pPr>
                </w:p>
              </w:tc>
              <w:tc>
                <w:tcPr>
                  <w:tcW w:w="1996" w:type="pct"/>
                  <w:vMerge w:val="continue"/>
                  <w:vAlign w:val="center"/>
                </w:tcPr>
                <w:p>
                  <w:pPr>
                    <w:spacing w:line="320" w:lineRule="exact"/>
                    <w:jc w:val="center"/>
                    <w:outlineLvl w:val="9"/>
                    <w:rPr>
                      <w:rFonts w:ascii="Times New Roman" w:hAnsi="Times New Roman"/>
                      <w:szCs w:val="21"/>
                    </w:rPr>
                  </w:pP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4"/>
                    </w:rPr>
                  </w:pPr>
                  <w:r>
                    <w:rPr>
                      <w:rFonts w:hint="eastAsia" w:ascii="Times New Roman" w:hAnsi="Times New Roman"/>
                      <w:kern w:val="2"/>
                      <w:sz w:val="21"/>
                      <w:szCs w:val="21"/>
                    </w:rPr>
                    <w:t>东</w:t>
                  </w:r>
                  <w:r>
                    <w:rPr>
                      <w:rFonts w:ascii="Times New Roman" w:hAnsi="Times New Roman"/>
                      <w:kern w:val="2"/>
                      <w:sz w:val="21"/>
                      <w:szCs w:val="21"/>
                    </w:rPr>
                    <w:t>侧厂界</w:t>
                  </w:r>
                  <w:r>
                    <w:rPr>
                      <w:rFonts w:hint="eastAsia" w:ascii="Times New Roman" w:hAnsi="Times New Roman"/>
                      <w:kern w:val="2"/>
                      <w:sz w:val="21"/>
                      <w:szCs w:val="21"/>
                    </w:rPr>
                    <w:t>外1m处</w:t>
                  </w:r>
                </w:p>
              </w:tc>
              <w:tc>
                <w:tcPr>
                  <w:tcW w:w="1116" w:type="pct"/>
                  <w:vMerge w:val="continue"/>
                  <w:vAlign w:val="center"/>
                </w:tcPr>
                <w:p>
                  <w:pPr>
                    <w:spacing w:line="320" w:lineRule="exact"/>
                    <w:jc w:val="center"/>
                    <w:outlineLvl w:val="9"/>
                    <w:rPr>
                      <w:rFonts w:ascii="Times New Roman" w:hAnsi="Times New Roman"/>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cantSplit/>
                <w:trHeight w:val="425" w:hRule="atLeast"/>
                <w:jc w:val="center"/>
              </w:trPr>
              <w:tc>
                <w:tcPr>
                  <w:tcW w:w="568" w:type="pct"/>
                  <w:vMerge w:val="continue"/>
                  <w:vAlign w:val="center"/>
                </w:tcPr>
                <w:p>
                  <w:pPr>
                    <w:spacing w:line="320" w:lineRule="exact"/>
                    <w:jc w:val="center"/>
                    <w:outlineLvl w:val="9"/>
                    <w:rPr>
                      <w:rFonts w:ascii="Times New Roman" w:hAnsi="Times New Roman"/>
                      <w:szCs w:val="21"/>
                    </w:rPr>
                  </w:pPr>
                </w:p>
              </w:tc>
              <w:tc>
                <w:tcPr>
                  <w:tcW w:w="1996" w:type="pct"/>
                  <w:vMerge w:val="continue"/>
                  <w:vAlign w:val="center"/>
                </w:tcPr>
                <w:p>
                  <w:pPr>
                    <w:spacing w:line="320" w:lineRule="exact"/>
                    <w:jc w:val="center"/>
                    <w:outlineLvl w:val="9"/>
                    <w:rPr>
                      <w:rFonts w:ascii="Times New Roman" w:hAnsi="Times New Roman"/>
                      <w:szCs w:val="21"/>
                    </w:rPr>
                  </w:pP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1"/>
                    </w:rPr>
                  </w:pPr>
                  <w:r>
                    <w:rPr>
                      <w:rFonts w:hint="eastAsia" w:ascii="Times New Roman" w:hAnsi="Times New Roman"/>
                      <w:kern w:val="2"/>
                      <w:sz w:val="21"/>
                      <w:szCs w:val="21"/>
                    </w:rPr>
                    <w:t>南</w:t>
                  </w:r>
                  <w:r>
                    <w:rPr>
                      <w:rFonts w:ascii="Times New Roman" w:hAnsi="Times New Roman"/>
                      <w:kern w:val="2"/>
                      <w:sz w:val="21"/>
                      <w:szCs w:val="21"/>
                    </w:rPr>
                    <w:t>侧厂界</w:t>
                  </w:r>
                  <w:r>
                    <w:rPr>
                      <w:rFonts w:hint="eastAsia" w:ascii="Times New Roman" w:hAnsi="Times New Roman"/>
                      <w:kern w:val="2"/>
                      <w:sz w:val="21"/>
                      <w:szCs w:val="21"/>
                    </w:rPr>
                    <w:t>外1m处</w:t>
                  </w:r>
                </w:p>
              </w:tc>
              <w:tc>
                <w:tcPr>
                  <w:tcW w:w="1116" w:type="pct"/>
                  <w:vMerge w:val="continue"/>
                  <w:vAlign w:val="center"/>
                </w:tcPr>
                <w:p>
                  <w:pPr>
                    <w:spacing w:line="320" w:lineRule="exact"/>
                    <w:jc w:val="center"/>
                    <w:outlineLvl w:val="9"/>
                    <w:rPr>
                      <w:rFonts w:ascii="Times New Roman" w:hAnsi="Times New Roman"/>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restart"/>
                  <w:vAlign w:val="center"/>
                </w:tcPr>
                <w:p>
                  <w:pPr>
                    <w:spacing w:line="320" w:lineRule="exact"/>
                    <w:jc w:val="center"/>
                    <w:outlineLvl w:val="9"/>
                    <w:rPr>
                      <w:rFonts w:ascii="Times New Roman" w:hAnsi="Times New Roman"/>
                    </w:rPr>
                  </w:pPr>
                  <w:r>
                    <w:rPr>
                      <w:rFonts w:hint="eastAsia" w:ascii="Times New Roman" w:hAnsi="Times New Roman"/>
                      <w:szCs w:val="21"/>
                    </w:rPr>
                    <w:t>无组织废气</w:t>
                  </w:r>
                </w:p>
              </w:tc>
              <w:tc>
                <w:tcPr>
                  <w:tcW w:w="1996" w:type="pct"/>
                  <w:vMerge w:val="restart"/>
                  <w:vAlign w:val="center"/>
                </w:tcPr>
                <w:p>
                  <w:pPr>
                    <w:spacing w:line="320" w:lineRule="exact"/>
                    <w:jc w:val="center"/>
                    <w:outlineLvl w:val="9"/>
                    <w:rPr>
                      <w:rFonts w:ascii="Times New Roman" w:hAnsi="Times New Roman"/>
                    </w:rPr>
                  </w:pPr>
                  <w:r>
                    <w:rPr>
                      <w:rFonts w:hint="eastAsia" w:ascii="Times New Roman" w:hAnsi="Times New Roman"/>
                      <w:kern w:val="2"/>
                      <w:sz w:val="21"/>
                      <w:szCs w:val="21"/>
                    </w:rPr>
                    <w:t>非甲烷总烃、颗粒物、二氧化硫、氮氧化物、*氯化氢</w:t>
                  </w:r>
                </w:p>
              </w:tc>
              <w:tc>
                <w:tcPr>
                  <w:tcW w:w="1320" w:type="pct"/>
                  <w:vAlign w:val="center"/>
                </w:tcPr>
                <w:p>
                  <w:pPr>
                    <w:spacing w:line="320" w:lineRule="exact"/>
                    <w:jc w:val="center"/>
                    <w:outlineLvl w:val="9"/>
                    <w:rPr>
                      <w:rFonts w:ascii="Times New Roman" w:hAnsi="Times New Roman"/>
                      <w:kern w:val="2"/>
                      <w:sz w:val="21"/>
                      <w:szCs w:val="21"/>
                    </w:rPr>
                  </w:pPr>
                  <w:r>
                    <w:rPr>
                      <w:rFonts w:hint="eastAsia" w:ascii="Times New Roman" w:hAnsi="Times New Roman"/>
                      <w:szCs w:val="21"/>
                    </w:rPr>
                    <w:t>5#东侧厂界外2m处</w:t>
                  </w:r>
                </w:p>
              </w:tc>
              <w:tc>
                <w:tcPr>
                  <w:tcW w:w="1116" w:type="pct"/>
                  <w:vMerge w:val="restart"/>
                  <w:vAlign w:val="center"/>
                </w:tcPr>
                <w:p>
                  <w:pPr>
                    <w:spacing w:line="320" w:lineRule="exact"/>
                    <w:jc w:val="center"/>
                    <w:outlineLvl w:val="9"/>
                    <w:rPr>
                      <w:rFonts w:ascii="Times New Roman" w:hAnsi="Times New Roman"/>
                    </w:rPr>
                  </w:pPr>
                  <w:r>
                    <w:rPr>
                      <w:rFonts w:hint="eastAsia" w:ascii="Times New Roman" w:hAnsi="Times New Roman"/>
                      <w:szCs w:val="21"/>
                    </w:rPr>
                    <w:t>4</w:t>
                  </w:r>
                  <w:r>
                    <w:rPr>
                      <w:rFonts w:ascii="Times New Roman" w:hAnsi="Times New Roman"/>
                      <w:szCs w:val="21"/>
                    </w:rPr>
                    <w:t>次/天、共</w:t>
                  </w:r>
                  <w:r>
                    <w:rPr>
                      <w:rFonts w:hint="eastAsia" w:ascii="Times New Roman" w:hAnsi="Times New Roman"/>
                      <w:szCs w:val="21"/>
                    </w:rPr>
                    <w:t>2</w:t>
                  </w:r>
                  <w:r>
                    <w:rPr>
                      <w:rFonts w:ascii="Times New Roman" w:hAnsi="Times New Roman"/>
                      <w:szCs w:val="21"/>
                    </w:rPr>
                    <w:t>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Merge w:val="continue"/>
                  <w:vAlign w:val="center"/>
                </w:tcPr>
                <w:p>
                  <w:pPr>
                    <w:spacing w:line="320" w:lineRule="exact"/>
                    <w:jc w:val="center"/>
                    <w:outlineLvl w:val="9"/>
                    <w:rPr>
                      <w:rFonts w:ascii="Times New Roman" w:hAnsi="Times New Roman"/>
                    </w:rPr>
                  </w:pPr>
                </w:p>
              </w:tc>
              <w:tc>
                <w:tcPr>
                  <w:tcW w:w="1320" w:type="pct"/>
                  <w:vAlign w:val="center"/>
                </w:tcPr>
                <w:p>
                  <w:pPr>
                    <w:spacing w:line="320" w:lineRule="exact"/>
                    <w:jc w:val="center"/>
                    <w:outlineLvl w:val="9"/>
                    <w:rPr>
                      <w:rFonts w:ascii="Times New Roman" w:hAnsi="Times New Roman"/>
                      <w:kern w:val="2"/>
                      <w:sz w:val="21"/>
                      <w:szCs w:val="21"/>
                    </w:rPr>
                  </w:pPr>
                  <w:r>
                    <w:rPr>
                      <w:rFonts w:hint="eastAsia" w:ascii="Times New Roman" w:hAnsi="Times New Roman"/>
                      <w:szCs w:val="21"/>
                    </w:rPr>
                    <w:t>6#西北侧厂界外2m处</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Merge w:val="continue"/>
                  <w:vAlign w:val="center"/>
                </w:tcPr>
                <w:p>
                  <w:pPr>
                    <w:spacing w:line="320" w:lineRule="exact"/>
                    <w:jc w:val="center"/>
                    <w:outlineLvl w:val="9"/>
                    <w:rPr>
                      <w:rFonts w:ascii="Times New Roman" w:hAnsi="Times New Roman"/>
                    </w:rPr>
                  </w:pPr>
                </w:p>
              </w:tc>
              <w:tc>
                <w:tcPr>
                  <w:tcW w:w="1320" w:type="pct"/>
                  <w:vAlign w:val="center"/>
                </w:tcPr>
                <w:p>
                  <w:pPr>
                    <w:spacing w:line="320" w:lineRule="exact"/>
                    <w:jc w:val="center"/>
                    <w:outlineLvl w:val="9"/>
                    <w:rPr>
                      <w:rFonts w:ascii="Times New Roman" w:hAnsi="Times New Roman"/>
                      <w:kern w:val="2"/>
                      <w:sz w:val="21"/>
                      <w:szCs w:val="21"/>
                    </w:rPr>
                  </w:pPr>
                  <w:r>
                    <w:rPr>
                      <w:rFonts w:hint="eastAsia" w:ascii="Times New Roman" w:hAnsi="Times New Roman"/>
                      <w:szCs w:val="21"/>
                    </w:rPr>
                    <w:t>7#西侧厂界外2m处</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Merge w:val="continue"/>
                  <w:vAlign w:val="center"/>
                </w:tcPr>
                <w:p>
                  <w:pPr>
                    <w:spacing w:line="320" w:lineRule="exact"/>
                    <w:jc w:val="center"/>
                    <w:outlineLvl w:val="9"/>
                    <w:rPr>
                      <w:rFonts w:ascii="Times New Roman" w:hAnsi="Times New Roman"/>
                    </w:rPr>
                  </w:pPr>
                </w:p>
              </w:tc>
              <w:tc>
                <w:tcPr>
                  <w:tcW w:w="1320" w:type="pct"/>
                  <w:vAlign w:val="center"/>
                </w:tcPr>
                <w:p>
                  <w:pPr>
                    <w:spacing w:line="320" w:lineRule="exact"/>
                    <w:jc w:val="center"/>
                    <w:outlineLvl w:val="9"/>
                    <w:rPr>
                      <w:rFonts w:ascii="Times New Roman" w:hAnsi="Times New Roman"/>
                      <w:szCs w:val="21"/>
                    </w:rPr>
                  </w:pPr>
                  <w:r>
                    <w:rPr>
                      <w:rFonts w:hint="eastAsia" w:ascii="Times New Roman" w:hAnsi="Times New Roman"/>
                      <w:szCs w:val="21"/>
                    </w:rPr>
                    <w:t>8#西南侧厂界外2m处</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PrEx>
              <w:trPr>
                <w:cantSplit/>
                <w:trHeight w:val="425" w:hRule="exact"/>
                <w:jc w:val="center"/>
              </w:trPr>
              <w:tc>
                <w:tcPr>
                  <w:tcW w:w="568" w:type="pct"/>
                  <w:vMerge w:val="restart"/>
                  <w:vAlign w:val="center"/>
                </w:tcPr>
                <w:p>
                  <w:pPr>
                    <w:spacing w:line="320" w:lineRule="exact"/>
                    <w:jc w:val="center"/>
                    <w:outlineLvl w:val="9"/>
                    <w:rPr>
                      <w:rFonts w:ascii="Times New Roman" w:hAnsi="Times New Roman"/>
                      <w:kern w:val="2"/>
                      <w:sz w:val="21"/>
                      <w:szCs w:val="21"/>
                    </w:rPr>
                  </w:pPr>
                  <w:r>
                    <w:rPr>
                      <w:rFonts w:hint="eastAsia" w:ascii="Times New Roman" w:hAnsi="Times New Roman"/>
                    </w:rPr>
                    <w:t>有组织废气</w:t>
                  </w:r>
                </w:p>
              </w:tc>
              <w:tc>
                <w:tcPr>
                  <w:tcW w:w="1996" w:type="pct"/>
                  <w:vAlign w:val="center"/>
                </w:tcPr>
                <w:p>
                  <w:pPr>
                    <w:spacing w:line="320" w:lineRule="exact"/>
                    <w:jc w:val="center"/>
                    <w:outlineLvl w:val="9"/>
                    <w:rPr>
                      <w:rFonts w:ascii="Times New Roman" w:hAnsi="Times New Roman"/>
                      <w:kern w:val="2"/>
                      <w:sz w:val="21"/>
                      <w:szCs w:val="21"/>
                    </w:rPr>
                  </w:pPr>
                  <w:r>
                    <w:rPr>
                      <w:rFonts w:hint="eastAsia" w:ascii="Times New Roman" w:hAnsi="Times New Roman"/>
                      <w:kern w:val="2"/>
                      <w:sz w:val="21"/>
                      <w:szCs w:val="21"/>
                    </w:rPr>
                    <w:t>*氯化氢</w:t>
                  </w: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4"/>
                    </w:rPr>
                  </w:pPr>
                  <w:r>
                    <w:rPr>
                      <w:rFonts w:hint="eastAsia" w:ascii="Times New Roman" w:hAnsi="Times New Roman"/>
                    </w:rPr>
                    <w:t>1#酸洗废气排气筒</w:t>
                  </w:r>
                </w:p>
              </w:tc>
              <w:tc>
                <w:tcPr>
                  <w:tcW w:w="1116" w:type="pct"/>
                  <w:vMerge w:val="restart"/>
                  <w:vAlign w:val="center"/>
                </w:tcPr>
                <w:p>
                  <w:pPr>
                    <w:spacing w:line="320" w:lineRule="exact"/>
                    <w:jc w:val="center"/>
                    <w:outlineLvl w:val="9"/>
                    <w:rPr>
                      <w:rFonts w:ascii="Times New Roman" w:hAnsi="Times New Roman"/>
                    </w:rPr>
                  </w:pPr>
                  <w:r>
                    <w:rPr>
                      <w:rFonts w:hint="eastAsia" w:ascii="Times New Roman" w:hAnsi="Times New Roman"/>
                    </w:rPr>
                    <w:t>3次/天，共2天</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Merge w:val="restart"/>
                  <w:vAlign w:val="center"/>
                </w:tcPr>
                <w:p>
                  <w:pPr>
                    <w:spacing w:line="320" w:lineRule="exact"/>
                    <w:jc w:val="center"/>
                    <w:outlineLvl w:val="9"/>
                    <w:rPr>
                      <w:rFonts w:ascii="Times New Roman" w:hAnsi="Times New Roman"/>
                    </w:rPr>
                  </w:pPr>
                  <w:r>
                    <w:rPr>
                      <w:rFonts w:hint="eastAsia" w:ascii="Times New Roman" w:hAnsi="Times New Roman"/>
                    </w:rPr>
                    <w:t>颗粒物</w:t>
                  </w: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kern w:val="2"/>
                      <w:sz w:val="21"/>
                      <w:szCs w:val="24"/>
                    </w:rPr>
                  </w:pPr>
                  <w:r>
                    <w:rPr>
                      <w:rFonts w:hint="eastAsia" w:ascii="Times New Roman" w:hAnsi="Times New Roman"/>
                    </w:rPr>
                    <w:t>2#锌锅烟气排气筒</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Merge w:val="continue"/>
                  <w:vAlign w:val="center"/>
                </w:tcPr>
                <w:p>
                  <w:pPr>
                    <w:spacing w:line="320" w:lineRule="exact"/>
                    <w:jc w:val="center"/>
                    <w:outlineLvl w:val="9"/>
                    <w:rPr>
                      <w:rFonts w:ascii="Times New Roman" w:hAnsi="Times New Roman"/>
                    </w:rPr>
                  </w:pP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rPr>
                  </w:pPr>
                  <w:r>
                    <w:rPr>
                      <w:rFonts w:hint="eastAsia" w:ascii="Times New Roman" w:hAnsi="Times New Roman"/>
                    </w:rPr>
                    <w:t>3#抛丸机排气筒</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597" w:hRule="exact"/>
                <w:jc w:val="center"/>
              </w:trPr>
              <w:tc>
                <w:tcPr>
                  <w:tcW w:w="568" w:type="pct"/>
                  <w:vMerge w:val="continue"/>
                  <w:vAlign w:val="center"/>
                </w:tcPr>
                <w:p>
                  <w:pPr>
                    <w:spacing w:line="320" w:lineRule="exact"/>
                    <w:jc w:val="center"/>
                    <w:outlineLvl w:val="9"/>
                    <w:rPr>
                      <w:rFonts w:ascii="Times New Roman" w:hAnsi="Times New Roman"/>
                    </w:rPr>
                  </w:pPr>
                </w:p>
              </w:tc>
              <w:tc>
                <w:tcPr>
                  <w:tcW w:w="1996" w:type="pct"/>
                  <w:vAlign w:val="center"/>
                </w:tcPr>
                <w:p>
                  <w:pPr>
                    <w:spacing w:line="320" w:lineRule="exact"/>
                    <w:jc w:val="center"/>
                    <w:outlineLvl w:val="9"/>
                    <w:rPr>
                      <w:rFonts w:ascii="Times New Roman" w:hAnsi="Times New Roman"/>
                    </w:rPr>
                  </w:pPr>
                  <w:r>
                    <w:rPr>
                      <w:rFonts w:hint="eastAsia" w:ascii="Times New Roman" w:hAnsi="Times New Roman"/>
                    </w:rPr>
                    <w:t>颗粒物、二氧化硫、氮氧化物、非甲烷总烃</w:t>
                  </w:r>
                </w:p>
              </w:tc>
              <w:tc>
                <w:tcPr>
                  <w:tcW w:w="1320" w:type="pct"/>
                  <w:vAlign w:val="center"/>
                </w:tcPr>
                <w:p>
                  <w:pPr>
                    <w:widowControl w:val="0"/>
                    <w:adjustRightInd/>
                    <w:snapToGrid/>
                    <w:spacing w:before="100" w:beforeAutospacing="1" w:after="100" w:afterAutospacing="1" w:line="400" w:lineRule="exact"/>
                    <w:jc w:val="center"/>
                    <w:outlineLvl w:val="9"/>
                    <w:rPr>
                      <w:rFonts w:ascii="Times New Roman" w:hAnsi="Times New Roman"/>
                    </w:rPr>
                  </w:pPr>
                  <w:r>
                    <w:rPr>
                      <w:rFonts w:hint="eastAsia" w:ascii="Times New Roman" w:hAnsi="Times New Roman"/>
                    </w:rPr>
                    <w:t>4#热处理烟气排气筒</w:t>
                  </w:r>
                </w:p>
              </w:tc>
              <w:tc>
                <w:tcPr>
                  <w:tcW w:w="1116" w:type="pct"/>
                  <w:vMerge w:val="continue"/>
                  <w:vAlign w:val="center"/>
                </w:tcPr>
                <w:p>
                  <w:pPr>
                    <w:spacing w:line="320" w:lineRule="exact"/>
                    <w:jc w:val="center"/>
                    <w:outlineLvl w:val="9"/>
                    <w:rPr>
                      <w:rFonts w:ascii="Times New Roman" w:hAnsi="Times New Roma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425" w:hRule="atLeast"/>
                <w:jc w:val="center"/>
              </w:trPr>
              <w:tc>
                <w:tcPr>
                  <w:tcW w:w="568" w:type="pct"/>
                  <w:vAlign w:val="center"/>
                </w:tcPr>
                <w:p>
                  <w:pPr>
                    <w:spacing w:line="360" w:lineRule="exact"/>
                    <w:jc w:val="center"/>
                    <w:outlineLvl w:val="9"/>
                    <w:rPr>
                      <w:rFonts w:ascii="Times New Roman" w:hAnsi="Times New Roman"/>
                    </w:rPr>
                  </w:pPr>
                  <w:r>
                    <w:rPr>
                      <w:rFonts w:ascii="Times New Roman" w:hAnsi="Times New Roman"/>
                    </w:rPr>
                    <w:t>废水</w:t>
                  </w:r>
                </w:p>
              </w:tc>
              <w:tc>
                <w:tcPr>
                  <w:tcW w:w="1996" w:type="pct"/>
                  <w:vAlign w:val="center"/>
                </w:tcPr>
                <w:p>
                  <w:pPr>
                    <w:spacing w:line="360" w:lineRule="exact"/>
                    <w:jc w:val="center"/>
                    <w:outlineLvl w:val="9"/>
                    <w:rPr>
                      <w:rFonts w:ascii="Times New Roman" w:hAnsi="Times New Roman"/>
                    </w:rPr>
                  </w:pPr>
                  <w:r>
                    <w:rPr>
                      <w:rFonts w:ascii="Times New Roman" w:hAnsi="Times New Roman"/>
                    </w:rPr>
                    <w:t>pH、化学需氧量、五日生化需氧量、悬浮物、氨氮、</w:t>
                  </w:r>
                  <w:r>
                    <w:rPr>
                      <w:rFonts w:hint="eastAsia" w:ascii="Times New Roman" w:hAnsi="Times New Roman"/>
                    </w:rPr>
                    <w:t>石油类、氯化物、流量、</w:t>
                  </w:r>
                  <w:r>
                    <w:rPr>
                      <w:rFonts w:hint="eastAsia" w:ascii="Times New Roman" w:hAnsi="Times New Roman"/>
                      <w:kern w:val="2"/>
                      <w:sz w:val="21"/>
                      <w:szCs w:val="21"/>
                    </w:rPr>
                    <w:t>*</w:t>
                  </w:r>
                  <w:r>
                    <w:rPr>
                      <w:rFonts w:hint="eastAsia" w:ascii="Times New Roman" w:hAnsi="Times New Roman"/>
                    </w:rPr>
                    <w:t>铁、</w:t>
                  </w:r>
                  <w:r>
                    <w:rPr>
                      <w:rFonts w:hint="eastAsia" w:ascii="Times New Roman" w:hAnsi="Times New Roman"/>
                      <w:kern w:val="2"/>
                      <w:sz w:val="21"/>
                      <w:szCs w:val="21"/>
                    </w:rPr>
                    <w:t>*</w:t>
                  </w:r>
                  <w:r>
                    <w:rPr>
                      <w:rFonts w:hint="eastAsia" w:ascii="Times New Roman" w:hAnsi="Times New Roman"/>
                    </w:rPr>
                    <w:t>锌</w:t>
                  </w:r>
                </w:p>
              </w:tc>
              <w:tc>
                <w:tcPr>
                  <w:tcW w:w="1320" w:type="pct"/>
                  <w:vAlign w:val="center"/>
                </w:tcPr>
                <w:p>
                  <w:pPr>
                    <w:jc w:val="center"/>
                    <w:outlineLvl w:val="9"/>
                    <w:rPr>
                      <w:rFonts w:ascii="Times New Roman" w:hAnsi="Times New Roman"/>
                    </w:rPr>
                  </w:pPr>
                  <w:r>
                    <w:rPr>
                      <w:rFonts w:hint="eastAsia" w:ascii="Times New Roman" w:hAnsi="Times New Roman"/>
                    </w:rPr>
                    <w:t>废水排放口</w:t>
                  </w:r>
                </w:p>
              </w:tc>
              <w:tc>
                <w:tcPr>
                  <w:tcW w:w="1116" w:type="pct"/>
                  <w:vAlign w:val="center"/>
                </w:tcPr>
                <w:p>
                  <w:pPr>
                    <w:spacing w:line="360" w:lineRule="exact"/>
                    <w:jc w:val="center"/>
                    <w:outlineLvl w:val="9"/>
                    <w:rPr>
                      <w:rFonts w:ascii="Times New Roman" w:hAnsi="Times New Roman"/>
                      <w:szCs w:val="21"/>
                    </w:rPr>
                  </w:pPr>
                  <w:r>
                    <w:rPr>
                      <w:rFonts w:hint="eastAsia" w:ascii="Times New Roman" w:hAnsi="Times New Roman"/>
                      <w:szCs w:val="21"/>
                    </w:rPr>
                    <w:t>4</w:t>
                  </w:r>
                  <w:r>
                    <w:rPr>
                      <w:rFonts w:ascii="Times New Roman" w:hAnsi="Times New Roman"/>
                      <w:szCs w:val="21"/>
                    </w:rPr>
                    <w:t>次/天、共</w:t>
                  </w:r>
                  <w:r>
                    <w:rPr>
                      <w:rFonts w:hint="eastAsia" w:ascii="Times New Roman" w:hAnsi="Times New Roman"/>
                      <w:szCs w:val="21"/>
                    </w:rPr>
                    <w:t>2</w:t>
                  </w:r>
                  <w:r>
                    <w:rPr>
                      <w:rFonts w:ascii="Times New Roman" w:hAnsi="Times New Roman"/>
                      <w:szCs w:val="21"/>
                    </w:rPr>
                    <w:t>天</w:t>
                  </w:r>
                </w:p>
              </w:tc>
            </w:tr>
          </w:tbl>
          <w:p>
            <w:pPr>
              <w:pStyle w:val="2"/>
              <w:outlineLvl w:val="9"/>
            </w:pPr>
          </w:p>
          <w:p>
            <w:pPr>
              <w:pStyle w:val="6"/>
              <w:ind w:left="440"/>
              <w:outlineLvl w:val="9"/>
              <w:rPr>
                <w:rFonts w:ascii="宋体" w:hAnsi="宋体" w:cs="宋体"/>
              </w:rPr>
            </w:pPr>
          </w:p>
          <w:p>
            <w:pPr>
              <w:outlineLvl w:val="9"/>
              <w:rPr>
                <w:rFonts w:ascii="宋体" w:hAnsi="宋体" w:cs="宋体"/>
                <w:sz w:val="24"/>
              </w:rPr>
            </w:pPr>
          </w:p>
        </w:tc>
      </w:tr>
    </w:tbl>
    <w:p/>
    <w:p>
      <w:r>
        <w:br w:type="page"/>
      </w:r>
    </w:p>
    <w:p>
      <w:pPr>
        <w:outlineLvl w:val="0"/>
        <w:rPr>
          <w:rFonts w:asciiTheme="majorEastAsia" w:hAnsiTheme="majorEastAsia" w:eastAsiaTheme="majorEastAsia" w:cstheme="majorEastAsia"/>
          <w:b/>
          <w:sz w:val="28"/>
          <w:szCs w:val="28"/>
        </w:rPr>
      </w:pPr>
      <w:bookmarkStart w:id="42" w:name="_Toc26230"/>
      <w:bookmarkStart w:id="43" w:name="_Toc10148"/>
      <w:bookmarkStart w:id="44" w:name="_Toc12147"/>
      <w:bookmarkStart w:id="45" w:name="_Toc8161_WPSOffice_Level1"/>
      <w:r>
        <w:rPr>
          <w:rFonts w:hint="eastAsia" w:asciiTheme="majorEastAsia" w:hAnsiTheme="majorEastAsia" w:eastAsiaTheme="majorEastAsia" w:cstheme="majorEastAsia"/>
          <w:b/>
          <w:sz w:val="28"/>
          <w:szCs w:val="28"/>
        </w:rPr>
        <w:t>表七 验收监测结果</w:t>
      </w:r>
      <w:bookmarkEnd w:id="42"/>
      <w:bookmarkEnd w:id="43"/>
      <w:bookmarkEnd w:id="44"/>
      <w:bookmarkEnd w:id="45"/>
    </w:p>
    <w:tbl>
      <w:tblPr>
        <w:tblStyle w:val="13"/>
        <w:tblpPr w:leftFromText="180" w:rightFromText="180" w:vertAnchor="text"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63" w:hRule="atLeast"/>
        </w:trPr>
        <w:tc>
          <w:tcPr>
            <w:tcW w:w="8522" w:type="dxa"/>
          </w:tcPr>
          <w:p>
            <w:pPr>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7.1工况监测</w:t>
            </w:r>
          </w:p>
          <w:p>
            <w:pPr>
              <w:widowControl w:val="0"/>
              <w:adjustRightInd/>
              <w:snapToGrid/>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析谱科技（成都）有限公司于022年08月04日至2022年08月12日对位于隆昌市环城东路203号，四川东博轨道科技有限公司的新增1.5万吨/年紧固件生产扩建项目验收检测所涉及的有组织废气、无组织废气、噪声、废水进行现场监测和采样分析检测（任务编号：HJRW2022568）。</w:t>
            </w:r>
          </w:p>
          <w:p>
            <w:pPr>
              <w:widowControl w:val="0"/>
              <w:adjustRightInd/>
              <w:snapToGrid/>
              <w:spacing w:line="360" w:lineRule="auto"/>
              <w:ind w:firstLine="480" w:firstLineChars="200"/>
              <w:jc w:val="both"/>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废气检测项目中*氯化氢分包给四川地风升检测服务有限公司，废水检测项目中</w:t>
            </w:r>
          </w:p>
          <w:p>
            <w:pPr>
              <w:widowControl w:val="0"/>
              <w:adjustRightInd/>
              <w:snapToGrid/>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*铁、*锌分包给四川地风升检测服务有限公司。</w:t>
            </w:r>
          </w:p>
          <w:p>
            <w:pPr>
              <w:widowControl w:val="0"/>
              <w:adjustRightInd/>
              <w:snapToGrid/>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项目检测期间工况见下表7-1：</w:t>
            </w:r>
          </w:p>
          <w:p>
            <w:pPr>
              <w:ind w:firstLine="110" w:firstLineChars="50"/>
              <w:jc w:val="center"/>
              <w:outlineLvl w:val="9"/>
            </w:pPr>
            <w:r>
              <w:rPr>
                <w:rFonts w:hint="eastAsia"/>
              </w:rPr>
              <w:t>表7-1 验收检测期间工况</w:t>
            </w:r>
          </w:p>
          <w:tbl>
            <w:tblPr>
              <w:tblStyle w:val="1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4"/>
              <w:gridCol w:w="2726"/>
              <w:gridCol w:w="2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03" w:type="pct"/>
                  <w:tcBorders>
                    <w:left w:val="nil"/>
                  </w:tcBorders>
                  <w:vAlign w:val="center"/>
                </w:tcPr>
                <w:p>
                  <w:pPr>
                    <w:spacing w:line="220" w:lineRule="atLeast"/>
                    <w:jc w:val="center"/>
                    <w:outlineLvl w:val="9"/>
                  </w:pPr>
                  <w:r>
                    <w:t>检测日期</w:t>
                  </w:r>
                </w:p>
              </w:tc>
              <w:tc>
                <w:tcPr>
                  <w:tcW w:w="1486" w:type="pct"/>
                  <w:tcBorders>
                    <w:right w:val="single" w:color="auto" w:sz="4" w:space="0"/>
                  </w:tcBorders>
                  <w:vAlign w:val="center"/>
                </w:tcPr>
                <w:p>
                  <w:pPr>
                    <w:spacing w:line="220" w:lineRule="atLeast"/>
                    <w:jc w:val="center"/>
                    <w:outlineLvl w:val="9"/>
                  </w:pPr>
                  <w:r>
                    <w:t>202</w:t>
                  </w:r>
                  <w:r>
                    <w:rPr>
                      <w:rFonts w:hint="eastAsia"/>
                    </w:rPr>
                    <w:t>2</w:t>
                  </w:r>
                  <w:r>
                    <w:t>年</w:t>
                  </w:r>
                  <w:r>
                    <w:rPr>
                      <w:rFonts w:hint="eastAsia"/>
                    </w:rPr>
                    <w:t>08</w:t>
                  </w:r>
                  <w:r>
                    <w:t>月</w:t>
                  </w:r>
                  <w:r>
                    <w:rPr>
                      <w:rFonts w:hint="eastAsia"/>
                    </w:rPr>
                    <w:t>04</w:t>
                  </w:r>
                  <w:r>
                    <w:t>日</w:t>
                  </w:r>
                </w:p>
              </w:tc>
              <w:tc>
                <w:tcPr>
                  <w:tcW w:w="1510" w:type="pct"/>
                  <w:tcBorders>
                    <w:right w:val="nil"/>
                  </w:tcBorders>
                  <w:vAlign w:val="center"/>
                </w:tcPr>
                <w:p>
                  <w:pPr>
                    <w:spacing w:line="220" w:lineRule="atLeast"/>
                    <w:jc w:val="center"/>
                    <w:outlineLvl w:val="9"/>
                  </w:pPr>
                  <w:r>
                    <w:t>202</w:t>
                  </w:r>
                  <w:r>
                    <w:rPr>
                      <w:rFonts w:hint="eastAsia"/>
                    </w:rPr>
                    <w:t>2</w:t>
                  </w:r>
                  <w:r>
                    <w:t>年</w:t>
                  </w:r>
                  <w:r>
                    <w:rPr>
                      <w:rFonts w:hint="eastAsia"/>
                    </w:rPr>
                    <w:t>08</w:t>
                  </w:r>
                  <w:r>
                    <w:t>月</w:t>
                  </w:r>
                  <w:r>
                    <w:rPr>
                      <w:rFonts w:hint="eastAsia"/>
                    </w:rPr>
                    <w:t>05</w:t>
                  </w:r>
                  <w: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03" w:type="pct"/>
                  <w:tcBorders>
                    <w:left w:val="nil"/>
                  </w:tcBorders>
                  <w:vAlign w:val="center"/>
                </w:tcPr>
                <w:p>
                  <w:pPr>
                    <w:spacing w:line="220" w:lineRule="atLeast"/>
                    <w:jc w:val="center"/>
                    <w:outlineLvl w:val="9"/>
                  </w:pPr>
                  <w:r>
                    <w:t>设计年产量</w:t>
                  </w:r>
                </w:p>
              </w:tc>
              <w:tc>
                <w:tcPr>
                  <w:tcW w:w="1486" w:type="pct"/>
                  <w:vAlign w:val="center"/>
                </w:tcPr>
                <w:p>
                  <w:pPr>
                    <w:spacing w:line="220" w:lineRule="atLeast"/>
                    <w:jc w:val="center"/>
                    <w:outlineLvl w:val="9"/>
                  </w:pPr>
                  <w:r>
                    <w:rPr>
                      <w:rFonts w:hint="eastAsia"/>
                    </w:rPr>
                    <w:t>15000t</w:t>
                  </w:r>
                </w:p>
              </w:tc>
              <w:tc>
                <w:tcPr>
                  <w:tcW w:w="1510" w:type="pct"/>
                  <w:tcBorders>
                    <w:right w:val="nil"/>
                  </w:tcBorders>
                  <w:vAlign w:val="center"/>
                </w:tcPr>
                <w:p>
                  <w:pPr>
                    <w:spacing w:line="220" w:lineRule="atLeast"/>
                    <w:jc w:val="center"/>
                    <w:outlineLvl w:val="9"/>
                  </w:pPr>
                  <w:r>
                    <w:rPr>
                      <w:rFonts w:hint="eastAsia"/>
                    </w:rPr>
                    <w:t>15000t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03" w:type="pct"/>
                  <w:tcBorders>
                    <w:left w:val="nil"/>
                  </w:tcBorders>
                  <w:vAlign w:val="center"/>
                </w:tcPr>
                <w:p>
                  <w:pPr>
                    <w:spacing w:line="220" w:lineRule="atLeast"/>
                    <w:jc w:val="center"/>
                    <w:outlineLvl w:val="9"/>
                  </w:pPr>
                  <w:r>
                    <w:t>设计日均产量</w:t>
                  </w:r>
                </w:p>
              </w:tc>
              <w:tc>
                <w:tcPr>
                  <w:tcW w:w="1486" w:type="pct"/>
                  <w:vAlign w:val="center"/>
                </w:tcPr>
                <w:p>
                  <w:pPr>
                    <w:spacing w:line="220" w:lineRule="atLeast"/>
                    <w:jc w:val="center"/>
                    <w:outlineLvl w:val="9"/>
                  </w:pPr>
                  <w:r>
                    <w:rPr>
                      <w:rFonts w:hint="eastAsia"/>
                    </w:rPr>
                    <w:t>50t</w:t>
                  </w:r>
                </w:p>
              </w:tc>
              <w:tc>
                <w:tcPr>
                  <w:tcW w:w="1510" w:type="pct"/>
                  <w:tcBorders>
                    <w:right w:val="nil"/>
                  </w:tcBorders>
                  <w:vAlign w:val="center"/>
                </w:tcPr>
                <w:p>
                  <w:pPr>
                    <w:spacing w:line="220" w:lineRule="atLeast"/>
                    <w:jc w:val="center"/>
                    <w:outlineLvl w:val="9"/>
                  </w:pPr>
                  <w:r>
                    <w:rPr>
                      <w:rFonts w:hint="eastAsia"/>
                    </w:rPr>
                    <w:t>50t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03" w:type="pct"/>
                  <w:tcBorders>
                    <w:left w:val="nil"/>
                  </w:tcBorders>
                  <w:vAlign w:val="center"/>
                </w:tcPr>
                <w:p>
                  <w:pPr>
                    <w:spacing w:line="220" w:lineRule="atLeast"/>
                    <w:jc w:val="center"/>
                    <w:outlineLvl w:val="9"/>
                  </w:pPr>
                  <w:r>
                    <w:t>实际日产量</w:t>
                  </w:r>
                </w:p>
              </w:tc>
              <w:tc>
                <w:tcPr>
                  <w:tcW w:w="1486" w:type="pct"/>
                  <w:vAlign w:val="center"/>
                </w:tcPr>
                <w:p>
                  <w:pPr>
                    <w:spacing w:line="220" w:lineRule="atLeast"/>
                    <w:jc w:val="center"/>
                    <w:outlineLvl w:val="9"/>
                  </w:pPr>
                  <w:r>
                    <w:rPr>
                      <w:rFonts w:hint="eastAsia"/>
                    </w:rPr>
                    <w:t>38t</w:t>
                  </w:r>
                </w:p>
              </w:tc>
              <w:tc>
                <w:tcPr>
                  <w:tcW w:w="1510" w:type="pct"/>
                  <w:tcBorders>
                    <w:right w:val="nil"/>
                  </w:tcBorders>
                  <w:vAlign w:val="center"/>
                </w:tcPr>
                <w:p>
                  <w:pPr>
                    <w:spacing w:line="220" w:lineRule="atLeast"/>
                    <w:jc w:val="center"/>
                    <w:outlineLvl w:val="9"/>
                  </w:pPr>
                  <w:r>
                    <w:rPr>
                      <w:rFonts w:hint="eastAsia"/>
                    </w:rPr>
                    <w:t>38t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2003" w:type="pct"/>
                  <w:tcBorders>
                    <w:left w:val="nil"/>
                  </w:tcBorders>
                  <w:vAlign w:val="center"/>
                </w:tcPr>
                <w:p>
                  <w:pPr>
                    <w:spacing w:line="220" w:lineRule="atLeast"/>
                    <w:jc w:val="center"/>
                    <w:outlineLvl w:val="9"/>
                  </w:pPr>
                  <w:r>
                    <w:t>实际日产量占设计日均产量百分比（工况）</w:t>
                  </w:r>
                </w:p>
              </w:tc>
              <w:tc>
                <w:tcPr>
                  <w:tcW w:w="1486" w:type="pct"/>
                  <w:vAlign w:val="center"/>
                </w:tcPr>
                <w:p>
                  <w:pPr>
                    <w:spacing w:line="220" w:lineRule="atLeast"/>
                    <w:jc w:val="center"/>
                    <w:outlineLvl w:val="9"/>
                  </w:pPr>
                  <w:r>
                    <w:rPr>
                      <w:rFonts w:hint="eastAsia"/>
                    </w:rPr>
                    <w:t>76%</w:t>
                  </w:r>
                </w:p>
              </w:tc>
              <w:tc>
                <w:tcPr>
                  <w:tcW w:w="1510" w:type="pct"/>
                  <w:tcBorders>
                    <w:right w:val="nil"/>
                  </w:tcBorders>
                  <w:vAlign w:val="center"/>
                </w:tcPr>
                <w:p>
                  <w:pPr>
                    <w:spacing w:line="220" w:lineRule="atLeast"/>
                    <w:jc w:val="center"/>
                    <w:outlineLvl w:val="9"/>
                  </w:pPr>
                  <w:r>
                    <w:rPr>
                      <w:rFonts w:hint="eastAsia"/>
                    </w:rPr>
                    <w:t>76%</w:t>
                  </w:r>
                </w:p>
              </w:tc>
            </w:tr>
          </w:tbl>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7.2验收监测结果</w:t>
            </w:r>
          </w:p>
          <w:p>
            <w:pPr>
              <w:pStyle w:val="6"/>
              <w:spacing w:line="360" w:lineRule="auto"/>
              <w:ind w:left="0" w:leftChars="0"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7.2.1无组织废气监测结果</w:t>
            </w:r>
          </w:p>
          <w:p>
            <w:pPr>
              <w:ind w:firstLine="110" w:firstLineChars="50"/>
              <w:jc w:val="center"/>
              <w:outlineLvl w:val="9"/>
            </w:pPr>
            <w:r>
              <w:rPr>
                <w:rFonts w:hint="eastAsia"/>
              </w:rPr>
              <w:t>表7-2 无组织废气监测结果</w:t>
            </w:r>
            <w:r>
              <w:t>及评价表  单位：mg/m3</w:t>
            </w:r>
          </w:p>
          <w:tbl>
            <w:tblPr>
              <w:tblStyle w:val="1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1"/>
              <w:gridCol w:w="36"/>
              <w:gridCol w:w="22"/>
              <w:gridCol w:w="1438"/>
              <w:gridCol w:w="138"/>
              <w:gridCol w:w="728"/>
              <w:gridCol w:w="1415"/>
              <w:gridCol w:w="822"/>
              <w:gridCol w:w="822"/>
              <w:gridCol w:w="822"/>
              <w:gridCol w:w="848"/>
              <w:gridCol w:w="738"/>
              <w:gridCol w:w="15"/>
              <w:gridCol w:w="7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vMerge w:val="restart"/>
                  <w:tcBorders>
                    <w:left w:val="nil"/>
                  </w:tcBorders>
                  <w:vAlign w:val="center"/>
                </w:tcPr>
                <w:p>
                  <w:pPr>
                    <w:jc w:val="center"/>
                    <w:outlineLvl w:val="9"/>
                  </w:pPr>
                  <w:r>
                    <w:t>测点编号</w:t>
                  </w:r>
                </w:p>
              </w:tc>
              <w:tc>
                <w:tcPr>
                  <w:tcW w:w="859" w:type="pct"/>
                  <w:gridSpan w:val="2"/>
                  <w:vMerge w:val="restart"/>
                  <w:vAlign w:val="center"/>
                </w:tcPr>
                <w:p>
                  <w:pPr>
                    <w:jc w:val="center"/>
                    <w:outlineLvl w:val="9"/>
                  </w:pPr>
                  <w:r>
                    <w:t>采样点位</w:t>
                  </w:r>
                </w:p>
              </w:tc>
              <w:tc>
                <w:tcPr>
                  <w:tcW w:w="396" w:type="pct"/>
                  <w:vMerge w:val="restart"/>
                  <w:vAlign w:val="center"/>
                </w:tcPr>
                <w:p>
                  <w:pPr>
                    <w:jc w:val="center"/>
                    <w:outlineLvl w:val="9"/>
                  </w:pPr>
                  <w:r>
                    <w:t>检测</w:t>
                  </w:r>
                </w:p>
                <w:p>
                  <w:pPr>
                    <w:jc w:val="center"/>
                    <w:outlineLvl w:val="9"/>
                  </w:pPr>
                  <w:r>
                    <w:t>项目</w:t>
                  </w:r>
                </w:p>
              </w:tc>
              <w:tc>
                <w:tcPr>
                  <w:tcW w:w="771" w:type="pct"/>
                  <w:vMerge w:val="restart"/>
                  <w:vAlign w:val="center"/>
                </w:tcPr>
                <w:p>
                  <w:pPr>
                    <w:jc w:val="center"/>
                    <w:outlineLvl w:val="9"/>
                  </w:pPr>
                  <w:r>
                    <w:t>采样日期</w:t>
                  </w:r>
                </w:p>
              </w:tc>
              <w:tc>
                <w:tcPr>
                  <w:tcW w:w="1806" w:type="pct"/>
                  <w:gridSpan w:val="4"/>
                  <w:vAlign w:val="center"/>
                </w:tcPr>
                <w:p>
                  <w:pPr>
                    <w:jc w:val="center"/>
                    <w:outlineLvl w:val="9"/>
                  </w:pPr>
                  <w:r>
                    <w:t>检测结果</w:t>
                  </w:r>
                </w:p>
              </w:tc>
              <w:tc>
                <w:tcPr>
                  <w:tcW w:w="402" w:type="pct"/>
                  <w:vMerge w:val="restart"/>
                  <w:vAlign w:val="center"/>
                </w:tcPr>
                <w:p>
                  <w:pPr>
                    <w:jc w:val="center"/>
                    <w:outlineLvl w:val="9"/>
                  </w:pPr>
                  <w:r>
                    <w:t>标准</w:t>
                  </w:r>
                </w:p>
                <w:p>
                  <w:pPr>
                    <w:jc w:val="center"/>
                    <w:outlineLvl w:val="9"/>
                  </w:pPr>
                  <w:r>
                    <w:t>限值</w:t>
                  </w:r>
                </w:p>
              </w:tc>
              <w:tc>
                <w:tcPr>
                  <w:tcW w:w="402" w:type="pct"/>
                  <w:gridSpan w:val="2"/>
                  <w:vMerge w:val="restart"/>
                  <w:tcBorders>
                    <w:right w:val="nil"/>
                  </w:tcBorders>
                  <w:vAlign w:val="center"/>
                </w:tcPr>
                <w:p>
                  <w:pPr>
                    <w:jc w:val="center"/>
                    <w:outlineLvl w:val="9"/>
                  </w:pPr>
                  <w:r>
                    <w:t>是否</w:t>
                  </w:r>
                </w:p>
                <w:p>
                  <w:pPr>
                    <w:jc w:val="center"/>
                    <w:outlineLvl w:val="9"/>
                  </w:pPr>
                  <w: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vMerge w:val="continue"/>
                  <w:tcBorders>
                    <w:left w:val="nil"/>
                  </w:tcBorders>
                  <w:vAlign w:val="center"/>
                </w:tcPr>
                <w:p>
                  <w:pPr>
                    <w:jc w:val="center"/>
                    <w:outlineLvl w:val="9"/>
                  </w:pPr>
                </w:p>
              </w:tc>
              <w:tc>
                <w:tcPr>
                  <w:tcW w:w="859" w:type="pct"/>
                  <w:gridSpan w:val="2"/>
                  <w:vMerge w:val="continue"/>
                  <w:vAlign w:val="center"/>
                </w:tcPr>
                <w:p>
                  <w:pPr>
                    <w:spacing w:line="320" w:lineRule="exact"/>
                    <w:jc w:val="center"/>
                    <w:outlineLvl w:val="9"/>
                  </w:pPr>
                </w:p>
              </w:tc>
              <w:tc>
                <w:tcPr>
                  <w:tcW w:w="396" w:type="pct"/>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t>一次</w:t>
                  </w:r>
                </w:p>
              </w:tc>
              <w:tc>
                <w:tcPr>
                  <w:tcW w:w="448" w:type="pct"/>
                  <w:vAlign w:val="center"/>
                </w:tcPr>
                <w:p>
                  <w:pPr>
                    <w:jc w:val="center"/>
                    <w:outlineLvl w:val="9"/>
                  </w:pPr>
                  <w:r>
                    <w:t>二次</w:t>
                  </w:r>
                </w:p>
              </w:tc>
              <w:tc>
                <w:tcPr>
                  <w:tcW w:w="448" w:type="pct"/>
                  <w:vAlign w:val="center"/>
                </w:tcPr>
                <w:p>
                  <w:pPr>
                    <w:jc w:val="center"/>
                    <w:outlineLvl w:val="9"/>
                  </w:pPr>
                  <w:r>
                    <w:t>三次</w:t>
                  </w:r>
                </w:p>
              </w:tc>
              <w:tc>
                <w:tcPr>
                  <w:tcW w:w="459" w:type="pct"/>
                  <w:vAlign w:val="center"/>
                </w:tcPr>
                <w:p>
                  <w:pPr>
                    <w:jc w:val="center"/>
                    <w:outlineLvl w:val="9"/>
                  </w:pPr>
                  <w:r>
                    <w:rPr>
                      <w:rFonts w:hint="eastAsia"/>
                    </w:rPr>
                    <w:t>四次</w:t>
                  </w:r>
                </w:p>
              </w:tc>
              <w:tc>
                <w:tcPr>
                  <w:tcW w:w="402" w:type="pct"/>
                  <w:vMerge w:val="continue"/>
                  <w:vAlign w:val="center"/>
                </w:tcPr>
                <w:p>
                  <w:pPr>
                    <w:jc w:val="center"/>
                    <w:outlineLvl w:val="9"/>
                  </w:pPr>
                </w:p>
              </w:tc>
              <w:tc>
                <w:tcPr>
                  <w:tcW w:w="402" w:type="pct"/>
                  <w:gridSpan w:val="2"/>
                  <w:vMerge w:val="continue"/>
                  <w:tcBorders>
                    <w:right w:val="nil"/>
                  </w:tcBorders>
                  <w:vAlign w:val="center"/>
                </w:tcPr>
                <w:p>
                  <w:pPr>
                    <w:jc w:val="center"/>
                    <w:outlineLvl w:val="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tcBorders>
                    <w:left w:val="nil"/>
                  </w:tcBorders>
                  <w:vAlign w:val="center"/>
                </w:tcPr>
                <w:p>
                  <w:pPr>
                    <w:jc w:val="center"/>
                    <w:outlineLvl w:val="9"/>
                  </w:pPr>
                  <w:r>
                    <w:rPr>
                      <w:rFonts w:hint="eastAsia"/>
                    </w:rPr>
                    <w:t>5#</w:t>
                  </w:r>
                </w:p>
              </w:tc>
              <w:tc>
                <w:tcPr>
                  <w:tcW w:w="859" w:type="pct"/>
                  <w:gridSpan w:val="2"/>
                  <w:vAlign w:val="center"/>
                </w:tcPr>
                <w:p>
                  <w:pPr>
                    <w:spacing w:line="320" w:lineRule="exact"/>
                    <w:jc w:val="center"/>
                    <w:outlineLvl w:val="9"/>
                  </w:pPr>
                  <w:r>
                    <w:rPr>
                      <w:rFonts w:hint="eastAsia"/>
                    </w:rPr>
                    <w:t>东侧厂界外2m处</w:t>
                  </w:r>
                </w:p>
              </w:tc>
              <w:tc>
                <w:tcPr>
                  <w:tcW w:w="396" w:type="pct"/>
                  <w:vMerge w:val="restart"/>
                  <w:vAlign w:val="center"/>
                </w:tcPr>
                <w:p>
                  <w:pPr>
                    <w:jc w:val="center"/>
                    <w:outlineLvl w:val="9"/>
                  </w:pPr>
                  <w:r>
                    <w:rPr>
                      <w:rFonts w:hint="eastAsia"/>
                    </w:rPr>
                    <w:t>非甲烷总烃</w:t>
                  </w:r>
                </w:p>
              </w:tc>
              <w:tc>
                <w:tcPr>
                  <w:tcW w:w="771" w:type="pct"/>
                  <w:vMerge w:val="restart"/>
                  <w:vAlign w:val="center"/>
                </w:tcPr>
                <w:p>
                  <w:pPr>
                    <w:jc w:val="center"/>
                    <w:outlineLvl w:val="9"/>
                  </w:pPr>
                  <w:r>
                    <w:t>202</w:t>
                  </w:r>
                  <w:r>
                    <w:rPr>
                      <w:rFonts w:hint="eastAsia"/>
                    </w:rPr>
                    <w:t>2.08.04</w:t>
                  </w:r>
                </w:p>
              </w:tc>
              <w:tc>
                <w:tcPr>
                  <w:tcW w:w="448" w:type="pct"/>
                  <w:vAlign w:val="center"/>
                </w:tcPr>
                <w:p>
                  <w:pPr>
                    <w:jc w:val="center"/>
                    <w:outlineLvl w:val="9"/>
                  </w:pPr>
                  <w:r>
                    <w:rPr>
                      <w:rFonts w:hint="eastAsia"/>
                    </w:rPr>
                    <w:t>0.85</w:t>
                  </w:r>
                </w:p>
              </w:tc>
              <w:tc>
                <w:tcPr>
                  <w:tcW w:w="448" w:type="pct"/>
                  <w:vAlign w:val="center"/>
                </w:tcPr>
                <w:p>
                  <w:pPr>
                    <w:jc w:val="center"/>
                    <w:outlineLvl w:val="9"/>
                  </w:pPr>
                  <w:r>
                    <w:rPr>
                      <w:rFonts w:hint="eastAsia"/>
                    </w:rPr>
                    <w:t>0.83</w:t>
                  </w:r>
                </w:p>
              </w:tc>
              <w:tc>
                <w:tcPr>
                  <w:tcW w:w="448" w:type="pct"/>
                  <w:vAlign w:val="center"/>
                </w:tcPr>
                <w:p>
                  <w:pPr>
                    <w:jc w:val="center"/>
                    <w:outlineLvl w:val="9"/>
                  </w:pPr>
                  <w:r>
                    <w:rPr>
                      <w:rFonts w:hint="eastAsia"/>
                    </w:rPr>
                    <w:t>0.81</w:t>
                  </w:r>
                </w:p>
              </w:tc>
              <w:tc>
                <w:tcPr>
                  <w:tcW w:w="459" w:type="pct"/>
                  <w:vAlign w:val="center"/>
                </w:tcPr>
                <w:p>
                  <w:pPr>
                    <w:jc w:val="center"/>
                    <w:outlineLvl w:val="9"/>
                  </w:pPr>
                  <w:r>
                    <w:rPr>
                      <w:rFonts w:hint="eastAsia"/>
                    </w:rPr>
                    <w:t>0.81</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tcBorders>
                    <w:left w:val="nil"/>
                  </w:tcBorders>
                  <w:vAlign w:val="center"/>
                </w:tcPr>
                <w:p>
                  <w:pPr>
                    <w:jc w:val="center"/>
                    <w:outlineLvl w:val="9"/>
                  </w:pPr>
                  <w:r>
                    <w:rPr>
                      <w:rFonts w:hint="eastAsia"/>
                    </w:rPr>
                    <w:t>6#</w:t>
                  </w:r>
                </w:p>
              </w:tc>
              <w:tc>
                <w:tcPr>
                  <w:tcW w:w="859" w:type="pct"/>
                  <w:gridSpan w:val="2"/>
                  <w:vAlign w:val="center"/>
                </w:tcPr>
                <w:p>
                  <w:pPr>
                    <w:spacing w:line="320" w:lineRule="exact"/>
                    <w:jc w:val="center"/>
                    <w:outlineLvl w:val="9"/>
                  </w:pPr>
                  <w:r>
                    <w:rPr>
                      <w:rFonts w:hint="eastAsia"/>
                    </w:rPr>
                    <w:t>西北侧厂界外2m处</w:t>
                  </w:r>
                </w:p>
              </w:tc>
              <w:tc>
                <w:tcPr>
                  <w:tcW w:w="396" w:type="pct"/>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1.36</w:t>
                  </w:r>
                </w:p>
              </w:tc>
              <w:tc>
                <w:tcPr>
                  <w:tcW w:w="448" w:type="pct"/>
                  <w:vAlign w:val="center"/>
                </w:tcPr>
                <w:p>
                  <w:pPr>
                    <w:jc w:val="center"/>
                    <w:outlineLvl w:val="9"/>
                  </w:pPr>
                  <w:r>
                    <w:rPr>
                      <w:rFonts w:hint="eastAsia"/>
                    </w:rPr>
                    <w:t>1.33</w:t>
                  </w:r>
                </w:p>
              </w:tc>
              <w:tc>
                <w:tcPr>
                  <w:tcW w:w="448" w:type="pct"/>
                  <w:vAlign w:val="center"/>
                </w:tcPr>
                <w:p>
                  <w:pPr>
                    <w:jc w:val="center"/>
                    <w:outlineLvl w:val="9"/>
                  </w:pPr>
                  <w:r>
                    <w:rPr>
                      <w:rFonts w:hint="eastAsia"/>
                    </w:rPr>
                    <w:t>1.40</w:t>
                  </w:r>
                </w:p>
              </w:tc>
              <w:tc>
                <w:tcPr>
                  <w:tcW w:w="459" w:type="pct"/>
                  <w:vAlign w:val="center"/>
                </w:tcPr>
                <w:p>
                  <w:pPr>
                    <w:jc w:val="center"/>
                    <w:outlineLvl w:val="9"/>
                  </w:pPr>
                  <w:r>
                    <w:rPr>
                      <w:rFonts w:hint="eastAsia"/>
                    </w:rPr>
                    <w:t>1.34</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tcBorders>
                    <w:left w:val="nil"/>
                  </w:tcBorders>
                  <w:vAlign w:val="center"/>
                </w:tcPr>
                <w:p>
                  <w:pPr>
                    <w:jc w:val="center"/>
                    <w:outlineLvl w:val="9"/>
                  </w:pPr>
                  <w:r>
                    <w:rPr>
                      <w:rFonts w:hint="eastAsia"/>
                    </w:rPr>
                    <w:t>7#</w:t>
                  </w:r>
                </w:p>
              </w:tc>
              <w:tc>
                <w:tcPr>
                  <w:tcW w:w="859" w:type="pct"/>
                  <w:gridSpan w:val="2"/>
                  <w:vAlign w:val="center"/>
                </w:tcPr>
                <w:p>
                  <w:pPr>
                    <w:spacing w:line="320" w:lineRule="exact"/>
                    <w:jc w:val="center"/>
                    <w:outlineLvl w:val="9"/>
                  </w:pPr>
                  <w:r>
                    <w:rPr>
                      <w:rFonts w:hint="eastAsia"/>
                    </w:rPr>
                    <w:t>西侧厂界外2m处</w:t>
                  </w:r>
                </w:p>
              </w:tc>
              <w:tc>
                <w:tcPr>
                  <w:tcW w:w="396" w:type="pct"/>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1.33</w:t>
                  </w:r>
                </w:p>
              </w:tc>
              <w:tc>
                <w:tcPr>
                  <w:tcW w:w="448" w:type="pct"/>
                  <w:vAlign w:val="center"/>
                </w:tcPr>
                <w:p>
                  <w:pPr>
                    <w:jc w:val="center"/>
                    <w:outlineLvl w:val="9"/>
                  </w:pPr>
                  <w:r>
                    <w:rPr>
                      <w:rFonts w:hint="eastAsia"/>
                    </w:rPr>
                    <w:t>1.35</w:t>
                  </w:r>
                </w:p>
              </w:tc>
              <w:tc>
                <w:tcPr>
                  <w:tcW w:w="448" w:type="pct"/>
                  <w:vAlign w:val="center"/>
                </w:tcPr>
                <w:p>
                  <w:pPr>
                    <w:jc w:val="center"/>
                    <w:outlineLvl w:val="9"/>
                  </w:pPr>
                  <w:r>
                    <w:rPr>
                      <w:rFonts w:hint="eastAsia"/>
                    </w:rPr>
                    <w:t>1.35</w:t>
                  </w:r>
                </w:p>
              </w:tc>
              <w:tc>
                <w:tcPr>
                  <w:tcW w:w="459" w:type="pct"/>
                  <w:vAlign w:val="center"/>
                </w:tcPr>
                <w:p>
                  <w:pPr>
                    <w:jc w:val="center"/>
                    <w:outlineLvl w:val="9"/>
                  </w:pPr>
                  <w:r>
                    <w:rPr>
                      <w:rFonts w:hint="eastAsia"/>
                    </w:rPr>
                    <w:t>1.39</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60" w:type="pct"/>
                  <w:gridSpan w:val="3"/>
                  <w:tcBorders>
                    <w:left w:val="nil"/>
                  </w:tcBorders>
                  <w:vAlign w:val="center"/>
                </w:tcPr>
                <w:p>
                  <w:pPr>
                    <w:jc w:val="center"/>
                    <w:outlineLvl w:val="9"/>
                  </w:pPr>
                  <w:r>
                    <w:rPr>
                      <w:rFonts w:hint="eastAsia"/>
                    </w:rPr>
                    <w:t>8#</w:t>
                  </w:r>
                </w:p>
              </w:tc>
              <w:tc>
                <w:tcPr>
                  <w:tcW w:w="859" w:type="pct"/>
                  <w:gridSpan w:val="2"/>
                  <w:vAlign w:val="center"/>
                </w:tcPr>
                <w:p>
                  <w:pPr>
                    <w:spacing w:line="320" w:lineRule="exact"/>
                    <w:jc w:val="center"/>
                    <w:outlineLvl w:val="9"/>
                  </w:pPr>
                  <w:r>
                    <w:rPr>
                      <w:rFonts w:hint="eastAsia"/>
                    </w:rPr>
                    <w:t>西南侧厂界外2m处</w:t>
                  </w:r>
                </w:p>
              </w:tc>
              <w:tc>
                <w:tcPr>
                  <w:tcW w:w="396" w:type="pct"/>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1.37</w:t>
                  </w:r>
                </w:p>
              </w:tc>
              <w:tc>
                <w:tcPr>
                  <w:tcW w:w="448" w:type="pct"/>
                  <w:vAlign w:val="center"/>
                </w:tcPr>
                <w:p>
                  <w:pPr>
                    <w:jc w:val="center"/>
                    <w:outlineLvl w:val="9"/>
                  </w:pPr>
                  <w:r>
                    <w:rPr>
                      <w:rFonts w:hint="eastAsia"/>
                    </w:rPr>
                    <w:t>1.30</w:t>
                  </w:r>
                </w:p>
              </w:tc>
              <w:tc>
                <w:tcPr>
                  <w:tcW w:w="448" w:type="pct"/>
                  <w:vAlign w:val="center"/>
                </w:tcPr>
                <w:p>
                  <w:pPr>
                    <w:jc w:val="center"/>
                    <w:outlineLvl w:val="9"/>
                  </w:pPr>
                  <w:r>
                    <w:rPr>
                      <w:rFonts w:hint="eastAsia"/>
                    </w:rPr>
                    <w:t>1.33</w:t>
                  </w:r>
                </w:p>
              </w:tc>
              <w:tc>
                <w:tcPr>
                  <w:tcW w:w="459" w:type="pct"/>
                  <w:vAlign w:val="center"/>
                </w:tcPr>
                <w:p>
                  <w:pPr>
                    <w:jc w:val="center"/>
                    <w:outlineLvl w:val="9"/>
                  </w:pPr>
                  <w:r>
                    <w:rPr>
                      <w:rFonts w:hint="eastAsia"/>
                    </w:rPr>
                    <w:t>1.34</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颗粒物</w:t>
                  </w:r>
                </w:p>
              </w:tc>
              <w:tc>
                <w:tcPr>
                  <w:tcW w:w="771" w:type="pct"/>
                  <w:vMerge w:val="restart"/>
                  <w:vAlign w:val="center"/>
                </w:tcPr>
                <w:p>
                  <w:pPr>
                    <w:jc w:val="center"/>
                    <w:outlineLvl w:val="9"/>
                  </w:pPr>
                  <w:r>
                    <w:t>202</w:t>
                  </w:r>
                  <w:r>
                    <w:rPr>
                      <w:rFonts w:hint="eastAsia"/>
                    </w:rPr>
                    <w:t>2.08.04</w:t>
                  </w:r>
                </w:p>
              </w:tc>
              <w:tc>
                <w:tcPr>
                  <w:tcW w:w="448" w:type="pct"/>
                  <w:vAlign w:val="center"/>
                </w:tcPr>
                <w:p>
                  <w:pPr>
                    <w:jc w:val="center"/>
                    <w:outlineLvl w:val="9"/>
                  </w:pPr>
                  <w:r>
                    <w:rPr>
                      <w:rFonts w:hint="eastAsia"/>
                    </w:rPr>
                    <w:t>0.217</w:t>
                  </w:r>
                </w:p>
              </w:tc>
              <w:tc>
                <w:tcPr>
                  <w:tcW w:w="448" w:type="pct"/>
                  <w:vAlign w:val="center"/>
                </w:tcPr>
                <w:p>
                  <w:pPr>
                    <w:jc w:val="center"/>
                    <w:outlineLvl w:val="9"/>
                  </w:pPr>
                  <w:r>
                    <w:rPr>
                      <w:rFonts w:hint="eastAsia"/>
                    </w:rPr>
                    <w:t>0.267</w:t>
                  </w:r>
                </w:p>
              </w:tc>
              <w:tc>
                <w:tcPr>
                  <w:tcW w:w="448" w:type="pct"/>
                  <w:vAlign w:val="center"/>
                </w:tcPr>
                <w:p>
                  <w:pPr>
                    <w:jc w:val="center"/>
                    <w:outlineLvl w:val="9"/>
                  </w:pPr>
                  <w:r>
                    <w:rPr>
                      <w:rFonts w:hint="eastAsia"/>
                    </w:rPr>
                    <w:t>0.250</w:t>
                  </w:r>
                </w:p>
              </w:tc>
              <w:tc>
                <w:tcPr>
                  <w:tcW w:w="459" w:type="pct"/>
                  <w:vAlign w:val="center"/>
                </w:tcPr>
                <w:p>
                  <w:pPr>
                    <w:jc w:val="center"/>
                    <w:outlineLvl w:val="9"/>
                  </w:pPr>
                  <w:r>
                    <w:rPr>
                      <w:rFonts w:hint="eastAsia"/>
                    </w:rPr>
                    <w:t>0.233</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0.450</w:t>
                  </w:r>
                </w:p>
              </w:tc>
              <w:tc>
                <w:tcPr>
                  <w:tcW w:w="448" w:type="pct"/>
                  <w:vAlign w:val="center"/>
                </w:tcPr>
                <w:p>
                  <w:pPr>
                    <w:jc w:val="center"/>
                    <w:outlineLvl w:val="9"/>
                  </w:pPr>
                  <w:r>
                    <w:rPr>
                      <w:rFonts w:hint="eastAsia"/>
                    </w:rPr>
                    <w:t>0.417</w:t>
                  </w:r>
                </w:p>
              </w:tc>
              <w:tc>
                <w:tcPr>
                  <w:tcW w:w="448" w:type="pct"/>
                  <w:vAlign w:val="center"/>
                </w:tcPr>
                <w:p>
                  <w:pPr>
                    <w:jc w:val="center"/>
                    <w:outlineLvl w:val="9"/>
                  </w:pPr>
                  <w:r>
                    <w:rPr>
                      <w:rFonts w:hint="eastAsia"/>
                    </w:rPr>
                    <w:t>0.400</w:t>
                  </w:r>
                </w:p>
              </w:tc>
              <w:tc>
                <w:tcPr>
                  <w:tcW w:w="459" w:type="pct"/>
                  <w:vAlign w:val="center"/>
                </w:tcPr>
                <w:p>
                  <w:pPr>
                    <w:jc w:val="center"/>
                    <w:outlineLvl w:val="9"/>
                  </w:pPr>
                  <w:r>
                    <w:rPr>
                      <w:rFonts w:hint="eastAsia"/>
                    </w:rPr>
                    <w:t>0.467</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0.433</w:t>
                  </w:r>
                </w:p>
              </w:tc>
              <w:tc>
                <w:tcPr>
                  <w:tcW w:w="448" w:type="pct"/>
                  <w:vAlign w:val="center"/>
                </w:tcPr>
                <w:p>
                  <w:pPr>
                    <w:jc w:val="center"/>
                    <w:outlineLvl w:val="9"/>
                  </w:pPr>
                  <w:r>
                    <w:rPr>
                      <w:rFonts w:hint="eastAsia"/>
                    </w:rPr>
                    <w:t>0.383</w:t>
                  </w:r>
                </w:p>
              </w:tc>
              <w:tc>
                <w:tcPr>
                  <w:tcW w:w="448" w:type="pct"/>
                  <w:vAlign w:val="center"/>
                </w:tcPr>
                <w:p>
                  <w:pPr>
                    <w:jc w:val="center"/>
                    <w:outlineLvl w:val="9"/>
                  </w:pPr>
                  <w:r>
                    <w:rPr>
                      <w:rFonts w:hint="eastAsia"/>
                    </w:rPr>
                    <w:t>0.467</w:t>
                  </w:r>
                </w:p>
              </w:tc>
              <w:tc>
                <w:tcPr>
                  <w:tcW w:w="459" w:type="pct"/>
                  <w:vAlign w:val="center"/>
                </w:tcPr>
                <w:p>
                  <w:pPr>
                    <w:jc w:val="center"/>
                    <w:outlineLvl w:val="9"/>
                  </w:pPr>
                  <w:r>
                    <w:rPr>
                      <w:rFonts w:hint="eastAsia"/>
                    </w:rPr>
                    <w:t>0.450</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0.400</w:t>
                  </w:r>
                </w:p>
              </w:tc>
              <w:tc>
                <w:tcPr>
                  <w:tcW w:w="448" w:type="pct"/>
                  <w:vAlign w:val="center"/>
                </w:tcPr>
                <w:p>
                  <w:pPr>
                    <w:jc w:val="center"/>
                    <w:outlineLvl w:val="9"/>
                  </w:pPr>
                  <w:r>
                    <w:rPr>
                      <w:rFonts w:hint="eastAsia"/>
                    </w:rPr>
                    <w:t>0.450</w:t>
                  </w:r>
                </w:p>
              </w:tc>
              <w:tc>
                <w:tcPr>
                  <w:tcW w:w="448" w:type="pct"/>
                  <w:vAlign w:val="center"/>
                </w:tcPr>
                <w:p>
                  <w:pPr>
                    <w:jc w:val="center"/>
                    <w:outlineLvl w:val="9"/>
                  </w:pPr>
                  <w:r>
                    <w:rPr>
                      <w:rFonts w:hint="eastAsia"/>
                    </w:rPr>
                    <w:t>0.483</w:t>
                  </w:r>
                </w:p>
              </w:tc>
              <w:tc>
                <w:tcPr>
                  <w:tcW w:w="459" w:type="pct"/>
                  <w:vAlign w:val="center"/>
                </w:tcPr>
                <w:p>
                  <w:pPr>
                    <w:jc w:val="center"/>
                    <w:outlineLvl w:val="9"/>
                  </w:pPr>
                  <w:r>
                    <w:rPr>
                      <w:rFonts w:hint="eastAsia"/>
                    </w:rPr>
                    <w:t>0.433</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二氧化硫</w:t>
                  </w:r>
                </w:p>
              </w:tc>
              <w:tc>
                <w:tcPr>
                  <w:tcW w:w="771" w:type="pct"/>
                  <w:vMerge w:val="restart"/>
                  <w:vAlign w:val="center"/>
                </w:tcPr>
                <w:p>
                  <w:pPr>
                    <w:jc w:val="center"/>
                    <w:outlineLvl w:val="9"/>
                  </w:pPr>
                  <w:r>
                    <w:t>202</w:t>
                  </w:r>
                  <w:r>
                    <w:rPr>
                      <w:rFonts w:hint="eastAsia"/>
                    </w:rPr>
                    <w:t>2.08.04</w:t>
                  </w:r>
                </w:p>
              </w:tc>
              <w:tc>
                <w:tcPr>
                  <w:tcW w:w="448" w:type="pct"/>
                  <w:vAlign w:val="center"/>
                </w:tcPr>
                <w:p>
                  <w:pPr>
                    <w:jc w:val="center"/>
                    <w:outlineLvl w:val="9"/>
                  </w:pPr>
                  <w:r>
                    <w:rPr>
                      <w:rFonts w:hint="eastAsia"/>
                    </w:rPr>
                    <w:t>0.023</w:t>
                  </w:r>
                </w:p>
              </w:tc>
              <w:tc>
                <w:tcPr>
                  <w:tcW w:w="448" w:type="pct"/>
                  <w:vAlign w:val="center"/>
                </w:tcPr>
                <w:p>
                  <w:pPr>
                    <w:jc w:val="center"/>
                    <w:outlineLvl w:val="9"/>
                  </w:pPr>
                  <w:r>
                    <w:rPr>
                      <w:rFonts w:hint="eastAsia"/>
                    </w:rPr>
                    <w:t>0.030</w:t>
                  </w:r>
                </w:p>
              </w:tc>
              <w:tc>
                <w:tcPr>
                  <w:tcW w:w="448" w:type="pct"/>
                  <w:vAlign w:val="center"/>
                </w:tcPr>
                <w:p>
                  <w:pPr>
                    <w:jc w:val="center"/>
                    <w:outlineLvl w:val="9"/>
                  </w:pPr>
                  <w:r>
                    <w:rPr>
                      <w:rFonts w:hint="eastAsia"/>
                    </w:rPr>
                    <w:t>0.037</w:t>
                  </w:r>
                </w:p>
              </w:tc>
              <w:tc>
                <w:tcPr>
                  <w:tcW w:w="459" w:type="pct"/>
                  <w:vAlign w:val="center"/>
                </w:tcPr>
                <w:p>
                  <w:pPr>
                    <w:jc w:val="center"/>
                    <w:outlineLvl w:val="9"/>
                  </w:pPr>
                  <w:r>
                    <w:rPr>
                      <w:rFonts w:hint="eastAsia"/>
                    </w:rPr>
                    <w:t>0.018</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0.054</w:t>
                  </w:r>
                </w:p>
              </w:tc>
              <w:tc>
                <w:tcPr>
                  <w:tcW w:w="448" w:type="pct"/>
                  <w:vAlign w:val="center"/>
                </w:tcPr>
                <w:p>
                  <w:pPr>
                    <w:jc w:val="center"/>
                    <w:outlineLvl w:val="9"/>
                  </w:pPr>
                  <w:r>
                    <w:rPr>
                      <w:rFonts w:hint="eastAsia"/>
                    </w:rPr>
                    <w:t>0.078</w:t>
                  </w:r>
                </w:p>
              </w:tc>
              <w:tc>
                <w:tcPr>
                  <w:tcW w:w="448" w:type="pct"/>
                  <w:vAlign w:val="center"/>
                </w:tcPr>
                <w:p>
                  <w:pPr>
                    <w:jc w:val="center"/>
                    <w:outlineLvl w:val="9"/>
                  </w:pPr>
                  <w:r>
                    <w:rPr>
                      <w:rFonts w:hint="eastAsia"/>
                    </w:rPr>
                    <w:t>0.048</w:t>
                  </w:r>
                </w:p>
              </w:tc>
              <w:tc>
                <w:tcPr>
                  <w:tcW w:w="459" w:type="pct"/>
                  <w:vAlign w:val="center"/>
                </w:tcPr>
                <w:p>
                  <w:pPr>
                    <w:jc w:val="center"/>
                    <w:outlineLvl w:val="9"/>
                  </w:pPr>
                  <w:r>
                    <w:rPr>
                      <w:rFonts w:hint="eastAsia"/>
                    </w:rPr>
                    <w:t>0.067</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0.060</w:t>
                  </w:r>
                </w:p>
              </w:tc>
              <w:tc>
                <w:tcPr>
                  <w:tcW w:w="448" w:type="pct"/>
                  <w:vAlign w:val="center"/>
                </w:tcPr>
                <w:p>
                  <w:pPr>
                    <w:jc w:val="center"/>
                    <w:outlineLvl w:val="9"/>
                  </w:pPr>
                  <w:r>
                    <w:rPr>
                      <w:rFonts w:hint="eastAsia"/>
                    </w:rPr>
                    <w:t>0.072</w:t>
                  </w:r>
                </w:p>
              </w:tc>
              <w:tc>
                <w:tcPr>
                  <w:tcW w:w="448" w:type="pct"/>
                  <w:vAlign w:val="center"/>
                </w:tcPr>
                <w:p>
                  <w:pPr>
                    <w:jc w:val="center"/>
                    <w:outlineLvl w:val="9"/>
                  </w:pPr>
                  <w:r>
                    <w:rPr>
                      <w:rFonts w:hint="eastAsia"/>
                    </w:rPr>
                    <w:t>0.095</w:t>
                  </w:r>
                </w:p>
              </w:tc>
              <w:tc>
                <w:tcPr>
                  <w:tcW w:w="459" w:type="pct"/>
                  <w:vAlign w:val="center"/>
                </w:tcPr>
                <w:p>
                  <w:pPr>
                    <w:jc w:val="center"/>
                    <w:outlineLvl w:val="9"/>
                  </w:pPr>
                  <w:r>
                    <w:rPr>
                      <w:rFonts w:hint="eastAsia"/>
                    </w:rPr>
                    <w:t>0.087</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0.079</w:t>
                  </w:r>
                </w:p>
              </w:tc>
              <w:tc>
                <w:tcPr>
                  <w:tcW w:w="448" w:type="pct"/>
                  <w:vAlign w:val="center"/>
                </w:tcPr>
                <w:p>
                  <w:pPr>
                    <w:jc w:val="center"/>
                    <w:outlineLvl w:val="9"/>
                  </w:pPr>
                  <w:r>
                    <w:rPr>
                      <w:rFonts w:hint="eastAsia"/>
                    </w:rPr>
                    <w:t>0.113</w:t>
                  </w:r>
                </w:p>
              </w:tc>
              <w:tc>
                <w:tcPr>
                  <w:tcW w:w="448" w:type="pct"/>
                  <w:vAlign w:val="center"/>
                </w:tcPr>
                <w:p>
                  <w:pPr>
                    <w:jc w:val="center"/>
                    <w:outlineLvl w:val="9"/>
                  </w:pPr>
                  <w:r>
                    <w:rPr>
                      <w:rFonts w:hint="eastAsia"/>
                    </w:rPr>
                    <w:t>0.056</w:t>
                  </w:r>
                </w:p>
              </w:tc>
              <w:tc>
                <w:tcPr>
                  <w:tcW w:w="459" w:type="pct"/>
                  <w:vAlign w:val="center"/>
                </w:tcPr>
                <w:p>
                  <w:pPr>
                    <w:jc w:val="center"/>
                    <w:outlineLvl w:val="9"/>
                  </w:pPr>
                  <w:r>
                    <w:rPr>
                      <w:rFonts w:hint="eastAsia"/>
                    </w:rPr>
                    <w:t>0.094</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氮氧化物</w:t>
                  </w:r>
                </w:p>
              </w:tc>
              <w:tc>
                <w:tcPr>
                  <w:tcW w:w="771" w:type="pct"/>
                  <w:vMerge w:val="restart"/>
                  <w:vAlign w:val="center"/>
                </w:tcPr>
                <w:p>
                  <w:pPr>
                    <w:jc w:val="center"/>
                    <w:outlineLvl w:val="9"/>
                  </w:pPr>
                  <w:r>
                    <w:t>202</w:t>
                  </w:r>
                  <w:r>
                    <w:rPr>
                      <w:rFonts w:hint="eastAsia"/>
                    </w:rPr>
                    <w:t>2.08.04</w:t>
                  </w:r>
                </w:p>
              </w:tc>
              <w:tc>
                <w:tcPr>
                  <w:tcW w:w="448" w:type="pct"/>
                  <w:vAlign w:val="center"/>
                </w:tcPr>
                <w:p>
                  <w:pPr>
                    <w:jc w:val="center"/>
                    <w:outlineLvl w:val="9"/>
                  </w:pPr>
                  <w:r>
                    <w:rPr>
                      <w:rFonts w:hint="eastAsia"/>
                    </w:rPr>
                    <w:t>0.008</w:t>
                  </w:r>
                </w:p>
              </w:tc>
              <w:tc>
                <w:tcPr>
                  <w:tcW w:w="448" w:type="pct"/>
                  <w:vAlign w:val="center"/>
                </w:tcPr>
                <w:p>
                  <w:pPr>
                    <w:jc w:val="center"/>
                    <w:outlineLvl w:val="9"/>
                  </w:pPr>
                  <w:r>
                    <w:rPr>
                      <w:rFonts w:hint="eastAsia"/>
                    </w:rPr>
                    <w:t>0.009</w:t>
                  </w:r>
                </w:p>
              </w:tc>
              <w:tc>
                <w:tcPr>
                  <w:tcW w:w="448" w:type="pct"/>
                  <w:vAlign w:val="center"/>
                </w:tcPr>
                <w:p>
                  <w:pPr>
                    <w:jc w:val="center"/>
                    <w:outlineLvl w:val="9"/>
                  </w:pPr>
                  <w:r>
                    <w:rPr>
                      <w:rFonts w:hint="eastAsia"/>
                    </w:rPr>
                    <w:t>0.007</w:t>
                  </w:r>
                </w:p>
              </w:tc>
              <w:tc>
                <w:tcPr>
                  <w:tcW w:w="459" w:type="pct"/>
                  <w:vAlign w:val="center"/>
                </w:tcPr>
                <w:p>
                  <w:pPr>
                    <w:jc w:val="center"/>
                    <w:outlineLvl w:val="9"/>
                  </w:pPr>
                  <w:r>
                    <w:rPr>
                      <w:rFonts w:hint="eastAsia"/>
                    </w:rPr>
                    <w:t>0.009</w:t>
                  </w:r>
                </w:p>
              </w:tc>
              <w:tc>
                <w:tcPr>
                  <w:tcW w:w="402" w:type="pct"/>
                  <w:vAlign w:val="center"/>
                </w:tcPr>
                <w:p>
                  <w:pPr>
                    <w:jc w:val="center"/>
                    <w:outlineLvl w:val="9"/>
                  </w:pPr>
                  <w:r>
                    <w:rPr>
                      <w:rFonts w:hint="eastAsia"/>
                    </w:rPr>
                    <w:t>0.12</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0.014</w:t>
                  </w:r>
                </w:p>
              </w:tc>
              <w:tc>
                <w:tcPr>
                  <w:tcW w:w="448" w:type="pct"/>
                  <w:vAlign w:val="center"/>
                </w:tcPr>
                <w:p>
                  <w:pPr>
                    <w:jc w:val="center"/>
                    <w:outlineLvl w:val="9"/>
                  </w:pPr>
                  <w:r>
                    <w:rPr>
                      <w:rFonts w:hint="eastAsia"/>
                    </w:rPr>
                    <w:t>0.017</w:t>
                  </w:r>
                </w:p>
              </w:tc>
              <w:tc>
                <w:tcPr>
                  <w:tcW w:w="448" w:type="pct"/>
                  <w:vAlign w:val="center"/>
                </w:tcPr>
                <w:p>
                  <w:pPr>
                    <w:jc w:val="center"/>
                    <w:outlineLvl w:val="9"/>
                  </w:pPr>
                  <w:r>
                    <w:rPr>
                      <w:rFonts w:hint="eastAsia"/>
                    </w:rPr>
                    <w:t>0.013</w:t>
                  </w:r>
                </w:p>
              </w:tc>
              <w:tc>
                <w:tcPr>
                  <w:tcW w:w="459" w:type="pct"/>
                  <w:vAlign w:val="center"/>
                </w:tcPr>
                <w:p>
                  <w:pPr>
                    <w:jc w:val="center"/>
                    <w:outlineLvl w:val="9"/>
                  </w:pPr>
                  <w:r>
                    <w:rPr>
                      <w:rFonts w:hint="eastAsia"/>
                    </w:rPr>
                    <w:t>0.016</w:t>
                  </w:r>
                </w:p>
              </w:tc>
              <w:tc>
                <w:tcPr>
                  <w:tcW w:w="402" w:type="pct"/>
                  <w:vAlign w:val="center"/>
                </w:tcPr>
                <w:p>
                  <w:pPr>
                    <w:jc w:val="center"/>
                    <w:outlineLvl w:val="9"/>
                  </w:pPr>
                  <w:r>
                    <w:rPr>
                      <w:rFonts w:hint="eastAsia"/>
                    </w:rPr>
                    <w:t>0.12</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0.015</w:t>
                  </w:r>
                </w:p>
              </w:tc>
              <w:tc>
                <w:tcPr>
                  <w:tcW w:w="448" w:type="pct"/>
                  <w:vAlign w:val="center"/>
                </w:tcPr>
                <w:p>
                  <w:pPr>
                    <w:jc w:val="center"/>
                    <w:outlineLvl w:val="9"/>
                  </w:pPr>
                  <w:r>
                    <w:rPr>
                      <w:rFonts w:hint="eastAsia"/>
                    </w:rPr>
                    <w:t>0.017</w:t>
                  </w:r>
                </w:p>
              </w:tc>
              <w:tc>
                <w:tcPr>
                  <w:tcW w:w="448" w:type="pct"/>
                  <w:vAlign w:val="center"/>
                </w:tcPr>
                <w:p>
                  <w:pPr>
                    <w:jc w:val="center"/>
                    <w:outlineLvl w:val="9"/>
                  </w:pPr>
                  <w:r>
                    <w:rPr>
                      <w:rFonts w:hint="eastAsia"/>
                    </w:rPr>
                    <w:t>0.018</w:t>
                  </w:r>
                </w:p>
              </w:tc>
              <w:tc>
                <w:tcPr>
                  <w:tcW w:w="459" w:type="pct"/>
                  <w:vAlign w:val="center"/>
                </w:tcPr>
                <w:p>
                  <w:pPr>
                    <w:jc w:val="center"/>
                    <w:outlineLvl w:val="9"/>
                  </w:pPr>
                  <w:r>
                    <w:rPr>
                      <w:rFonts w:hint="eastAsia"/>
                    </w:rPr>
                    <w:t>0.014</w:t>
                  </w:r>
                </w:p>
              </w:tc>
              <w:tc>
                <w:tcPr>
                  <w:tcW w:w="402" w:type="pct"/>
                  <w:vAlign w:val="center"/>
                </w:tcPr>
                <w:p>
                  <w:pPr>
                    <w:jc w:val="center"/>
                    <w:outlineLvl w:val="9"/>
                  </w:pPr>
                  <w:r>
                    <w:rPr>
                      <w:rFonts w:hint="eastAsia"/>
                    </w:rPr>
                    <w:t>0.12</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0.017</w:t>
                  </w:r>
                </w:p>
              </w:tc>
              <w:tc>
                <w:tcPr>
                  <w:tcW w:w="448" w:type="pct"/>
                  <w:vAlign w:val="center"/>
                </w:tcPr>
                <w:p>
                  <w:pPr>
                    <w:jc w:val="center"/>
                    <w:outlineLvl w:val="9"/>
                  </w:pPr>
                  <w:r>
                    <w:rPr>
                      <w:rFonts w:hint="eastAsia"/>
                    </w:rPr>
                    <w:t>0.018</w:t>
                  </w:r>
                </w:p>
              </w:tc>
              <w:tc>
                <w:tcPr>
                  <w:tcW w:w="448" w:type="pct"/>
                  <w:vAlign w:val="center"/>
                </w:tcPr>
                <w:p>
                  <w:pPr>
                    <w:jc w:val="center"/>
                    <w:outlineLvl w:val="9"/>
                  </w:pPr>
                  <w:r>
                    <w:rPr>
                      <w:rFonts w:hint="eastAsia"/>
                    </w:rPr>
                    <w:t>0.015</w:t>
                  </w:r>
                </w:p>
              </w:tc>
              <w:tc>
                <w:tcPr>
                  <w:tcW w:w="459" w:type="pct"/>
                  <w:vAlign w:val="center"/>
                </w:tcPr>
                <w:p>
                  <w:pPr>
                    <w:jc w:val="center"/>
                    <w:outlineLvl w:val="9"/>
                  </w:pPr>
                  <w:r>
                    <w:rPr>
                      <w:rFonts w:hint="eastAsia"/>
                    </w:rPr>
                    <w:t>0.016</w:t>
                  </w:r>
                </w:p>
              </w:tc>
              <w:tc>
                <w:tcPr>
                  <w:tcW w:w="402" w:type="pct"/>
                  <w:vAlign w:val="center"/>
                </w:tcPr>
                <w:p>
                  <w:pPr>
                    <w:jc w:val="center"/>
                    <w:outlineLvl w:val="9"/>
                  </w:pPr>
                  <w:r>
                    <w:rPr>
                      <w:rFonts w:hint="eastAsia"/>
                    </w:rPr>
                    <w:t>0.12</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t>*</w:t>
                  </w:r>
                  <w:r>
                    <w:rPr>
                      <w:rFonts w:hint="eastAsia"/>
                    </w:rPr>
                    <w:t>氯化氢</w:t>
                  </w:r>
                </w:p>
              </w:tc>
              <w:tc>
                <w:tcPr>
                  <w:tcW w:w="771" w:type="pct"/>
                  <w:vMerge w:val="restart"/>
                  <w:vAlign w:val="center"/>
                </w:tcPr>
                <w:p>
                  <w:pPr>
                    <w:jc w:val="center"/>
                    <w:outlineLvl w:val="9"/>
                  </w:pPr>
                  <w:r>
                    <w:t>202</w:t>
                  </w:r>
                  <w:r>
                    <w:rPr>
                      <w:rFonts w:hint="eastAsia"/>
                    </w:rPr>
                    <w:t>2.08.04</w:t>
                  </w:r>
                </w:p>
              </w:tc>
              <w:tc>
                <w:tcPr>
                  <w:tcW w:w="448" w:type="pct"/>
                  <w:vAlign w:val="center"/>
                </w:tcPr>
                <w:p>
                  <w:pPr>
                    <w:jc w:val="center"/>
                    <w:outlineLvl w:val="9"/>
                  </w:pPr>
                  <w:r>
                    <w:rPr>
                      <w:rFonts w:hint="eastAsia"/>
                    </w:rPr>
                    <w:t>0.106</w:t>
                  </w:r>
                </w:p>
              </w:tc>
              <w:tc>
                <w:tcPr>
                  <w:tcW w:w="448" w:type="pct"/>
                  <w:vAlign w:val="center"/>
                </w:tcPr>
                <w:p>
                  <w:pPr>
                    <w:jc w:val="center"/>
                    <w:outlineLvl w:val="9"/>
                  </w:pPr>
                  <w:r>
                    <w:rPr>
                      <w:rFonts w:hint="eastAsia"/>
                    </w:rPr>
                    <w:t>0.083</w:t>
                  </w:r>
                </w:p>
              </w:tc>
              <w:tc>
                <w:tcPr>
                  <w:tcW w:w="448" w:type="pct"/>
                  <w:vAlign w:val="center"/>
                </w:tcPr>
                <w:p>
                  <w:pPr>
                    <w:jc w:val="center"/>
                    <w:outlineLvl w:val="9"/>
                  </w:pPr>
                  <w:r>
                    <w:rPr>
                      <w:rFonts w:hint="eastAsia"/>
                    </w:rPr>
                    <w:t>0.099</w:t>
                  </w:r>
                </w:p>
              </w:tc>
              <w:tc>
                <w:tcPr>
                  <w:tcW w:w="459" w:type="pct"/>
                  <w:vAlign w:val="center"/>
                </w:tcPr>
                <w:p>
                  <w:pPr>
                    <w:jc w:val="center"/>
                    <w:outlineLvl w:val="9"/>
                  </w:pPr>
                  <w:r>
                    <w:rPr>
                      <w:rFonts w:hint="eastAsia"/>
                    </w:rPr>
                    <w:t>0.098</w:t>
                  </w:r>
                </w:p>
              </w:tc>
              <w:tc>
                <w:tcPr>
                  <w:tcW w:w="402" w:type="pct"/>
                  <w:vAlign w:val="center"/>
                </w:tcPr>
                <w:p>
                  <w:pPr>
                    <w:jc w:val="center"/>
                    <w:outlineLvl w:val="9"/>
                  </w:pPr>
                  <w:r>
                    <w:rPr>
                      <w:rFonts w:hint="eastAsia"/>
                    </w:rPr>
                    <w:t>0.20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0.148</w:t>
                  </w:r>
                </w:p>
              </w:tc>
              <w:tc>
                <w:tcPr>
                  <w:tcW w:w="448" w:type="pct"/>
                  <w:vAlign w:val="center"/>
                </w:tcPr>
                <w:p>
                  <w:pPr>
                    <w:jc w:val="center"/>
                    <w:outlineLvl w:val="9"/>
                  </w:pPr>
                  <w:r>
                    <w:rPr>
                      <w:rFonts w:hint="eastAsia"/>
                    </w:rPr>
                    <w:t>0.174</w:t>
                  </w:r>
                </w:p>
              </w:tc>
              <w:tc>
                <w:tcPr>
                  <w:tcW w:w="448" w:type="pct"/>
                  <w:vAlign w:val="center"/>
                </w:tcPr>
                <w:p>
                  <w:pPr>
                    <w:jc w:val="center"/>
                    <w:outlineLvl w:val="9"/>
                  </w:pPr>
                  <w:r>
                    <w:rPr>
                      <w:rFonts w:hint="eastAsia"/>
                    </w:rPr>
                    <w:t>0.151</w:t>
                  </w:r>
                </w:p>
              </w:tc>
              <w:tc>
                <w:tcPr>
                  <w:tcW w:w="459" w:type="pct"/>
                  <w:vAlign w:val="center"/>
                </w:tcPr>
                <w:p>
                  <w:pPr>
                    <w:jc w:val="center"/>
                    <w:outlineLvl w:val="9"/>
                  </w:pPr>
                  <w:r>
                    <w:rPr>
                      <w:rFonts w:hint="eastAsia"/>
                    </w:rPr>
                    <w:t>0.159</w:t>
                  </w:r>
                </w:p>
              </w:tc>
              <w:tc>
                <w:tcPr>
                  <w:tcW w:w="402" w:type="pct"/>
                  <w:vAlign w:val="center"/>
                </w:tcPr>
                <w:p>
                  <w:pPr>
                    <w:jc w:val="center"/>
                    <w:outlineLvl w:val="9"/>
                  </w:pPr>
                  <w:r>
                    <w:rPr>
                      <w:rFonts w:hint="eastAsia"/>
                    </w:rPr>
                    <w:t>0.20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0.166</w:t>
                  </w:r>
                </w:p>
              </w:tc>
              <w:tc>
                <w:tcPr>
                  <w:tcW w:w="448" w:type="pct"/>
                  <w:vAlign w:val="center"/>
                </w:tcPr>
                <w:p>
                  <w:pPr>
                    <w:jc w:val="center"/>
                    <w:outlineLvl w:val="9"/>
                  </w:pPr>
                  <w:r>
                    <w:rPr>
                      <w:rFonts w:hint="eastAsia"/>
                    </w:rPr>
                    <w:t>0.121</w:t>
                  </w:r>
                </w:p>
              </w:tc>
              <w:tc>
                <w:tcPr>
                  <w:tcW w:w="448" w:type="pct"/>
                  <w:vAlign w:val="center"/>
                </w:tcPr>
                <w:p>
                  <w:pPr>
                    <w:jc w:val="center"/>
                    <w:outlineLvl w:val="9"/>
                  </w:pPr>
                  <w:r>
                    <w:rPr>
                      <w:rFonts w:hint="eastAsia"/>
                    </w:rPr>
                    <w:t>0.147</w:t>
                  </w:r>
                </w:p>
              </w:tc>
              <w:tc>
                <w:tcPr>
                  <w:tcW w:w="459" w:type="pct"/>
                  <w:vAlign w:val="center"/>
                </w:tcPr>
                <w:p>
                  <w:pPr>
                    <w:jc w:val="center"/>
                    <w:outlineLvl w:val="9"/>
                  </w:pPr>
                  <w:r>
                    <w:rPr>
                      <w:rFonts w:hint="eastAsia"/>
                    </w:rPr>
                    <w:t>0.152</w:t>
                  </w:r>
                </w:p>
              </w:tc>
              <w:tc>
                <w:tcPr>
                  <w:tcW w:w="402" w:type="pct"/>
                  <w:vAlign w:val="center"/>
                </w:tcPr>
                <w:p>
                  <w:pPr>
                    <w:jc w:val="center"/>
                    <w:outlineLvl w:val="9"/>
                  </w:pPr>
                  <w:r>
                    <w:rPr>
                      <w:rFonts w:hint="eastAsia"/>
                    </w:rPr>
                    <w:t>0.20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0.177</w:t>
                  </w:r>
                </w:p>
              </w:tc>
              <w:tc>
                <w:tcPr>
                  <w:tcW w:w="448" w:type="pct"/>
                  <w:vAlign w:val="center"/>
                </w:tcPr>
                <w:p>
                  <w:pPr>
                    <w:jc w:val="center"/>
                    <w:outlineLvl w:val="9"/>
                  </w:pPr>
                  <w:r>
                    <w:rPr>
                      <w:rFonts w:hint="eastAsia"/>
                    </w:rPr>
                    <w:t>0.194</w:t>
                  </w:r>
                </w:p>
              </w:tc>
              <w:tc>
                <w:tcPr>
                  <w:tcW w:w="448" w:type="pct"/>
                  <w:vAlign w:val="center"/>
                </w:tcPr>
                <w:p>
                  <w:pPr>
                    <w:jc w:val="center"/>
                    <w:outlineLvl w:val="9"/>
                  </w:pPr>
                  <w:r>
                    <w:rPr>
                      <w:rFonts w:hint="eastAsia"/>
                    </w:rPr>
                    <w:t>0.177</w:t>
                  </w:r>
                </w:p>
              </w:tc>
              <w:tc>
                <w:tcPr>
                  <w:tcW w:w="459" w:type="pct"/>
                  <w:vAlign w:val="center"/>
                </w:tcPr>
                <w:p>
                  <w:pPr>
                    <w:jc w:val="center"/>
                    <w:outlineLvl w:val="9"/>
                  </w:pPr>
                  <w:r>
                    <w:rPr>
                      <w:rFonts w:hint="eastAsia"/>
                    </w:rPr>
                    <w:t>0.193</w:t>
                  </w:r>
                </w:p>
              </w:tc>
              <w:tc>
                <w:tcPr>
                  <w:tcW w:w="402" w:type="pct"/>
                  <w:vAlign w:val="center"/>
                </w:tcPr>
                <w:p>
                  <w:pPr>
                    <w:jc w:val="center"/>
                    <w:outlineLvl w:val="9"/>
                  </w:pPr>
                  <w:r>
                    <w:rPr>
                      <w:rFonts w:hint="eastAsia"/>
                    </w:rPr>
                    <w:t>0.20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非甲烷总烃</w:t>
                  </w:r>
                </w:p>
              </w:tc>
              <w:tc>
                <w:tcPr>
                  <w:tcW w:w="771" w:type="pct"/>
                  <w:vMerge w:val="restart"/>
                  <w:vAlign w:val="center"/>
                </w:tcPr>
                <w:p>
                  <w:pPr>
                    <w:jc w:val="center"/>
                    <w:outlineLvl w:val="9"/>
                  </w:pPr>
                  <w:r>
                    <w:t>202</w:t>
                  </w:r>
                  <w:r>
                    <w:rPr>
                      <w:rFonts w:hint="eastAsia"/>
                    </w:rPr>
                    <w:t>2.08.05</w:t>
                  </w:r>
                </w:p>
              </w:tc>
              <w:tc>
                <w:tcPr>
                  <w:tcW w:w="448" w:type="pct"/>
                  <w:vAlign w:val="center"/>
                </w:tcPr>
                <w:p>
                  <w:pPr>
                    <w:jc w:val="center"/>
                    <w:outlineLvl w:val="9"/>
                  </w:pPr>
                  <w:r>
                    <w:rPr>
                      <w:rFonts w:hint="eastAsia"/>
                    </w:rPr>
                    <w:t>0.81</w:t>
                  </w:r>
                </w:p>
              </w:tc>
              <w:tc>
                <w:tcPr>
                  <w:tcW w:w="448" w:type="pct"/>
                  <w:vAlign w:val="center"/>
                </w:tcPr>
                <w:p>
                  <w:pPr>
                    <w:jc w:val="center"/>
                    <w:outlineLvl w:val="9"/>
                  </w:pPr>
                  <w:r>
                    <w:rPr>
                      <w:rFonts w:hint="eastAsia"/>
                    </w:rPr>
                    <w:t>0.78</w:t>
                  </w:r>
                </w:p>
              </w:tc>
              <w:tc>
                <w:tcPr>
                  <w:tcW w:w="448" w:type="pct"/>
                  <w:vAlign w:val="center"/>
                </w:tcPr>
                <w:p>
                  <w:pPr>
                    <w:jc w:val="center"/>
                    <w:outlineLvl w:val="9"/>
                  </w:pPr>
                  <w:r>
                    <w:rPr>
                      <w:rFonts w:hint="eastAsia"/>
                    </w:rPr>
                    <w:t>0.74</w:t>
                  </w:r>
                </w:p>
              </w:tc>
              <w:tc>
                <w:tcPr>
                  <w:tcW w:w="459" w:type="pct"/>
                  <w:vAlign w:val="center"/>
                </w:tcPr>
                <w:p>
                  <w:pPr>
                    <w:jc w:val="center"/>
                    <w:outlineLvl w:val="9"/>
                  </w:pPr>
                  <w:r>
                    <w:rPr>
                      <w:rFonts w:hint="eastAsia"/>
                    </w:rPr>
                    <w:t>0.85</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1.34</w:t>
                  </w:r>
                </w:p>
              </w:tc>
              <w:tc>
                <w:tcPr>
                  <w:tcW w:w="448" w:type="pct"/>
                  <w:vAlign w:val="center"/>
                </w:tcPr>
                <w:p>
                  <w:pPr>
                    <w:jc w:val="center"/>
                    <w:outlineLvl w:val="9"/>
                  </w:pPr>
                  <w:r>
                    <w:rPr>
                      <w:rFonts w:hint="eastAsia"/>
                    </w:rPr>
                    <w:t>1.32</w:t>
                  </w:r>
                </w:p>
              </w:tc>
              <w:tc>
                <w:tcPr>
                  <w:tcW w:w="448" w:type="pct"/>
                  <w:vAlign w:val="center"/>
                </w:tcPr>
                <w:p>
                  <w:pPr>
                    <w:jc w:val="center"/>
                    <w:outlineLvl w:val="9"/>
                  </w:pPr>
                  <w:r>
                    <w:rPr>
                      <w:rFonts w:hint="eastAsia"/>
                    </w:rPr>
                    <w:t>1.41</w:t>
                  </w:r>
                </w:p>
              </w:tc>
              <w:tc>
                <w:tcPr>
                  <w:tcW w:w="459" w:type="pct"/>
                  <w:vAlign w:val="center"/>
                </w:tcPr>
                <w:p>
                  <w:pPr>
                    <w:jc w:val="center"/>
                    <w:outlineLvl w:val="9"/>
                  </w:pPr>
                  <w:r>
                    <w:rPr>
                      <w:rFonts w:hint="eastAsia"/>
                    </w:rPr>
                    <w:t>1.34</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1.28</w:t>
                  </w:r>
                </w:p>
              </w:tc>
              <w:tc>
                <w:tcPr>
                  <w:tcW w:w="448" w:type="pct"/>
                  <w:vAlign w:val="center"/>
                </w:tcPr>
                <w:p>
                  <w:pPr>
                    <w:jc w:val="center"/>
                    <w:outlineLvl w:val="9"/>
                  </w:pPr>
                  <w:r>
                    <w:rPr>
                      <w:rFonts w:hint="eastAsia"/>
                    </w:rPr>
                    <w:t>1.36</w:t>
                  </w:r>
                </w:p>
              </w:tc>
              <w:tc>
                <w:tcPr>
                  <w:tcW w:w="448" w:type="pct"/>
                  <w:vAlign w:val="center"/>
                </w:tcPr>
                <w:p>
                  <w:pPr>
                    <w:jc w:val="center"/>
                    <w:outlineLvl w:val="9"/>
                  </w:pPr>
                  <w:r>
                    <w:rPr>
                      <w:rFonts w:hint="eastAsia"/>
                    </w:rPr>
                    <w:t>1.37</w:t>
                  </w:r>
                </w:p>
              </w:tc>
              <w:tc>
                <w:tcPr>
                  <w:tcW w:w="459" w:type="pct"/>
                  <w:vAlign w:val="center"/>
                </w:tcPr>
                <w:p>
                  <w:pPr>
                    <w:jc w:val="center"/>
                    <w:outlineLvl w:val="9"/>
                  </w:pPr>
                  <w:r>
                    <w:rPr>
                      <w:rFonts w:hint="eastAsia"/>
                    </w:rPr>
                    <w:t>1.32</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1.37</w:t>
                  </w:r>
                </w:p>
              </w:tc>
              <w:tc>
                <w:tcPr>
                  <w:tcW w:w="448" w:type="pct"/>
                  <w:vAlign w:val="center"/>
                </w:tcPr>
                <w:p>
                  <w:pPr>
                    <w:jc w:val="center"/>
                    <w:outlineLvl w:val="9"/>
                  </w:pPr>
                  <w:r>
                    <w:rPr>
                      <w:rFonts w:hint="eastAsia"/>
                    </w:rPr>
                    <w:t>1.30</w:t>
                  </w:r>
                </w:p>
              </w:tc>
              <w:tc>
                <w:tcPr>
                  <w:tcW w:w="448" w:type="pct"/>
                  <w:vAlign w:val="center"/>
                </w:tcPr>
                <w:p>
                  <w:pPr>
                    <w:jc w:val="center"/>
                    <w:outlineLvl w:val="9"/>
                  </w:pPr>
                  <w:r>
                    <w:rPr>
                      <w:rFonts w:hint="eastAsia"/>
                    </w:rPr>
                    <w:t>1.30</w:t>
                  </w:r>
                </w:p>
              </w:tc>
              <w:tc>
                <w:tcPr>
                  <w:tcW w:w="459" w:type="pct"/>
                  <w:vAlign w:val="center"/>
                </w:tcPr>
                <w:p>
                  <w:pPr>
                    <w:jc w:val="center"/>
                    <w:outlineLvl w:val="9"/>
                  </w:pPr>
                  <w:r>
                    <w:rPr>
                      <w:rFonts w:hint="eastAsia"/>
                    </w:rPr>
                    <w:t>1.36</w:t>
                  </w:r>
                </w:p>
              </w:tc>
              <w:tc>
                <w:tcPr>
                  <w:tcW w:w="402" w:type="pct"/>
                  <w:vAlign w:val="center"/>
                </w:tcPr>
                <w:p>
                  <w:pPr>
                    <w:jc w:val="center"/>
                    <w:outlineLvl w:val="9"/>
                  </w:pPr>
                  <w:r>
                    <w:rPr>
                      <w:rFonts w:hint="eastAsia"/>
                    </w:rPr>
                    <w:t>2.0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颗粒物</w:t>
                  </w:r>
                </w:p>
              </w:tc>
              <w:tc>
                <w:tcPr>
                  <w:tcW w:w="771" w:type="pct"/>
                  <w:vMerge w:val="restart"/>
                  <w:vAlign w:val="center"/>
                </w:tcPr>
                <w:p>
                  <w:pPr>
                    <w:jc w:val="center"/>
                    <w:outlineLvl w:val="9"/>
                  </w:pPr>
                  <w:r>
                    <w:t>202</w:t>
                  </w:r>
                  <w:r>
                    <w:rPr>
                      <w:rFonts w:hint="eastAsia"/>
                    </w:rPr>
                    <w:t>2.08.05</w:t>
                  </w:r>
                </w:p>
              </w:tc>
              <w:tc>
                <w:tcPr>
                  <w:tcW w:w="448" w:type="pct"/>
                  <w:vAlign w:val="center"/>
                </w:tcPr>
                <w:p>
                  <w:pPr>
                    <w:jc w:val="center"/>
                    <w:outlineLvl w:val="9"/>
                  </w:pPr>
                  <w:r>
                    <w:rPr>
                      <w:rFonts w:hint="eastAsia"/>
                    </w:rPr>
                    <w:t>0.200</w:t>
                  </w:r>
                </w:p>
              </w:tc>
              <w:tc>
                <w:tcPr>
                  <w:tcW w:w="448" w:type="pct"/>
                  <w:vAlign w:val="center"/>
                </w:tcPr>
                <w:p>
                  <w:pPr>
                    <w:jc w:val="center"/>
                    <w:outlineLvl w:val="9"/>
                  </w:pPr>
                  <w:r>
                    <w:rPr>
                      <w:rFonts w:hint="eastAsia"/>
                    </w:rPr>
                    <w:t>0.267</w:t>
                  </w:r>
                </w:p>
              </w:tc>
              <w:tc>
                <w:tcPr>
                  <w:tcW w:w="448" w:type="pct"/>
                  <w:vAlign w:val="center"/>
                </w:tcPr>
                <w:p>
                  <w:pPr>
                    <w:jc w:val="center"/>
                    <w:outlineLvl w:val="9"/>
                  </w:pPr>
                  <w:r>
                    <w:rPr>
                      <w:rFonts w:hint="eastAsia"/>
                    </w:rPr>
                    <w:t>0.217</w:t>
                  </w:r>
                </w:p>
              </w:tc>
              <w:tc>
                <w:tcPr>
                  <w:tcW w:w="459" w:type="pct"/>
                  <w:vAlign w:val="center"/>
                </w:tcPr>
                <w:p>
                  <w:pPr>
                    <w:jc w:val="center"/>
                    <w:outlineLvl w:val="9"/>
                  </w:pPr>
                  <w:r>
                    <w:rPr>
                      <w:rFonts w:hint="eastAsia"/>
                    </w:rPr>
                    <w:t>0.250</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0.417</w:t>
                  </w:r>
                </w:p>
              </w:tc>
              <w:tc>
                <w:tcPr>
                  <w:tcW w:w="448" w:type="pct"/>
                  <w:vAlign w:val="center"/>
                </w:tcPr>
                <w:p>
                  <w:pPr>
                    <w:jc w:val="center"/>
                    <w:outlineLvl w:val="9"/>
                  </w:pPr>
                  <w:r>
                    <w:rPr>
                      <w:rFonts w:hint="eastAsia"/>
                    </w:rPr>
                    <w:t>0.483</w:t>
                  </w:r>
                </w:p>
              </w:tc>
              <w:tc>
                <w:tcPr>
                  <w:tcW w:w="448" w:type="pct"/>
                  <w:vAlign w:val="center"/>
                </w:tcPr>
                <w:p>
                  <w:pPr>
                    <w:jc w:val="center"/>
                    <w:outlineLvl w:val="9"/>
                  </w:pPr>
                  <w:r>
                    <w:rPr>
                      <w:rFonts w:hint="eastAsia"/>
                    </w:rPr>
                    <w:t>0.433</w:t>
                  </w:r>
                </w:p>
              </w:tc>
              <w:tc>
                <w:tcPr>
                  <w:tcW w:w="459" w:type="pct"/>
                  <w:vAlign w:val="center"/>
                </w:tcPr>
                <w:p>
                  <w:pPr>
                    <w:jc w:val="center"/>
                    <w:outlineLvl w:val="9"/>
                  </w:pPr>
                  <w:r>
                    <w:rPr>
                      <w:rFonts w:hint="eastAsia"/>
                    </w:rPr>
                    <w:t>0.450</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0.467</w:t>
                  </w:r>
                </w:p>
              </w:tc>
              <w:tc>
                <w:tcPr>
                  <w:tcW w:w="448" w:type="pct"/>
                  <w:vAlign w:val="center"/>
                </w:tcPr>
                <w:p>
                  <w:pPr>
                    <w:jc w:val="center"/>
                    <w:outlineLvl w:val="9"/>
                  </w:pPr>
                  <w:r>
                    <w:rPr>
                      <w:rFonts w:hint="eastAsia"/>
                    </w:rPr>
                    <w:t>0.400</w:t>
                  </w:r>
                </w:p>
              </w:tc>
              <w:tc>
                <w:tcPr>
                  <w:tcW w:w="448" w:type="pct"/>
                  <w:vAlign w:val="center"/>
                </w:tcPr>
                <w:p>
                  <w:pPr>
                    <w:jc w:val="center"/>
                    <w:outlineLvl w:val="9"/>
                  </w:pPr>
                  <w:r>
                    <w:rPr>
                      <w:rFonts w:hint="eastAsia"/>
                    </w:rPr>
                    <w:t>0.433</w:t>
                  </w:r>
                </w:p>
              </w:tc>
              <w:tc>
                <w:tcPr>
                  <w:tcW w:w="459" w:type="pct"/>
                  <w:vAlign w:val="center"/>
                </w:tcPr>
                <w:p>
                  <w:pPr>
                    <w:jc w:val="center"/>
                    <w:outlineLvl w:val="9"/>
                  </w:pPr>
                  <w:r>
                    <w:rPr>
                      <w:rFonts w:hint="eastAsia"/>
                    </w:rPr>
                    <w:t>0.417</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0.483</w:t>
                  </w:r>
                </w:p>
              </w:tc>
              <w:tc>
                <w:tcPr>
                  <w:tcW w:w="448" w:type="pct"/>
                  <w:vAlign w:val="center"/>
                </w:tcPr>
                <w:p>
                  <w:pPr>
                    <w:jc w:val="center"/>
                    <w:outlineLvl w:val="9"/>
                  </w:pPr>
                  <w:r>
                    <w:rPr>
                      <w:rFonts w:hint="eastAsia"/>
                    </w:rPr>
                    <w:t>0.450</w:t>
                  </w:r>
                </w:p>
              </w:tc>
              <w:tc>
                <w:tcPr>
                  <w:tcW w:w="448" w:type="pct"/>
                  <w:vAlign w:val="center"/>
                </w:tcPr>
                <w:p>
                  <w:pPr>
                    <w:jc w:val="center"/>
                    <w:outlineLvl w:val="9"/>
                  </w:pPr>
                  <w:r>
                    <w:rPr>
                      <w:rFonts w:hint="eastAsia"/>
                    </w:rPr>
                    <w:t>0.400</w:t>
                  </w:r>
                </w:p>
              </w:tc>
              <w:tc>
                <w:tcPr>
                  <w:tcW w:w="459" w:type="pct"/>
                  <w:vAlign w:val="center"/>
                </w:tcPr>
                <w:p>
                  <w:pPr>
                    <w:jc w:val="center"/>
                    <w:outlineLvl w:val="9"/>
                  </w:pPr>
                  <w:r>
                    <w:rPr>
                      <w:rFonts w:hint="eastAsia"/>
                    </w:rPr>
                    <w:t>0.467</w:t>
                  </w:r>
                </w:p>
              </w:tc>
              <w:tc>
                <w:tcPr>
                  <w:tcW w:w="402" w:type="pct"/>
                  <w:vAlign w:val="center"/>
                </w:tcPr>
                <w:p>
                  <w:pPr>
                    <w:jc w:val="center"/>
                    <w:outlineLvl w:val="9"/>
                  </w:pPr>
                  <w:r>
                    <w:rPr>
                      <w:rFonts w:hint="eastAsia"/>
                    </w:rPr>
                    <w:t>1.0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5#</w:t>
                  </w:r>
                </w:p>
              </w:tc>
              <w:tc>
                <w:tcPr>
                  <w:tcW w:w="796" w:type="pct"/>
                  <w:gridSpan w:val="2"/>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二氧化硫</w:t>
                  </w:r>
                </w:p>
                <w:p>
                  <w:pPr>
                    <w:jc w:val="center"/>
                    <w:outlineLvl w:val="9"/>
                  </w:pPr>
                </w:p>
              </w:tc>
              <w:tc>
                <w:tcPr>
                  <w:tcW w:w="771" w:type="pct"/>
                  <w:vMerge w:val="restart"/>
                  <w:vAlign w:val="center"/>
                </w:tcPr>
                <w:p>
                  <w:pPr>
                    <w:jc w:val="center"/>
                    <w:outlineLvl w:val="9"/>
                  </w:pPr>
                  <w:r>
                    <w:t>202</w:t>
                  </w:r>
                  <w:r>
                    <w:rPr>
                      <w:rFonts w:hint="eastAsia"/>
                    </w:rPr>
                    <w:t>2.08.05</w:t>
                  </w:r>
                </w:p>
                <w:p>
                  <w:pPr>
                    <w:jc w:val="center"/>
                    <w:outlineLvl w:val="9"/>
                  </w:pPr>
                </w:p>
              </w:tc>
              <w:tc>
                <w:tcPr>
                  <w:tcW w:w="448" w:type="pct"/>
                  <w:vAlign w:val="center"/>
                </w:tcPr>
                <w:p>
                  <w:pPr>
                    <w:jc w:val="center"/>
                    <w:outlineLvl w:val="9"/>
                  </w:pPr>
                  <w:r>
                    <w:rPr>
                      <w:rFonts w:hint="eastAsia"/>
                    </w:rPr>
                    <w:t>0.036</w:t>
                  </w:r>
                </w:p>
              </w:tc>
              <w:tc>
                <w:tcPr>
                  <w:tcW w:w="448" w:type="pct"/>
                  <w:vAlign w:val="center"/>
                </w:tcPr>
                <w:p>
                  <w:pPr>
                    <w:jc w:val="center"/>
                    <w:outlineLvl w:val="9"/>
                  </w:pPr>
                  <w:r>
                    <w:rPr>
                      <w:rFonts w:hint="eastAsia"/>
                    </w:rPr>
                    <w:t>0.033</w:t>
                  </w:r>
                </w:p>
              </w:tc>
              <w:tc>
                <w:tcPr>
                  <w:tcW w:w="448" w:type="pct"/>
                  <w:vAlign w:val="center"/>
                </w:tcPr>
                <w:p>
                  <w:pPr>
                    <w:jc w:val="center"/>
                    <w:outlineLvl w:val="9"/>
                  </w:pPr>
                  <w:r>
                    <w:rPr>
                      <w:rFonts w:hint="eastAsia"/>
                    </w:rPr>
                    <w:t>0.029</w:t>
                  </w:r>
                </w:p>
              </w:tc>
              <w:tc>
                <w:tcPr>
                  <w:tcW w:w="459" w:type="pct"/>
                  <w:vAlign w:val="center"/>
                </w:tcPr>
                <w:p>
                  <w:pPr>
                    <w:jc w:val="center"/>
                    <w:outlineLvl w:val="9"/>
                  </w:pPr>
                  <w:r>
                    <w:rPr>
                      <w:rFonts w:hint="eastAsia"/>
                    </w:rPr>
                    <w:t>0.023</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6#</w:t>
                  </w:r>
                </w:p>
              </w:tc>
              <w:tc>
                <w:tcPr>
                  <w:tcW w:w="796" w:type="pct"/>
                  <w:gridSpan w:val="2"/>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0.047</w:t>
                  </w:r>
                </w:p>
              </w:tc>
              <w:tc>
                <w:tcPr>
                  <w:tcW w:w="448" w:type="pct"/>
                  <w:vAlign w:val="center"/>
                </w:tcPr>
                <w:p>
                  <w:pPr>
                    <w:jc w:val="center"/>
                    <w:outlineLvl w:val="9"/>
                  </w:pPr>
                  <w:r>
                    <w:rPr>
                      <w:rFonts w:hint="eastAsia"/>
                    </w:rPr>
                    <w:t>0.095</w:t>
                  </w:r>
                </w:p>
              </w:tc>
              <w:tc>
                <w:tcPr>
                  <w:tcW w:w="448" w:type="pct"/>
                  <w:vAlign w:val="center"/>
                </w:tcPr>
                <w:p>
                  <w:pPr>
                    <w:jc w:val="center"/>
                    <w:outlineLvl w:val="9"/>
                  </w:pPr>
                  <w:r>
                    <w:rPr>
                      <w:rFonts w:hint="eastAsia"/>
                    </w:rPr>
                    <w:t>0.073</w:t>
                  </w:r>
                </w:p>
              </w:tc>
              <w:tc>
                <w:tcPr>
                  <w:tcW w:w="459" w:type="pct"/>
                  <w:vAlign w:val="center"/>
                </w:tcPr>
                <w:p>
                  <w:pPr>
                    <w:jc w:val="center"/>
                    <w:outlineLvl w:val="9"/>
                  </w:pPr>
                  <w:r>
                    <w:rPr>
                      <w:rFonts w:hint="eastAsia"/>
                    </w:rPr>
                    <w:t>0.086</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7#</w:t>
                  </w:r>
                </w:p>
              </w:tc>
              <w:tc>
                <w:tcPr>
                  <w:tcW w:w="796" w:type="pct"/>
                  <w:gridSpan w:val="2"/>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0.078</w:t>
                  </w:r>
                </w:p>
              </w:tc>
              <w:tc>
                <w:tcPr>
                  <w:tcW w:w="448" w:type="pct"/>
                  <w:vAlign w:val="center"/>
                </w:tcPr>
                <w:p>
                  <w:pPr>
                    <w:jc w:val="center"/>
                    <w:outlineLvl w:val="9"/>
                  </w:pPr>
                  <w:r>
                    <w:rPr>
                      <w:rFonts w:hint="eastAsia"/>
                    </w:rPr>
                    <w:t>0.065</w:t>
                  </w:r>
                </w:p>
              </w:tc>
              <w:tc>
                <w:tcPr>
                  <w:tcW w:w="448" w:type="pct"/>
                  <w:vAlign w:val="center"/>
                </w:tcPr>
                <w:p>
                  <w:pPr>
                    <w:jc w:val="center"/>
                    <w:outlineLvl w:val="9"/>
                  </w:pPr>
                  <w:r>
                    <w:rPr>
                      <w:rFonts w:hint="eastAsia"/>
                    </w:rPr>
                    <w:t>0.053</w:t>
                  </w:r>
                </w:p>
              </w:tc>
              <w:tc>
                <w:tcPr>
                  <w:tcW w:w="459" w:type="pct"/>
                  <w:vAlign w:val="center"/>
                </w:tcPr>
                <w:p>
                  <w:pPr>
                    <w:jc w:val="center"/>
                    <w:outlineLvl w:val="9"/>
                  </w:pPr>
                  <w:r>
                    <w:rPr>
                      <w:rFonts w:hint="eastAsia"/>
                    </w:rPr>
                    <w:t>0.075</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348" w:type="pct"/>
                  <w:gridSpan w:val="2"/>
                  <w:tcBorders>
                    <w:left w:val="nil"/>
                  </w:tcBorders>
                  <w:vAlign w:val="center"/>
                </w:tcPr>
                <w:p>
                  <w:pPr>
                    <w:jc w:val="center"/>
                    <w:outlineLvl w:val="9"/>
                  </w:pPr>
                  <w:r>
                    <w:rPr>
                      <w:rFonts w:hint="eastAsia"/>
                    </w:rPr>
                    <w:t>8#</w:t>
                  </w:r>
                </w:p>
              </w:tc>
              <w:tc>
                <w:tcPr>
                  <w:tcW w:w="796" w:type="pct"/>
                  <w:gridSpan w:val="2"/>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0.083</w:t>
                  </w:r>
                </w:p>
              </w:tc>
              <w:tc>
                <w:tcPr>
                  <w:tcW w:w="448" w:type="pct"/>
                  <w:vAlign w:val="center"/>
                </w:tcPr>
                <w:p>
                  <w:pPr>
                    <w:jc w:val="center"/>
                    <w:outlineLvl w:val="9"/>
                  </w:pPr>
                  <w:r>
                    <w:rPr>
                      <w:rFonts w:hint="eastAsia"/>
                    </w:rPr>
                    <w:t>0.068</w:t>
                  </w:r>
                </w:p>
              </w:tc>
              <w:tc>
                <w:tcPr>
                  <w:tcW w:w="448" w:type="pct"/>
                  <w:vAlign w:val="center"/>
                </w:tcPr>
                <w:p>
                  <w:pPr>
                    <w:jc w:val="center"/>
                    <w:outlineLvl w:val="9"/>
                  </w:pPr>
                  <w:r>
                    <w:rPr>
                      <w:rFonts w:hint="eastAsia"/>
                    </w:rPr>
                    <w:t>0.065</w:t>
                  </w:r>
                </w:p>
              </w:tc>
              <w:tc>
                <w:tcPr>
                  <w:tcW w:w="459" w:type="pct"/>
                  <w:vAlign w:val="center"/>
                </w:tcPr>
                <w:p>
                  <w:pPr>
                    <w:jc w:val="center"/>
                    <w:outlineLvl w:val="9"/>
                  </w:pPr>
                  <w:r>
                    <w:rPr>
                      <w:rFonts w:hint="eastAsia"/>
                    </w:rPr>
                    <w:t>0.081</w:t>
                  </w:r>
                </w:p>
              </w:tc>
              <w:tc>
                <w:tcPr>
                  <w:tcW w:w="402" w:type="pct"/>
                  <w:vAlign w:val="center"/>
                </w:tcPr>
                <w:p>
                  <w:pPr>
                    <w:jc w:val="center"/>
                    <w:outlineLvl w:val="9"/>
                  </w:pPr>
                  <w:r>
                    <w:rPr>
                      <w:rFonts w:hint="eastAsia"/>
                    </w:rPr>
                    <w:t>0.40</w:t>
                  </w:r>
                </w:p>
              </w:tc>
              <w:tc>
                <w:tcPr>
                  <w:tcW w:w="402" w:type="pct"/>
                  <w:gridSpan w:val="2"/>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5#</w:t>
                  </w:r>
                </w:p>
              </w:tc>
              <w:tc>
                <w:tcPr>
                  <w:tcW w:w="814" w:type="pct"/>
                  <w:gridSpan w:val="3"/>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rPr>
                      <w:rFonts w:hint="eastAsia"/>
                    </w:rPr>
                    <w:t>氮氧化物</w:t>
                  </w:r>
                </w:p>
              </w:tc>
              <w:tc>
                <w:tcPr>
                  <w:tcW w:w="771" w:type="pct"/>
                  <w:vMerge w:val="restart"/>
                  <w:vAlign w:val="center"/>
                </w:tcPr>
                <w:p>
                  <w:pPr>
                    <w:jc w:val="center"/>
                    <w:outlineLvl w:val="9"/>
                  </w:pPr>
                  <w:r>
                    <w:t>202</w:t>
                  </w:r>
                  <w:r>
                    <w:rPr>
                      <w:rFonts w:hint="eastAsia"/>
                    </w:rPr>
                    <w:t>2.08.05</w:t>
                  </w:r>
                </w:p>
              </w:tc>
              <w:tc>
                <w:tcPr>
                  <w:tcW w:w="448" w:type="pct"/>
                  <w:vAlign w:val="center"/>
                </w:tcPr>
                <w:p>
                  <w:pPr>
                    <w:jc w:val="center"/>
                    <w:outlineLvl w:val="9"/>
                  </w:pPr>
                  <w:r>
                    <w:rPr>
                      <w:rFonts w:hint="eastAsia"/>
                    </w:rPr>
                    <w:t>0.006</w:t>
                  </w:r>
                </w:p>
              </w:tc>
              <w:tc>
                <w:tcPr>
                  <w:tcW w:w="448" w:type="pct"/>
                  <w:vAlign w:val="center"/>
                </w:tcPr>
                <w:p>
                  <w:pPr>
                    <w:jc w:val="center"/>
                    <w:outlineLvl w:val="9"/>
                  </w:pPr>
                  <w:r>
                    <w:rPr>
                      <w:rFonts w:hint="eastAsia"/>
                    </w:rPr>
                    <w:t>0.008</w:t>
                  </w:r>
                </w:p>
              </w:tc>
              <w:tc>
                <w:tcPr>
                  <w:tcW w:w="448" w:type="pct"/>
                  <w:vAlign w:val="center"/>
                </w:tcPr>
                <w:p>
                  <w:pPr>
                    <w:jc w:val="center"/>
                    <w:outlineLvl w:val="9"/>
                  </w:pPr>
                  <w:r>
                    <w:rPr>
                      <w:rFonts w:hint="eastAsia"/>
                    </w:rPr>
                    <w:t>0.007</w:t>
                  </w:r>
                </w:p>
              </w:tc>
              <w:tc>
                <w:tcPr>
                  <w:tcW w:w="459" w:type="pct"/>
                  <w:vAlign w:val="center"/>
                </w:tcPr>
                <w:p>
                  <w:pPr>
                    <w:jc w:val="center"/>
                    <w:outlineLvl w:val="9"/>
                  </w:pPr>
                  <w:r>
                    <w:rPr>
                      <w:rFonts w:hint="eastAsia"/>
                    </w:rPr>
                    <w:t>0.006</w:t>
                  </w:r>
                </w:p>
              </w:tc>
              <w:tc>
                <w:tcPr>
                  <w:tcW w:w="410" w:type="pct"/>
                  <w:gridSpan w:val="2"/>
                  <w:vAlign w:val="center"/>
                </w:tcPr>
                <w:p>
                  <w:pPr>
                    <w:jc w:val="center"/>
                    <w:outlineLvl w:val="9"/>
                  </w:pPr>
                  <w:r>
                    <w:rPr>
                      <w:rFonts w:hint="eastAsia"/>
                    </w:rPr>
                    <w:t>0.12</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6#</w:t>
                  </w:r>
                </w:p>
              </w:tc>
              <w:tc>
                <w:tcPr>
                  <w:tcW w:w="814" w:type="pct"/>
                  <w:gridSpan w:val="3"/>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0.013</w:t>
                  </w:r>
                </w:p>
              </w:tc>
              <w:tc>
                <w:tcPr>
                  <w:tcW w:w="448" w:type="pct"/>
                  <w:vAlign w:val="center"/>
                </w:tcPr>
                <w:p>
                  <w:pPr>
                    <w:jc w:val="center"/>
                    <w:outlineLvl w:val="9"/>
                  </w:pPr>
                  <w:r>
                    <w:rPr>
                      <w:rFonts w:hint="eastAsia"/>
                    </w:rPr>
                    <w:t>0.015</w:t>
                  </w:r>
                </w:p>
              </w:tc>
              <w:tc>
                <w:tcPr>
                  <w:tcW w:w="448" w:type="pct"/>
                  <w:vAlign w:val="center"/>
                </w:tcPr>
                <w:p>
                  <w:pPr>
                    <w:jc w:val="center"/>
                    <w:outlineLvl w:val="9"/>
                  </w:pPr>
                  <w:r>
                    <w:rPr>
                      <w:rFonts w:hint="eastAsia"/>
                    </w:rPr>
                    <w:t>0.016</w:t>
                  </w:r>
                </w:p>
              </w:tc>
              <w:tc>
                <w:tcPr>
                  <w:tcW w:w="459" w:type="pct"/>
                  <w:vAlign w:val="center"/>
                </w:tcPr>
                <w:p>
                  <w:pPr>
                    <w:jc w:val="center"/>
                    <w:outlineLvl w:val="9"/>
                  </w:pPr>
                  <w:r>
                    <w:rPr>
                      <w:rFonts w:hint="eastAsia"/>
                    </w:rPr>
                    <w:t>0.014</w:t>
                  </w:r>
                </w:p>
              </w:tc>
              <w:tc>
                <w:tcPr>
                  <w:tcW w:w="410" w:type="pct"/>
                  <w:gridSpan w:val="2"/>
                  <w:vAlign w:val="center"/>
                </w:tcPr>
                <w:p>
                  <w:pPr>
                    <w:jc w:val="center"/>
                    <w:outlineLvl w:val="9"/>
                  </w:pPr>
                  <w:r>
                    <w:rPr>
                      <w:rFonts w:hint="eastAsia"/>
                    </w:rPr>
                    <w:t>0.12</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7#</w:t>
                  </w:r>
                </w:p>
              </w:tc>
              <w:tc>
                <w:tcPr>
                  <w:tcW w:w="814" w:type="pct"/>
                  <w:gridSpan w:val="3"/>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0.017</w:t>
                  </w:r>
                </w:p>
              </w:tc>
              <w:tc>
                <w:tcPr>
                  <w:tcW w:w="448" w:type="pct"/>
                  <w:vAlign w:val="center"/>
                </w:tcPr>
                <w:p>
                  <w:pPr>
                    <w:jc w:val="center"/>
                    <w:outlineLvl w:val="9"/>
                  </w:pPr>
                  <w:r>
                    <w:rPr>
                      <w:rFonts w:hint="eastAsia"/>
                    </w:rPr>
                    <w:t>0.016</w:t>
                  </w:r>
                </w:p>
              </w:tc>
              <w:tc>
                <w:tcPr>
                  <w:tcW w:w="448" w:type="pct"/>
                  <w:vAlign w:val="center"/>
                </w:tcPr>
                <w:p>
                  <w:pPr>
                    <w:jc w:val="center"/>
                    <w:outlineLvl w:val="9"/>
                  </w:pPr>
                  <w:r>
                    <w:rPr>
                      <w:rFonts w:hint="eastAsia"/>
                    </w:rPr>
                    <w:t>0.015</w:t>
                  </w:r>
                </w:p>
              </w:tc>
              <w:tc>
                <w:tcPr>
                  <w:tcW w:w="459" w:type="pct"/>
                  <w:vAlign w:val="center"/>
                </w:tcPr>
                <w:p>
                  <w:pPr>
                    <w:jc w:val="center"/>
                    <w:outlineLvl w:val="9"/>
                  </w:pPr>
                  <w:r>
                    <w:rPr>
                      <w:rFonts w:hint="eastAsia"/>
                    </w:rPr>
                    <w:t>0.013</w:t>
                  </w:r>
                </w:p>
              </w:tc>
              <w:tc>
                <w:tcPr>
                  <w:tcW w:w="410" w:type="pct"/>
                  <w:gridSpan w:val="2"/>
                  <w:vAlign w:val="center"/>
                </w:tcPr>
                <w:p>
                  <w:pPr>
                    <w:jc w:val="center"/>
                    <w:outlineLvl w:val="9"/>
                  </w:pPr>
                  <w:r>
                    <w:rPr>
                      <w:rFonts w:hint="eastAsia"/>
                    </w:rPr>
                    <w:t>0.12</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8#</w:t>
                  </w:r>
                </w:p>
              </w:tc>
              <w:tc>
                <w:tcPr>
                  <w:tcW w:w="814" w:type="pct"/>
                  <w:gridSpan w:val="3"/>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0.015</w:t>
                  </w:r>
                </w:p>
              </w:tc>
              <w:tc>
                <w:tcPr>
                  <w:tcW w:w="448" w:type="pct"/>
                  <w:vAlign w:val="center"/>
                </w:tcPr>
                <w:p>
                  <w:pPr>
                    <w:jc w:val="center"/>
                    <w:outlineLvl w:val="9"/>
                  </w:pPr>
                  <w:r>
                    <w:rPr>
                      <w:rFonts w:hint="eastAsia"/>
                    </w:rPr>
                    <w:t>0.014</w:t>
                  </w:r>
                </w:p>
              </w:tc>
              <w:tc>
                <w:tcPr>
                  <w:tcW w:w="448" w:type="pct"/>
                  <w:vAlign w:val="center"/>
                </w:tcPr>
                <w:p>
                  <w:pPr>
                    <w:jc w:val="center"/>
                    <w:outlineLvl w:val="9"/>
                  </w:pPr>
                  <w:r>
                    <w:rPr>
                      <w:rFonts w:hint="eastAsia"/>
                    </w:rPr>
                    <w:t>0.012</w:t>
                  </w:r>
                </w:p>
              </w:tc>
              <w:tc>
                <w:tcPr>
                  <w:tcW w:w="459" w:type="pct"/>
                  <w:vAlign w:val="center"/>
                </w:tcPr>
                <w:p>
                  <w:pPr>
                    <w:jc w:val="center"/>
                    <w:outlineLvl w:val="9"/>
                  </w:pPr>
                  <w:r>
                    <w:rPr>
                      <w:rFonts w:hint="eastAsia"/>
                    </w:rPr>
                    <w:t>0.013</w:t>
                  </w:r>
                </w:p>
              </w:tc>
              <w:tc>
                <w:tcPr>
                  <w:tcW w:w="410" w:type="pct"/>
                  <w:gridSpan w:val="2"/>
                  <w:vAlign w:val="center"/>
                </w:tcPr>
                <w:p>
                  <w:pPr>
                    <w:jc w:val="center"/>
                    <w:outlineLvl w:val="9"/>
                  </w:pPr>
                  <w:r>
                    <w:rPr>
                      <w:rFonts w:hint="eastAsia"/>
                    </w:rPr>
                    <w:t>0.12</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5#</w:t>
                  </w:r>
                </w:p>
              </w:tc>
              <w:tc>
                <w:tcPr>
                  <w:tcW w:w="814" w:type="pct"/>
                  <w:gridSpan w:val="3"/>
                  <w:vAlign w:val="center"/>
                </w:tcPr>
                <w:p>
                  <w:pPr>
                    <w:spacing w:line="320" w:lineRule="exact"/>
                    <w:jc w:val="center"/>
                    <w:outlineLvl w:val="9"/>
                  </w:pPr>
                  <w:r>
                    <w:rPr>
                      <w:rFonts w:hint="eastAsia"/>
                    </w:rPr>
                    <w:t>东侧厂界外2m处</w:t>
                  </w:r>
                </w:p>
              </w:tc>
              <w:tc>
                <w:tcPr>
                  <w:tcW w:w="472" w:type="pct"/>
                  <w:gridSpan w:val="2"/>
                  <w:vMerge w:val="restart"/>
                  <w:vAlign w:val="center"/>
                </w:tcPr>
                <w:p>
                  <w:pPr>
                    <w:jc w:val="center"/>
                    <w:outlineLvl w:val="9"/>
                  </w:pPr>
                  <w:r>
                    <w:t>*</w:t>
                  </w:r>
                  <w:r>
                    <w:rPr>
                      <w:rFonts w:hint="eastAsia"/>
                    </w:rPr>
                    <w:t>氯化氢</w:t>
                  </w:r>
                </w:p>
              </w:tc>
              <w:tc>
                <w:tcPr>
                  <w:tcW w:w="771" w:type="pct"/>
                  <w:vMerge w:val="restart"/>
                  <w:vAlign w:val="center"/>
                </w:tcPr>
                <w:p>
                  <w:pPr>
                    <w:jc w:val="center"/>
                    <w:outlineLvl w:val="9"/>
                  </w:pPr>
                  <w:r>
                    <w:t>202</w:t>
                  </w:r>
                  <w:r>
                    <w:rPr>
                      <w:rFonts w:hint="eastAsia"/>
                    </w:rPr>
                    <w:t>2.08.05</w:t>
                  </w:r>
                </w:p>
              </w:tc>
              <w:tc>
                <w:tcPr>
                  <w:tcW w:w="448" w:type="pct"/>
                  <w:vAlign w:val="center"/>
                </w:tcPr>
                <w:p>
                  <w:pPr>
                    <w:jc w:val="center"/>
                    <w:outlineLvl w:val="9"/>
                  </w:pPr>
                  <w:r>
                    <w:rPr>
                      <w:rFonts w:hint="eastAsia"/>
                    </w:rPr>
                    <w:t>0.084</w:t>
                  </w:r>
                </w:p>
              </w:tc>
              <w:tc>
                <w:tcPr>
                  <w:tcW w:w="448" w:type="pct"/>
                  <w:vAlign w:val="center"/>
                </w:tcPr>
                <w:p>
                  <w:pPr>
                    <w:jc w:val="center"/>
                    <w:outlineLvl w:val="9"/>
                  </w:pPr>
                  <w:r>
                    <w:rPr>
                      <w:rFonts w:hint="eastAsia"/>
                    </w:rPr>
                    <w:t>0.091</w:t>
                  </w:r>
                </w:p>
              </w:tc>
              <w:tc>
                <w:tcPr>
                  <w:tcW w:w="448" w:type="pct"/>
                  <w:vAlign w:val="center"/>
                </w:tcPr>
                <w:p>
                  <w:pPr>
                    <w:jc w:val="center"/>
                    <w:outlineLvl w:val="9"/>
                  </w:pPr>
                  <w:r>
                    <w:rPr>
                      <w:rFonts w:hint="eastAsia"/>
                    </w:rPr>
                    <w:t>0.089</w:t>
                  </w:r>
                </w:p>
              </w:tc>
              <w:tc>
                <w:tcPr>
                  <w:tcW w:w="459" w:type="pct"/>
                  <w:vAlign w:val="center"/>
                </w:tcPr>
                <w:p>
                  <w:pPr>
                    <w:jc w:val="center"/>
                    <w:outlineLvl w:val="9"/>
                  </w:pPr>
                  <w:r>
                    <w:rPr>
                      <w:rFonts w:hint="eastAsia"/>
                    </w:rPr>
                    <w:t>0.115</w:t>
                  </w:r>
                </w:p>
              </w:tc>
              <w:tc>
                <w:tcPr>
                  <w:tcW w:w="410" w:type="pct"/>
                  <w:gridSpan w:val="2"/>
                  <w:vAlign w:val="center"/>
                </w:tcPr>
                <w:p>
                  <w:pPr>
                    <w:jc w:val="center"/>
                    <w:outlineLvl w:val="9"/>
                  </w:pPr>
                  <w:r>
                    <w:rPr>
                      <w:rFonts w:hint="eastAsia"/>
                    </w:rPr>
                    <w:t>0.20</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6#</w:t>
                  </w:r>
                </w:p>
              </w:tc>
              <w:tc>
                <w:tcPr>
                  <w:tcW w:w="814" w:type="pct"/>
                  <w:gridSpan w:val="3"/>
                  <w:vAlign w:val="center"/>
                </w:tcPr>
                <w:p>
                  <w:pPr>
                    <w:spacing w:line="320" w:lineRule="exact"/>
                    <w:jc w:val="center"/>
                    <w:outlineLvl w:val="9"/>
                  </w:pPr>
                  <w:r>
                    <w:rPr>
                      <w:rFonts w:hint="eastAsia"/>
                    </w:rPr>
                    <w:t>西北侧厂界外2m处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0.162</w:t>
                  </w:r>
                </w:p>
              </w:tc>
              <w:tc>
                <w:tcPr>
                  <w:tcW w:w="448" w:type="pct"/>
                  <w:vAlign w:val="center"/>
                </w:tcPr>
                <w:p>
                  <w:pPr>
                    <w:jc w:val="center"/>
                    <w:outlineLvl w:val="9"/>
                  </w:pPr>
                  <w:r>
                    <w:rPr>
                      <w:rFonts w:hint="eastAsia"/>
                    </w:rPr>
                    <w:t>0.131</w:t>
                  </w:r>
                </w:p>
              </w:tc>
              <w:tc>
                <w:tcPr>
                  <w:tcW w:w="448" w:type="pct"/>
                  <w:vAlign w:val="center"/>
                </w:tcPr>
                <w:p>
                  <w:pPr>
                    <w:jc w:val="center"/>
                    <w:outlineLvl w:val="9"/>
                  </w:pPr>
                  <w:r>
                    <w:rPr>
                      <w:rFonts w:hint="eastAsia"/>
                    </w:rPr>
                    <w:t>0.130</w:t>
                  </w:r>
                </w:p>
              </w:tc>
              <w:tc>
                <w:tcPr>
                  <w:tcW w:w="459" w:type="pct"/>
                  <w:vAlign w:val="center"/>
                </w:tcPr>
                <w:p>
                  <w:pPr>
                    <w:jc w:val="center"/>
                    <w:outlineLvl w:val="9"/>
                  </w:pPr>
                  <w:r>
                    <w:rPr>
                      <w:rFonts w:hint="eastAsia"/>
                    </w:rPr>
                    <w:t>0.127</w:t>
                  </w:r>
                </w:p>
              </w:tc>
              <w:tc>
                <w:tcPr>
                  <w:tcW w:w="410" w:type="pct"/>
                  <w:gridSpan w:val="2"/>
                  <w:vAlign w:val="center"/>
                </w:tcPr>
                <w:p>
                  <w:pPr>
                    <w:jc w:val="center"/>
                    <w:outlineLvl w:val="9"/>
                  </w:pPr>
                  <w:r>
                    <w:rPr>
                      <w:rFonts w:hint="eastAsia"/>
                    </w:rPr>
                    <w:t>0.20</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328" w:type="pct"/>
                  <w:tcBorders>
                    <w:left w:val="nil"/>
                  </w:tcBorders>
                  <w:vAlign w:val="center"/>
                </w:tcPr>
                <w:p>
                  <w:pPr>
                    <w:jc w:val="center"/>
                    <w:outlineLvl w:val="9"/>
                  </w:pPr>
                  <w:r>
                    <w:rPr>
                      <w:rFonts w:hint="eastAsia"/>
                    </w:rPr>
                    <w:t>7#</w:t>
                  </w:r>
                </w:p>
              </w:tc>
              <w:tc>
                <w:tcPr>
                  <w:tcW w:w="814" w:type="pct"/>
                  <w:gridSpan w:val="3"/>
                  <w:vAlign w:val="center"/>
                </w:tcPr>
                <w:p>
                  <w:pPr>
                    <w:spacing w:line="320" w:lineRule="exact"/>
                    <w:jc w:val="center"/>
                    <w:outlineLvl w:val="9"/>
                  </w:pPr>
                  <w:r>
                    <w:rPr>
                      <w:rFonts w:hint="eastAsia"/>
                    </w:rPr>
                    <w:t>西侧厂界外2m处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0.123</w:t>
                  </w:r>
                </w:p>
              </w:tc>
              <w:tc>
                <w:tcPr>
                  <w:tcW w:w="448" w:type="pct"/>
                  <w:vAlign w:val="center"/>
                </w:tcPr>
                <w:p>
                  <w:pPr>
                    <w:jc w:val="center"/>
                    <w:outlineLvl w:val="9"/>
                  </w:pPr>
                  <w:r>
                    <w:rPr>
                      <w:rFonts w:hint="eastAsia"/>
                    </w:rPr>
                    <w:t>0.152</w:t>
                  </w:r>
                </w:p>
              </w:tc>
              <w:tc>
                <w:tcPr>
                  <w:tcW w:w="448" w:type="pct"/>
                  <w:vAlign w:val="center"/>
                </w:tcPr>
                <w:p>
                  <w:pPr>
                    <w:jc w:val="center"/>
                    <w:outlineLvl w:val="9"/>
                  </w:pPr>
                  <w:r>
                    <w:rPr>
                      <w:rFonts w:hint="eastAsia"/>
                    </w:rPr>
                    <w:t>0.149</w:t>
                  </w:r>
                </w:p>
              </w:tc>
              <w:tc>
                <w:tcPr>
                  <w:tcW w:w="459" w:type="pct"/>
                  <w:vAlign w:val="center"/>
                </w:tcPr>
                <w:p>
                  <w:pPr>
                    <w:jc w:val="center"/>
                    <w:outlineLvl w:val="9"/>
                  </w:pPr>
                  <w:r>
                    <w:rPr>
                      <w:rFonts w:hint="eastAsia"/>
                    </w:rPr>
                    <w:t>0.133</w:t>
                  </w:r>
                </w:p>
              </w:tc>
              <w:tc>
                <w:tcPr>
                  <w:tcW w:w="410" w:type="pct"/>
                  <w:gridSpan w:val="2"/>
                  <w:vAlign w:val="center"/>
                </w:tcPr>
                <w:p>
                  <w:pPr>
                    <w:jc w:val="center"/>
                    <w:outlineLvl w:val="9"/>
                  </w:pPr>
                  <w:r>
                    <w:rPr>
                      <w:rFonts w:hint="eastAsia"/>
                    </w:rPr>
                    <w:t>0.20</w:t>
                  </w:r>
                </w:p>
              </w:tc>
              <w:tc>
                <w:tcPr>
                  <w:tcW w:w="3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328" w:type="pct"/>
                  <w:tcBorders>
                    <w:left w:val="nil"/>
                  </w:tcBorders>
                  <w:vAlign w:val="center"/>
                </w:tcPr>
                <w:p>
                  <w:pPr>
                    <w:jc w:val="center"/>
                    <w:outlineLvl w:val="9"/>
                  </w:pPr>
                  <w:r>
                    <w:rPr>
                      <w:rFonts w:hint="eastAsia"/>
                    </w:rPr>
                    <w:t>8#</w:t>
                  </w:r>
                </w:p>
              </w:tc>
              <w:tc>
                <w:tcPr>
                  <w:tcW w:w="814" w:type="pct"/>
                  <w:gridSpan w:val="3"/>
                  <w:vAlign w:val="center"/>
                </w:tcPr>
                <w:p>
                  <w:pPr>
                    <w:spacing w:line="320" w:lineRule="exact"/>
                    <w:jc w:val="center"/>
                    <w:outlineLvl w:val="9"/>
                  </w:pPr>
                  <w:r>
                    <w:rPr>
                      <w:rFonts w:hint="eastAsia"/>
                    </w:rPr>
                    <w:t>西南侧厂界外2m处</w:t>
                  </w:r>
                </w:p>
              </w:tc>
              <w:tc>
                <w:tcPr>
                  <w:tcW w:w="472" w:type="pct"/>
                  <w:gridSpan w:val="2"/>
                  <w:vMerge w:val="continue"/>
                  <w:vAlign w:val="center"/>
                </w:tcPr>
                <w:p>
                  <w:pPr>
                    <w:jc w:val="center"/>
                    <w:outlineLvl w:val="9"/>
                  </w:pPr>
                </w:p>
              </w:tc>
              <w:tc>
                <w:tcPr>
                  <w:tcW w:w="771" w:type="pct"/>
                  <w:vMerge w:val="continue"/>
                  <w:vAlign w:val="center"/>
                </w:tcPr>
                <w:p>
                  <w:pPr>
                    <w:jc w:val="center"/>
                    <w:outlineLvl w:val="9"/>
                  </w:pPr>
                </w:p>
              </w:tc>
              <w:tc>
                <w:tcPr>
                  <w:tcW w:w="448" w:type="pct"/>
                  <w:vAlign w:val="center"/>
                </w:tcPr>
                <w:p>
                  <w:pPr>
                    <w:jc w:val="center"/>
                    <w:outlineLvl w:val="9"/>
                  </w:pPr>
                  <w:r>
                    <w:rPr>
                      <w:rFonts w:hint="eastAsia"/>
                    </w:rPr>
                    <w:t>0.138</w:t>
                  </w:r>
                </w:p>
              </w:tc>
              <w:tc>
                <w:tcPr>
                  <w:tcW w:w="448" w:type="pct"/>
                  <w:vAlign w:val="center"/>
                </w:tcPr>
                <w:p>
                  <w:pPr>
                    <w:jc w:val="center"/>
                    <w:outlineLvl w:val="9"/>
                  </w:pPr>
                  <w:r>
                    <w:rPr>
                      <w:rFonts w:hint="eastAsia"/>
                    </w:rPr>
                    <w:t>0.152</w:t>
                  </w:r>
                </w:p>
              </w:tc>
              <w:tc>
                <w:tcPr>
                  <w:tcW w:w="448" w:type="pct"/>
                  <w:vAlign w:val="center"/>
                </w:tcPr>
                <w:p>
                  <w:pPr>
                    <w:jc w:val="center"/>
                    <w:outlineLvl w:val="9"/>
                  </w:pPr>
                  <w:r>
                    <w:rPr>
                      <w:rFonts w:hint="eastAsia"/>
                    </w:rPr>
                    <w:t>0.153</w:t>
                  </w:r>
                </w:p>
              </w:tc>
              <w:tc>
                <w:tcPr>
                  <w:tcW w:w="459" w:type="pct"/>
                  <w:vAlign w:val="center"/>
                </w:tcPr>
                <w:p>
                  <w:pPr>
                    <w:jc w:val="center"/>
                    <w:outlineLvl w:val="9"/>
                  </w:pPr>
                  <w:r>
                    <w:rPr>
                      <w:rFonts w:hint="eastAsia"/>
                    </w:rPr>
                    <w:t>0.117</w:t>
                  </w:r>
                </w:p>
              </w:tc>
              <w:tc>
                <w:tcPr>
                  <w:tcW w:w="410" w:type="pct"/>
                  <w:gridSpan w:val="2"/>
                  <w:vAlign w:val="center"/>
                </w:tcPr>
                <w:p>
                  <w:pPr>
                    <w:jc w:val="center"/>
                    <w:outlineLvl w:val="9"/>
                  </w:pPr>
                  <w:r>
                    <w:rPr>
                      <w:rFonts w:hint="eastAsia"/>
                    </w:rPr>
                    <w:t>0.20</w:t>
                  </w:r>
                </w:p>
              </w:tc>
              <w:tc>
                <w:tcPr>
                  <w:tcW w:w="392" w:type="pct"/>
                  <w:tcBorders>
                    <w:right w:val="nil"/>
                  </w:tcBorders>
                  <w:vAlign w:val="center"/>
                </w:tcPr>
                <w:p>
                  <w:pPr>
                    <w:jc w:val="center"/>
                    <w:outlineLvl w:val="9"/>
                  </w:pPr>
                  <w:r>
                    <w:t>是</w:t>
                  </w:r>
                </w:p>
              </w:tc>
            </w:tr>
          </w:tbl>
          <w:p>
            <w:pPr>
              <w:spacing w:line="360" w:lineRule="auto"/>
              <w:ind w:firstLine="440" w:firstLineChars="200"/>
              <w:outlineLvl w:val="9"/>
            </w:pPr>
            <w:r>
              <w:rPr>
                <w:rFonts w:hint="eastAsia"/>
              </w:rPr>
              <w:t>7.2.2有组织废气监测结果</w:t>
            </w:r>
          </w:p>
          <w:p>
            <w:pPr>
              <w:spacing w:line="0" w:lineRule="atLeast"/>
              <w:jc w:val="center"/>
              <w:outlineLvl w:val="9"/>
            </w:pPr>
            <w:r>
              <w:t xml:space="preserve">      表</w:t>
            </w:r>
            <w:r>
              <w:rPr>
                <w:rFonts w:hint="eastAsia"/>
              </w:rPr>
              <w:t>7</w:t>
            </w:r>
            <w:r>
              <w:t>-</w:t>
            </w:r>
            <w:r>
              <w:rPr>
                <w:rFonts w:hint="eastAsia"/>
              </w:rPr>
              <w:t>3</w:t>
            </w:r>
            <w:r>
              <w:t>有组织废气检测结果及评价表</w:t>
            </w:r>
          </w:p>
          <w:tbl>
            <w:tblPr>
              <w:tblStyle w:val="1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2"/>
              <w:gridCol w:w="640"/>
              <w:gridCol w:w="13"/>
              <w:gridCol w:w="1311"/>
              <w:gridCol w:w="13"/>
              <w:gridCol w:w="566"/>
              <w:gridCol w:w="14"/>
              <w:gridCol w:w="1341"/>
              <w:gridCol w:w="15"/>
              <w:gridCol w:w="1109"/>
              <w:gridCol w:w="30"/>
              <w:gridCol w:w="1094"/>
              <w:gridCol w:w="45"/>
              <w:gridCol w:w="1079"/>
              <w:gridCol w:w="47"/>
              <w:gridCol w:w="596"/>
              <w:gridCol w:w="48"/>
              <w:gridCol w:w="5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restart"/>
                  <w:tcBorders>
                    <w:left w:val="nil"/>
                  </w:tcBorders>
                  <w:vAlign w:val="center"/>
                </w:tcPr>
                <w:p>
                  <w:pPr>
                    <w:adjustRightInd/>
                    <w:snapToGrid/>
                    <w:spacing w:line="260" w:lineRule="exact"/>
                    <w:jc w:val="center"/>
                    <w:outlineLvl w:val="9"/>
                  </w:pPr>
                  <w:r>
                    <w:t>监测</w:t>
                  </w:r>
                </w:p>
                <w:p>
                  <w:pPr>
                    <w:adjustRightInd/>
                    <w:snapToGrid/>
                    <w:spacing w:line="260" w:lineRule="exact"/>
                    <w:jc w:val="center"/>
                    <w:outlineLvl w:val="9"/>
                  </w:pPr>
                  <w:r>
                    <w:t>位置</w:t>
                  </w:r>
                </w:p>
              </w:tc>
              <w:tc>
                <w:tcPr>
                  <w:tcW w:w="366" w:type="pct"/>
                  <w:gridSpan w:val="2"/>
                  <w:vMerge w:val="restart"/>
                  <w:vAlign w:val="center"/>
                </w:tcPr>
                <w:p>
                  <w:pPr>
                    <w:adjustRightInd/>
                    <w:snapToGrid/>
                    <w:spacing w:line="260" w:lineRule="exact"/>
                    <w:jc w:val="center"/>
                    <w:outlineLvl w:val="9"/>
                  </w:pPr>
                  <w:r>
                    <w:t>烟囱</w:t>
                  </w:r>
                </w:p>
                <w:p>
                  <w:pPr>
                    <w:adjustRightInd/>
                    <w:snapToGrid/>
                    <w:spacing w:line="260" w:lineRule="exact"/>
                    <w:jc w:val="center"/>
                    <w:outlineLvl w:val="9"/>
                  </w:pPr>
                  <w:r>
                    <w:t>高度</w:t>
                  </w:r>
                </w:p>
              </w:tc>
              <w:tc>
                <w:tcPr>
                  <w:tcW w:w="727" w:type="pct"/>
                  <w:gridSpan w:val="2"/>
                  <w:vMerge w:val="restart"/>
                  <w:vAlign w:val="center"/>
                </w:tcPr>
                <w:p>
                  <w:pPr>
                    <w:adjustRightInd/>
                    <w:snapToGrid/>
                    <w:spacing w:line="260" w:lineRule="exact"/>
                    <w:jc w:val="center"/>
                    <w:outlineLvl w:val="9"/>
                  </w:pPr>
                  <w:r>
                    <w:t>采样日期</w:t>
                  </w:r>
                </w:p>
              </w:tc>
              <w:tc>
                <w:tcPr>
                  <w:tcW w:w="1070" w:type="pct"/>
                  <w:gridSpan w:val="4"/>
                  <w:vMerge w:val="restart"/>
                  <w:vAlign w:val="center"/>
                </w:tcPr>
                <w:p>
                  <w:pPr>
                    <w:adjustRightInd/>
                    <w:snapToGrid/>
                    <w:spacing w:line="260" w:lineRule="exact"/>
                    <w:jc w:val="center"/>
                    <w:outlineLvl w:val="9"/>
                  </w:pPr>
                  <w:r>
                    <w:t>监测项目</w:t>
                  </w:r>
                </w:p>
              </w:tc>
              <w:tc>
                <w:tcPr>
                  <w:tcW w:w="1780" w:type="pct"/>
                  <w:gridSpan w:val="6"/>
                  <w:vAlign w:val="center"/>
                </w:tcPr>
                <w:p>
                  <w:pPr>
                    <w:adjustRightInd/>
                    <w:snapToGrid/>
                    <w:spacing w:line="260" w:lineRule="exact"/>
                    <w:jc w:val="center"/>
                    <w:outlineLvl w:val="9"/>
                  </w:pPr>
                  <w:r>
                    <w:t>检测结果</w:t>
                  </w:r>
                </w:p>
              </w:tc>
              <w:tc>
                <w:tcPr>
                  <w:tcW w:w="352" w:type="pct"/>
                  <w:gridSpan w:val="2"/>
                  <w:vMerge w:val="restart"/>
                  <w:vAlign w:val="center"/>
                </w:tcPr>
                <w:p>
                  <w:pPr>
                    <w:adjustRightInd/>
                    <w:snapToGrid/>
                    <w:spacing w:line="260" w:lineRule="exact"/>
                    <w:jc w:val="center"/>
                    <w:outlineLvl w:val="9"/>
                  </w:pPr>
                  <w:r>
                    <w:t>标准</w:t>
                  </w:r>
                </w:p>
                <w:p>
                  <w:pPr>
                    <w:adjustRightInd/>
                    <w:snapToGrid/>
                    <w:spacing w:line="260" w:lineRule="exact"/>
                    <w:jc w:val="center"/>
                    <w:outlineLvl w:val="9"/>
                  </w:pPr>
                  <w:r>
                    <w:t>限值</w:t>
                  </w:r>
                </w:p>
              </w:tc>
              <w:tc>
                <w:tcPr>
                  <w:tcW w:w="332" w:type="pct"/>
                  <w:gridSpan w:val="2"/>
                  <w:vMerge w:val="restart"/>
                  <w:tcBorders>
                    <w:right w:val="nil"/>
                  </w:tcBorders>
                  <w:vAlign w:val="center"/>
                </w:tcPr>
                <w:p>
                  <w:pPr>
                    <w:adjustRightInd/>
                    <w:snapToGrid/>
                    <w:spacing w:line="260" w:lineRule="exact"/>
                    <w:jc w:val="center"/>
                    <w:outlineLvl w:val="9"/>
                  </w:pPr>
                  <w:r>
                    <w:t>是否</w:t>
                  </w:r>
                </w:p>
                <w:p>
                  <w:pPr>
                    <w:adjustRightInd/>
                    <w:snapToGrid/>
                    <w:spacing w:line="260" w:lineRule="exact"/>
                    <w:jc w:val="center"/>
                    <w:outlineLvl w:val="9"/>
                  </w:pPr>
                  <w: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vAlign w:val="center"/>
                </w:tcPr>
                <w:p>
                  <w:pPr>
                    <w:adjustRightInd/>
                    <w:snapToGrid/>
                    <w:spacing w:line="260" w:lineRule="exact"/>
                    <w:jc w:val="center"/>
                    <w:outlineLvl w:val="9"/>
                  </w:pPr>
                </w:p>
              </w:tc>
              <w:tc>
                <w:tcPr>
                  <w:tcW w:w="727" w:type="pct"/>
                  <w:gridSpan w:val="2"/>
                  <w:vMerge w:val="continue"/>
                  <w:vAlign w:val="center"/>
                </w:tcPr>
                <w:p>
                  <w:pPr>
                    <w:adjustRightInd/>
                    <w:snapToGrid/>
                    <w:spacing w:line="260" w:lineRule="exact"/>
                    <w:jc w:val="center"/>
                    <w:outlineLvl w:val="9"/>
                  </w:pPr>
                </w:p>
              </w:tc>
              <w:tc>
                <w:tcPr>
                  <w:tcW w:w="1070" w:type="pct"/>
                  <w:gridSpan w:val="4"/>
                  <w:vMerge w:val="continue"/>
                  <w:vAlign w:val="center"/>
                </w:tcPr>
                <w:p>
                  <w:pPr>
                    <w:adjustRightInd/>
                    <w:snapToGrid/>
                    <w:spacing w:line="260" w:lineRule="exact"/>
                    <w:jc w:val="center"/>
                    <w:outlineLvl w:val="9"/>
                  </w:pPr>
                </w:p>
              </w:tc>
              <w:tc>
                <w:tcPr>
                  <w:tcW w:w="590" w:type="pct"/>
                  <w:gridSpan w:val="2"/>
                  <w:vAlign w:val="center"/>
                </w:tcPr>
                <w:p>
                  <w:pPr>
                    <w:adjustRightInd/>
                    <w:snapToGrid/>
                    <w:spacing w:line="260" w:lineRule="exact"/>
                    <w:jc w:val="center"/>
                    <w:outlineLvl w:val="9"/>
                  </w:pPr>
                  <w:r>
                    <w:t>一次</w:t>
                  </w:r>
                </w:p>
              </w:tc>
              <w:tc>
                <w:tcPr>
                  <w:tcW w:w="590" w:type="pct"/>
                  <w:gridSpan w:val="2"/>
                  <w:vAlign w:val="center"/>
                </w:tcPr>
                <w:p>
                  <w:pPr>
                    <w:adjustRightInd/>
                    <w:snapToGrid/>
                    <w:spacing w:line="260" w:lineRule="exact"/>
                    <w:jc w:val="center"/>
                    <w:outlineLvl w:val="9"/>
                  </w:pPr>
                  <w:r>
                    <w:t>二次</w:t>
                  </w:r>
                </w:p>
              </w:tc>
              <w:tc>
                <w:tcPr>
                  <w:tcW w:w="599" w:type="pct"/>
                  <w:gridSpan w:val="2"/>
                  <w:vAlign w:val="center"/>
                </w:tcPr>
                <w:p>
                  <w:pPr>
                    <w:adjustRightInd/>
                    <w:snapToGrid/>
                    <w:spacing w:line="260" w:lineRule="exact"/>
                    <w:jc w:val="center"/>
                    <w:outlineLvl w:val="9"/>
                  </w:pPr>
                  <w:r>
                    <w:t>三次</w:t>
                  </w:r>
                </w:p>
              </w:tc>
              <w:tc>
                <w:tcPr>
                  <w:tcW w:w="352" w:type="pct"/>
                  <w:gridSpan w:val="2"/>
                  <w:vMerge w:val="continue"/>
                  <w:vAlign w:val="center"/>
                </w:tcPr>
                <w:p>
                  <w:pPr>
                    <w:adjustRightInd/>
                    <w:snapToGrid/>
                    <w:spacing w:line="260" w:lineRule="exact"/>
                    <w:jc w:val="center"/>
                    <w:outlineLvl w:val="9"/>
                  </w:pPr>
                </w:p>
              </w:tc>
              <w:tc>
                <w:tcPr>
                  <w:tcW w:w="332" w:type="pct"/>
                  <w:gridSpan w:val="2"/>
                  <w:vMerge w:val="continue"/>
                  <w:tcBorders>
                    <w:right w:val="nil"/>
                  </w:tcBorders>
                  <w:vAlign w:val="center"/>
                </w:tcPr>
                <w:p>
                  <w:pPr>
                    <w:adjustRightInd/>
                    <w:snapToGrid/>
                    <w:spacing w:line="260" w:lineRule="exact"/>
                    <w:jc w:val="center"/>
                    <w:outlineLvl w:val="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restart"/>
                  <w:tcBorders>
                    <w:left w:val="nil"/>
                  </w:tcBorders>
                  <w:vAlign w:val="center"/>
                </w:tcPr>
                <w:p>
                  <w:pPr>
                    <w:adjustRightInd/>
                    <w:snapToGrid/>
                    <w:spacing w:line="260" w:lineRule="exact"/>
                    <w:jc w:val="center"/>
                    <w:outlineLvl w:val="9"/>
                  </w:pPr>
                  <w:r>
                    <w:rPr>
                      <w:rFonts w:hint="eastAsia"/>
                    </w:rPr>
                    <w:t>1#酸洗废气排气筒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8.04</w:t>
                  </w:r>
                </w:p>
              </w:tc>
              <w:tc>
                <w:tcPr>
                  <w:tcW w:w="1070" w:type="pct"/>
                  <w:gridSpan w:val="4"/>
                  <w:vAlign w:val="center"/>
                </w:tcPr>
                <w:p>
                  <w:pPr>
                    <w:adjustRightInd/>
                    <w:snapToGrid/>
                    <w:spacing w:line="260" w:lineRule="exact"/>
                    <w:jc w:val="center"/>
                    <w:outlineLvl w:val="9"/>
                  </w:pPr>
                  <w:r>
                    <w:t>标</w:t>
                  </w:r>
                  <w:r>
                    <w:rPr>
                      <w:rFonts w:hint="eastAsia"/>
                    </w:rPr>
                    <w:t>干</w:t>
                  </w:r>
                  <w:r>
                    <w:t>流量（m3/h）</w:t>
                  </w:r>
                </w:p>
              </w:tc>
              <w:tc>
                <w:tcPr>
                  <w:tcW w:w="590" w:type="pct"/>
                  <w:gridSpan w:val="2"/>
                  <w:vAlign w:val="center"/>
                </w:tcPr>
                <w:p>
                  <w:pPr>
                    <w:adjustRightInd/>
                    <w:snapToGrid/>
                    <w:spacing w:line="260" w:lineRule="exact"/>
                    <w:jc w:val="center"/>
                    <w:textAlignment w:val="center"/>
                    <w:outlineLvl w:val="9"/>
                  </w:pPr>
                  <w:r>
                    <w:rPr>
                      <w:rFonts w:hint="eastAsia"/>
                    </w:rPr>
                    <w:t>5665</w:t>
                  </w:r>
                </w:p>
              </w:tc>
              <w:tc>
                <w:tcPr>
                  <w:tcW w:w="590" w:type="pct"/>
                  <w:gridSpan w:val="2"/>
                  <w:vAlign w:val="center"/>
                </w:tcPr>
                <w:p>
                  <w:pPr>
                    <w:adjustRightInd/>
                    <w:snapToGrid/>
                    <w:spacing w:line="260" w:lineRule="exact"/>
                    <w:jc w:val="center"/>
                    <w:textAlignment w:val="center"/>
                    <w:outlineLvl w:val="9"/>
                  </w:pPr>
                  <w:r>
                    <w:rPr>
                      <w:rFonts w:hint="eastAsia"/>
                    </w:rPr>
                    <w:t>5929</w:t>
                  </w:r>
                </w:p>
              </w:tc>
              <w:tc>
                <w:tcPr>
                  <w:tcW w:w="599" w:type="pct"/>
                  <w:gridSpan w:val="2"/>
                  <w:vAlign w:val="center"/>
                </w:tcPr>
                <w:p>
                  <w:pPr>
                    <w:adjustRightInd/>
                    <w:snapToGrid/>
                    <w:spacing w:line="260" w:lineRule="exact"/>
                    <w:jc w:val="center"/>
                    <w:textAlignment w:val="center"/>
                    <w:outlineLvl w:val="9"/>
                  </w:pPr>
                  <w:r>
                    <w:rPr>
                      <w:rFonts w:hint="eastAsia"/>
                    </w:rPr>
                    <w:t>5392</w:t>
                  </w:r>
                </w:p>
              </w:tc>
              <w:tc>
                <w:tcPr>
                  <w:tcW w:w="352" w:type="pct"/>
                  <w:gridSpan w:val="2"/>
                  <w:vAlign w:val="center"/>
                </w:tcPr>
                <w:p>
                  <w:pPr>
                    <w:adjustRightInd/>
                    <w:snapToGrid/>
                    <w:spacing w:line="260" w:lineRule="exact"/>
                    <w:jc w:val="center"/>
                    <w:outlineLvl w:val="9"/>
                  </w:pPr>
                  <w:r>
                    <w:t>/</w:t>
                  </w:r>
                </w:p>
              </w:tc>
              <w:tc>
                <w:tcPr>
                  <w:tcW w:w="332" w:type="pct"/>
                  <w:gridSpan w:val="2"/>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t>*</w:t>
                  </w:r>
                  <w:r>
                    <w:rPr>
                      <w:rFonts w:hint="eastAsia"/>
                    </w:rPr>
                    <w:t>氯化氢</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0.52</w:t>
                  </w:r>
                </w:p>
              </w:tc>
              <w:tc>
                <w:tcPr>
                  <w:tcW w:w="590" w:type="pct"/>
                  <w:gridSpan w:val="2"/>
                  <w:vAlign w:val="center"/>
                </w:tcPr>
                <w:p>
                  <w:pPr>
                    <w:adjustRightInd/>
                    <w:snapToGrid/>
                    <w:spacing w:line="260" w:lineRule="exact"/>
                    <w:jc w:val="center"/>
                    <w:textAlignment w:val="center"/>
                    <w:outlineLvl w:val="9"/>
                  </w:pPr>
                  <w:r>
                    <w:rPr>
                      <w:rFonts w:hint="eastAsia"/>
                    </w:rPr>
                    <w:t>0.44</w:t>
                  </w:r>
                </w:p>
              </w:tc>
              <w:tc>
                <w:tcPr>
                  <w:tcW w:w="599" w:type="pct"/>
                  <w:gridSpan w:val="2"/>
                  <w:vAlign w:val="center"/>
                </w:tcPr>
                <w:p>
                  <w:pPr>
                    <w:adjustRightInd/>
                    <w:snapToGrid/>
                    <w:spacing w:line="260" w:lineRule="exact"/>
                    <w:jc w:val="center"/>
                    <w:textAlignment w:val="center"/>
                    <w:outlineLvl w:val="9"/>
                  </w:pPr>
                  <w:r>
                    <w:rPr>
                      <w:rFonts w:hint="eastAsia"/>
                    </w:rPr>
                    <w:t>0.49</w:t>
                  </w:r>
                </w:p>
              </w:tc>
              <w:tc>
                <w:tcPr>
                  <w:tcW w:w="352" w:type="pct"/>
                  <w:gridSpan w:val="2"/>
                  <w:vAlign w:val="center"/>
                </w:tcPr>
                <w:p>
                  <w:pPr>
                    <w:adjustRightInd/>
                    <w:snapToGrid/>
                    <w:spacing w:line="260" w:lineRule="exact"/>
                    <w:jc w:val="center"/>
                    <w:outlineLvl w:val="9"/>
                  </w:pPr>
                  <w:r>
                    <w:rPr>
                      <w:rFonts w:hint="eastAsia"/>
                    </w:rPr>
                    <w:t>100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2.9</w:t>
                  </w:r>
                  <w:r>
                    <w:t>×10-3</w:t>
                  </w:r>
                </w:p>
              </w:tc>
              <w:tc>
                <w:tcPr>
                  <w:tcW w:w="590" w:type="pct"/>
                  <w:gridSpan w:val="2"/>
                  <w:vAlign w:val="center"/>
                </w:tcPr>
                <w:p>
                  <w:pPr>
                    <w:adjustRightInd/>
                    <w:snapToGrid/>
                    <w:spacing w:line="260" w:lineRule="exact"/>
                    <w:jc w:val="center"/>
                    <w:textAlignment w:val="center"/>
                    <w:outlineLvl w:val="9"/>
                  </w:pPr>
                  <w:r>
                    <w:rPr>
                      <w:rFonts w:hint="eastAsia"/>
                    </w:rPr>
                    <w:t>2.6</w:t>
                  </w:r>
                  <w:r>
                    <w:t>×10-3</w:t>
                  </w:r>
                </w:p>
              </w:tc>
              <w:tc>
                <w:tcPr>
                  <w:tcW w:w="599" w:type="pct"/>
                  <w:gridSpan w:val="2"/>
                  <w:vAlign w:val="center"/>
                </w:tcPr>
                <w:p>
                  <w:pPr>
                    <w:adjustRightInd/>
                    <w:snapToGrid/>
                    <w:spacing w:line="260" w:lineRule="exact"/>
                    <w:jc w:val="center"/>
                    <w:textAlignment w:val="center"/>
                    <w:outlineLvl w:val="9"/>
                  </w:pPr>
                  <w:r>
                    <w:rPr>
                      <w:rFonts w:hint="eastAsia"/>
                    </w:rPr>
                    <w:t>2.6</w:t>
                  </w:r>
                  <w:r>
                    <w:t>×10-3</w:t>
                  </w:r>
                </w:p>
              </w:tc>
              <w:tc>
                <w:tcPr>
                  <w:tcW w:w="352" w:type="pct"/>
                  <w:gridSpan w:val="2"/>
                  <w:vAlign w:val="center"/>
                </w:tcPr>
                <w:p>
                  <w:pPr>
                    <w:adjustRightInd/>
                    <w:snapToGrid/>
                    <w:spacing w:line="260" w:lineRule="exact"/>
                    <w:jc w:val="center"/>
                    <w:outlineLvl w:val="9"/>
                  </w:pPr>
                  <w:r>
                    <w:rPr>
                      <w:rFonts w:hint="eastAsia"/>
                    </w:rPr>
                    <w:t>0.26</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restart"/>
                  <w:tcBorders>
                    <w:left w:val="nil"/>
                  </w:tcBorders>
                  <w:vAlign w:val="center"/>
                </w:tcPr>
                <w:p>
                  <w:pPr>
                    <w:adjustRightInd/>
                    <w:snapToGrid/>
                    <w:spacing w:line="260" w:lineRule="exact"/>
                    <w:jc w:val="center"/>
                    <w:outlineLvl w:val="9"/>
                  </w:pPr>
                  <w:r>
                    <w:rPr>
                      <w:rFonts w:hint="eastAsia"/>
                    </w:rPr>
                    <w:t>2#锌锅烟气排气筒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8.04</w:t>
                  </w:r>
                </w:p>
              </w:tc>
              <w:tc>
                <w:tcPr>
                  <w:tcW w:w="1070" w:type="pct"/>
                  <w:gridSpan w:val="4"/>
                  <w:vAlign w:val="center"/>
                </w:tcPr>
                <w:p>
                  <w:pPr>
                    <w:adjustRightInd/>
                    <w:snapToGrid/>
                    <w:spacing w:line="260" w:lineRule="exact"/>
                    <w:jc w:val="center"/>
                    <w:outlineLvl w:val="9"/>
                  </w:pPr>
                  <w:r>
                    <w:t>标</w:t>
                  </w:r>
                  <w:r>
                    <w:rPr>
                      <w:rFonts w:hint="eastAsia"/>
                    </w:rPr>
                    <w:t>干</w:t>
                  </w:r>
                  <w:r>
                    <w:t>流量（m3/h）</w:t>
                  </w:r>
                </w:p>
              </w:tc>
              <w:tc>
                <w:tcPr>
                  <w:tcW w:w="590" w:type="pct"/>
                  <w:gridSpan w:val="2"/>
                  <w:vAlign w:val="center"/>
                </w:tcPr>
                <w:p>
                  <w:pPr>
                    <w:adjustRightInd/>
                    <w:snapToGrid/>
                    <w:spacing w:line="260" w:lineRule="exact"/>
                    <w:jc w:val="center"/>
                    <w:textAlignment w:val="center"/>
                    <w:outlineLvl w:val="9"/>
                  </w:pPr>
                  <w:r>
                    <w:rPr>
                      <w:rFonts w:hint="eastAsia"/>
                    </w:rPr>
                    <w:t>14274</w:t>
                  </w:r>
                </w:p>
              </w:tc>
              <w:tc>
                <w:tcPr>
                  <w:tcW w:w="590" w:type="pct"/>
                  <w:gridSpan w:val="2"/>
                  <w:vAlign w:val="center"/>
                </w:tcPr>
                <w:p>
                  <w:pPr>
                    <w:adjustRightInd/>
                    <w:snapToGrid/>
                    <w:spacing w:line="260" w:lineRule="exact"/>
                    <w:jc w:val="center"/>
                    <w:textAlignment w:val="center"/>
                    <w:outlineLvl w:val="9"/>
                  </w:pPr>
                  <w:r>
                    <w:rPr>
                      <w:rFonts w:hint="eastAsia"/>
                    </w:rPr>
                    <w:t>14142</w:t>
                  </w:r>
                </w:p>
              </w:tc>
              <w:tc>
                <w:tcPr>
                  <w:tcW w:w="599" w:type="pct"/>
                  <w:gridSpan w:val="2"/>
                  <w:vAlign w:val="center"/>
                </w:tcPr>
                <w:p>
                  <w:pPr>
                    <w:adjustRightInd/>
                    <w:snapToGrid/>
                    <w:spacing w:line="260" w:lineRule="exact"/>
                    <w:jc w:val="center"/>
                    <w:textAlignment w:val="center"/>
                    <w:outlineLvl w:val="9"/>
                  </w:pPr>
                  <w:r>
                    <w:rPr>
                      <w:rFonts w:hint="eastAsia"/>
                    </w:rPr>
                    <w:t>14577</w:t>
                  </w:r>
                </w:p>
              </w:tc>
              <w:tc>
                <w:tcPr>
                  <w:tcW w:w="352" w:type="pct"/>
                  <w:gridSpan w:val="2"/>
                  <w:vAlign w:val="center"/>
                </w:tcPr>
                <w:p>
                  <w:pPr>
                    <w:adjustRightInd/>
                    <w:snapToGrid/>
                    <w:spacing w:line="260" w:lineRule="exact"/>
                    <w:jc w:val="center"/>
                    <w:outlineLvl w:val="9"/>
                  </w:pPr>
                  <w:r>
                    <w:t>/</w:t>
                  </w:r>
                </w:p>
              </w:tc>
              <w:tc>
                <w:tcPr>
                  <w:tcW w:w="332" w:type="pct"/>
                  <w:gridSpan w:val="2"/>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2.6</w:t>
                  </w:r>
                </w:p>
              </w:tc>
              <w:tc>
                <w:tcPr>
                  <w:tcW w:w="590" w:type="pct"/>
                  <w:gridSpan w:val="2"/>
                  <w:vAlign w:val="center"/>
                </w:tcPr>
                <w:p>
                  <w:pPr>
                    <w:adjustRightInd/>
                    <w:snapToGrid/>
                    <w:spacing w:line="260" w:lineRule="exact"/>
                    <w:jc w:val="center"/>
                    <w:textAlignment w:val="center"/>
                    <w:outlineLvl w:val="9"/>
                  </w:pPr>
                  <w:r>
                    <w:rPr>
                      <w:rFonts w:hint="eastAsia"/>
                    </w:rPr>
                    <w:t>2.8</w:t>
                  </w:r>
                </w:p>
              </w:tc>
              <w:tc>
                <w:tcPr>
                  <w:tcW w:w="599" w:type="pct"/>
                  <w:gridSpan w:val="2"/>
                  <w:vAlign w:val="center"/>
                </w:tcPr>
                <w:p>
                  <w:pPr>
                    <w:adjustRightInd/>
                    <w:snapToGrid/>
                    <w:spacing w:line="260" w:lineRule="exact"/>
                    <w:jc w:val="center"/>
                    <w:textAlignment w:val="center"/>
                    <w:outlineLvl w:val="9"/>
                  </w:pPr>
                  <w:r>
                    <w:rPr>
                      <w:rFonts w:hint="eastAsia"/>
                    </w:rPr>
                    <w:t>2.9</w:t>
                  </w:r>
                </w:p>
              </w:tc>
              <w:tc>
                <w:tcPr>
                  <w:tcW w:w="352" w:type="pct"/>
                  <w:gridSpan w:val="2"/>
                  <w:vAlign w:val="center"/>
                </w:tcPr>
                <w:p>
                  <w:pPr>
                    <w:adjustRightInd/>
                    <w:snapToGrid/>
                    <w:spacing w:line="260" w:lineRule="exact"/>
                    <w:jc w:val="center"/>
                    <w:outlineLvl w:val="9"/>
                  </w:pPr>
                  <w:r>
                    <w:rPr>
                      <w:rFonts w:hint="eastAsia"/>
                    </w:rPr>
                    <w:t>120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3.7</w:t>
                  </w:r>
                  <w:r>
                    <w:t>×10-</w:t>
                  </w:r>
                  <w:r>
                    <w:rPr>
                      <w:rFonts w:hint="eastAsia"/>
                    </w:rPr>
                    <w:t>2</w:t>
                  </w:r>
                </w:p>
              </w:tc>
              <w:tc>
                <w:tcPr>
                  <w:tcW w:w="590" w:type="pct"/>
                  <w:gridSpan w:val="2"/>
                  <w:vAlign w:val="center"/>
                </w:tcPr>
                <w:p>
                  <w:pPr>
                    <w:adjustRightInd/>
                    <w:snapToGrid/>
                    <w:spacing w:line="260" w:lineRule="exact"/>
                    <w:jc w:val="center"/>
                    <w:textAlignment w:val="center"/>
                    <w:outlineLvl w:val="9"/>
                  </w:pPr>
                  <w:r>
                    <w:rPr>
                      <w:rFonts w:hint="eastAsia"/>
                    </w:rPr>
                    <w:t>4.0</w:t>
                  </w:r>
                  <w:r>
                    <w:t>×10-</w:t>
                  </w:r>
                  <w:r>
                    <w:rPr>
                      <w:rFonts w:hint="eastAsia"/>
                    </w:rPr>
                    <w:t>2</w:t>
                  </w:r>
                </w:p>
              </w:tc>
              <w:tc>
                <w:tcPr>
                  <w:tcW w:w="599" w:type="pct"/>
                  <w:gridSpan w:val="2"/>
                  <w:vAlign w:val="center"/>
                </w:tcPr>
                <w:p>
                  <w:pPr>
                    <w:adjustRightInd/>
                    <w:snapToGrid/>
                    <w:spacing w:line="260" w:lineRule="exact"/>
                    <w:jc w:val="center"/>
                    <w:textAlignment w:val="center"/>
                    <w:outlineLvl w:val="9"/>
                  </w:pPr>
                  <w:r>
                    <w:rPr>
                      <w:rFonts w:hint="eastAsia"/>
                    </w:rPr>
                    <w:t>4.2</w:t>
                  </w:r>
                  <w:r>
                    <w:t>×10-</w:t>
                  </w:r>
                  <w:r>
                    <w:rPr>
                      <w:rFonts w:hint="eastAsia"/>
                    </w:rPr>
                    <w:t>2</w:t>
                  </w:r>
                </w:p>
              </w:tc>
              <w:tc>
                <w:tcPr>
                  <w:tcW w:w="352" w:type="pct"/>
                  <w:gridSpan w:val="2"/>
                  <w:vAlign w:val="center"/>
                </w:tcPr>
                <w:p>
                  <w:pPr>
                    <w:adjustRightInd/>
                    <w:snapToGrid/>
                    <w:spacing w:line="260" w:lineRule="exact"/>
                    <w:jc w:val="center"/>
                    <w:outlineLvl w:val="9"/>
                  </w:pPr>
                  <w:r>
                    <w:rPr>
                      <w:rFonts w:hint="eastAsia"/>
                    </w:rPr>
                    <w:t>3.5</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restart"/>
                  <w:tcBorders>
                    <w:left w:val="nil"/>
                  </w:tcBorders>
                  <w:vAlign w:val="center"/>
                </w:tcPr>
                <w:p>
                  <w:pPr>
                    <w:widowControl w:val="0"/>
                    <w:adjustRightInd/>
                    <w:snapToGrid/>
                    <w:spacing w:before="100" w:beforeAutospacing="1" w:after="100" w:afterAutospacing="1" w:line="260" w:lineRule="exact"/>
                    <w:jc w:val="center"/>
                    <w:outlineLvl w:val="9"/>
                  </w:pPr>
                  <w:r>
                    <w:rPr>
                      <w:rFonts w:hint="eastAsia"/>
                    </w:rPr>
                    <w:t>3#抛丸机排气筒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8.04</w:t>
                  </w:r>
                </w:p>
              </w:tc>
              <w:tc>
                <w:tcPr>
                  <w:tcW w:w="1070" w:type="pct"/>
                  <w:gridSpan w:val="4"/>
                  <w:vAlign w:val="center"/>
                </w:tcPr>
                <w:p>
                  <w:pPr>
                    <w:adjustRightInd/>
                    <w:snapToGrid/>
                    <w:spacing w:line="260" w:lineRule="exact"/>
                    <w:jc w:val="center"/>
                    <w:outlineLvl w:val="9"/>
                  </w:pPr>
                  <w:r>
                    <w:t>标</w:t>
                  </w:r>
                  <w:r>
                    <w:rPr>
                      <w:rFonts w:hint="eastAsia"/>
                    </w:rPr>
                    <w:t>干</w:t>
                  </w:r>
                  <w:r>
                    <w:t>流量（m3/h）</w:t>
                  </w:r>
                </w:p>
              </w:tc>
              <w:tc>
                <w:tcPr>
                  <w:tcW w:w="590" w:type="pct"/>
                  <w:gridSpan w:val="2"/>
                  <w:vAlign w:val="center"/>
                </w:tcPr>
                <w:p>
                  <w:pPr>
                    <w:adjustRightInd/>
                    <w:snapToGrid/>
                    <w:spacing w:line="260" w:lineRule="exact"/>
                    <w:jc w:val="center"/>
                    <w:textAlignment w:val="center"/>
                    <w:outlineLvl w:val="9"/>
                  </w:pPr>
                  <w:r>
                    <w:rPr>
                      <w:rFonts w:hint="eastAsia"/>
                    </w:rPr>
                    <w:t>2550</w:t>
                  </w:r>
                </w:p>
              </w:tc>
              <w:tc>
                <w:tcPr>
                  <w:tcW w:w="590" w:type="pct"/>
                  <w:gridSpan w:val="2"/>
                  <w:vAlign w:val="center"/>
                </w:tcPr>
                <w:p>
                  <w:pPr>
                    <w:adjustRightInd/>
                    <w:snapToGrid/>
                    <w:spacing w:line="260" w:lineRule="exact"/>
                    <w:jc w:val="center"/>
                    <w:textAlignment w:val="center"/>
                    <w:outlineLvl w:val="9"/>
                  </w:pPr>
                  <w:r>
                    <w:rPr>
                      <w:rFonts w:hint="eastAsia"/>
                    </w:rPr>
                    <w:t>2494</w:t>
                  </w:r>
                </w:p>
              </w:tc>
              <w:tc>
                <w:tcPr>
                  <w:tcW w:w="599" w:type="pct"/>
                  <w:gridSpan w:val="2"/>
                  <w:vAlign w:val="center"/>
                </w:tcPr>
                <w:p>
                  <w:pPr>
                    <w:adjustRightInd/>
                    <w:snapToGrid/>
                    <w:spacing w:line="260" w:lineRule="exact"/>
                    <w:jc w:val="center"/>
                    <w:textAlignment w:val="center"/>
                    <w:outlineLvl w:val="9"/>
                  </w:pPr>
                  <w:r>
                    <w:rPr>
                      <w:rFonts w:hint="eastAsia"/>
                    </w:rPr>
                    <w:t>2582</w:t>
                  </w:r>
                </w:p>
              </w:tc>
              <w:tc>
                <w:tcPr>
                  <w:tcW w:w="352" w:type="pct"/>
                  <w:gridSpan w:val="2"/>
                  <w:vAlign w:val="center"/>
                </w:tcPr>
                <w:p>
                  <w:pPr>
                    <w:adjustRightInd/>
                    <w:snapToGrid/>
                    <w:spacing w:line="260" w:lineRule="exact"/>
                    <w:jc w:val="center"/>
                    <w:outlineLvl w:val="9"/>
                  </w:pPr>
                  <w:r>
                    <w:t>/</w:t>
                  </w:r>
                </w:p>
              </w:tc>
              <w:tc>
                <w:tcPr>
                  <w:tcW w:w="332" w:type="pct"/>
                  <w:gridSpan w:val="2"/>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3.9</w:t>
                  </w:r>
                </w:p>
              </w:tc>
              <w:tc>
                <w:tcPr>
                  <w:tcW w:w="590" w:type="pct"/>
                  <w:gridSpan w:val="2"/>
                  <w:vAlign w:val="center"/>
                </w:tcPr>
                <w:p>
                  <w:pPr>
                    <w:adjustRightInd/>
                    <w:snapToGrid/>
                    <w:spacing w:line="260" w:lineRule="exact"/>
                    <w:jc w:val="center"/>
                    <w:textAlignment w:val="center"/>
                    <w:outlineLvl w:val="9"/>
                  </w:pPr>
                  <w:r>
                    <w:rPr>
                      <w:rFonts w:hint="eastAsia"/>
                    </w:rPr>
                    <w:t>3.4</w:t>
                  </w:r>
                </w:p>
              </w:tc>
              <w:tc>
                <w:tcPr>
                  <w:tcW w:w="599" w:type="pct"/>
                  <w:gridSpan w:val="2"/>
                  <w:vAlign w:val="center"/>
                </w:tcPr>
                <w:p>
                  <w:pPr>
                    <w:adjustRightInd/>
                    <w:snapToGrid/>
                    <w:spacing w:line="260" w:lineRule="exact"/>
                    <w:jc w:val="center"/>
                    <w:textAlignment w:val="center"/>
                    <w:outlineLvl w:val="9"/>
                  </w:pPr>
                  <w:r>
                    <w:rPr>
                      <w:rFonts w:hint="eastAsia"/>
                    </w:rPr>
                    <w:t>3.7</w:t>
                  </w:r>
                </w:p>
              </w:tc>
              <w:tc>
                <w:tcPr>
                  <w:tcW w:w="352" w:type="pct"/>
                  <w:gridSpan w:val="2"/>
                  <w:vAlign w:val="center"/>
                </w:tcPr>
                <w:p>
                  <w:pPr>
                    <w:adjustRightInd/>
                    <w:snapToGrid/>
                    <w:spacing w:line="260" w:lineRule="exact"/>
                    <w:jc w:val="center"/>
                    <w:outlineLvl w:val="9"/>
                  </w:pPr>
                  <w:r>
                    <w:rPr>
                      <w:rFonts w:hint="eastAsia"/>
                    </w:rPr>
                    <w:t>120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9.9</w:t>
                  </w:r>
                  <w:r>
                    <w:t>×10-</w:t>
                  </w:r>
                  <w:r>
                    <w:rPr>
                      <w:rFonts w:hint="eastAsia"/>
                    </w:rPr>
                    <w:t>3</w:t>
                  </w:r>
                </w:p>
              </w:tc>
              <w:tc>
                <w:tcPr>
                  <w:tcW w:w="590" w:type="pct"/>
                  <w:gridSpan w:val="2"/>
                  <w:vAlign w:val="center"/>
                </w:tcPr>
                <w:p>
                  <w:pPr>
                    <w:adjustRightInd/>
                    <w:snapToGrid/>
                    <w:spacing w:line="260" w:lineRule="exact"/>
                    <w:jc w:val="center"/>
                    <w:textAlignment w:val="center"/>
                    <w:outlineLvl w:val="9"/>
                  </w:pPr>
                  <w:r>
                    <w:rPr>
                      <w:rFonts w:hint="eastAsia"/>
                    </w:rPr>
                    <w:t>8.5</w:t>
                  </w:r>
                  <w:r>
                    <w:t>×10-</w:t>
                  </w:r>
                  <w:r>
                    <w:rPr>
                      <w:rFonts w:hint="eastAsia"/>
                    </w:rPr>
                    <w:t>3</w:t>
                  </w:r>
                </w:p>
              </w:tc>
              <w:tc>
                <w:tcPr>
                  <w:tcW w:w="599" w:type="pct"/>
                  <w:gridSpan w:val="2"/>
                  <w:vAlign w:val="center"/>
                </w:tcPr>
                <w:p>
                  <w:pPr>
                    <w:adjustRightInd/>
                    <w:snapToGrid/>
                    <w:spacing w:line="260" w:lineRule="exact"/>
                    <w:jc w:val="center"/>
                    <w:textAlignment w:val="center"/>
                    <w:outlineLvl w:val="9"/>
                  </w:pPr>
                  <w:r>
                    <w:rPr>
                      <w:rFonts w:hint="eastAsia"/>
                    </w:rPr>
                    <w:t>9.6</w:t>
                  </w:r>
                  <w:r>
                    <w:t>×10-</w:t>
                  </w:r>
                  <w:r>
                    <w:rPr>
                      <w:rFonts w:hint="eastAsia"/>
                    </w:rPr>
                    <w:t>3</w:t>
                  </w:r>
                </w:p>
              </w:tc>
              <w:tc>
                <w:tcPr>
                  <w:tcW w:w="352" w:type="pct"/>
                  <w:gridSpan w:val="2"/>
                  <w:vAlign w:val="center"/>
                </w:tcPr>
                <w:p>
                  <w:pPr>
                    <w:adjustRightInd/>
                    <w:snapToGrid/>
                    <w:spacing w:line="260" w:lineRule="exact"/>
                    <w:jc w:val="center"/>
                    <w:outlineLvl w:val="9"/>
                  </w:pPr>
                  <w:r>
                    <w:rPr>
                      <w:rFonts w:hint="eastAsia"/>
                    </w:rPr>
                    <w:t>3.5</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restart"/>
                  <w:tcBorders>
                    <w:left w:val="nil"/>
                  </w:tcBorders>
                  <w:vAlign w:val="center"/>
                </w:tcPr>
                <w:p>
                  <w:pPr>
                    <w:adjustRightInd/>
                    <w:snapToGrid/>
                    <w:spacing w:line="260" w:lineRule="exact"/>
                    <w:jc w:val="center"/>
                    <w:outlineLvl w:val="9"/>
                  </w:pPr>
                  <w:r>
                    <w:rPr>
                      <w:rFonts w:hint="eastAsia"/>
                    </w:rPr>
                    <w:t>4#热处理烟气排气筒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8.04</w:t>
                  </w:r>
                </w:p>
              </w:tc>
              <w:tc>
                <w:tcPr>
                  <w:tcW w:w="1070" w:type="pct"/>
                  <w:gridSpan w:val="4"/>
                  <w:vAlign w:val="center"/>
                </w:tcPr>
                <w:p>
                  <w:pPr>
                    <w:adjustRightInd/>
                    <w:snapToGrid/>
                    <w:spacing w:line="260" w:lineRule="exact"/>
                    <w:jc w:val="center"/>
                    <w:outlineLvl w:val="9"/>
                  </w:pPr>
                  <w:r>
                    <w:t>标</w:t>
                  </w:r>
                  <w:r>
                    <w:rPr>
                      <w:rFonts w:hint="eastAsia"/>
                    </w:rPr>
                    <w:t>干</w:t>
                  </w:r>
                  <w:r>
                    <w:t>流量（m3/h）</w:t>
                  </w:r>
                </w:p>
              </w:tc>
              <w:tc>
                <w:tcPr>
                  <w:tcW w:w="590" w:type="pct"/>
                  <w:gridSpan w:val="2"/>
                  <w:vAlign w:val="center"/>
                </w:tcPr>
                <w:p>
                  <w:pPr>
                    <w:adjustRightInd/>
                    <w:snapToGrid/>
                    <w:spacing w:line="260" w:lineRule="exact"/>
                    <w:jc w:val="center"/>
                    <w:textAlignment w:val="center"/>
                    <w:outlineLvl w:val="9"/>
                  </w:pPr>
                  <w:r>
                    <w:rPr>
                      <w:rFonts w:hint="eastAsia"/>
                    </w:rPr>
                    <w:t>2281</w:t>
                  </w:r>
                </w:p>
              </w:tc>
              <w:tc>
                <w:tcPr>
                  <w:tcW w:w="590" w:type="pct"/>
                  <w:gridSpan w:val="2"/>
                  <w:vAlign w:val="center"/>
                </w:tcPr>
                <w:p>
                  <w:pPr>
                    <w:adjustRightInd/>
                    <w:snapToGrid/>
                    <w:spacing w:line="260" w:lineRule="exact"/>
                    <w:jc w:val="center"/>
                    <w:textAlignment w:val="center"/>
                    <w:outlineLvl w:val="9"/>
                  </w:pPr>
                  <w:r>
                    <w:rPr>
                      <w:rFonts w:hint="eastAsia"/>
                    </w:rPr>
                    <w:t>2203</w:t>
                  </w:r>
                </w:p>
              </w:tc>
              <w:tc>
                <w:tcPr>
                  <w:tcW w:w="599" w:type="pct"/>
                  <w:gridSpan w:val="2"/>
                  <w:vAlign w:val="center"/>
                </w:tcPr>
                <w:p>
                  <w:pPr>
                    <w:adjustRightInd/>
                    <w:snapToGrid/>
                    <w:spacing w:line="260" w:lineRule="exact"/>
                    <w:jc w:val="center"/>
                    <w:textAlignment w:val="center"/>
                    <w:outlineLvl w:val="9"/>
                  </w:pPr>
                  <w:r>
                    <w:rPr>
                      <w:rFonts w:hint="eastAsia"/>
                    </w:rPr>
                    <w:t>2386</w:t>
                  </w:r>
                </w:p>
              </w:tc>
              <w:tc>
                <w:tcPr>
                  <w:tcW w:w="352" w:type="pct"/>
                  <w:gridSpan w:val="2"/>
                  <w:vAlign w:val="center"/>
                </w:tcPr>
                <w:p>
                  <w:pPr>
                    <w:adjustRightInd/>
                    <w:snapToGrid/>
                    <w:spacing w:line="260" w:lineRule="exact"/>
                    <w:jc w:val="center"/>
                    <w:outlineLvl w:val="9"/>
                  </w:pPr>
                  <w:r>
                    <w:t>/</w:t>
                  </w:r>
                </w:p>
              </w:tc>
              <w:tc>
                <w:tcPr>
                  <w:tcW w:w="332" w:type="pct"/>
                  <w:gridSpan w:val="2"/>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vAlign w:val="center"/>
                </w:tcPr>
                <w:p>
                  <w:pPr>
                    <w:adjustRightInd/>
                    <w:snapToGrid/>
                    <w:spacing w:line="260" w:lineRule="exact"/>
                    <w:jc w:val="center"/>
                    <w:outlineLvl w:val="9"/>
                  </w:pPr>
                </w:p>
              </w:tc>
              <w:tc>
                <w:tcPr>
                  <w:tcW w:w="727" w:type="pct"/>
                  <w:gridSpan w:val="2"/>
                  <w:vMerge w:val="continue"/>
                  <w:vAlign w:val="center"/>
                </w:tcPr>
                <w:p>
                  <w:pPr>
                    <w:adjustRightInd/>
                    <w:snapToGrid/>
                    <w:spacing w:line="260" w:lineRule="exact"/>
                    <w:jc w:val="center"/>
                    <w:outlineLvl w:val="9"/>
                  </w:pPr>
                </w:p>
              </w:tc>
              <w:tc>
                <w:tcPr>
                  <w:tcW w:w="1070" w:type="pct"/>
                  <w:gridSpan w:val="4"/>
                  <w:vAlign w:val="center"/>
                </w:tcPr>
                <w:p>
                  <w:pPr>
                    <w:adjustRightInd/>
                    <w:snapToGrid/>
                    <w:spacing w:line="260" w:lineRule="exact"/>
                    <w:jc w:val="center"/>
                    <w:outlineLvl w:val="9"/>
                  </w:pPr>
                  <w:r>
                    <w:rPr>
                      <w:rFonts w:hint="eastAsia"/>
                    </w:rPr>
                    <w:t>实测氧含量（%）</w:t>
                  </w:r>
                </w:p>
              </w:tc>
              <w:tc>
                <w:tcPr>
                  <w:tcW w:w="590" w:type="pct"/>
                  <w:gridSpan w:val="2"/>
                  <w:vAlign w:val="center"/>
                </w:tcPr>
                <w:p>
                  <w:pPr>
                    <w:adjustRightInd/>
                    <w:snapToGrid/>
                    <w:spacing w:line="260" w:lineRule="exact"/>
                    <w:jc w:val="center"/>
                    <w:textAlignment w:val="center"/>
                    <w:outlineLvl w:val="9"/>
                  </w:pPr>
                  <w:r>
                    <w:rPr>
                      <w:rFonts w:hint="eastAsia"/>
                    </w:rPr>
                    <w:t>16.0</w:t>
                  </w:r>
                </w:p>
              </w:tc>
              <w:tc>
                <w:tcPr>
                  <w:tcW w:w="590" w:type="pct"/>
                  <w:gridSpan w:val="2"/>
                  <w:vAlign w:val="center"/>
                </w:tcPr>
                <w:p>
                  <w:pPr>
                    <w:adjustRightInd/>
                    <w:snapToGrid/>
                    <w:spacing w:line="260" w:lineRule="exact"/>
                    <w:jc w:val="center"/>
                    <w:textAlignment w:val="center"/>
                    <w:outlineLvl w:val="9"/>
                  </w:pPr>
                  <w:r>
                    <w:rPr>
                      <w:rFonts w:hint="eastAsia"/>
                    </w:rPr>
                    <w:t>16.0</w:t>
                  </w:r>
                </w:p>
              </w:tc>
              <w:tc>
                <w:tcPr>
                  <w:tcW w:w="599" w:type="pct"/>
                  <w:gridSpan w:val="2"/>
                  <w:vAlign w:val="center"/>
                </w:tcPr>
                <w:p>
                  <w:pPr>
                    <w:adjustRightInd/>
                    <w:snapToGrid/>
                    <w:spacing w:line="260" w:lineRule="exact"/>
                    <w:jc w:val="center"/>
                    <w:textAlignment w:val="center"/>
                    <w:outlineLvl w:val="9"/>
                  </w:pPr>
                  <w:r>
                    <w:rPr>
                      <w:rFonts w:hint="eastAsia"/>
                    </w:rPr>
                    <w:t>16.2</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1.5</w:t>
                  </w:r>
                </w:p>
              </w:tc>
              <w:tc>
                <w:tcPr>
                  <w:tcW w:w="590" w:type="pct"/>
                  <w:gridSpan w:val="2"/>
                  <w:vAlign w:val="center"/>
                </w:tcPr>
                <w:p>
                  <w:pPr>
                    <w:adjustRightInd/>
                    <w:snapToGrid/>
                    <w:spacing w:line="260" w:lineRule="exact"/>
                    <w:jc w:val="center"/>
                    <w:textAlignment w:val="center"/>
                    <w:outlineLvl w:val="9"/>
                  </w:pPr>
                  <w:r>
                    <w:rPr>
                      <w:rFonts w:hint="eastAsia"/>
                    </w:rPr>
                    <w:t>1.8</w:t>
                  </w:r>
                </w:p>
              </w:tc>
              <w:tc>
                <w:tcPr>
                  <w:tcW w:w="599" w:type="pct"/>
                  <w:gridSpan w:val="2"/>
                  <w:vAlign w:val="center"/>
                </w:tcPr>
                <w:p>
                  <w:pPr>
                    <w:adjustRightInd/>
                    <w:snapToGrid/>
                    <w:spacing w:line="260" w:lineRule="exact"/>
                    <w:jc w:val="center"/>
                    <w:textAlignment w:val="center"/>
                    <w:outlineLvl w:val="9"/>
                  </w:pPr>
                  <w:r>
                    <w:rPr>
                      <w:rFonts w:hint="eastAsia"/>
                    </w:rPr>
                    <w:t>1.3</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0" w:type="pct"/>
                  <w:gridSpan w:val="2"/>
                  <w:vAlign w:val="center"/>
                </w:tcPr>
                <w:p>
                  <w:pPr>
                    <w:adjustRightInd/>
                    <w:snapToGrid/>
                    <w:spacing w:line="260" w:lineRule="exact"/>
                    <w:jc w:val="center"/>
                    <w:textAlignment w:val="center"/>
                    <w:outlineLvl w:val="9"/>
                  </w:pPr>
                  <w:r>
                    <w:rPr>
                      <w:rFonts w:hint="eastAsia"/>
                    </w:rPr>
                    <w:t>5.2</w:t>
                  </w:r>
                </w:p>
              </w:tc>
              <w:tc>
                <w:tcPr>
                  <w:tcW w:w="590" w:type="pct"/>
                  <w:gridSpan w:val="2"/>
                  <w:vAlign w:val="center"/>
                </w:tcPr>
                <w:p>
                  <w:pPr>
                    <w:adjustRightInd/>
                    <w:snapToGrid/>
                    <w:spacing w:line="260" w:lineRule="exact"/>
                    <w:jc w:val="center"/>
                    <w:textAlignment w:val="center"/>
                    <w:outlineLvl w:val="9"/>
                  </w:pPr>
                  <w:r>
                    <w:rPr>
                      <w:rFonts w:hint="eastAsia"/>
                    </w:rPr>
                    <w:t>6.3</w:t>
                  </w:r>
                </w:p>
              </w:tc>
              <w:tc>
                <w:tcPr>
                  <w:tcW w:w="599" w:type="pct"/>
                  <w:gridSpan w:val="2"/>
                  <w:vAlign w:val="center"/>
                </w:tcPr>
                <w:p>
                  <w:pPr>
                    <w:adjustRightInd/>
                    <w:snapToGrid/>
                    <w:spacing w:line="260" w:lineRule="exact"/>
                    <w:jc w:val="center"/>
                    <w:textAlignment w:val="center"/>
                    <w:outlineLvl w:val="9"/>
                  </w:pPr>
                  <w:r>
                    <w:rPr>
                      <w:rFonts w:hint="eastAsia"/>
                    </w:rPr>
                    <w:t>4.7</w:t>
                  </w:r>
                </w:p>
              </w:tc>
              <w:tc>
                <w:tcPr>
                  <w:tcW w:w="352" w:type="pct"/>
                  <w:gridSpan w:val="2"/>
                  <w:vAlign w:val="center"/>
                </w:tcPr>
                <w:p>
                  <w:pPr>
                    <w:adjustRightInd/>
                    <w:snapToGrid/>
                    <w:spacing w:line="260" w:lineRule="exact"/>
                    <w:jc w:val="center"/>
                    <w:outlineLvl w:val="9"/>
                  </w:pPr>
                  <w:r>
                    <w:rPr>
                      <w:rFonts w:hint="eastAsia"/>
                    </w:rPr>
                    <w:t>30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3.4</w:t>
                  </w:r>
                  <w:r>
                    <w:t>×10-</w:t>
                  </w:r>
                  <w:r>
                    <w:rPr>
                      <w:rFonts w:hint="eastAsia"/>
                    </w:rPr>
                    <w:t>3</w:t>
                  </w:r>
                </w:p>
              </w:tc>
              <w:tc>
                <w:tcPr>
                  <w:tcW w:w="590" w:type="pct"/>
                  <w:gridSpan w:val="2"/>
                  <w:vAlign w:val="center"/>
                </w:tcPr>
                <w:p>
                  <w:pPr>
                    <w:adjustRightInd/>
                    <w:snapToGrid/>
                    <w:spacing w:line="260" w:lineRule="exact"/>
                    <w:jc w:val="center"/>
                    <w:textAlignment w:val="center"/>
                    <w:outlineLvl w:val="9"/>
                  </w:pPr>
                  <w:r>
                    <w:rPr>
                      <w:rFonts w:hint="eastAsia"/>
                    </w:rPr>
                    <w:t>4.0</w:t>
                  </w:r>
                  <w:r>
                    <w:t>×10-</w:t>
                  </w:r>
                  <w:r>
                    <w:rPr>
                      <w:rFonts w:hint="eastAsia"/>
                    </w:rPr>
                    <w:t>3</w:t>
                  </w:r>
                </w:p>
              </w:tc>
              <w:tc>
                <w:tcPr>
                  <w:tcW w:w="599" w:type="pct"/>
                  <w:gridSpan w:val="2"/>
                  <w:vAlign w:val="center"/>
                </w:tcPr>
                <w:p>
                  <w:pPr>
                    <w:adjustRightInd/>
                    <w:snapToGrid/>
                    <w:spacing w:line="260" w:lineRule="exact"/>
                    <w:jc w:val="center"/>
                    <w:textAlignment w:val="center"/>
                    <w:outlineLvl w:val="9"/>
                  </w:pPr>
                  <w:r>
                    <w:rPr>
                      <w:rFonts w:hint="eastAsia"/>
                    </w:rPr>
                    <w:t>3.1</w:t>
                  </w:r>
                  <w:r>
                    <w:t>×10-</w:t>
                  </w:r>
                  <w:r>
                    <w:rPr>
                      <w:rFonts w:hint="eastAsia"/>
                    </w:rPr>
                    <w:t>3</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非甲烷总烃</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1.74</w:t>
                  </w:r>
                </w:p>
              </w:tc>
              <w:tc>
                <w:tcPr>
                  <w:tcW w:w="590" w:type="pct"/>
                  <w:gridSpan w:val="2"/>
                  <w:vAlign w:val="center"/>
                </w:tcPr>
                <w:p>
                  <w:pPr>
                    <w:adjustRightInd/>
                    <w:snapToGrid/>
                    <w:spacing w:line="260" w:lineRule="exact"/>
                    <w:jc w:val="center"/>
                    <w:textAlignment w:val="center"/>
                    <w:outlineLvl w:val="9"/>
                  </w:pPr>
                  <w:r>
                    <w:rPr>
                      <w:rFonts w:hint="eastAsia"/>
                    </w:rPr>
                    <w:t>1.77</w:t>
                  </w:r>
                </w:p>
              </w:tc>
              <w:tc>
                <w:tcPr>
                  <w:tcW w:w="599" w:type="pct"/>
                  <w:gridSpan w:val="2"/>
                  <w:vAlign w:val="center"/>
                </w:tcPr>
                <w:p>
                  <w:pPr>
                    <w:adjustRightInd/>
                    <w:snapToGrid/>
                    <w:spacing w:line="260" w:lineRule="exact"/>
                    <w:jc w:val="center"/>
                    <w:textAlignment w:val="center"/>
                    <w:outlineLvl w:val="9"/>
                  </w:pPr>
                  <w:r>
                    <w:rPr>
                      <w:rFonts w:hint="eastAsia"/>
                    </w:rPr>
                    <w:t>1.78</w:t>
                  </w:r>
                </w:p>
              </w:tc>
              <w:tc>
                <w:tcPr>
                  <w:tcW w:w="352" w:type="pct"/>
                  <w:gridSpan w:val="2"/>
                  <w:vAlign w:val="center"/>
                </w:tcPr>
                <w:p>
                  <w:pPr>
                    <w:adjustRightInd/>
                    <w:snapToGrid/>
                    <w:spacing w:line="260" w:lineRule="exact"/>
                    <w:jc w:val="center"/>
                    <w:outlineLvl w:val="9"/>
                  </w:pPr>
                  <w:r>
                    <w:rPr>
                      <w:rFonts w:hint="eastAsia"/>
                    </w:rPr>
                    <w:t>60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4.0</w:t>
                  </w:r>
                  <w:r>
                    <w:t>×10-3</w:t>
                  </w:r>
                </w:p>
              </w:tc>
              <w:tc>
                <w:tcPr>
                  <w:tcW w:w="590" w:type="pct"/>
                  <w:gridSpan w:val="2"/>
                  <w:vAlign w:val="center"/>
                </w:tcPr>
                <w:p>
                  <w:pPr>
                    <w:adjustRightInd/>
                    <w:snapToGrid/>
                    <w:spacing w:line="260" w:lineRule="exact"/>
                    <w:jc w:val="center"/>
                    <w:textAlignment w:val="center"/>
                    <w:outlineLvl w:val="9"/>
                  </w:pPr>
                  <w:r>
                    <w:rPr>
                      <w:rFonts w:hint="eastAsia"/>
                    </w:rPr>
                    <w:t>3.9</w:t>
                  </w:r>
                  <w:r>
                    <w:t>×10-3</w:t>
                  </w:r>
                </w:p>
              </w:tc>
              <w:tc>
                <w:tcPr>
                  <w:tcW w:w="599" w:type="pct"/>
                  <w:gridSpan w:val="2"/>
                  <w:vAlign w:val="center"/>
                </w:tcPr>
                <w:p>
                  <w:pPr>
                    <w:adjustRightInd/>
                    <w:snapToGrid/>
                    <w:spacing w:line="260" w:lineRule="exact"/>
                    <w:jc w:val="center"/>
                    <w:textAlignment w:val="center"/>
                    <w:outlineLvl w:val="9"/>
                  </w:pPr>
                  <w:r>
                    <w:rPr>
                      <w:rFonts w:hint="eastAsia"/>
                    </w:rPr>
                    <w:t>4.2</w:t>
                  </w:r>
                  <w:r>
                    <w:t>×10-3</w:t>
                  </w:r>
                </w:p>
              </w:tc>
              <w:tc>
                <w:tcPr>
                  <w:tcW w:w="352" w:type="pct"/>
                  <w:gridSpan w:val="2"/>
                  <w:vAlign w:val="center"/>
                </w:tcPr>
                <w:p>
                  <w:pPr>
                    <w:adjustRightInd/>
                    <w:snapToGrid/>
                    <w:spacing w:line="260" w:lineRule="exact"/>
                    <w:jc w:val="center"/>
                    <w:outlineLvl w:val="9"/>
                  </w:pPr>
                  <w:r>
                    <w:rPr>
                      <w:rFonts w:hint="eastAsia"/>
                    </w:rPr>
                    <w:t>3.4</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二氧化硫</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＜3</w:t>
                  </w:r>
                </w:p>
              </w:tc>
              <w:tc>
                <w:tcPr>
                  <w:tcW w:w="590" w:type="pct"/>
                  <w:gridSpan w:val="2"/>
                  <w:vAlign w:val="center"/>
                </w:tcPr>
                <w:p>
                  <w:pPr>
                    <w:adjustRightInd/>
                    <w:snapToGrid/>
                    <w:spacing w:line="260" w:lineRule="exact"/>
                    <w:jc w:val="center"/>
                    <w:textAlignment w:val="center"/>
                    <w:outlineLvl w:val="9"/>
                  </w:pPr>
                  <w:r>
                    <w:rPr>
                      <w:rFonts w:hint="eastAsia"/>
                    </w:rPr>
                    <w:t>＜3</w:t>
                  </w:r>
                </w:p>
              </w:tc>
              <w:tc>
                <w:tcPr>
                  <w:tcW w:w="599" w:type="pct"/>
                  <w:gridSpan w:val="2"/>
                  <w:vAlign w:val="center"/>
                </w:tcPr>
                <w:p>
                  <w:pPr>
                    <w:adjustRightInd/>
                    <w:snapToGrid/>
                    <w:spacing w:line="260" w:lineRule="exact"/>
                    <w:jc w:val="center"/>
                    <w:textAlignment w:val="center"/>
                    <w:outlineLvl w:val="9"/>
                  </w:pPr>
                  <w:r>
                    <w:rPr>
                      <w:rFonts w:hint="eastAsia"/>
                    </w:rPr>
                    <w:t>＜3</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0" w:type="pct"/>
                  <w:gridSpan w:val="2"/>
                  <w:vAlign w:val="center"/>
                </w:tcPr>
                <w:p>
                  <w:pPr>
                    <w:adjustRightInd/>
                    <w:snapToGrid/>
                    <w:spacing w:line="260" w:lineRule="exact"/>
                    <w:jc w:val="center"/>
                    <w:textAlignment w:val="center"/>
                    <w:outlineLvl w:val="9"/>
                  </w:pPr>
                  <w:r>
                    <w:rPr>
                      <w:rFonts w:hint="eastAsia"/>
                    </w:rPr>
                    <w:t>＜10</w:t>
                  </w:r>
                </w:p>
              </w:tc>
              <w:tc>
                <w:tcPr>
                  <w:tcW w:w="590" w:type="pct"/>
                  <w:gridSpan w:val="2"/>
                  <w:vAlign w:val="center"/>
                </w:tcPr>
                <w:p>
                  <w:pPr>
                    <w:adjustRightInd/>
                    <w:snapToGrid/>
                    <w:spacing w:line="260" w:lineRule="exact"/>
                    <w:jc w:val="center"/>
                    <w:textAlignment w:val="center"/>
                    <w:outlineLvl w:val="9"/>
                  </w:pPr>
                  <w:r>
                    <w:rPr>
                      <w:rFonts w:hint="eastAsia"/>
                    </w:rPr>
                    <w:t>＜10</w:t>
                  </w:r>
                </w:p>
              </w:tc>
              <w:tc>
                <w:tcPr>
                  <w:tcW w:w="599" w:type="pct"/>
                  <w:gridSpan w:val="2"/>
                  <w:vAlign w:val="center"/>
                </w:tcPr>
                <w:p>
                  <w:pPr>
                    <w:adjustRightInd/>
                    <w:snapToGrid/>
                    <w:spacing w:line="260" w:lineRule="exact"/>
                    <w:jc w:val="center"/>
                    <w:textAlignment w:val="center"/>
                    <w:outlineLvl w:val="9"/>
                  </w:pPr>
                  <w:r>
                    <w:rPr>
                      <w:rFonts w:hint="eastAsia"/>
                    </w:rPr>
                    <w:t>＜11</w:t>
                  </w:r>
                </w:p>
              </w:tc>
              <w:tc>
                <w:tcPr>
                  <w:tcW w:w="352" w:type="pct"/>
                  <w:gridSpan w:val="2"/>
                  <w:vAlign w:val="center"/>
                </w:tcPr>
                <w:p>
                  <w:pPr>
                    <w:adjustRightInd/>
                    <w:snapToGrid/>
                    <w:spacing w:line="260" w:lineRule="exact"/>
                    <w:jc w:val="center"/>
                    <w:outlineLvl w:val="9"/>
                  </w:pPr>
                  <w:r>
                    <w:rPr>
                      <w:rFonts w:hint="eastAsia"/>
                    </w:rPr>
                    <w:t>200</w:t>
                  </w:r>
                </w:p>
              </w:tc>
              <w:tc>
                <w:tcPr>
                  <w:tcW w:w="332" w:type="pct"/>
                  <w:gridSpan w:val="2"/>
                  <w:tcBorders>
                    <w:right w:val="nil"/>
                  </w:tcBorders>
                  <w:vAlign w:val="center"/>
                </w:tcPr>
                <w:p>
                  <w:pPr>
                    <w:adjustRightInd/>
                    <w:snapToGrid/>
                    <w:spacing w:line="260" w:lineRule="exact"/>
                    <w:jc w:val="center"/>
                    <w:outlineLvl w:val="9"/>
                  </w:pPr>
                  <w:r>
                    <w:rPr>
                      <w:rFonts w:hint="eastAsi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＜6.8</w:t>
                  </w:r>
                  <w:r>
                    <w:t>×10-3</w:t>
                  </w:r>
                </w:p>
              </w:tc>
              <w:tc>
                <w:tcPr>
                  <w:tcW w:w="590" w:type="pct"/>
                  <w:gridSpan w:val="2"/>
                  <w:vAlign w:val="center"/>
                </w:tcPr>
                <w:p>
                  <w:pPr>
                    <w:adjustRightInd/>
                    <w:snapToGrid/>
                    <w:spacing w:line="260" w:lineRule="exact"/>
                    <w:jc w:val="center"/>
                    <w:textAlignment w:val="center"/>
                    <w:outlineLvl w:val="9"/>
                  </w:pPr>
                  <w:r>
                    <w:rPr>
                      <w:rFonts w:hint="eastAsia"/>
                    </w:rPr>
                    <w:t>＜6.6</w:t>
                  </w:r>
                  <w:r>
                    <w:t>×10-3</w:t>
                  </w:r>
                </w:p>
              </w:tc>
              <w:tc>
                <w:tcPr>
                  <w:tcW w:w="599" w:type="pct"/>
                  <w:gridSpan w:val="2"/>
                  <w:vAlign w:val="center"/>
                </w:tcPr>
                <w:p>
                  <w:pPr>
                    <w:adjustRightInd/>
                    <w:snapToGrid/>
                    <w:spacing w:line="260" w:lineRule="exact"/>
                    <w:jc w:val="center"/>
                    <w:textAlignment w:val="center"/>
                    <w:outlineLvl w:val="9"/>
                  </w:pPr>
                  <w:r>
                    <w:rPr>
                      <w:rFonts w:hint="eastAsia"/>
                    </w:rPr>
                    <w:t>＜7.2</w:t>
                  </w:r>
                  <w:r>
                    <w:t>×10-3</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restart"/>
                  <w:vAlign w:val="center"/>
                </w:tcPr>
                <w:p>
                  <w:pPr>
                    <w:adjustRightInd/>
                    <w:snapToGrid/>
                    <w:spacing w:line="260" w:lineRule="exact"/>
                    <w:jc w:val="center"/>
                    <w:outlineLvl w:val="9"/>
                  </w:pPr>
                  <w:r>
                    <w:rPr>
                      <w:rFonts w:hint="eastAsia"/>
                    </w:rPr>
                    <w:t>氮氧化物</w:t>
                  </w:r>
                </w:p>
              </w:tc>
              <w:tc>
                <w:tcPr>
                  <w:tcW w:w="749" w:type="pct"/>
                  <w:gridSpan w:val="2"/>
                  <w:vAlign w:val="center"/>
                </w:tcPr>
                <w:p>
                  <w:pPr>
                    <w:adjustRightInd/>
                    <w:snapToGrid/>
                    <w:spacing w:line="260" w:lineRule="exact"/>
                    <w:jc w:val="center"/>
                    <w:outlineLvl w:val="9"/>
                  </w:pPr>
                  <w:r>
                    <w:t>实测浓度（mg/m3）</w:t>
                  </w:r>
                </w:p>
              </w:tc>
              <w:tc>
                <w:tcPr>
                  <w:tcW w:w="590" w:type="pct"/>
                  <w:gridSpan w:val="2"/>
                  <w:vAlign w:val="center"/>
                </w:tcPr>
                <w:p>
                  <w:pPr>
                    <w:adjustRightInd/>
                    <w:snapToGrid/>
                    <w:spacing w:line="260" w:lineRule="exact"/>
                    <w:jc w:val="center"/>
                    <w:textAlignment w:val="center"/>
                    <w:outlineLvl w:val="9"/>
                  </w:pPr>
                  <w:r>
                    <w:rPr>
                      <w:rFonts w:hint="eastAsia"/>
                    </w:rPr>
                    <w:t>11</w:t>
                  </w:r>
                </w:p>
              </w:tc>
              <w:tc>
                <w:tcPr>
                  <w:tcW w:w="590" w:type="pct"/>
                  <w:gridSpan w:val="2"/>
                  <w:vAlign w:val="center"/>
                </w:tcPr>
                <w:p>
                  <w:pPr>
                    <w:adjustRightInd/>
                    <w:snapToGrid/>
                    <w:spacing w:line="260" w:lineRule="exact"/>
                    <w:jc w:val="center"/>
                    <w:textAlignment w:val="center"/>
                    <w:outlineLvl w:val="9"/>
                  </w:pPr>
                  <w:r>
                    <w:rPr>
                      <w:rFonts w:hint="eastAsia"/>
                    </w:rPr>
                    <w:t>9</w:t>
                  </w:r>
                </w:p>
              </w:tc>
              <w:tc>
                <w:tcPr>
                  <w:tcW w:w="599" w:type="pct"/>
                  <w:gridSpan w:val="2"/>
                  <w:vAlign w:val="center"/>
                </w:tcPr>
                <w:p>
                  <w:pPr>
                    <w:adjustRightInd/>
                    <w:snapToGrid/>
                    <w:spacing w:line="260" w:lineRule="exact"/>
                    <w:jc w:val="center"/>
                    <w:textAlignment w:val="center"/>
                    <w:outlineLvl w:val="9"/>
                  </w:pPr>
                  <w:r>
                    <w:rPr>
                      <w:rFonts w:hint="eastAsia"/>
                    </w:rPr>
                    <w:t>9</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0" w:type="pct"/>
                  <w:gridSpan w:val="2"/>
                  <w:vAlign w:val="center"/>
                </w:tcPr>
                <w:p>
                  <w:pPr>
                    <w:adjustRightInd/>
                    <w:snapToGrid/>
                    <w:spacing w:line="260" w:lineRule="exact"/>
                    <w:jc w:val="center"/>
                    <w:textAlignment w:val="center"/>
                    <w:outlineLvl w:val="9"/>
                  </w:pPr>
                  <w:r>
                    <w:rPr>
                      <w:rFonts w:hint="eastAsia"/>
                    </w:rPr>
                    <w:t>38</w:t>
                  </w:r>
                </w:p>
              </w:tc>
              <w:tc>
                <w:tcPr>
                  <w:tcW w:w="590" w:type="pct"/>
                  <w:gridSpan w:val="2"/>
                  <w:vAlign w:val="center"/>
                </w:tcPr>
                <w:p>
                  <w:pPr>
                    <w:adjustRightInd/>
                    <w:snapToGrid/>
                    <w:spacing w:line="260" w:lineRule="exact"/>
                    <w:jc w:val="center"/>
                    <w:textAlignment w:val="center"/>
                    <w:outlineLvl w:val="9"/>
                  </w:pPr>
                  <w:r>
                    <w:rPr>
                      <w:rFonts w:hint="eastAsia"/>
                    </w:rPr>
                    <w:t>32</w:t>
                  </w:r>
                </w:p>
              </w:tc>
              <w:tc>
                <w:tcPr>
                  <w:tcW w:w="599" w:type="pct"/>
                  <w:gridSpan w:val="2"/>
                  <w:vAlign w:val="center"/>
                </w:tcPr>
                <w:p>
                  <w:pPr>
                    <w:adjustRightInd/>
                    <w:snapToGrid/>
                    <w:spacing w:line="260" w:lineRule="exact"/>
                    <w:jc w:val="center"/>
                    <w:textAlignment w:val="center"/>
                    <w:outlineLvl w:val="9"/>
                  </w:pPr>
                  <w:r>
                    <w:rPr>
                      <w:rFonts w:hint="eastAsia"/>
                    </w:rPr>
                    <w:t>33</w:t>
                  </w:r>
                </w:p>
              </w:tc>
              <w:tc>
                <w:tcPr>
                  <w:tcW w:w="352" w:type="pct"/>
                  <w:gridSpan w:val="2"/>
                  <w:vAlign w:val="center"/>
                </w:tcPr>
                <w:p>
                  <w:pPr>
                    <w:adjustRightInd/>
                    <w:snapToGrid/>
                    <w:spacing w:line="260" w:lineRule="exact"/>
                    <w:jc w:val="center"/>
                    <w:outlineLvl w:val="9"/>
                  </w:pPr>
                  <w:r>
                    <w:rPr>
                      <w:rFonts w:hint="eastAsia"/>
                    </w:rPr>
                    <w:t>300</w:t>
                  </w:r>
                </w:p>
              </w:tc>
              <w:tc>
                <w:tcPr>
                  <w:tcW w:w="332" w:type="pct"/>
                  <w:gridSpan w:val="2"/>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67" w:type="pct"/>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1"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0" w:type="pct"/>
                  <w:gridSpan w:val="2"/>
                  <w:vAlign w:val="center"/>
                </w:tcPr>
                <w:p>
                  <w:pPr>
                    <w:adjustRightInd/>
                    <w:snapToGrid/>
                    <w:spacing w:line="260" w:lineRule="exact"/>
                    <w:jc w:val="center"/>
                    <w:textAlignment w:val="center"/>
                    <w:outlineLvl w:val="9"/>
                  </w:pPr>
                  <w:r>
                    <w:rPr>
                      <w:rFonts w:hint="eastAsia"/>
                    </w:rPr>
                    <w:t>2.5</w:t>
                  </w:r>
                  <w:r>
                    <w:t>×10-</w:t>
                  </w:r>
                  <w:r>
                    <w:rPr>
                      <w:rFonts w:hint="eastAsia"/>
                    </w:rPr>
                    <w:t>2</w:t>
                  </w:r>
                </w:p>
              </w:tc>
              <w:tc>
                <w:tcPr>
                  <w:tcW w:w="590" w:type="pct"/>
                  <w:gridSpan w:val="2"/>
                  <w:vAlign w:val="center"/>
                </w:tcPr>
                <w:p>
                  <w:pPr>
                    <w:adjustRightInd/>
                    <w:snapToGrid/>
                    <w:spacing w:line="260" w:lineRule="exact"/>
                    <w:jc w:val="center"/>
                    <w:textAlignment w:val="center"/>
                    <w:outlineLvl w:val="9"/>
                  </w:pPr>
                  <w:r>
                    <w:rPr>
                      <w:rFonts w:hint="eastAsia"/>
                    </w:rPr>
                    <w:t>2.0</w:t>
                  </w:r>
                  <w:r>
                    <w:t>×10-</w:t>
                  </w:r>
                  <w:r>
                    <w:rPr>
                      <w:rFonts w:hint="eastAsia"/>
                    </w:rPr>
                    <w:t>2</w:t>
                  </w:r>
                </w:p>
              </w:tc>
              <w:tc>
                <w:tcPr>
                  <w:tcW w:w="599" w:type="pct"/>
                  <w:gridSpan w:val="2"/>
                  <w:vAlign w:val="center"/>
                </w:tcPr>
                <w:p>
                  <w:pPr>
                    <w:adjustRightInd/>
                    <w:snapToGrid/>
                    <w:spacing w:line="260" w:lineRule="exact"/>
                    <w:jc w:val="center"/>
                    <w:textAlignment w:val="center"/>
                    <w:outlineLvl w:val="9"/>
                  </w:pPr>
                  <w:r>
                    <w:rPr>
                      <w:rFonts w:hint="eastAsia"/>
                    </w:rPr>
                    <w:t>2.1</w:t>
                  </w:r>
                  <w:r>
                    <w:t>×10-</w:t>
                  </w:r>
                  <w:r>
                    <w:rPr>
                      <w:rFonts w:hint="eastAsia"/>
                    </w:rPr>
                    <w:t>2</w:t>
                  </w:r>
                </w:p>
              </w:tc>
              <w:tc>
                <w:tcPr>
                  <w:tcW w:w="352" w:type="pct"/>
                  <w:gridSpan w:val="2"/>
                  <w:vAlign w:val="center"/>
                </w:tcPr>
                <w:p>
                  <w:pPr>
                    <w:adjustRightInd/>
                    <w:snapToGrid/>
                    <w:spacing w:line="260" w:lineRule="exact"/>
                    <w:jc w:val="center"/>
                    <w:outlineLvl w:val="9"/>
                  </w:pPr>
                  <w:r>
                    <w:rPr>
                      <w:rFonts w:hint="eastAsia"/>
                    </w:rPr>
                    <w:t>/</w:t>
                  </w:r>
                </w:p>
              </w:tc>
              <w:tc>
                <w:tcPr>
                  <w:tcW w:w="332" w:type="pct"/>
                  <w:gridSpan w:val="2"/>
                  <w:tcBorders>
                    <w:right w:val="nil"/>
                  </w:tcBorders>
                  <w:vAlign w:val="center"/>
                </w:tcPr>
                <w:p>
                  <w:pPr>
                    <w:adjustRightInd/>
                    <w:snapToGrid/>
                    <w:spacing w:line="260" w:lineRule="exact"/>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restart"/>
                  <w:tcBorders>
                    <w:left w:val="nil"/>
                  </w:tcBorders>
                  <w:vAlign w:val="center"/>
                </w:tcPr>
                <w:p>
                  <w:pPr>
                    <w:adjustRightInd/>
                    <w:snapToGrid/>
                    <w:spacing w:line="260" w:lineRule="exact"/>
                    <w:jc w:val="center"/>
                    <w:outlineLvl w:val="9"/>
                  </w:pPr>
                  <w:r>
                    <w:rPr>
                      <w:rFonts w:hint="eastAsia"/>
                    </w:rPr>
                    <w:t>1#酸洗废气排气筒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8.05</w:t>
                  </w:r>
                </w:p>
              </w:tc>
              <w:tc>
                <w:tcPr>
                  <w:tcW w:w="1071" w:type="pct"/>
                  <w:gridSpan w:val="4"/>
                  <w:vAlign w:val="center"/>
                </w:tcPr>
                <w:p>
                  <w:pPr>
                    <w:adjustRightInd/>
                    <w:snapToGrid/>
                    <w:spacing w:line="260" w:lineRule="exact"/>
                    <w:jc w:val="center"/>
                    <w:outlineLvl w:val="9"/>
                  </w:pPr>
                  <w:r>
                    <w:t>标</w:t>
                  </w:r>
                  <w:r>
                    <w:rPr>
                      <w:rFonts w:hint="eastAsia"/>
                    </w:rPr>
                    <w:t>干</w:t>
                  </w:r>
                  <w:r>
                    <w:t>流量（m3/h）</w:t>
                  </w:r>
                </w:p>
              </w:tc>
              <w:tc>
                <w:tcPr>
                  <w:tcW w:w="598" w:type="pct"/>
                  <w:gridSpan w:val="2"/>
                  <w:vAlign w:val="center"/>
                </w:tcPr>
                <w:p>
                  <w:pPr>
                    <w:adjustRightInd/>
                    <w:snapToGrid/>
                    <w:spacing w:line="260" w:lineRule="exact"/>
                    <w:jc w:val="center"/>
                    <w:textAlignment w:val="center"/>
                    <w:outlineLvl w:val="9"/>
                  </w:pPr>
                  <w:r>
                    <w:rPr>
                      <w:rFonts w:hint="eastAsia"/>
                    </w:rPr>
                    <w:t>5964</w:t>
                  </w:r>
                </w:p>
              </w:tc>
              <w:tc>
                <w:tcPr>
                  <w:tcW w:w="598" w:type="pct"/>
                  <w:gridSpan w:val="2"/>
                  <w:vAlign w:val="center"/>
                </w:tcPr>
                <w:p>
                  <w:pPr>
                    <w:adjustRightInd/>
                    <w:snapToGrid/>
                    <w:spacing w:line="260" w:lineRule="exact"/>
                    <w:jc w:val="center"/>
                    <w:textAlignment w:val="center"/>
                    <w:outlineLvl w:val="9"/>
                  </w:pPr>
                  <w:r>
                    <w:rPr>
                      <w:rFonts w:hint="eastAsia"/>
                    </w:rPr>
                    <w:t>5699</w:t>
                  </w:r>
                </w:p>
              </w:tc>
              <w:tc>
                <w:tcPr>
                  <w:tcW w:w="601" w:type="pct"/>
                  <w:gridSpan w:val="2"/>
                  <w:vAlign w:val="center"/>
                </w:tcPr>
                <w:p>
                  <w:pPr>
                    <w:adjustRightInd/>
                    <w:snapToGrid/>
                    <w:spacing w:line="260" w:lineRule="exact"/>
                    <w:jc w:val="center"/>
                    <w:textAlignment w:val="center"/>
                    <w:outlineLvl w:val="9"/>
                  </w:pPr>
                  <w:r>
                    <w:rPr>
                      <w:rFonts w:hint="eastAsia"/>
                    </w:rPr>
                    <w:t>5694</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t>*</w:t>
                  </w:r>
                  <w:r>
                    <w:rPr>
                      <w:rFonts w:hint="eastAsia"/>
                    </w:rPr>
                    <w:t>氯化氢</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0.42</w:t>
                  </w:r>
                </w:p>
              </w:tc>
              <w:tc>
                <w:tcPr>
                  <w:tcW w:w="598" w:type="pct"/>
                  <w:gridSpan w:val="2"/>
                  <w:vAlign w:val="center"/>
                </w:tcPr>
                <w:p>
                  <w:pPr>
                    <w:adjustRightInd/>
                    <w:snapToGrid/>
                    <w:spacing w:line="260" w:lineRule="exact"/>
                    <w:jc w:val="center"/>
                    <w:textAlignment w:val="center"/>
                    <w:outlineLvl w:val="9"/>
                  </w:pPr>
                  <w:r>
                    <w:rPr>
                      <w:rFonts w:hint="eastAsia"/>
                    </w:rPr>
                    <w:t>0.45</w:t>
                  </w:r>
                </w:p>
              </w:tc>
              <w:tc>
                <w:tcPr>
                  <w:tcW w:w="601" w:type="pct"/>
                  <w:gridSpan w:val="2"/>
                  <w:vAlign w:val="center"/>
                </w:tcPr>
                <w:p>
                  <w:pPr>
                    <w:adjustRightInd/>
                    <w:snapToGrid/>
                    <w:spacing w:line="260" w:lineRule="exact"/>
                    <w:jc w:val="center"/>
                    <w:textAlignment w:val="center"/>
                    <w:outlineLvl w:val="9"/>
                  </w:pPr>
                  <w:r>
                    <w:rPr>
                      <w:rFonts w:hint="eastAsia"/>
                    </w:rPr>
                    <w:t>0.36</w:t>
                  </w:r>
                </w:p>
              </w:tc>
              <w:tc>
                <w:tcPr>
                  <w:tcW w:w="352" w:type="pct"/>
                  <w:gridSpan w:val="2"/>
                  <w:vAlign w:val="center"/>
                </w:tcPr>
                <w:p>
                  <w:pPr>
                    <w:adjustRightInd/>
                    <w:snapToGrid/>
                    <w:spacing w:line="260" w:lineRule="exact"/>
                    <w:jc w:val="center"/>
                    <w:outlineLvl w:val="9"/>
                  </w:pPr>
                  <w:r>
                    <w:rPr>
                      <w:rFonts w:hint="eastAsia"/>
                    </w:rPr>
                    <w:t>100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2.5</w:t>
                  </w:r>
                  <w:r>
                    <w:t>×10-3</w:t>
                  </w:r>
                </w:p>
              </w:tc>
              <w:tc>
                <w:tcPr>
                  <w:tcW w:w="598" w:type="pct"/>
                  <w:gridSpan w:val="2"/>
                  <w:vAlign w:val="center"/>
                </w:tcPr>
                <w:p>
                  <w:pPr>
                    <w:adjustRightInd/>
                    <w:snapToGrid/>
                    <w:spacing w:line="260" w:lineRule="exact"/>
                    <w:jc w:val="center"/>
                    <w:textAlignment w:val="center"/>
                    <w:outlineLvl w:val="9"/>
                  </w:pPr>
                  <w:r>
                    <w:rPr>
                      <w:rFonts w:hint="eastAsia"/>
                    </w:rPr>
                    <w:t>2.6</w:t>
                  </w:r>
                  <w:r>
                    <w:t>×10-3</w:t>
                  </w:r>
                </w:p>
              </w:tc>
              <w:tc>
                <w:tcPr>
                  <w:tcW w:w="601" w:type="pct"/>
                  <w:gridSpan w:val="2"/>
                  <w:vAlign w:val="center"/>
                </w:tcPr>
                <w:p>
                  <w:pPr>
                    <w:adjustRightInd/>
                    <w:snapToGrid/>
                    <w:spacing w:line="260" w:lineRule="exact"/>
                    <w:jc w:val="center"/>
                    <w:textAlignment w:val="center"/>
                    <w:outlineLvl w:val="9"/>
                  </w:pPr>
                  <w:r>
                    <w:rPr>
                      <w:rFonts w:hint="eastAsia"/>
                    </w:rPr>
                    <w:t>2.0</w:t>
                  </w:r>
                  <w:r>
                    <w:t>×10-3</w:t>
                  </w:r>
                </w:p>
              </w:tc>
              <w:tc>
                <w:tcPr>
                  <w:tcW w:w="352" w:type="pct"/>
                  <w:gridSpan w:val="2"/>
                  <w:vAlign w:val="center"/>
                </w:tcPr>
                <w:p>
                  <w:pPr>
                    <w:adjustRightInd/>
                    <w:snapToGrid/>
                    <w:spacing w:line="260" w:lineRule="exact"/>
                    <w:jc w:val="center"/>
                    <w:outlineLvl w:val="9"/>
                  </w:pPr>
                  <w:r>
                    <w:rPr>
                      <w:rFonts w:hint="eastAsia"/>
                    </w:rPr>
                    <w:t>0.26</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restart"/>
                  <w:tcBorders>
                    <w:left w:val="nil"/>
                  </w:tcBorders>
                  <w:vAlign w:val="center"/>
                </w:tcPr>
                <w:p>
                  <w:pPr>
                    <w:adjustRightInd/>
                    <w:snapToGrid/>
                    <w:spacing w:line="260" w:lineRule="exact"/>
                    <w:jc w:val="center"/>
                    <w:outlineLvl w:val="9"/>
                  </w:pPr>
                  <w:r>
                    <w:rPr>
                      <w:rFonts w:hint="eastAsia"/>
                    </w:rPr>
                    <w:t>2#锌锅烟气排气筒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8.05</w:t>
                  </w:r>
                </w:p>
              </w:tc>
              <w:tc>
                <w:tcPr>
                  <w:tcW w:w="1071" w:type="pct"/>
                  <w:gridSpan w:val="4"/>
                  <w:vAlign w:val="center"/>
                </w:tcPr>
                <w:p>
                  <w:pPr>
                    <w:adjustRightInd/>
                    <w:snapToGrid/>
                    <w:spacing w:line="260" w:lineRule="exact"/>
                    <w:jc w:val="center"/>
                    <w:outlineLvl w:val="9"/>
                  </w:pPr>
                  <w:r>
                    <w:t>标</w:t>
                  </w:r>
                  <w:r>
                    <w:rPr>
                      <w:rFonts w:hint="eastAsia"/>
                    </w:rPr>
                    <w:t>干</w:t>
                  </w:r>
                  <w:r>
                    <w:t>流量（m3/h）</w:t>
                  </w:r>
                </w:p>
              </w:tc>
              <w:tc>
                <w:tcPr>
                  <w:tcW w:w="598" w:type="pct"/>
                  <w:gridSpan w:val="2"/>
                  <w:vAlign w:val="center"/>
                </w:tcPr>
                <w:p>
                  <w:pPr>
                    <w:adjustRightInd/>
                    <w:snapToGrid/>
                    <w:spacing w:line="260" w:lineRule="exact"/>
                    <w:jc w:val="center"/>
                    <w:textAlignment w:val="center"/>
                    <w:outlineLvl w:val="9"/>
                  </w:pPr>
                  <w:r>
                    <w:rPr>
                      <w:rFonts w:hint="eastAsia"/>
                    </w:rPr>
                    <w:t>14381</w:t>
                  </w:r>
                </w:p>
              </w:tc>
              <w:tc>
                <w:tcPr>
                  <w:tcW w:w="598" w:type="pct"/>
                  <w:gridSpan w:val="2"/>
                  <w:vAlign w:val="center"/>
                </w:tcPr>
                <w:p>
                  <w:pPr>
                    <w:adjustRightInd/>
                    <w:snapToGrid/>
                    <w:spacing w:line="260" w:lineRule="exact"/>
                    <w:jc w:val="center"/>
                    <w:textAlignment w:val="center"/>
                    <w:outlineLvl w:val="9"/>
                  </w:pPr>
                  <w:r>
                    <w:rPr>
                      <w:rFonts w:hint="eastAsia"/>
                    </w:rPr>
                    <w:t>13911</w:t>
                  </w:r>
                </w:p>
              </w:tc>
              <w:tc>
                <w:tcPr>
                  <w:tcW w:w="601" w:type="pct"/>
                  <w:gridSpan w:val="2"/>
                  <w:vAlign w:val="center"/>
                </w:tcPr>
                <w:p>
                  <w:pPr>
                    <w:adjustRightInd/>
                    <w:snapToGrid/>
                    <w:spacing w:line="260" w:lineRule="exact"/>
                    <w:jc w:val="center"/>
                    <w:textAlignment w:val="center"/>
                    <w:outlineLvl w:val="9"/>
                  </w:pPr>
                  <w:r>
                    <w:rPr>
                      <w:rFonts w:hint="eastAsia"/>
                    </w:rPr>
                    <w:t>14302</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2.5</w:t>
                  </w:r>
                </w:p>
              </w:tc>
              <w:tc>
                <w:tcPr>
                  <w:tcW w:w="598" w:type="pct"/>
                  <w:gridSpan w:val="2"/>
                  <w:vAlign w:val="center"/>
                </w:tcPr>
                <w:p>
                  <w:pPr>
                    <w:adjustRightInd/>
                    <w:snapToGrid/>
                    <w:spacing w:line="260" w:lineRule="exact"/>
                    <w:jc w:val="center"/>
                    <w:textAlignment w:val="center"/>
                    <w:outlineLvl w:val="9"/>
                  </w:pPr>
                  <w:r>
                    <w:rPr>
                      <w:rFonts w:hint="eastAsia"/>
                    </w:rPr>
                    <w:t>2.9</w:t>
                  </w:r>
                </w:p>
              </w:tc>
              <w:tc>
                <w:tcPr>
                  <w:tcW w:w="601" w:type="pct"/>
                  <w:gridSpan w:val="2"/>
                  <w:vAlign w:val="center"/>
                </w:tcPr>
                <w:p>
                  <w:pPr>
                    <w:adjustRightInd/>
                    <w:snapToGrid/>
                    <w:spacing w:line="260" w:lineRule="exact"/>
                    <w:jc w:val="center"/>
                    <w:textAlignment w:val="center"/>
                    <w:outlineLvl w:val="9"/>
                  </w:pPr>
                  <w:r>
                    <w:rPr>
                      <w:rFonts w:hint="eastAsia"/>
                    </w:rPr>
                    <w:t>2.7</w:t>
                  </w:r>
                </w:p>
              </w:tc>
              <w:tc>
                <w:tcPr>
                  <w:tcW w:w="352" w:type="pct"/>
                  <w:gridSpan w:val="2"/>
                  <w:vAlign w:val="center"/>
                </w:tcPr>
                <w:p>
                  <w:pPr>
                    <w:adjustRightInd/>
                    <w:snapToGrid/>
                    <w:spacing w:line="260" w:lineRule="exact"/>
                    <w:jc w:val="center"/>
                    <w:outlineLvl w:val="9"/>
                  </w:pPr>
                  <w:r>
                    <w:rPr>
                      <w:rFonts w:hint="eastAsia"/>
                    </w:rPr>
                    <w:t>120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3.6</w:t>
                  </w:r>
                  <w:r>
                    <w:t>×10-</w:t>
                  </w:r>
                  <w:r>
                    <w:rPr>
                      <w:rFonts w:hint="eastAsia"/>
                    </w:rPr>
                    <w:t>2</w:t>
                  </w:r>
                </w:p>
              </w:tc>
              <w:tc>
                <w:tcPr>
                  <w:tcW w:w="598" w:type="pct"/>
                  <w:gridSpan w:val="2"/>
                  <w:vAlign w:val="center"/>
                </w:tcPr>
                <w:p>
                  <w:pPr>
                    <w:adjustRightInd/>
                    <w:snapToGrid/>
                    <w:spacing w:line="260" w:lineRule="exact"/>
                    <w:jc w:val="center"/>
                    <w:textAlignment w:val="center"/>
                    <w:outlineLvl w:val="9"/>
                  </w:pPr>
                  <w:r>
                    <w:rPr>
                      <w:rFonts w:hint="eastAsia"/>
                    </w:rPr>
                    <w:t>4.0</w:t>
                  </w:r>
                  <w:r>
                    <w:t>×10-</w:t>
                  </w:r>
                  <w:r>
                    <w:rPr>
                      <w:rFonts w:hint="eastAsia"/>
                    </w:rPr>
                    <w:t>2</w:t>
                  </w:r>
                </w:p>
              </w:tc>
              <w:tc>
                <w:tcPr>
                  <w:tcW w:w="601" w:type="pct"/>
                  <w:gridSpan w:val="2"/>
                  <w:vAlign w:val="center"/>
                </w:tcPr>
                <w:p>
                  <w:pPr>
                    <w:adjustRightInd/>
                    <w:snapToGrid/>
                    <w:spacing w:line="260" w:lineRule="exact"/>
                    <w:jc w:val="center"/>
                    <w:textAlignment w:val="center"/>
                    <w:outlineLvl w:val="9"/>
                  </w:pPr>
                  <w:r>
                    <w:rPr>
                      <w:rFonts w:hint="eastAsia"/>
                    </w:rPr>
                    <w:t>3.9</w:t>
                  </w:r>
                  <w:r>
                    <w:t>×10-</w:t>
                  </w:r>
                  <w:r>
                    <w:rPr>
                      <w:rFonts w:hint="eastAsia"/>
                    </w:rPr>
                    <w:t>2</w:t>
                  </w:r>
                </w:p>
              </w:tc>
              <w:tc>
                <w:tcPr>
                  <w:tcW w:w="352" w:type="pct"/>
                  <w:gridSpan w:val="2"/>
                  <w:vAlign w:val="center"/>
                </w:tcPr>
                <w:p>
                  <w:pPr>
                    <w:adjustRightInd/>
                    <w:snapToGrid/>
                    <w:spacing w:line="260" w:lineRule="exact"/>
                    <w:jc w:val="center"/>
                    <w:outlineLvl w:val="9"/>
                  </w:pPr>
                  <w:r>
                    <w:rPr>
                      <w:rFonts w:hint="eastAsia"/>
                    </w:rPr>
                    <w:t>3.5</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restart"/>
                  <w:tcBorders>
                    <w:left w:val="nil"/>
                  </w:tcBorders>
                  <w:vAlign w:val="center"/>
                </w:tcPr>
                <w:p>
                  <w:pPr>
                    <w:widowControl w:val="0"/>
                    <w:adjustRightInd/>
                    <w:snapToGrid/>
                    <w:spacing w:before="100" w:beforeAutospacing="1" w:after="100" w:afterAutospacing="1" w:line="260" w:lineRule="exact"/>
                    <w:jc w:val="center"/>
                    <w:outlineLvl w:val="9"/>
                  </w:pPr>
                  <w:r>
                    <w:rPr>
                      <w:rFonts w:hint="eastAsia"/>
                    </w:rPr>
                    <w:t>3#抛丸机排气筒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8.05</w:t>
                  </w:r>
                </w:p>
              </w:tc>
              <w:tc>
                <w:tcPr>
                  <w:tcW w:w="1071" w:type="pct"/>
                  <w:gridSpan w:val="4"/>
                  <w:vAlign w:val="center"/>
                </w:tcPr>
                <w:p>
                  <w:pPr>
                    <w:adjustRightInd/>
                    <w:snapToGrid/>
                    <w:spacing w:line="260" w:lineRule="exact"/>
                    <w:jc w:val="center"/>
                    <w:outlineLvl w:val="9"/>
                  </w:pPr>
                  <w:r>
                    <w:t>标</w:t>
                  </w:r>
                  <w:r>
                    <w:rPr>
                      <w:rFonts w:hint="eastAsia"/>
                    </w:rPr>
                    <w:t>干</w:t>
                  </w:r>
                  <w:r>
                    <w:t>流量（m3/h）</w:t>
                  </w:r>
                </w:p>
              </w:tc>
              <w:tc>
                <w:tcPr>
                  <w:tcW w:w="598" w:type="pct"/>
                  <w:gridSpan w:val="2"/>
                  <w:vAlign w:val="center"/>
                </w:tcPr>
                <w:p>
                  <w:pPr>
                    <w:adjustRightInd/>
                    <w:snapToGrid/>
                    <w:spacing w:line="260" w:lineRule="exact"/>
                    <w:jc w:val="center"/>
                    <w:textAlignment w:val="center"/>
                    <w:outlineLvl w:val="9"/>
                  </w:pPr>
                  <w:r>
                    <w:rPr>
                      <w:rFonts w:hint="eastAsia"/>
                    </w:rPr>
                    <w:t>2667</w:t>
                  </w:r>
                </w:p>
              </w:tc>
              <w:tc>
                <w:tcPr>
                  <w:tcW w:w="598" w:type="pct"/>
                  <w:gridSpan w:val="2"/>
                  <w:vAlign w:val="center"/>
                </w:tcPr>
                <w:p>
                  <w:pPr>
                    <w:adjustRightInd/>
                    <w:snapToGrid/>
                    <w:spacing w:line="260" w:lineRule="exact"/>
                    <w:jc w:val="center"/>
                    <w:textAlignment w:val="center"/>
                    <w:outlineLvl w:val="9"/>
                  </w:pPr>
                  <w:r>
                    <w:rPr>
                      <w:rFonts w:hint="eastAsia"/>
                    </w:rPr>
                    <w:t>2581</w:t>
                  </w:r>
                </w:p>
              </w:tc>
              <w:tc>
                <w:tcPr>
                  <w:tcW w:w="601" w:type="pct"/>
                  <w:gridSpan w:val="2"/>
                  <w:vAlign w:val="center"/>
                </w:tcPr>
                <w:p>
                  <w:pPr>
                    <w:adjustRightInd/>
                    <w:snapToGrid/>
                    <w:spacing w:line="260" w:lineRule="exact"/>
                    <w:jc w:val="center"/>
                    <w:textAlignment w:val="center"/>
                    <w:outlineLvl w:val="9"/>
                  </w:pPr>
                  <w:r>
                    <w:rPr>
                      <w:rFonts w:hint="eastAsia"/>
                    </w:rPr>
                    <w:t>2561</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3.8</w:t>
                  </w:r>
                </w:p>
              </w:tc>
              <w:tc>
                <w:tcPr>
                  <w:tcW w:w="598" w:type="pct"/>
                  <w:gridSpan w:val="2"/>
                  <w:vAlign w:val="center"/>
                </w:tcPr>
                <w:p>
                  <w:pPr>
                    <w:adjustRightInd/>
                    <w:snapToGrid/>
                    <w:spacing w:line="260" w:lineRule="exact"/>
                    <w:jc w:val="center"/>
                    <w:textAlignment w:val="center"/>
                    <w:outlineLvl w:val="9"/>
                  </w:pPr>
                  <w:r>
                    <w:rPr>
                      <w:rFonts w:hint="eastAsia"/>
                    </w:rPr>
                    <w:t>4.0</w:t>
                  </w:r>
                </w:p>
              </w:tc>
              <w:tc>
                <w:tcPr>
                  <w:tcW w:w="601" w:type="pct"/>
                  <w:gridSpan w:val="2"/>
                  <w:vAlign w:val="center"/>
                </w:tcPr>
                <w:p>
                  <w:pPr>
                    <w:adjustRightInd/>
                    <w:snapToGrid/>
                    <w:spacing w:line="260" w:lineRule="exact"/>
                    <w:jc w:val="center"/>
                    <w:textAlignment w:val="center"/>
                    <w:outlineLvl w:val="9"/>
                  </w:pPr>
                  <w:r>
                    <w:rPr>
                      <w:rFonts w:hint="eastAsia"/>
                    </w:rPr>
                    <w:t>3.6</w:t>
                  </w:r>
                </w:p>
              </w:tc>
              <w:tc>
                <w:tcPr>
                  <w:tcW w:w="352" w:type="pct"/>
                  <w:gridSpan w:val="2"/>
                  <w:vAlign w:val="center"/>
                </w:tcPr>
                <w:p>
                  <w:pPr>
                    <w:adjustRightInd/>
                    <w:snapToGrid/>
                    <w:spacing w:line="260" w:lineRule="exact"/>
                    <w:jc w:val="center"/>
                    <w:outlineLvl w:val="9"/>
                  </w:pPr>
                  <w:r>
                    <w:rPr>
                      <w:rFonts w:hint="eastAsia"/>
                    </w:rPr>
                    <w:t>120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1.0</w:t>
                  </w:r>
                  <w:r>
                    <w:t>×10-</w:t>
                  </w:r>
                  <w:r>
                    <w:rPr>
                      <w:rFonts w:hint="eastAsia"/>
                    </w:rPr>
                    <w:t>2</w:t>
                  </w:r>
                </w:p>
              </w:tc>
              <w:tc>
                <w:tcPr>
                  <w:tcW w:w="598" w:type="pct"/>
                  <w:gridSpan w:val="2"/>
                  <w:vAlign w:val="center"/>
                </w:tcPr>
                <w:p>
                  <w:pPr>
                    <w:adjustRightInd/>
                    <w:snapToGrid/>
                    <w:spacing w:line="260" w:lineRule="exact"/>
                    <w:jc w:val="center"/>
                    <w:textAlignment w:val="center"/>
                    <w:outlineLvl w:val="9"/>
                  </w:pPr>
                  <w:r>
                    <w:rPr>
                      <w:rFonts w:hint="eastAsia"/>
                    </w:rPr>
                    <w:t>1.0</w:t>
                  </w:r>
                  <w:r>
                    <w:t>×10-</w:t>
                  </w:r>
                  <w:r>
                    <w:rPr>
                      <w:rFonts w:hint="eastAsia"/>
                    </w:rPr>
                    <w:t>2</w:t>
                  </w:r>
                </w:p>
              </w:tc>
              <w:tc>
                <w:tcPr>
                  <w:tcW w:w="601" w:type="pct"/>
                  <w:gridSpan w:val="2"/>
                  <w:vAlign w:val="center"/>
                </w:tcPr>
                <w:p>
                  <w:pPr>
                    <w:adjustRightInd/>
                    <w:snapToGrid/>
                    <w:spacing w:line="260" w:lineRule="exact"/>
                    <w:jc w:val="center"/>
                    <w:textAlignment w:val="center"/>
                    <w:outlineLvl w:val="9"/>
                  </w:pPr>
                  <w:r>
                    <w:rPr>
                      <w:rFonts w:hint="eastAsia"/>
                    </w:rPr>
                    <w:t>9.2</w:t>
                  </w:r>
                  <w:r>
                    <w:t>×10-</w:t>
                  </w:r>
                  <w:r>
                    <w:rPr>
                      <w:rFonts w:hint="eastAsia"/>
                    </w:rPr>
                    <w:t>3</w:t>
                  </w:r>
                </w:p>
              </w:tc>
              <w:tc>
                <w:tcPr>
                  <w:tcW w:w="352" w:type="pct"/>
                  <w:gridSpan w:val="2"/>
                  <w:vAlign w:val="center"/>
                </w:tcPr>
                <w:p>
                  <w:pPr>
                    <w:adjustRightInd/>
                    <w:snapToGrid/>
                    <w:spacing w:line="260" w:lineRule="exact"/>
                    <w:jc w:val="center"/>
                    <w:outlineLvl w:val="9"/>
                  </w:pPr>
                  <w:r>
                    <w:rPr>
                      <w:rFonts w:hint="eastAsia"/>
                    </w:rPr>
                    <w:t>3.5</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restart"/>
                  <w:tcBorders>
                    <w:left w:val="nil"/>
                  </w:tcBorders>
                  <w:vAlign w:val="center"/>
                </w:tcPr>
                <w:p>
                  <w:pPr>
                    <w:adjustRightInd/>
                    <w:snapToGrid/>
                    <w:spacing w:line="260" w:lineRule="exact"/>
                    <w:jc w:val="center"/>
                    <w:outlineLvl w:val="9"/>
                  </w:pPr>
                  <w:r>
                    <w:rPr>
                      <w:rFonts w:hint="eastAsia"/>
                    </w:rPr>
                    <w:t>4#热处理烟气排气筒</w:t>
                  </w:r>
                </w:p>
              </w:tc>
              <w:tc>
                <w:tcPr>
                  <w:tcW w:w="366" w:type="pct"/>
                  <w:gridSpan w:val="2"/>
                  <w:vMerge w:val="restart"/>
                  <w:vAlign w:val="center"/>
                </w:tcPr>
                <w:p>
                  <w:pPr>
                    <w:adjustRightInd/>
                    <w:snapToGrid/>
                    <w:spacing w:line="260" w:lineRule="exact"/>
                    <w:jc w:val="center"/>
                    <w:outlineLvl w:val="9"/>
                  </w:pPr>
                  <w:r>
                    <w:t>15m</w:t>
                  </w:r>
                </w:p>
              </w:tc>
              <w:tc>
                <w:tcPr>
                  <w:tcW w:w="727" w:type="pct"/>
                  <w:gridSpan w:val="2"/>
                  <w:vMerge w:val="restart"/>
                  <w:vAlign w:val="center"/>
                </w:tcPr>
                <w:p>
                  <w:pPr>
                    <w:adjustRightInd/>
                    <w:snapToGrid/>
                    <w:spacing w:line="260" w:lineRule="exact"/>
                    <w:jc w:val="center"/>
                    <w:outlineLvl w:val="9"/>
                  </w:pPr>
                  <w:r>
                    <w:t>2022.0</w:t>
                  </w:r>
                  <w:r>
                    <w:rPr>
                      <w:rFonts w:hint="eastAsia"/>
                    </w:rPr>
                    <w:t>8.05</w:t>
                  </w:r>
                </w:p>
              </w:tc>
              <w:tc>
                <w:tcPr>
                  <w:tcW w:w="1071" w:type="pct"/>
                  <w:gridSpan w:val="4"/>
                  <w:vAlign w:val="center"/>
                </w:tcPr>
                <w:p>
                  <w:pPr>
                    <w:adjustRightInd/>
                    <w:snapToGrid/>
                    <w:spacing w:line="260" w:lineRule="exact"/>
                    <w:jc w:val="center"/>
                    <w:outlineLvl w:val="9"/>
                  </w:pPr>
                  <w:r>
                    <w:t>标</w:t>
                  </w:r>
                  <w:r>
                    <w:rPr>
                      <w:rFonts w:hint="eastAsia"/>
                    </w:rPr>
                    <w:t>干</w:t>
                  </w:r>
                  <w:r>
                    <w:t>流量（m3/h）</w:t>
                  </w:r>
                </w:p>
              </w:tc>
              <w:tc>
                <w:tcPr>
                  <w:tcW w:w="598" w:type="pct"/>
                  <w:gridSpan w:val="2"/>
                  <w:vAlign w:val="center"/>
                </w:tcPr>
                <w:p>
                  <w:pPr>
                    <w:adjustRightInd/>
                    <w:snapToGrid/>
                    <w:spacing w:line="260" w:lineRule="exact"/>
                    <w:jc w:val="center"/>
                    <w:textAlignment w:val="center"/>
                    <w:outlineLvl w:val="9"/>
                  </w:pPr>
                  <w:r>
                    <w:rPr>
                      <w:rFonts w:hint="eastAsia"/>
                    </w:rPr>
                    <w:t>2280</w:t>
                  </w:r>
                </w:p>
              </w:tc>
              <w:tc>
                <w:tcPr>
                  <w:tcW w:w="598" w:type="pct"/>
                  <w:gridSpan w:val="2"/>
                  <w:vAlign w:val="center"/>
                </w:tcPr>
                <w:p>
                  <w:pPr>
                    <w:adjustRightInd/>
                    <w:snapToGrid/>
                    <w:spacing w:line="260" w:lineRule="exact"/>
                    <w:jc w:val="center"/>
                    <w:textAlignment w:val="center"/>
                    <w:outlineLvl w:val="9"/>
                  </w:pPr>
                  <w:r>
                    <w:rPr>
                      <w:rFonts w:hint="eastAsia"/>
                    </w:rPr>
                    <w:t>2354</w:t>
                  </w:r>
                </w:p>
              </w:tc>
              <w:tc>
                <w:tcPr>
                  <w:tcW w:w="601" w:type="pct"/>
                  <w:gridSpan w:val="2"/>
                  <w:vAlign w:val="center"/>
                </w:tcPr>
                <w:p>
                  <w:pPr>
                    <w:adjustRightInd/>
                    <w:snapToGrid/>
                    <w:spacing w:line="260" w:lineRule="exact"/>
                    <w:jc w:val="center"/>
                    <w:textAlignment w:val="center"/>
                    <w:outlineLvl w:val="9"/>
                  </w:pPr>
                  <w:r>
                    <w:rPr>
                      <w:rFonts w:hint="eastAsia"/>
                    </w:rPr>
                    <w:t>2239</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vAlign w:val="center"/>
                </w:tcPr>
                <w:p>
                  <w:pPr>
                    <w:adjustRightInd/>
                    <w:snapToGrid/>
                    <w:spacing w:line="260" w:lineRule="exact"/>
                    <w:jc w:val="center"/>
                    <w:outlineLvl w:val="9"/>
                  </w:pPr>
                </w:p>
              </w:tc>
              <w:tc>
                <w:tcPr>
                  <w:tcW w:w="727" w:type="pct"/>
                  <w:gridSpan w:val="2"/>
                  <w:vMerge w:val="continue"/>
                  <w:vAlign w:val="center"/>
                </w:tcPr>
                <w:p>
                  <w:pPr>
                    <w:adjustRightInd/>
                    <w:snapToGrid/>
                    <w:spacing w:line="260" w:lineRule="exact"/>
                    <w:jc w:val="center"/>
                    <w:outlineLvl w:val="9"/>
                  </w:pPr>
                </w:p>
              </w:tc>
              <w:tc>
                <w:tcPr>
                  <w:tcW w:w="1071" w:type="pct"/>
                  <w:gridSpan w:val="4"/>
                  <w:vAlign w:val="center"/>
                </w:tcPr>
                <w:p>
                  <w:pPr>
                    <w:adjustRightInd/>
                    <w:snapToGrid/>
                    <w:spacing w:line="260" w:lineRule="exact"/>
                    <w:jc w:val="center"/>
                    <w:outlineLvl w:val="9"/>
                  </w:pPr>
                  <w:r>
                    <w:rPr>
                      <w:rFonts w:hint="eastAsia"/>
                    </w:rPr>
                    <w:t>实测氧含量（%）</w:t>
                  </w:r>
                </w:p>
              </w:tc>
              <w:tc>
                <w:tcPr>
                  <w:tcW w:w="598" w:type="pct"/>
                  <w:gridSpan w:val="2"/>
                  <w:vAlign w:val="center"/>
                </w:tcPr>
                <w:p>
                  <w:pPr>
                    <w:adjustRightInd/>
                    <w:snapToGrid/>
                    <w:spacing w:line="260" w:lineRule="exact"/>
                    <w:jc w:val="center"/>
                    <w:textAlignment w:val="center"/>
                    <w:outlineLvl w:val="9"/>
                  </w:pPr>
                  <w:r>
                    <w:rPr>
                      <w:rFonts w:hint="eastAsia"/>
                    </w:rPr>
                    <w:t>16.3</w:t>
                  </w:r>
                </w:p>
              </w:tc>
              <w:tc>
                <w:tcPr>
                  <w:tcW w:w="598" w:type="pct"/>
                  <w:gridSpan w:val="2"/>
                  <w:vAlign w:val="center"/>
                </w:tcPr>
                <w:p>
                  <w:pPr>
                    <w:adjustRightInd/>
                    <w:snapToGrid/>
                    <w:spacing w:line="260" w:lineRule="exact"/>
                    <w:jc w:val="center"/>
                    <w:textAlignment w:val="center"/>
                    <w:outlineLvl w:val="9"/>
                  </w:pPr>
                  <w:r>
                    <w:rPr>
                      <w:rFonts w:hint="eastAsia"/>
                    </w:rPr>
                    <w:t>16.5</w:t>
                  </w:r>
                </w:p>
              </w:tc>
              <w:tc>
                <w:tcPr>
                  <w:tcW w:w="601" w:type="pct"/>
                  <w:gridSpan w:val="2"/>
                  <w:vAlign w:val="center"/>
                </w:tcPr>
                <w:p>
                  <w:pPr>
                    <w:adjustRightInd/>
                    <w:snapToGrid/>
                    <w:spacing w:line="260" w:lineRule="exact"/>
                    <w:jc w:val="center"/>
                    <w:textAlignment w:val="center"/>
                    <w:outlineLvl w:val="9"/>
                  </w:pPr>
                  <w:r>
                    <w:rPr>
                      <w:rFonts w:hint="eastAsia"/>
                    </w:rPr>
                    <w:t>16.2</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颗粒物</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1.2</w:t>
                  </w:r>
                </w:p>
              </w:tc>
              <w:tc>
                <w:tcPr>
                  <w:tcW w:w="598" w:type="pct"/>
                  <w:gridSpan w:val="2"/>
                  <w:vAlign w:val="center"/>
                </w:tcPr>
                <w:p>
                  <w:pPr>
                    <w:adjustRightInd/>
                    <w:snapToGrid/>
                    <w:spacing w:line="260" w:lineRule="exact"/>
                    <w:jc w:val="center"/>
                    <w:textAlignment w:val="center"/>
                    <w:outlineLvl w:val="9"/>
                  </w:pPr>
                  <w:r>
                    <w:rPr>
                      <w:rFonts w:hint="eastAsia"/>
                    </w:rPr>
                    <w:t>1.7</w:t>
                  </w:r>
                </w:p>
              </w:tc>
              <w:tc>
                <w:tcPr>
                  <w:tcW w:w="601" w:type="pct"/>
                  <w:gridSpan w:val="2"/>
                  <w:vAlign w:val="center"/>
                </w:tcPr>
                <w:p>
                  <w:pPr>
                    <w:adjustRightInd/>
                    <w:snapToGrid/>
                    <w:spacing w:line="260" w:lineRule="exact"/>
                    <w:jc w:val="center"/>
                    <w:textAlignment w:val="center"/>
                    <w:outlineLvl w:val="9"/>
                  </w:pPr>
                  <w:r>
                    <w:rPr>
                      <w:rFonts w:hint="eastAsia"/>
                    </w:rPr>
                    <w:t>1.4</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8" w:type="pct"/>
                  <w:gridSpan w:val="2"/>
                  <w:vAlign w:val="center"/>
                </w:tcPr>
                <w:p>
                  <w:pPr>
                    <w:adjustRightInd/>
                    <w:snapToGrid/>
                    <w:spacing w:line="260" w:lineRule="exact"/>
                    <w:jc w:val="center"/>
                    <w:textAlignment w:val="center"/>
                    <w:outlineLvl w:val="9"/>
                  </w:pPr>
                  <w:r>
                    <w:rPr>
                      <w:rFonts w:hint="eastAsia"/>
                    </w:rPr>
                    <w:t>4.5</w:t>
                  </w:r>
                </w:p>
              </w:tc>
              <w:tc>
                <w:tcPr>
                  <w:tcW w:w="598" w:type="pct"/>
                  <w:gridSpan w:val="2"/>
                  <w:vAlign w:val="center"/>
                </w:tcPr>
                <w:p>
                  <w:pPr>
                    <w:adjustRightInd/>
                    <w:snapToGrid/>
                    <w:spacing w:line="260" w:lineRule="exact"/>
                    <w:jc w:val="center"/>
                    <w:textAlignment w:val="center"/>
                    <w:outlineLvl w:val="9"/>
                  </w:pPr>
                  <w:r>
                    <w:rPr>
                      <w:rFonts w:hint="eastAsia"/>
                    </w:rPr>
                    <w:t>6.6</w:t>
                  </w:r>
                </w:p>
              </w:tc>
              <w:tc>
                <w:tcPr>
                  <w:tcW w:w="601" w:type="pct"/>
                  <w:gridSpan w:val="2"/>
                  <w:vAlign w:val="center"/>
                </w:tcPr>
                <w:p>
                  <w:pPr>
                    <w:adjustRightInd/>
                    <w:snapToGrid/>
                    <w:spacing w:line="260" w:lineRule="exact"/>
                    <w:jc w:val="center"/>
                    <w:textAlignment w:val="center"/>
                    <w:outlineLvl w:val="9"/>
                  </w:pPr>
                  <w:r>
                    <w:rPr>
                      <w:rFonts w:hint="eastAsia"/>
                    </w:rPr>
                    <w:t>5.1</w:t>
                  </w:r>
                </w:p>
              </w:tc>
              <w:tc>
                <w:tcPr>
                  <w:tcW w:w="352" w:type="pct"/>
                  <w:gridSpan w:val="2"/>
                  <w:vAlign w:val="center"/>
                </w:tcPr>
                <w:p>
                  <w:pPr>
                    <w:adjustRightInd/>
                    <w:snapToGrid/>
                    <w:spacing w:line="260" w:lineRule="exact"/>
                    <w:jc w:val="center"/>
                    <w:outlineLvl w:val="9"/>
                  </w:pPr>
                  <w:r>
                    <w:rPr>
                      <w:rFonts w:hint="eastAsia"/>
                    </w:rPr>
                    <w:t>30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2.7</w:t>
                  </w:r>
                  <w:r>
                    <w:t>×10-</w:t>
                  </w:r>
                  <w:r>
                    <w:rPr>
                      <w:rFonts w:hint="eastAsia"/>
                    </w:rPr>
                    <w:t>3</w:t>
                  </w:r>
                </w:p>
              </w:tc>
              <w:tc>
                <w:tcPr>
                  <w:tcW w:w="598" w:type="pct"/>
                  <w:gridSpan w:val="2"/>
                  <w:vAlign w:val="center"/>
                </w:tcPr>
                <w:p>
                  <w:pPr>
                    <w:adjustRightInd/>
                    <w:snapToGrid/>
                    <w:spacing w:line="260" w:lineRule="exact"/>
                    <w:jc w:val="center"/>
                    <w:textAlignment w:val="center"/>
                    <w:outlineLvl w:val="9"/>
                  </w:pPr>
                  <w:r>
                    <w:rPr>
                      <w:rFonts w:hint="eastAsia"/>
                    </w:rPr>
                    <w:t>4.0</w:t>
                  </w:r>
                  <w:r>
                    <w:t>×10-</w:t>
                  </w:r>
                  <w:r>
                    <w:rPr>
                      <w:rFonts w:hint="eastAsia"/>
                    </w:rPr>
                    <w:t>3</w:t>
                  </w:r>
                </w:p>
              </w:tc>
              <w:tc>
                <w:tcPr>
                  <w:tcW w:w="601" w:type="pct"/>
                  <w:gridSpan w:val="2"/>
                  <w:vAlign w:val="center"/>
                </w:tcPr>
                <w:p>
                  <w:pPr>
                    <w:adjustRightInd/>
                    <w:snapToGrid/>
                    <w:spacing w:line="260" w:lineRule="exact"/>
                    <w:jc w:val="center"/>
                    <w:textAlignment w:val="center"/>
                    <w:outlineLvl w:val="9"/>
                  </w:pPr>
                  <w:r>
                    <w:rPr>
                      <w:rFonts w:hint="eastAsia"/>
                    </w:rPr>
                    <w:t>3.1</w:t>
                  </w:r>
                  <w:r>
                    <w:t>×10-</w:t>
                  </w:r>
                  <w:r>
                    <w:rPr>
                      <w:rFonts w:hint="eastAsia"/>
                    </w:rPr>
                    <w:t>3</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非甲烷总烃</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1.76</w:t>
                  </w:r>
                </w:p>
              </w:tc>
              <w:tc>
                <w:tcPr>
                  <w:tcW w:w="598" w:type="pct"/>
                  <w:gridSpan w:val="2"/>
                  <w:vAlign w:val="center"/>
                </w:tcPr>
                <w:p>
                  <w:pPr>
                    <w:adjustRightInd/>
                    <w:snapToGrid/>
                    <w:spacing w:line="260" w:lineRule="exact"/>
                    <w:jc w:val="center"/>
                    <w:textAlignment w:val="center"/>
                    <w:outlineLvl w:val="9"/>
                  </w:pPr>
                  <w:r>
                    <w:rPr>
                      <w:rFonts w:hint="eastAsia"/>
                    </w:rPr>
                    <w:t>1.74</w:t>
                  </w:r>
                </w:p>
              </w:tc>
              <w:tc>
                <w:tcPr>
                  <w:tcW w:w="601" w:type="pct"/>
                  <w:gridSpan w:val="2"/>
                  <w:vAlign w:val="center"/>
                </w:tcPr>
                <w:p>
                  <w:pPr>
                    <w:adjustRightInd/>
                    <w:snapToGrid/>
                    <w:spacing w:line="260" w:lineRule="exact"/>
                    <w:jc w:val="center"/>
                    <w:textAlignment w:val="center"/>
                    <w:outlineLvl w:val="9"/>
                  </w:pPr>
                  <w:r>
                    <w:rPr>
                      <w:rFonts w:hint="eastAsia"/>
                    </w:rPr>
                    <w:t>1.85</w:t>
                  </w:r>
                </w:p>
              </w:tc>
              <w:tc>
                <w:tcPr>
                  <w:tcW w:w="352" w:type="pct"/>
                  <w:gridSpan w:val="2"/>
                  <w:vAlign w:val="center"/>
                </w:tcPr>
                <w:p>
                  <w:pPr>
                    <w:adjustRightInd/>
                    <w:snapToGrid/>
                    <w:spacing w:line="260" w:lineRule="exact"/>
                    <w:jc w:val="center"/>
                    <w:outlineLvl w:val="9"/>
                  </w:pPr>
                  <w:r>
                    <w:rPr>
                      <w:rFonts w:hint="eastAsia"/>
                    </w:rPr>
                    <w:t>60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4.0</w:t>
                  </w:r>
                  <w:r>
                    <w:t>×10-3</w:t>
                  </w:r>
                </w:p>
              </w:tc>
              <w:tc>
                <w:tcPr>
                  <w:tcW w:w="598" w:type="pct"/>
                  <w:gridSpan w:val="2"/>
                  <w:vAlign w:val="center"/>
                </w:tcPr>
                <w:p>
                  <w:pPr>
                    <w:adjustRightInd/>
                    <w:snapToGrid/>
                    <w:spacing w:line="260" w:lineRule="exact"/>
                    <w:jc w:val="center"/>
                    <w:textAlignment w:val="center"/>
                    <w:outlineLvl w:val="9"/>
                  </w:pPr>
                  <w:r>
                    <w:rPr>
                      <w:rFonts w:hint="eastAsia"/>
                    </w:rPr>
                    <w:t>4.1</w:t>
                  </w:r>
                  <w:r>
                    <w:t>×10-3</w:t>
                  </w:r>
                </w:p>
              </w:tc>
              <w:tc>
                <w:tcPr>
                  <w:tcW w:w="601" w:type="pct"/>
                  <w:gridSpan w:val="2"/>
                  <w:vAlign w:val="center"/>
                </w:tcPr>
                <w:p>
                  <w:pPr>
                    <w:adjustRightInd/>
                    <w:snapToGrid/>
                    <w:spacing w:line="260" w:lineRule="exact"/>
                    <w:jc w:val="center"/>
                    <w:textAlignment w:val="center"/>
                    <w:outlineLvl w:val="9"/>
                  </w:pPr>
                  <w:r>
                    <w:rPr>
                      <w:rFonts w:hint="eastAsia"/>
                    </w:rPr>
                    <w:t>4.1</w:t>
                  </w:r>
                  <w:r>
                    <w:t>×10-3</w:t>
                  </w:r>
                </w:p>
              </w:tc>
              <w:tc>
                <w:tcPr>
                  <w:tcW w:w="352" w:type="pct"/>
                  <w:gridSpan w:val="2"/>
                  <w:vAlign w:val="center"/>
                </w:tcPr>
                <w:p>
                  <w:pPr>
                    <w:adjustRightInd/>
                    <w:snapToGrid/>
                    <w:spacing w:line="260" w:lineRule="exact"/>
                    <w:jc w:val="center"/>
                    <w:outlineLvl w:val="9"/>
                  </w:pPr>
                  <w:r>
                    <w:rPr>
                      <w:rFonts w:hint="eastAsia"/>
                    </w:rPr>
                    <w:t>3.4</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二氧化硫</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＜3</w:t>
                  </w:r>
                </w:p>
              </w:tc>
              <w:tc>
                <w:tcPr>
                  <w:tcW w:w="598" w:type="pct"/>
                  <w:gridSpan w:val="2"/>
                  <w:vAlign w:val="center"/>
                </w:tcPr>
                <w:p>
                  <w:pPr>
                    <w:adjustRightInd/>
                    <w:snapToGrid/>
                    <w:spacing w:line="260" w:lineRule="exact"/>
                    <w:jc w:val="center"/>
                    <w:textAlignment w:val="center"/>
                    <w:outlineLvl w:val="9"/>
                  </w:pPr>
                  <w:r>
                    <w:rPr>
                      <w:rFonts w:hint="eastAsia"/>
                    </w:rPr>
                    <w:t>＜3</w:t>
                  </w:r>
                </w:p>
              </w:tc>
              <w:tc>
                <w:tcPr>
                  <w:tcW w:w="601" w:type="pct"/>
                  <w:gridSpan w:val="2"/>
                  <w:vAlign w:val="center"/>
                </w:tcPr>
                <w:p>
                  <w:pPr>
                    <w:adjustRightInd/>
                    <w:snapToGrid/>
                    <w:spacing w:line="260" w:lineRule="exact"/>
                    <w:jc w:val="center"/>
                    <w:textAlignment w:val="center"/>
                    <w:outlineLvl w:val="9"/>
                  </w:pPr>
                  <w:r>
                    <w:rPr>
                      <w:rFonts w:hint="eastAsia"/>
                    </w:rPr>
                    <w:t>＜3</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widowControl w:val="0"/>
                    <w:adjustRightInd/>
                    <w:snapToGrid/>
                    <w:spacing w:before="100" w:beforeAutospacing="1" w:after="100" w:afterAutospacing="1"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8" w:type="pct"/>
                  <w:gridSpan w:val="2"/>
                  <w:vAlign w:val="center"/>
                </w:tcPr>
                <w:p>
                  <w:pPr>
                    <w:adjustRightInd/>
                    <w:snapToGrid/>
                    <w:spacing w:line="260" w:lineRule="exact"/>
                    <w:jc w:val="center"/>
                    <w:textAlignment w:val="center"/>
                    <w:outlineLvl w:val="9"/>
                  </w:pPr>
                  <w:r>
                    <w:rPr>
                      <w:rFonts w:hint="eastAsia"/>
                    </w:rPr>
                    <w:t>＜11</w:t>
                  </w:r>
                </w:p>
              </w:tc>
              <w:tc>
                <w:tcPr>
                  <w:tcW w:w="598" w:type="pct"/>
                  <w:gridSpan w:val="2"/>
                  <w:vAlign w:val="center"/>
                </w:tcPr>
                <w:p>
                  <w:pPr>
                    <w:adjustRightInd/>
                    <w:snapToGrid/>
                    <w:spacing w:line="260" w:lineRule="exact"/>
                    <w:jc w:val="center"/>
                    <w:textAlignment w:val="center"/>
                    <w:outlineLvl w:val="9"/>
                  </w:pPr>
                  <w:r>
                    <w:rPr>
                      <w:rFonts w:hint="eastAsia"/>
                    </w:rPr>
                    <w:t>＜12</w:t>
                  </w:r>
                </w:p>
              </w:tc>
              <w:tc>
                <w:tcPr>
                  <w:tcW w:w="601" w:type="pct"/>
                  <w:gridSpan w:val="2"/>
                  <w:vAlign w:val="center"/>
                </w:tcPr>
                <w:p>
                  <w:pPr>
                    <w:adjustRightInd/>
                    <w:snapToGrid/>
                    <w:spacing w:line="260" w:lineRule="exact"/>
                    <w:jc w:val="center"/>
                    <w:textAlignment w:val="center"/>
                    <w:outlineLvl w:val="9"/>
                  </w:pPr>
                  <w:r>
                    <w:rPr>
                      <w:rFonts w:hint="eastAsia"/>
                    </w:rPr>
                    <w:t>＜11</w:t>
                  </w:r>
                </w:p>
              </w:tc>
              <w:tc>
                <w:tcPr>
                  <w:tcW w:w="352" w:type="pct"/>
                  <w:gridSpan w:val="2"/>
                  <w:vAlign w:val="center"/>
                </w:tcPr>
                <w:p>
                  <w:pPr>
                    <w:adjustRightInd/>
                    <w:snapToGrid/>
                    <w:spacing w:line="260" w:lineRule="exact"/>
                    <w:jc w:val="center"/>
                    <w:outlineLvl w:val="9"/>
                  </w:pPr>
                  <w:r>
                    <w:rPr>
                      <w:rFonts w:hint="eastAsia"/>
                    </w:rPr>
                    <w:t>200</w:t>
                  </w:r>
                </w:p>
              </w:tc>
              <w:tc>
                <w:tcPr>
                  <w:tcW w:w="309" w:type="pct"/>
                  <w:tcBorders>
                    <w:right w:val="nil"/>
                  </w:tcBorders>
                  <w:vAlign w:val="center"/>
                </w:tcPr>
                <w:p>
                  <w:pPr>
                    <w:adjustRightInd/>
                    <w:snapToGrid/>
                    <w:spacing w:line="260" w:lineRule="exact"/>
                    <w:jc w:val="center"/>
                    <w:outlineLvl w:val="9"/>
                  </w:pPr>
                  <w:r>
                    <w:rPr>
                      <w:rFonts w:hint="eastAsia"/>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＜6.8</w:t>
                  </w:r>
                  <w:r>
                    <w:t>×10-3</w:t>
                  </w:r>
                </w:p>
              </w:tc>
              <w:tc>
                <w:tcPr>
                  <w:tcW w:w="598" w:type="pct"/>
                  <w:gridSpan w:val="2"/>
                  <w:vAlign w:val="center"/>
                </w:tcPr>
                <w:p>
                  <w:pPr>
                    <w:adjustRightInd/>
                    <w:snapToGrid/>
                    <w:spacing w:line="260" w:lineRule="exact"/>
                    <w:jc w:val="center"/>
                    <w:textAlignment w:val="center"/>
                    <w:outlineLvl w:val="9"/>
                  </w:pPr>
                  <w:r>
                    <w:rPr>
                      <w:rFonts w:hint="eastAsia"/>
                    </w:rPr>
                    <w:t>＜7.1</w:t>
                  </w:r>
                  <w:r>
                    <w:t>×10-3</w:t>
                  </w:r>
                </w:p>
              </w:tc>
              <w:tc>
                <w:tcPr>
                  <w:tcW w:w="601" w:type="pct"/>
                  <w:gridSpan w:val="2"/>
                  <w:vAlign w:val="center"/>
                </w:tcPr>
                <w:p>
                  <w:pPr>
                    <w:adjustRightInd/>
                    <w:snapToGrid/>
                    <w:spacing w:line="260" w:lineRule="exact"/>
                    <w:jc w:val="center"/>
                    <w:textAlignment w:val="center"/>
                    <w:outlineLvl w:val="9"/>
                  </w:pPr>
                  <w:r>
                    <w:rPr>
                      <w:rFonts w:hint="eastAsia"/>
                    </w:rPr>
                    <w:t>＜6.7</w:t>
                  </w:r>
                  <w:r>
                    <w:t>×10-3</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restart"/>
                  <w:vAlign w:val="center"/>
                </w:tcPr>
                <w:p>
                  <w:pPr>
                    <w:adjustRightInd/>
                    <w:snapToGrid/>
                    <w:spacing w:line="260" w:lineRule="exact"/>
                    <w:jc w:val="center"/>
                    <w:outlineLvl w:val="9"/>
                  </w:pPr>
                  <w:r>
                    <w:rPr>
                      <w:rFonts w:hint="eastAsia"/>
                    </w:rPr>
                    <w:t>氮氧化物</w:t>
                  </w:r>
                </w:p>
              </w:tc>
              <w:tc>
                <w:tcPr>
                  <w:tcW w:w="749" w:type="pct"/>
                  <w:gridSpan w:val="2"/>
                  <w:vAlign w:val="center"/>
                </w:tcPr>
                <w:p>
                  <w:pPr>
                    <w:adjustRightInd/>
                    <w:snapToGrid/>
                    <w:spacing w:line="260" w:lineRule="exact"/>
                    <w:jc w:val="center"/>
                    <w:outlineLvl w:val="9"/>
                  </w:pPr>
                  <w:r>
                    <w:t>实测浓度（mg/m3）</w:t>
                  </w:r>
                </w:p>
              </w:tc>
              <w:tc>
                <w:tcPr>
                  <w:tcW w:w="598" w:type="pct"/>
                  <w:gridSpan w:val="2"/>
                  <w:vAlign w:val="center"/>
                </w:tcPr>
                <w:p>
                  <w:pPr>
                    <w:adjustRightInd/>
                    <w:snapToGrid/>
                    <w:spacing w:line="260" w:lineRule="exact"/>
                    <w:jc w:val="center"/>
                    <w:textAlignment w:val="center"/>
                    <w:outlineLvl w:val="9"/>
                  </w:pPr>
                  <w:r>
                    <w:rPr>
                      <w:rFonts w:hint="eastAsia"/>
                    </w:rPr>
                    <w:t>7</w:t>
                  </w:r>
                </w:p>
              </w:tc>
              <w:tc>
                <w:tcPr>
                  <w:tcW w:w="598" w:type="pct"/>
                  <w:gridSpan w:val="2"/>
                  <w:vAlign w:val="center"/>
                </w:tcPr>
                <w:p>
                  <w:pPr>
                    <w:adjustRightInd/>
                    <w:snapToGrid/>
                    <w:spacing w:line="260" w:lineRule="exact"/>
                    <w:jc w:val="center"/>
                    <w:textAlignment w:val="center"/>
                    <w:outlineLvl w:val="9"/>
                  </w:pPr>
                  <w:r>
                    <w:rPr>
                      <w:rFonts w:hint="eastAsia"/>
                    </w:rPr>
                    <w:t>10</w:t>
                  </w:r>
                </w:p>
              </w:tc>
              <w:tc>
                <w:tcPr>
                  <w:tcW w:w="601" w:type="pct"/>
                  <w:gridSpan w:val="2"/>
                  <w:vAlign w:val="center"/>
                </w:tcPr>
                <w:p>
                  <w:pPr>
                    <w:adjustRightInd/>
                    <w:snapToGrid/>
                    <w:spacing w:line="260" w:lineRule="exact"/>
                    <w:jc w:val="center"/>
                    <w:textAlignment w:val="center"/>
                    <w:outlineLvl w:val="9"/>
                  </w:pPr>
                  <w:r>
                    <w:rPr>
                      <w:rFonts w:hint="eastAsia"/>
                    </w:rPr>
                    <w:t>8</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rPr>
                      <w:rFonts w:hint="eastAsia"/>
                    </w:rPr>
                    <w:t>折算</w:t>
                  </w:r>
                  <w:r>
                    <w:t>浓度（mg/m3）</w:t>
                  </w:r>
                </w:p>
              </w:tc>
              <w:tc>
                <w:tcPr>
                  <w:tcW w:w="598" w:type="pct"/>
                  <w:gridSpan w:val="2"/>
                  <w:vAlign w:val="center"/>
                </w:tcPr>
                <w:p>
                  <w:pPr>
                    <w:adjustRightInd/>
                    <w:snapToGrid/>
                    <w:spacing w:line="260" w:lineRule="exact"/>
                    <w:jc w:val="center"/>
                    <w:textAlignment w:val="center"/>
                    <w:outlineLvl w:val="9"/>
                  </w:pPr>
                  <w:r>
                    <w:rPr>
                      <w:rFonts w:hint="eastAsia"/>
                    </w:rPr>
                    <w:t>26</w:t>
                  </w:r>
                </w:p>
              </w:tc>
              <w:tc>
                <w:tcPr>
                  <w:tcW w:w="598" w:type="pct"/>
                  <w:gridSpan w:val="2"/>
                  <w:vAlign w:val="center"/>
                </w:tcPr>
                <w:p>
                  <w:pPr>
                    <w:adjustRightInd/>
                    <w:snapToGrid/>
                    <w:spacing w:line="260" w:lineRule="exact"/>
                    <w:jc w:val="center"/>
                    <w:textAlignment w:val="center"/>
                    <w:outlineLvl w:val="9"/>
                  </w:pPr>
                  <w:r>
                    <w:rPr>
                      <w:rFonts w:hint="eastAsia"/>
                    </w:rPr>
                    <w:t>39</w:t>
                  </w:r>
                </w:p>
              </w:tc>
              <w:tc>
                <w:tcPr>
                  <w:tcW w:w="601" w:type="pct"/>
                  <w:gridSpan w:val="2"/>
                  <w:vAlign w:val="center"/>
                </w:tcPr>
                <w:p>
                  <w:pPr>
                    <w:adjustRightInd/>
                    <w:snapToGrid/>
                    <w:spacing w:line="260" w:lineRule="exact"/>
                    <w:jc w:val="center"/>
                    <w:textAlignment w:val="center"/>
                    <w:outlineLvl w:val="9"/>
                  </w:pPr>
                  <w:r>
                    <w:rPr>
                      <w:rFonts w:hint="eastAsia"/>
                    </w:rPr>
                    <w:t>29</w:t>
                  </w:r>
                </w:p>
              </w:tc>
              <w:tc>
                <w:tcPr>
                  <w:tcW w:w="352" w:type="pct"/>
                  <w:gridSpan w:val="2"/>
                  <w:vAlign w:val="center"/>
                </w:tcPr>
                <w:p>
                  <w:pPr>
                    <w:adjustRightInd/>
                    <w:snapToGrid/>
                    <w:spacing w:line="260" w:lineRule="exact"/>
                    <w:jc w:val="center"/>
                    <w:outlineLvl w:val="9"/>
                  </w:pPr>
                  <w:r>
                    <w:rPr>
                      <w:rFonts w:hint="eastAsia"/>
                    </w:rPr>
                    <w:t>300</w:t>
                  </w:r>
                </w:p>
              </w:tc>
              <w:tc>
                <w:tcPr>
                  <w:tcW w:w="309" w:type="pct"/>
                  <w:tcBorders>
                    <w:right w:val="nil"/>
                  </w:tcBorders>
                  <w:vAlign w:val="center"/>
                </w:tcPr>
                <w:p>
                  <w:pPr>
                    <w:adjustRightInd/>
                    <w:snapToGrid/>
                    <w:spacing w:line="260" w:lineRule="exact"/>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374" w:type="pct"/>
                  <w:gridSpan w:val="2"/>
                  <w:vMerge w:val="continue"/>
                  <w:tcBorders>
                    <w:left w:val="nil"/>
                  </w:tcBorders>
                  <w:vAlign w:val="center"/>
                </w:tcPr>
                <w:p>
                  <w:pPr>
                    <w:adjustRightInd/>
                    <w:snapToGrid/>
                    <w:spacing w:line="260" w:lineRule="exact"/>
                    <w:jc w:val="center"/>
                    <w:outlineLvl w:val="9"/>
                  </w:pPr>
                </w:p>
              </w:tc>
              <w:tc>
                <w:tcPr>
                  <w:tcW w:w="366" w:type="pct"/>
                  <w:gridSpan w:val="2"/>
                  <w:vMerge w:val="continue"/>
                </w:tcPr>
                <w:p>
                  <w:pPr>
                    <w:adjustRightInd/>
                    <w:snapToGrid/>
                    <w:spacing w:line="260" w:lineRule="exact"/>
                    <w:outlineLvl w:val="9"/>
                  </w:pPr>
                </w:p>
              </w:tc>
              <w:tc>
                <w:tcPr>
                  <w:tcW w:w="727" w:type="pct"/>
                  <w:gridSpan w:val="2"/>
                  <w:vMerge w:val="continue"/>
                  <w:vAlign w:val="center"/>
                </w:tcPr>
                <w:p>
                  <w:pPr>
                    <w:adjustRightInd/>
                    <w:snapToGrid/>
                    <w:spacing w:line="260" w:lineRule="exact"/>
                    <w:jc w:val="center"/>
                    <w:outlineLvl w:val="9"/>
                  </w:pPr>
                </w:p>
              </w:tc>
              <w:tc>
                <w:tcPr>
                  <w:tcW w:w="322" w:type="pct"/>
                  <w:gridSpan w:val="2"/>
                  <w:vMerge w:val="continue"/>
                  <w:vAlign w:val="center"/>
                </w:tcPr>
                <w:p>
                  <w:pPr>
                    <w:adjustRightInd/>
                    <w:snapToGrid/>
                    <w:spacing w:line="260" w:lineRule="exact"/>
                    <w:jc w:val="center"/>
                    <w:outlineLvl w:val="9"/>
                  </w:pPr>
                </w:p>
              </w:tc>
              <w:tc>
                <w:tcPr>
                  <w:tcW w:w="749" w:type="pct"/>
                  <w:gridSpan w:val="2"/>
                  <w:vAlign w:val="center"/>
                </w:tcPr>
                <w:p>
                  <w:pPr>
                    <w:adjustRightInd/>
                    <w:snapToGrid/>
                    <w:spacing w:line="260" w:lineRule="exact"/>
                    <w:jc w:val="center"/>
                    <w:outlineLvl w:val="9"/>
                  </w:pPr>
                  <w:r>
                    <w:t>排放速率（kg/h）</w:t>
                  </w:r>
                </w:p>
              </w:tc>
              <w:tc>
                <w:tcPr>
                  <w:tcW w:w="598" w:type="pct"/>
                  <w:gridSpan w:val="2"/>
                  <w:vAlign w:val="center"/>
                </w:tcPr>
                <w:p>
                  <w:pPr>
                    <w:adjustRightInd/>
                    <w:snapToGrid/>
                    <w:spacing w:line="260" w:lineRule="exact"/>
                    <w:jc w:val="center"/>
                    <w:textAlignment w:val="center"/>
                    <w:outlineLvl w:val="9"/>
                  </w:pPr>
                  <w:r>
                    <w:rPr>
                      <w:rFonts w:hint="eastAsia"/>
                    </w:rPr>
                    <w:t>1.6</w:t>
                  </w:r>
                  <w:r>
                    <w:t>×10-</w:t>
                  </w:r>
                  <w:r>
                    <w:rPr>
                      <w:rFonts w:hint="eastAsia"/>
                    </w:rPr>
                    <w:t>2</w:t>
                  </w:r>
                </w:p>
              </w:tc>
              <w:tc>
                <w:tcPr>
                  <w:tcW w:w="598" w:type="pct"/>
                  <w:gridSpan w:val="2"/>
                  <w:vAlign w:val="center"/>
                </w:tcPr>
                <w:p>
                  <w:pPr>
                    <w:adjustRightInd/>
                    <w:snapToGrid/>
                    <w:spacing w:line="260" w:lineRule="exact"/>
                    <w:jc w:val="center"/>
                    <w:textAlignment w:val="center"/>
                    <w:outlineLvl w:val="9"/>
                  </w:pPr>
                  <w:r>
                    <w:rPr>
                      <w:rFonts w:hint="eastAsia"/>
                    </w:rPr>
                    <w:t>2.4</w:t>
                  </w:r>
                  <w:r>
                    <w:t>×10-</w:t>
                  </w:r>
                  <w:r>
                    <w:rPr>
                      <w:rFonts w:hint="eastAsia"/>
                    </w:rPr>
                    <w:t>2</w:t>
                  </w:r>
                </w:p>
              </w:tc>
              <w:tc>
                <w:tcPr>
                  <w:tcW w:w="601" w:type="pct"/>
                  <w:gridSpan w:val="2"/>
                  <w:vAlign w:val="center"/>
                </w:tcPr>
                <w:p>
                  <w:pPr>
                    <w:adjustRightInd/>
                    <w:snapToGrid/>
                    <w:spacing w:line="260" w:lineRule="exact"/>
                    <w:jc w:val="center"/>
                    <w:textAlignment w:val="center"/>
                    <w:outlineLvl w:val="9"/>
                  </w:pPr>
                  <w:r>
                    <w:rPr>
                      <w:rFonts w:hint="eastAsia"/>
                    </w:rPr>
                    <w:t>1.8</w:t>
                  </w:r>
                  <w:r>
                    <w:t>×10-</w:t>
                  </w:r>
                  <w:r>
                    <w:rPr>
                      <w:rFonts w:hint="eastAsia"/>
                    </w:rPr>
                    <w:t>2</w:t>
                  </w:r>
                </w:p>
              </w:tc>
              <w:tc>
                <w:tcPr>
                  <w:tcW w:w="352" w:type="pct"/>
                  <w:gridSpan w:val="2"/>
                  <w:vAlign w:val="center"/>
                </w:tcPr>
                <w:p>
                  <w:pPr>
                    <w:adjustRightInd/>
                    <w:snapToGrid/>
                    <w:spacing w:line="260" w:lineRule="exact"/>
                    <w:jc w:val="center"/>
                    <w:outlineLvl w:val="9"/>
                  </w:pPr>
                  <w:r>
                    <w:t>/</w:t>
                  </w:r>
                </w:p>
              </w:tc>
              <w:tc>
                <w:tcPr>
                  <w:tcW w:w="309" w:type="pct"/>
                  <w:tcBorders>
                    <w:right w:val="nil"/>
                  </w:tcBorders>
                  <w:vAlign w:val="center"/>
                </w:tcPr>
                <w:p>
                  <w:pPr>
                    <w:adjustRightInd/>
                    <w:snapToGrid/>
                    <w:spacing w:line="260" w:lineRule="exact"/>
                    <w:jc w:val="center"/>
                    <w:outlineLvl w:val="9"/>
                  </w:pPr>
                  <w:r>
                    <w:t>/</w:t>
                  </w:r>
                </w:p>
              </w:tc>
            </w:tr>
          </w:tbl>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7.2.3噪声</w:t>
            </w:r>
          </w:p>
          <w:p>
            <w:pPr>
              <w:spacing w:line="400" w:lineRule="exact"/>
              <w:jc w:val="right"/>
              <w:outlineLvl w:val="9"/>
            </w:pPr>
            <w:r>
              <w:rPr>
                <w:rFonts w:hint="eastAsia"/>
              </w:rPr>
              <w:t xml:space="preserve">表7-4 </w:t>
            </w:r>
            <w:r>
              <w:t>噪声监测结果及评价表         单位：dB（A）</w:t>
            </w:r>
          </w:p>
          <w:tbl>
            <w:tblPr>
              <w:tblStyle w:val="12"/>
              <w:tblW w:w="4996" w:type="pct"/>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28" w:type="dxa"/>
                <w:bottom w:w="0" w:type="dxa"/>
                <w:right w:w="28" w:type="dxa"/>
              </w:tblCellMar>
            </w:tblPr>
            <w:tblGrid>
              <w:gridCol w:w="983"/>
              <w:gridCol w:w="1776"/>
              <w:gridCol w:w="942"/>
              <w:gridCol w:w="1175"/>
              <w:gridCol w:w="806"/>
              <w:gridCol w:w="806"/>
              <w:gridCol w:w="806"/>
              <w:gridCol w:w="955"/>
              <w:gridCol w:w="6"/>
              <w:gridCol w:w="913"/>
              <w:gridCol w:w="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253" w:hRule="atLeast"/>
                <w:tblHeader/>
              </w:trPr>
              <w:tc>
                <w:tcPr>
                  <w:tcW w:w="536" w:type="pct"/>
                  <w:vMerge w:val="restart"/>
                  <w:tcBorders>
                    <w:top w:val="single" w:color="auto" w:sz="4" w:space="0"/>
                  </w:tcBorders>
                  <w:vAlign w:val="center"/>
                </w:tcPr>
                <w:p>
                  <w:pPr>
                    <w:jc w:val="center"/>
                    <w:outlineLvl w:val="9"/>
                  </w:pPr>
                  <w:r>
                    <w:t>监测点位</w:t>
                  </w:r>
                </w:p>
              </w:tc>
              <w:tc>
                <w:tcPr>
                  <w:tcW w:w="967" w:type="pct"/>
                  <w:vMerge w:val="restart"/>
                  <w:tcBorders>
                    <w:top w:val="single" w:color="auto" w:sz="4" w:space="0"/>
                  </w:tcBorders>
                  <w:vAlign w:val="center"/>
                </w:tcPr>
                <w:p>
                  <w:pPr>
                    <w:jc w:val="center"/>
                    <w:outlineLvl w:val="9"/>
                  </w:pPr>
                  <w:r>
                    <w:t>点位位置</w:t>
                  </w:r>
                </w:p>
              </w:tc>
              <w:tc>
                <w:tcPr>
                  <w:tcW w:w="513" w:type="pct"/>
                  <w:vMerge w:val="restart"/>
                  <w:tcBorders>
                    <w:top w:val="single" w:color="auto" w:sz="4" w:space="0"/>
                  </w:tcBorders>
                  <w:vAlign w:val="center"/>
                </w:tcPr>
                <w:p>
                  <w:pPr>
                    <w:jc w:val="center"/>
                    <w:outlineLvl w:val="9"/>
                  </w:pPr>
                  <w:r>
                    <w:t>主要声源</w:t>
                  </w:r>
                </w:p>
              </w:tc>
              <w:tc>
                <w:tcPr>
                  <w:tcW w:w="640" w:type="pct"/>
                  <w:vMerge w:val="restart"/>
                  <w:tcBorders>
                    <w:top w:val="single" w:color="auto" w:sz="4" w:space="0"/>
                  </w:tcBorders>
                  <w:vAlign w:val="center"/>
                </w:tcPr>
                <w:p>
                  <w:pPr>
                    <w:jc w:val="center"/>
                    <w:outlineLvl w:val="9"/>
                  </w:pPr>
                  <w:r>
                    <w:t>监测日期</w:t>
                  </w:r>
                </w:p>
              </w:tc>
              <w:tc>
                <w:tcPr>
                  <w:tcW w:w="1317" w:type="pct"/>
                  <w:gridSpan w:val="3"/>
                  <w:tcBorders>
                    <w:top w:val="single" w:color="auto" w:sz="4" w:space="0"/>
                    <w:bottom w:val="single" w:color="auto" w:sz="4" w:space="0"/>
                  </w:tcBorders>
                  <w:vAlign w:val="center"/>
                </w:tcPr>
                <w:p>
                  <w:pPr>
                    <w:jc w:val="center"/>
                    <w:outlineLvl w:val="9"/>
                  </w:pPr>
                  <w:r>
                    <w:t>监测结果</w:t>
                  </w:r>
                </w:p>
              </w:tc>
              <w:tc>
                <w:tcPr>
                  <w:tcW w:w="523" w:type="pct"/>
                  <w:gridSpan w:val="2"/>
                  <w:vMerge w:val="restart"/>
                  <w:tcBorders>
                    <w:top w:val="single" w:color="auto" w:sz="4" w:space="0"/>
                  </w:tcBorders>
                  <w:vAlign w:val="center"/>
                </w:tcPr>
                <w:p>
                  <w:pPr>
                    <w:jc w:val="center"/>
                    <w:outlineLvl w:val="9"/>
                  </w:pPr>
                  <w:r>
                    <w:t>标准限值</w:t>
                  </w:r>
                </w:p>
              </w:tc>
              <w:tc>
                <w:tcPr>
                  <w:tcW w:w="501" w:type="pct"/>
                  <w:gridSpan w:val="2"/>
                  <w:vMerge w:val="restart"/>
                  <w:tcBorders>
                    <w:top w:val="single" w:color="auto" w:sz="4" w:space="0"/>
                  </w:tcBorders>
                  <w:vAlign w:val="center"/>
                </w:tcPr>
                <w:p>
                  <w:pPr>
                    <w:jc w:val="center"/>
                    <w:outlineLvl w:val="9"/>
                  </w:pPr>
                  <w:r>
                    <w:t>是否达标</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trHeight w:val="157" w:hRule="atLeast"/>
                <w:tblHeader/>
              </w:trPr>
              <w:tc>
                <w:tcPr>
                  <w:tcW w:w="536" w:type="pct"/>
                  <w:vMerge w:val="continue"/>
                  <w:tcBorders>
                    <w:bottom w:val="single" w:color="auto" w:sz="4" w:space="0"/>
                  </w:tcBorders>
                  <w:vAlign w:val="center"/>
                </w:tcPr>
                <w:p>
                  <w:pPr>
                    <w:jc w:val="center"/>
                    <w:outlineLvl w:val="9"/>
                  </w:pPr>
                </w:p>
              </w:tc>
              <w:tc>
                <w:tcPr>
                  <w:tcW w:w="967" w:type="pct"/>
                  <w:vMerge w:val="continue"/>
                  <w:tcBorders>
                    <w:bottom w:val="single" w:color="auto" w:sz="4" w:space="0"/>
                  </w:tcBorders>
                  <w:vAlign w:val="center"/>
                </w:tcPr>
                <w:p>
                  <w:pPr>
                    <w:jc w:val="center"/>
                    <w:outlineLvl w:val="9"/>
                  </w:pPr>
                </w:p>
              </w:tc>
              <w:tc>
                <w:tcPr>
                  <w:tcW w:w="513" w:type="pct"/>
                  <w:vMerge w:val="continue"/>
                  <w:tcBorders>
                    <w:bottom w:val="single" w:color="auto" w:sz="4" w:space="0"/>
                  </w:tcBorders>
                  <w:vAlign w:val="center"/>
                </w:tcPr>
                <w:p>
                  <w:pPr>
                    <w:jc w:val="center"/>
                    <w:outlineLvl w:val="9"/>
                  </w:pPr>
                </w:p>
              </w:tc>
              <w:tc>
                <w:tcPr>
                  <w:tcW w:w="640" w:type="pct"/>
                  <w:vMerge w:val="continue"/>
                  <w:tcBorders>
                    <w:bottom w:val="single" w:color="auto" w:sz="4" w:space="0"/>
                  </w:tcBorders>
                  <w:vAlign w:val="center"/>
                </w:tcPr>
                <w:p>
                  <w:pPr>
                    <w:jc w:val="center"/>
                    <w:outlineLvl w:val="9"/>
                  </w:pPr>
                </w:p>
              </w:tc>
              <w:tc>
                <w:tcPr>
                  <w:tcW w:w="439" w:type="pct"/>
                  <w:tcBorders>
                    <w:top w:val="single" w:color="auto" w:sz="4" w:space="0"/>
                    <w:bottom w:val="single" w:color="auto" w:sz="4" w:space="0"/>
                  </w:tcBorders>
                  <w:vAlign w:val="center"/>
                </w:tcPr>
                <w:p>
                  <w:pPr>
                    <w:jc w:val="center"/>
                    <w:outlineLvl w:val="9"/>
                  </w:pPr>
                  <w:r>
                    <w:rPr>
                      <w:rFonts w:hint="eastAsia"/>
                    </w:rPr>
                    <w:t>时段</w:t>
                  </w:r>
                </w:p>
              </w:tc>
              <w:tc>
                <w:tcPr>
                  <w:tcW w:w="439" w:type="pct"/>
                  <w:tcBorders>
                    <w:top w:val="single" w:color="auto" w:sz="4" w:space="0"/>
                    <w:bottom w:val="single" w:color="auto" w:sz="4" w:space="0"/>
                  </w:tcBorders>
                  <w:vAlign w:val="center"/>
                </w:tcPr>
                <w:p>
                  <w:pPr>
                    <w:jc w:val="center"/>
                    <w:outlineLvl w:val="9"/>
                  </w:pPr>
                  <w:r>
                    <w:rPr>
                      <w:rFonts w:hint="eastAsia"/>
                    </w:rPr>
                    <w:t>一次</w:t>
                  </w:r>
                </w:p>
              </w:tc>
              <w:tc>
                <w:tcPr>
                  <w:tcW w:w="439" w:type="pct"/>
                  <w:tcBorders>
                    <w:top w:val="single" w:color="auto" w:sz="4" w:space="0"/>
                    <w:bottom w:val="single" w:color="auto" w:sz="4" w:space="0"/>
                  </w:tcBorders>
                  <w:vAlign w:val="center"/>
                </w:tcPr>
                <w:p>
                  <w:pPr>
                    <w:jc w:val="center"/>
                    <w:outlineLvl w:val="9"/>
                  </w:pPr>
                  <w:r>
                    <w:rPr>
                      <w:rFonts w:hint="eastAsia"/>
                    </w:rPr>
                    <w:t>二次</w:t>
                  </w:r>
                </w:p>
              </w:tc>
              <w:tc>
                <w:tcPr>
                  <w:tcW w:w="523" w:type="pct"/>
                  <w:gridSpan w:val="2"/>
                  <w:vMerge w:val="continue"/>
                  <w:tcBorders>
                    <w:bottom w:val="single" w:color="auto" w:sz="4" w:space="0"/>
                  </w:tcBorders>
                  <w:vAlign w:val="center"/>
                </w:tcPr>
                <w:p>
                  <w:pPr>
                    <w:jc w:val="center"/>
                    <w:outlineLvl w:val="9"/>
                  </w:pPr>
                </w:p>
              </w:tc>
              <w:tc>
                <w:tcPr>
                  <w:tcW w:w="501" w:type="pct"/>
                  <w:gridSpan w:val="2"/>
                  <w:vMerge w:val="continue"/>
                  <w:tcBorders>
                    <w:bottom w:val="single" w:color="auto" w:sz="4" w:space="0"/>
                  </w:tcBorders>
                  <w:vAlign w:val="center"/>
                </w:tcPr>
                <w:p>
                  <w:pPr>
                    <w:jc w:val="center"/>
                    <w:outlineLvl w:val="9"/>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91" w:hRule="exact"/>
              </w:trPr>
              <w:tc>
                <w:tcPr>
                  <w:tcW w:w="536" w:type="pct"/>
                  <w:tcBorders>
                    <w:top w:val="single" w:color="auto" w:sz="4" w:space="0"/>
                  </w:tcBorders>
                  <w:vAlign w:val="center"/>
                </w:tcPr>
                <w:p>
                  <w:pPr>
                    <w:jc w:val="center"/>
                    <w:outlineLvl w:val="9"/>
                  </w:pPr>
                  <w:r>
                    <w:t>1#点位</w:t>
                  </w:r>
                </w:p>
              </w:tc>
              <w:tc>
                <w:tcPr>
                  <w:tcW w:w="967" w:type="pct"/>
                  <w:tcBorders>
                    <w:top w:val="single" w:color="auto" w:sz="4" w:space="0"/>
                  </w:tcBorders>
                  <w:vAlign w:val="center"/>
                </w:tcPr>
                <w:p>
                  <w:pPr>
                    <w:jc w:val="center"/>
                    <w:outlineLvl w:val="9"/>
                  </w:pPr>
                  <w:r>
                    <w:rPr>
                      <w:rFonts w:hint="eastAsia"/>
                    </w:rPr>
                    <w:t>西</w:t>
                  </w:r>
                  <w:r>
                    <w:t>侧厂界</w:t>
                  </w:r>
                  <w:r>
                    <w:rPr>
                      <w:rFonts w:hint="eastAsia"/>
                    </w:rPr>
                    <w:t>外1m处</w:t>
                  </w:r>
                </w:p>
              </w:tc>
              <w:tc>
                <w:tcPr>
                  <w:tcW w:w="513" w:type="pct"/>
                  <w:vMerge w:val="restart"/>
                  <w:tcBorders>
                    <w:top w:val="single" w:color="auto" w:sz="4" w:space="0"/>
                  </w:tcBorders>
                  <w:vAlign w:val="center"/>
                </w:tcPr>
                <w:p>
                  <w:pPr>
                    <w:jc w:val="center"/>
                    <w:outlineLvl w:val="9"/>
                  </w:pPr>
                  <w:r>
                    <w:t>生产</w:t>
                  </w:r>
                </w:p>
              </w:tc>
              <w:tc>
                <w:tcPr>
                  <w:tcW w:w="640" w:type="pct"/>
                  <w:vMerge w:val="restart"/>
                  <w:tcBorders>
                    <w:top w:val="single" w:color="auto" w:sz="4" w:space="0"/>
                  </w:tcBorders>
                  <w:vAlign w:val="center"/>
                </w:tcPr>
                <w:p>
                  <w:pPr>
                    <w:jc w:val="center"/>
                    <w:outlineLvl w:val="9"/>
                  </w:pPr>
                  <w:r>
                    <w:t>202</w:t>
                  </w:r>
                  <w:r>
                    <w:rPr>
                      <w:rFonts w:hint="eastAsia"/>
                    </w:rPr>
                    <w:t>2.08.04</w:t>
                  </w:r>
                </w:p>
              </w:tc>
              <w:tc>
                <w:tcPr>
                  <w:tcW w:w="439" w:type="pct"/>
                  <w:tcBorders>
                    <w:top w:val="single" w:color="auto" w:sz="4" w:space="0"/>
                  </w:tcBorders>
                  <w:vAlign w:val="center"/>
                </w:tcPr>
                <w:p>
                  <w:pPr>
                    <w:jc w:val="center"/>
                    <w:outlineLvl w:val="9"/>
                  </w:pPr>
                  <w:r>
                    <w:t>昼间</w:t>
                  </w:r>
                </w:p>
              </w:tc>
              <w:tc>
                <w:tcPr>
                  <w:tcW w:w="439" w:type="pct"/>
                  <w:tcBorders>
                    <w:top w:val="single" w:color="auto" w:sz="4" w:space="0"/>
                  </w:tcBorders>
                  <w:vAlign w:val="center"/>
                </w:tcPr>
                <w:p>
                  <w:pPr>
                    <w:jc w:val="center"/>
                    <w:outlineLvl w:val="9"/>
                  </w:pPr>
                  <w:r>
                    <w:rPr>
                      <w:rFonts w:hint="eastAsia"/>
                    </w:rPr>
                    <w:t>59</w:t>
                  </w:r>
                </w:p>
              </w:tc>
              <w:tc>
                <w:tcPr>
                  <w:tcW w:w="439" w:type="pct"/>
                  <w:tcBorders>
                    <w:top w:val="single" w:color="auto" w:sz="4" w:space="0"/>
                  </w:tcBorders>
                  <w:vAlign w:val="center"/>
                </w:tcPr>
                <w:p>
                  <w:pPr>
                    <w:jc w:val="center"/>
                    <w:outlineLvl w:val="9"/>
                  </w:pPr>
                  <w:r>
                    <w:rPr>
                      <w:rFonts w:hint="eastAsia"/>
                    </w:rPr>
                    <w:t>60</w:t>
                  </w:r>
                </w:p>
              </w:tc>
              <w:tc>
                <w:tcPr>
                  <w:tcW w:w="523" w:type="pct"/>
                  <w:gridSpan w:val="2"/>
                  <w:tcBorders>
                    <w:top w:val="single" w:color="auto" w:sz="4" w:space="0"/>
                  </w:tcBorders>
                  <w:vAlign w:val="center"/>
                </w:tcPr>
                <w:p>
                  <w:pPr>
                    <w:jc w:val="center"/>
                    <w:outlineLvl w:val="9"/>
                  </w:pPr>
                  <w:r>
                    <w:rPr>
                      <w:rFonts w:hint="eastAsia"/>
                    </w:rPr>
                    <w:t>65</w:t>
                  </w:r>
                </w:p>
              </w:tc>
              <w:tc>
                <w:tcPr>
                  <w:tcW w:w="501" w:type="pct"/>
                  <w:gridSpan w:val="2"/>
                  <w:tcBorders>
                    <w:top w:val="single" w:color="auto" w:sz="4" w:space="0"/>
                  </w:tcBorders>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91" w:hRule="exact"/>
              </w:trPr>
              <w:tc>
                <w:tcPr>
                  <w:tcW w:w="536" w:type="pct"/>
                  <w:vAlign w:val="center"/>
                </w:tcPr>
                <w:p>
                  <w:pPr>
                    <w:jc w:val="center"/>
                    <w:outlineLvl w:val="9"/>
                  </w:pPr>
                  <w:r>
                    <w:t>2#点位</w:t>
                  </w:r>
                </w:p>
              </w:tc>
              <w:tc>
                <w:tcPr>
                  <w:tcW w:w="967" w:type="pct"/>
                  <w:vAlign w:val="center"/>
                </w:tcPr>
                <w:p>
                  <w:pPr>
                    <w:jc w:val="center"/>
                    <w:outlineLvl w:val="9"/>
                  </w:pPr>
                  <w:r>
                    <w:rPr>
                      <w:rFonts w:hint="eastAsia"/>
                    </w:rPr>
                    <w:t>北</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57</w:t>
                  </w:r>
                </w:p>
              </w:tc>
              <w:tc>
                <w:tcPr>
                  <w:tcW w:w="439" w:type="pct"/>
                  <w:vAlign w:val="center"/>
                </w:tcPr>
                <w:p>
                  <w:pPr>
                    <w:jc w:val="center"/>
                    <w:outlineLvl w:val="9"/>
                  </w:pPr>
                  <w:r>
                    <w:rPr>
                      <w:rFonts w:hint="eastAsia"/>
                    </w:rPr>
                    <w:t>58</w:t>
                  </w:r>
                </w:p>
              </w:tc>
              <w:tc>
                <w:tcPr>
                  <w:tcW w:w="523" w:type="pct"/>
                  <w:gridSpan w:val="2"/>
                  <w:vAlign w:val="center"/>
                </w:tcPr>
                <w:p>
                  <w:pPr>
                    <w:jc w:val="center"/>
                    <w:outlineLvl w:val="9"/>
                  </w:pPr>
                  <w:r>
                    <w:rPr>
                      <w:rFonts w:hint="eastAsia"/>
                    </w:rPr>
                    <w:t>65</w:t>
                  </w:r>
                </w:p>
              </w:tc>
              <w:tc>
                <w:tcPr>
                  <w:tcW w:w="501"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91" w:hRule="exact"/>
              </w:trPr>
              <w:tc>
                <w:tcPr>
                  <w:tcW w:w="536" w:type="pct"/>
                  <w:vAlign w:val="center"/>
                </w:tcPr>
                <w:p>
                  <w:pPr>
                    <w:jc w:val="center"/>
                    <w:outlineLvl w:val="9"/>
                  </w:pPr>
                  <w:r>
                    <w:t>3#点位</w:t>
                  </w:r>
                </w:p>
              </w:tc>
              <w:tc>
                <w:tcPr>
                  <w:tcW w:w="967" w:type="pct"/>
                  <w:vAlign w:val="center"/>
                </w:tcPr>
                <w:p>
                  <w:pPr>
                    <w:jc w:val="center"/>
                    <w:outlineLvl w:val="9"/>
                  </w:pPr>
                  <w:r>
                    <w:rPr>
                      <w:rFonts w:hint="eastAsia"/>
                    </w:rPr>
                    <w:t>东</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60</w:t>
                  </w:r>
                </w:p>
              </w:tc>
              <w:tc>
                <w:tcPr>
                  <w:tcW w:w="439" w:type="pct"/>
                  <w:vAlign w:val="center"/>
                </w:tcPr>
                <w:p>
                  <w:pPr>
                    <w:jc w:val="center"/>
                    <w:outlineLvl w:val="9"/>
                  </w:pPr>
                  <w:r>
                    <w:rPr>
                      <w:rFonts w:hint="eastAsia"/>
                    </w:rPr>
                    <w:t>61</w:t>
                  </w:r>
                </w:p>
              </w:tc>
              <w:tc>
                <w:tcPr>
                  <w:tcW w:w="523" w:type="pct"/>
                  <w:gridSpan w:val="2"/>
                  <w:vAlign w:val="center"/>
                </w:tcPr>
                <w:p>
                  <w:pPr>
                    <w:jc w:val="center"/>
                    <w:outlineLvl w:val="9"/>
                  </w:pPr>
                  <w:r>
                    <w:rPr>
                      <w:rFonts w:hint="eastAsia"/>
                    </w:rPr>
                    <w:t>65</w:t>
                  </w:r>
                </w:p>
              </w:tc>
              <w:tc>
                <w:tcPr>
                  <w:tcW w:w="501"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cantSplit/>
                <w:trHeight w:val="391" w:hRule="exact"/>
              </w:trPr>
              <w:tc>
                <w:tcPr>
                  <w:tcW w:w="536" w:type="pct"/>
                  <w:vAlign w:val="center"/>
                </w:tcPr>
                <w:p>
                  <w:pPr>
                    <w:jc w:val="center"/>
                    <w:outlineLvl w:val="9"/>
                  </w:pPr>
                  <w:r>
                    <w:t>4#点位</w:t>
                  </w:r>
                </w:p>
              </w:tc>
              <w:tc>
                <w:tcPr>
                  <w:tcW w:w="967" w:type="pct"/>
                  <w:vAlign w:val="center"/>
                </w:tcPr>
                <w:p>
                  <w:pPr>
                    <w:jc w:val="center"/>
                    <w:outlineLvl w:val="9"/>
                  </w:pPr>
                  <w:r>
                    <w:rPr>
                      <w:rFonts w:hint="eastAsia"/>
                    </w:rPr>
                    <w:t>南</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61</w:t>
                  </w:r>
                </w:p>
              </w:tc>
              <w:tc>
                <w:tcPr>
                  <w:tcW w:w="439" w:type="pct"/>
                  <w:vAlign w:val="center"/>
                </w:tcPr>
                <w:p>
                  <w:pPr>
                    <w:jc w:val="center"/>
                    <w:outlineLvl w:val="9"/>
                  </w:pPr>
                  <w:r>
                    <w:rPr>
                      <w:rFonts w:hint="eastAsia"/>
                    </w:rPr>
                    <w:t>60</w:t>
                  </w:r>
                </w:p>
              </w:tc>
              <w:tc>
                <w:tcPr>
                  <w:tcW w:w="523" w:type="pct"/>
                  <w:gridSpan w:val="2"/>
                  <w:vAlign w:val="center"/>
                </w:tcPr>
                <w:p>
                  <w:pPr>
                    <w:jc w:val="center"/>
                    <w:outlineLvl w:val="9"/>
                  </w:pPr>
                  <w:r>
                    <w:rPr>
                      <w:rFonts w:hint="eastAsia"/>
                    </w:rPr>
                    <w:t>65</w:t>
                  </w:r>
                </w:p>
              </w:tc>
              <w:tc>
                <w:tcPr>
                  <w:tcW w:w="501"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gridAfter w:val="1"/>
                <w:wAfter w:w="3" w:type="pct"/>
                <w:cantSplit/>
                <w:trHeight w:val="391" w:hRule="exact"/>
              </w:trPr>
              <w:tc>
                <w:tcPr>
                  <w:tcW w:w="536" w:type="pct"/>
                  <w:vAlign w:val="center"/>
                </w:tcPr>
                <w:p>
                  <w:pPr>
                    <w:jc w:val="center"/>
                    <w:outlineLvl w:val="9"/>
                  </w:pPr>
                  <w:r>
                    <w:t>1#点位</w:t>
                  </w:r>
                </w:p>
              </w:tc>
              <w:tc>
                <w:tcPr>
                  <w:tcW w:w="967" w:type="pct"/>
                  <w:vAlign w:val="center"/>
                </w:tcPr>
                <w:p>
                  <w:pPr>
                    <w:jc w:val="center"/>
                    <w:outlineLvl w:val="9"/>
                  </w:pPr>
                  <w:r>
                    <w:rPr>
                      <w:rFonts w:hint="eastAsia"/>
                    </w:rPr>
                    <w:t>西</w:t>
                  </w:r>
                  <w:r>
                    <w:t>侧厂界</w:t>
                  </w:r>
                  <w:r>
                    <w:rPr>
                      <w:rFonts w:hint="eastAsia"/>
                    </w:rPr>
                    <w:t>外1m处</w:t>
                  </w:r>
                </w:p>
              </w:tc>
              <w:tc>
                <w:tcPr>
                  <w:tcW w:w="513" w:type="pct"/>
                  <w:vMerge w:val="restart"/>
                  <w:vAlign w:val="center"/>
                </w:tcPr>
                <w:p>
                  <w:pPr>
                    <w:jc w:val="center"/>
                    <w:outlineLvl w:val="9"/>
                  </w:pPr>
                  <w:r>
                    <w:t>生产</w:t>
                  </w:r>
                </w:p>
              </w:tc>
              <w:tc>
                <w:tcPr>
                  <w:tcW w:w="640" w:type="pct"/>
                  <w:vMerge w:val="restart"/>
                  <w:vAlign w:val="center"/>
                </w:tcPr>
                <w:p>
                  <w:pPr>
                    <w:jc w:val="center"/>
                    <w:outlineLvl w:val="9"/>
                  </w:pPr>
                  <w:r>
                    <w:t>202</w:t>
                  </w:r>
                  <w:r>
                    <w:rPr>
                      <w:rFonts w:hint="eastAsia"/>
                    </w:rPr>
                    <w:t>2.08.05</w:t>
                  </w:r>
                </w:p>
              </w:tc>
              <w:tc>
                <w:tcPr>
                  <w:tcW w:w="439" w:type="pct"/>
                  <w:vAlign w:val="center"/>
                </w:tcPr>
                <w:p>
                  <w:pPr>
                    <w:jc w:val="center"/>
                    <w:outlineLvl w:val="9"/>
                  </w:pPr>
                  <w:r>
                    <w:t>昼间</w:t>
                  </w:r>
                </w:p>
              </w:tc>
              <w:tc>
                <w:tcPr>
                  <w:tcW w:w="439" w:type="pct"/>
                  <w:vAlign w:val="center"/>
                </w:tcPr>
                <w:p>
                  <w:pPr>
                    <w:jc w:val="center"/>
                    <w:outlineLvl w:val="9"/>
                  </w:pPr>
                  <w:r>
                    <w:rPr>
                      <w:rFonts w:hint="eastAsia"/>
                    </w:rPr>
                    <w:t>59</w:t>
                  </w:r>
                </w:p>
              </w:tc>
              <w:tc>
                <w:tcPr>
                  <w:tcW w:w="439" w:type="pct"/>
                  <w:vAlign w:val="center"/>
                </w:tcPr>
                <w:p>
                  <w:pPr>
                    <w:jc w:val="center"/>
                    <w:outlineLvl w:val="9"/>
                  </w:pPr>
                  <w:r>
                    <w:rPr>
                      <w:rFonts w:hint="eastAsia"/>
                    </w:rPr>
                    <w:t>61</w:t>
                  </w:r>
                </w:p>
              </w:tc>
              <w:tc>
                <w:tcPr>
                  <w:tcW w:w="520" w:type="pct"/>
                  <w:vAlign w:val="center"/>
                </w:tcPr>
                <w:p>
                  <w:pPr>
                    <w:jc w:val="center"/>
                    <w:outlineLvl w:val="9"/>
                  </w:pPr>
                  <w:r>
                    <w:rPr>
                      <w:rFonts w:hint="eastAsia"/>
                    </w:rPr>
                    <w:t>65</w:t>
                  </w:r>
                </w:p>
              </w:tc>
              <w:tc>
                <w:tcPr>
                  <w:tcW w:w="500"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gridAfter w:val="1"/>
                <w:wAfter w:w="3" w:type="pct"/>
                <w:cantSplit/>
                <w:trHeight w:val="391" w:hRule="exact"/>
              </w:trPr>
              <w:tc>
                <w:tcPr>
                  <w:tcW w:w="536" w:type="pct"/>
                  <w:vAlign w:val="center"/>
                </w:tcPr>
                <w:p>
                  <w:pPr>
                    <w:jc w:val="center"/>
                    <w:outlineLvl w:val="9"/>
                  </w:pPr>
                  <w:r>
                    <w:t>2#点位</w:t>
                  </w:r>
                </w:p>
              </w:tc>
              <w:tc>
                <w:tcPr>
                  <w:tcW w:w="967" w:type="pct"/>
                  <w:vAlign w:val="center"/>
                </w:tcPr>
                <w:p>
                  <w:pPr>
                    <w:jc w:val="center"/>
                    <w:outlineLvl w:val="9"/>
                  </w:pPr>
                  <w:r>
                    <w:rPr>
                      <w:rFonts w:hint="eastAsia"/>
                    </w:rPr>
                    <w:t>北</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57</w:t>
                  </w:r>
                </w:p>
              </w:tc>
              <w:tc>
                <w:tcPr>
                  <w:tcW w:w="439" w:type="pct"/>
                  <w:vAlign w:val="center"/>
                </w:tcPr>
                <w:p>
                  <w:pPr>
                    <w:jc w:val="center"/>
                    <w:outlineLvl w:val="9"/>
                  </w:pPr>
                  <w:r>
                    <w:rPr>
                      <w:rFonts w:hint="eastAsia"/>
                    </w:rPr>
                    <w:t>59</w:t>
                  </w:r>
                </w:p>
              </w:tc>
              <w:tc>
                <w:tcPr>
                  <w:tcW w:w="520" w:type="pct"/>
                  <w:vAlign w:val="center"/>
                </w:tcPr>
                <w:p>
                  <w:pPr>
                    <w:jc w:val="center"/>
                    <w:outlineLvl w:val="9"/>
                  </w:pPr>
                  <w:r>
                    <w:rPr>
                      <w:rFonts w:hint="eastAsia"/>
                    </w:rPr>
                    <w:t>65</w:t>
                  </w:r>
                </w:p>
              </w:tc>
              <w:tc>
                <w:tcPr>
                  <w:tcW w:w="500"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gridAfter w:val="1"/>
                <w:wAfter w:w="3" w:type="pct"/>
                <w:cantSplit/>
                <w:trHeight w:val="391" w:hRule="exact"/>
              </w:trPr>
              <w:tc>
                <w:tcPr>
                  <w:tcW w:w="536" w:type="pct"/>
                  <w:vAlign w:val="center"/>
                </w:tcPr>
                <w:p>
                  <w:pPr>
                    <w:jc w:val="center"/>
                    <w:outlineLvl w:val="9"/>
                  </w:pPr>
                  <w:r>
                    <w:t>3#点位</w:t>
                  </w:r>
                </w:p>
              </w:tc>
              <w:tc>
                <w:tcPr>
                  <w:tcW w:w="967" w:type="pct"/>
                  <w:vAlign w:val="center"/>
                </w:tcPr>
                <w:p>
                  <w:pPr>
                    <w:jc w:val="center"/>
                    <w:outlineLvl w:val="9"/>
                  </w:pPr>
                  <w:r>
                    <w:rPr>
                      <w:rFonts w:hint="eastAsia"/>
                    </w:rPr>
                    <w:t>东</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59</w:t>
                  </w:r>
                </w:p>
              </w:tc>
              <w:tc>
                <w:tcPr>
                  <w:tcW w:w="439" w:type="pct"/>
                  <w:vAlign w:val="center"/>
                </w:tcPr>
                <w:p>
                  <w:pPr>
                    <w:jc w:val="center"/>
                    <w:outlineLvl w:val="9"/>
                  </w:pPr>
                  <w:r>
                    <w:rPr>
                      <w:rFonts w:hint="eastAsia"/>
                    </w:rPr>
                    <w:t>60</w:t>
                  </w:r>
                </w:p>
              </w:tc>
              <w:tc>
                <w:tcPr>
                  <w:tcW w:w="520" w:type="pct"/>
                  <w:vAlign w:val="center"/>
                </w:tcPr>
                <w:p>
                  <w:pPr>
                    <w:jc w:val="center"/>
                    <w:outlineLvl w:val="9"/>
                  </w:pPr>
                  <w:r>
                    <w:rPr>
                      <w:rFonts w:hint="eastAsia"/>
                    </w:rPr>
                    <w:t>65</w:t>
                  </w:r>
                </w:p>
              </w:tc>
              <w:tc>
                <w:tcPr>
                  <w:tcW w:w="500" w:type="pct"/>
                  <w:gridSpan w:val="2"/>
                  <w:vAlign w:val="center"/>
                </w:tcPr>
                <w:p>
                  <w:pPr>
                    <w:jc w:val="center"/>
                    <w:outlineLvl w:val="9"/>
                  </w:pPr>
                  <w:r>
                    <w:t>是</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28" w:type="dxa"/>
                  <w:bottom w:w="0" w:type="dxa"/>
                  <w:right w:w="28" w:type="dxa"/>
                </w:tblCellMar>
              </w:tblPrEx>
              <w:trPr>
                <w:gridAfter w:val="1"/>
                <w:wAfter w:w="3" w:type="pct"/>
                <w:cantSplit/>
                <w:trHeight w:val="400" w:hRule="exact"/>
              </w:trPr>
              <w:tc>
                <w:tcPr>
                  <w:tcW w:w="536" w:type="pct"/>
                  <w:vAlign w:val="center"/>
                </w:tcPr>
                <w:p>
                  <w:pPr>
                    <w:jc w:val="center"/>
                    <w:outlineLvl w:val="9"/>
                  </w:pPr>
                  <w:r>
                    <w:t>4#点位</w:t>
                  </w:r>
                </w:p>
              </w:tc>
              <w:tc>
                <w:tcPr>
                  <w:tcW w:w="967" w:type="pct"/>
                  <w:vAlign w:val="center"/>
                </w:tcPr>
                <w:p>
                  <w:pPr>
                    <w:jc w:val="center"/>
                    <w:outlineLvl w:val="9"/>
                  </w:pPr>
                  <w:r>
                    <w:rPr>
                      <w:rFonts w:hint="eastAsia"/>
                    </w:rPr>
                    <w:t>南</w:t>
                  </w:r>
                  <w:r>
                    <w:t>侧厂界</w:t>
                  </w:r>
                  <w:r>
                    <w:rPr>
                      <w:rFonts w:hint="eastAsia"/>
                    </w:rPr>
                    <w:t>外1m处</w:t>
                  </w:r>
                </w:p>
              </w:tc>
              <w:tc>
                <w:tcPr>
                  <w:tcW w:w="513" w:type="pct"/>
                  <w:vMerge w:val="continue"/>
                  <w:vAlign w:val="center"/>
                </w:tcPr>
                <w:p>
                  <w:pPr>
                    <w:jc w:val="center"/>
                    <w:outlineLvl w:val="9"/>
                  </w:pPr>
                </w:p>
              </w:tc>
              <w:tc>
                <w:tcPr>
                  <w:tcW w:w="640" w:type="pct"/>
                  <w:vMerge w:val="continue"/>
                  <w:vAlign w:val="center"/>
                </w:tcPr>
                <w:p>
                  <w:pPr>
                    <w:jc w:val="center"/>
                    <w:outlineLvl w:val="9"/>
                  </w:pPr>
                </w:p>
              </w:tc>
              <w:tc>
                <w:tcPr>
                  <w:tcW w:w="439" w:type="pct"/>
                  <w:vAlign w:val="center"/>
                </w:tcPr>
                <w:p>
                  <w:pPr>
                    <w:jc w:val="center"/>
                    <w:outlineLvl w:val="9"/>
                  </w:pPr>
                  <w:r>
                    <w:t>昼间</w:t>
                  </w:r>
                </w:p>
              </w:tc>
              <w:tc>
                <w:tcPr>
                  <w:tcW w:w="439" w:type="pct"/>
                  <w:vAlign w:val="center"/>
                </w:tcPr>
                <w:p>
                  <w:pPr>
                    <w:jc w:val="center"/>
                    <w:outlineLvl w:val="9"/>
                  </w:pPr>
                  <w:r>
                    <w:rPr>
                      <w:rFonts w:hint="eastAsia"/>
                    </w:rPr>
                    <w:t>61</w:t>
                  </w:r>
                </w:p>
              </w:tc>
              <w:tc>
                <w:tcPr>
                  <w:tcW w:w="439" w:type="pct"/>
                  <w:vAlign w:val="center"/>
                </w:tcPr>
                <w:p>
                  <w:pPr>
                    <w:jc w:val="center"/>
                    <w:outlineLvl w:val="9"/>
                  </w:pPr>
                  <w:r>
                    <w:rPr>
                      <w:rFonts w:hint="eastAsia"/>
                    </w:rPr>
                    <w:t>60</w:t>
                  </w:r>
                </w:p>
              </w:tc>
              <w:tc>
                <w:tcPr>
                  <w:tcW w:w="520" w:type="pct"/>
                  <w:vAlign w:val="center"/>
                </w:tcPr>
                <w:p>
                  <w:pPr>
                    <w:jc w:val="center"/>
                    <w:outlineLvl w:val="9"/>
                  </w:pPr>
                  <w:r>
                    <w:rPr>
                      <w:rFonts w:hint="eastAsia"/>
                    </w:rPr>
                    <w:t>65</w:t>
                  </w:r>
                </w:p>
              </w:tc>
              <w:tc>
                <w:tcPr>
                  <w:tcW w:w="500" w:type="pct"/>
                  <w:gridSpan w:val="2"/>
                  <w:vAlign w:val="center"/>
                </w:tcPr>
                <w:p>
                  <w:pPr>
                    <w:jc w:val="center"/>
                    <w:outlineLvl w:val="9"/>
                  </w:pPr>
                  <w:r>
                    <w:t>是</w:t>
                  </w:r>
                </w:p>
              </w:tc>
            </w:tr>
          </w:tbl>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7.2.4废水检测结果</w:t>
            </w:r>
          </w:p>
          <w:p>
            <w:pPr>
              <w:pStyle w:val="2"/>
              <w:pBdr>
                <w:top w:val="none" w:color="auto" w:sz="0" w:space="0"/>
                <w:left w:val="none" w:color="auto" w:sz="0" w:space="0"/>
                <w:bottom w:val="none" w:color="auto" w:sz="0" w:space="0"/>
                <w:right w:val="none" w:color="auto" w:sz="0" w:space="0"/>
              </w:pBdr>
              <w:outlineLvl w:val="9"/>
            </w:pPr>
          </w:p>
          <w:p>
            <w:pPr>
              <w:spacing w:line="400" w:lineRule="exact"/>
              <w:jc w:val="right"/>
              <w:outlineLvl w:val="9"/>
            </w:pPr>
            <w:r>
              <w:t>废水检测结果及评价表           单位：mg/L</w:t>
            </w:r>
          </w:p>
          <w:tbl>
            <w:tblPr>
              <w:tblStyle w:val="1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2"/>
              <w:gridCol w:w="616"/>
              <w:gridCol w:w="1187"/>
              <w:gridCol w:w="1310"/>
              <w:gridCol w:w="763"/>
              <w:gridCol w:w="763"/>
              <w:gridCol w:w="763"/>
              <w:gridCol w:w="763"/>
              <w:gridCol w:w="910"/>
              <w:gridCol w:w="577"/>
              <w:gridCol w:w="8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blHeader/>
                <w:jc w:val="center"/>
              </w:trPr>
              <w:tc>
                <w:tcPr>
                  <w:tcW w:w="419" w:type="pct"/>
                  <w:vMerge w:val="restart"/>
                  <w:tcBorders>
                    <w:top w:val="single" w:color="auto" w:sz="4" w:space="0"/>
                    <w:left w:val="nil"/>
                  </w:tcBorders>
                  <w:vAlign w:val="center"/>
                </w:tcPr>
                <w:p>
                  <w:pPr>
                    <w:jc w:val="center"/>
                    <w:outlineLvl w:val="9"/>
                  </w:pPr>
                  <w:r>
                    <w:t>样品</w:t>
                  </w:r>
                </w:p>
                <w:p>
                  <w:pPr>
                    <w:jc w:val="center"/>
                    <w:outlineLvl w:val="9"/>
                  </w:pPr>
                  <w:r>
                    <w:t>名称</w:t>
                  </w:r>
                </w:p>
              </w:tc>
              <w:tc>
                <w:tcPr>
                  <w:tcW w:w="367" w:type="pct"/>
                  <w:vMerge w:val="restart"/>
                  <w:tcBorders>
                    <w:top w:val="single" w:color="auto" w:sz="4" w:space="0"/>
                  </w:tcBorders>
                  <w:vAlign w:val="center"/>
                </w:tcPr>
                <w:p>
                  <w:pPr>
                    <w:jc w:val="center"/>
                    <w:outlineLvl w:val="9"/>
                  </w:pPr>
                  <w:r>
                    <w:t>采样点位</w:t>
                  </w:r>
                </w:p>
              </w:tc>
              <w:tc>
                <w:tcPr>
                  <w:tcW w:w="678" w:type="pct"/>
                  <w:vMerge w:val="restart"/>
                  <w:tcBorders>
                    <w:top w:val="single" w:color="auto" w:sz="4" w:space="0"/>
                  </w:tcBorders>
                  <w:vAlign w:val="center"/>
                </w:tcPr>
                <w:p>
                  <w:pPr>
                    <w:jc w:val="center"/>
                    <w:outlineLvl w:val="9"/>
                  </w:pPr>
                  <w:r>
                    <w:t>检测项目</w:t>
                  </w:r>
                </w:p>
              </w:tc>
              <w:tc>
                <w:tcPr>
                  <w:tcW w:w="620" w:type="pct"/>
                  <w:vMerge w:val="restart"/>
                  <w:tcBorders>
                    <w:top w:val="single" w:color="auto" w:sz="4" w:space="0"/>
                  </w:tcBorders>
                  <w:vAlign w:val="center"/>
                </w:tcPr>
                <w:p>
                  <w:pPr>
                    <w:jc w:val="center"/>
                    <w:outlineLvl w:val="9"/>
                  </w:pPr>
                  <w:r>
                    <w:t>采样日期</w:t>
                  </w:r>
                </w:p>
              </w:tc>
              <w:tc>
                <w:tcPr>
                  <w:tcW w:w="2086" w:type="pct"/>
                  <w:gridSpan w:val="5"/>
                  <w:tcBorders>
                    <w:top w:val="single" w:color="auto" w:sz="4" w:space="0"/>
                  </w:tcBorders>
                  <w:vAlign w:val="center"/>
                </w:tcPr>
                <w:p>
                  <w:pPr>
                    <w:jc w:val="center"/>
                    <w:outlineLvl w:val="9"/>
                  </w:pPr>
                  <w:r>
                    <w:t>检测结果</w:t>
                  </w:r>
                </w:p>
              </w:tc>
              <w:tc>
                <w:tcPr>
                  <w:tcW w:w="334" w:type="pct"/>
                  <w:vMerge w:val="restart"/>
                  <w:tcBorders>
                    <w:top w:val="single" w:color="auto" w:sz="4" w:space="0"/>
                  </w:tcBorders>
                  <w:vAlign w:val="center"/>
                </w:tcPr>
                <w:p>
                  <w:pPr>
                    <w:jc w:val="center"/>
                    <w:outlineLvl w:val="9"/>
                  </w:pPr>
                  <w:r>
                    <w:t>标准限值</w:t>
                  </w:r>
                </w:p>
              </w:tc>
              <w:tc>
                <w:tcPr>
                  <w:tcW w:w="492" w:type="pct"/>
                  <w:vMerge w:val="restart"/>
                  <w:tcBorders>
                    <w:top w:val="single" w:color="auto" w:sz="4" w:space="0"/>
                    <w:right w:val="nil"/>
                  </w:tcBorders>
                  <w:vAlign w:val="center"/>
                </w:tcPr>
                <w:p>
                  <w:pPr>
                    <w:jc w:val="center"/>
                    <w:outlineLvl w:val="9"/>
                  </w:pPr>
                  <w:r>
                    <w:t>是否</w:t>
                  </w:r>
                </w:p>
                <w:p>
                  <w:pPr>
                    <w:jc w:val="center"/>
                    <w:outlineLvl w:val="9"/>
                  </w:pPr>
                  <w: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blHeader/>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Merge w:val="continue"/>
                  <w:vAlign w:val="center"/>
                </w:tcPr>
                <w:p>
                  <w:pPr>
                    <w:jc w:val="center"/>
                    <w:outlineLvl w:val="9"/>
                  </w:pPr>
                </w:p>
              </w:tc>
              <w:tc>
                <w:tcPr>
                  <w:tcW w:w="620" w:type="pct"/>
                  <w:vMerge w:val="continue"/>
                  <w:vAlign w:val="center"/>
                </w:tcPr>
                <w:p>
                  <w:pPr>
                    <w:jc w:val="center"/>
                    <w:outlineLvl w:val="9"/>
                  </w:pPr>
                </w:p>
              </w:tc>
              <w:tc>
                <w:tcPr>
                  <w:tcW w:w="384" w:type="pct"/>
                  <w:tcBorders>
                    <w:top w:val="single" w:color="auto" w:sz="4" w:space="0"/>
                    <w:right w:val="nil"/>
                  </w:tcBorders>
                  <w:vAlign w:val="center"/>
                </w:tcPr>
                <w:p>
                  <w:pPr>
                    <w:jc w:val="center"/>
                    <w:outlineLvl w:val="9"/>
                  </w:pPr>
                  <w:r>
                    <w:t>一次</w:t>
                  </w:r>
                </w:p>
              </w:tc>
              <w:tc>
                <w:tcPr>
                  <w:tcW w:w="393" w:type="pct"/>
                  <w:tcBorders>
                    <w:top w:val="single" w:color="auto" w:sz="4" w:space="0"/>
                    <w:right w:val="nil"/>
                  </w:tcBorders>
                  <w:vAlign w:val="center"/>
                </w:tcPr>
                <w:p>
                  <w:pPr>
                    <w:jc w:val="center"/>
                    <w:outlineLvl w:val="9"/>
                  </w:pPr>
                  <w:r>
                    <w:t>二次</w:t>
                  </w:r>
                </w:p>
              </w:tc>
              <w:tc>
                <w:tcPr>
                  <w:tcW w:w="393" w:type="pct"/>
                  <w:tcBorders>
                    <w:top w:val="single" w:color="auto" w:sz="4" w:space="0"/>
                    <w:right w:val="nil"/>
                  </w:tcBorders>
                  <w:vAlign w:val="center"/>
                </w:tcPr>
                <w:p>
                  <w:pPr>
                    <w:jc w:val="center"/>
                    <w:outlineLvl w:val="9"/>
                  </w:pPr>
                  <w:r>
                    <w:t>三次</w:t>
                  </w:r>
                </w:p>
              </w:tc>
              <w:tc>
                <w:tcPr>
                  <w:tcW w:w="402" w:type="pct"/>
                  <w:tcBorders>
                    <w:top w:val="single" w:color="auto" w:sz="4" w:space="0"/>
                    <w:right w:val="nil"/>
                  </w:tcBorders>
                  <w:vAlign w:val="center"/>
                </w:tcPr>
                <w:p>
                  <w:pPr>
                    <w:jc w:val="center"/>
                    <w:outlineLvl w:val="9"/>
                  </w:pPr>
                  <w:r>
                    <w:rPr>
                      <w:rFonts w:hint="eastAsia"/>
                    </w:rPr>
                    <w:t>四次</w:t>
                  </w:r>
                </w:p>
              </w:tc>
              <w:tc>
                <w:tcPr>
                  <w:tcW w:w="512" w:type="pct"/>
                  <w:vAlign w:val="center"/>
                </w:tcPr>
                <w:p>
                  <w:pPr>
                    <w:jc w:val="center"/>
                    <w:outlineLvl w:val="9"/>
                  </w:pPr>
                  <w:r>
                    <w:t>均值</w:t>
                  </w:r>
                </w:p>
              </w:tc>
              <w:tc>
                <w:tcPr>
                  <w:tcW w:w="334" w:type="pct"/>
                  <w:vMerge w:val="continue"/>
                  <w:vAlign w:val="center"/>
                </w:tcPr>
                <w:p>
                  <w:pPr>
                    <w:jc w:val="center"/>
                    <w:outlineLvl w:val="9"/>
                  </w:pPr>
                </w:p>
              </w:tc>
              <w:tc>
                <w:tcPr>
                  <w:tcW w:w="492" w:type="pct"/>
                  <w:vMerge w:val="continue"/>
                  <w:tcBorders>
                    <w:right w:val="nil"/>
                  </w:tcBorders>
                  <w:vAlign w:val="center"/>
                </w:tcPr>
                <w:p>
                  <w:pPr>
                    <w:jc w:val="center"/>
                    <w:outlineLvl w:val="9"/>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19" w:type="pct"/>
                  <w:vMerge w:val="restart"/>
                  <w:tcBorders>
                    <w:top w:val="single" w:color="auto" w:sz="4" w:space="0"/>
                    <w:left w:val="nil"/>
                  </w:tcBorders>
                  <w:vAlign w:val="center"/>
                </w:tcPr>
                <w:p>
                  <w:pPr>
                    <w:jc w:val="center"/>
                    <w:outlineLvl w:val="9"/>
                  </w:pPr>
                </w:p>
                <w:p>
                  <w:pPr>
                    <w:jc w:val="center"/>
                    <w:outlineLvl w:val="9"/>
                  </w:pPr>
                  <w:r>
                    <w:t>废水</w:t>
                  </w:r>
                </w:p>
                <w:p>
                  <w:pPr>
                    <w:jc w:val="center"/>
                    <w:outlineLvl w:val="9"/>
                  </w:pPr>
                </w:p>
              </w:tc>
              <w:tc>
                <w:tcPr>
                  <w:tcW w:w="367" w:type="pct"/>
                  <w:vMerge w:val="restart"/>
                  <w:tcBorders>
                    <w:top w:val="single" w:color="auto" w:sz="4" w:space="0"/>
                  </w:tcBorders>
                  <w:vAlign w:val="center"/>
                </w:tcPr>
                <w:p>
                  <w:pPr>
                    <w:jc w:val="center"/>
                    <w:outlineLvl w:val="9"/>
                  </w:pPr>
                  <w:r>
                    <w:rPr>
                      <w:rFonts w:hint="eastAsia"/>
                    </w:rPr>
                    <w:t>废水排放口</w:t>
                  </w:r>
                </w:p>
              </w:tc>
              <w:tc>
                <w:tcPr>
                  <w:tcW w:w="678" w:type="pct"/>
                  <w:tcBorders>
                    <w:top w:val="single" w:color="auto" w:sz="4" w:space="0"/>
                  </w:tcBorders>
                  <w:vAlign w:val="center"/>
                </w:tcPr>
                <w:p>
                  <w:pPr>
                    <w:spacing w:line="340" w:lineRule="exact"/>
                    <w:jc w:val="center"/>
                    <w:outlineLvl w:val="9"/>
                  </w:pPr>
                  <w:r>
                    <w:t>pH</w:t>
                  </w:r>
                  <w:r>
                    <w:rPr>
                      <w:rFonts w:hint="eastAsia"/>
                    </w:rPr>
                    <w:t>（无量纲）</w:t>
                  </w:r>
                </w:p>
              </w:tc>
              <w:tc>
                <w:tcPr>
                  <w:tcW w:w="620" w:type="pct"/>
                  <w:vMerge w:val="restart"/>
                  <w:tcBorders>
                    <w:top w:val="single" w:color="auto" w:sz="4" w:space="0"/>
                  </w:tcBorders>
                  <w:vAlign w:val="center"/>
                </w:tcPr>
                <w:p>
                  <w:pPr>
                    <w:jc w:val="center"/>
                    <w:outlineLvl w:val="9"/>
                  </w:pPr>
                  <w:r>
                    <w:t>2022.0</w:t>
                  </w:r>
                  <w:r>
                    <w:rPr>
                      <w:rFonts w:hint="eastAsia"/>
                    </w:rPr>
                    <w:t>8.04</w:t>
                  </w:r>
                </w:p>
              </w:tc>
              <w:tc>
                <w:tcPr>
                  <w:tcW w:w="384" w:type="pct"/>
                  <w:tcBorders>
                    <w:top w:val="single" w:color="auto" w:sz="4" w:space="0"/>
                    <w:bottom w:val="single" w:color="auto" w:sz="4" w:space="0"/>
                  </w:tcBorders>
                  <w:vAlign w:val="center"/>
                </w:tcPr>
                <w:p>
                  <w:pPr>
                    <w:jc w:val="center"/>
                    <w:outlineLvl w:val="9"/>
                  </w:pPr>
                  <w:r>
                    <w:rPr>
                      <w:rFonts w:hint="eastAsia"/>
                    </w:rPr>
                    <w:t>7.9</w:t>
                  </w:r>
                </w:p>
              </w:tc>
              <w:tc>
                <w:tcPr>
                  <w:tcW w:w="393" w:type="pct"/>
                  <w:vAlign w:val="center"/>
                </w:tcPr>
                <w:p>
                  <w:pPr>
                    <w:jc w:val="center"/>
                    <w:outlineLvl w:val="9"/>
                  </w:pPr>
                  <w:r>
                    <w:rPr>
                      <w:rFonts w:hint="eastAsia"/>
                    </w:rPr>
                    <w:t>8.0</w:t>
                  </w:r>
                </w:p>
              </w:tc>
              <w:tc>
                <w:tcPr>
                  <w:tcW w:w="393" w:type="pct"/>
                  <w:tcBorders>
                    <w:right w:val="nil"/>
                  </w:tcBorders>
                  <w:vAlign w:val="center"/>
                </w:tcPr>
                <w:p>
                  <w:pPr>
                    <w:jc w:val="center"/>
                    <w:outlineLvl w:val="9"/>
                  </w:pPr>
                  <w:r>
                    <w:rPr>
                      <w:rFonts w:hint="eastAsia"/>
                    </w:rPr>
                    <w:t>7.9</w:t>
                  </w:r>
                </w:p>
              </w:tc>
              <w:tc>
                <w:tcPr>
                  <w:tcW w:w="402" w:type="pct"/>
                  <w:tcBorders>
                    <w:right w:val="nil"/>
                  </w:tcBorders>
                  <w:vAlign w:val="center"/>
                </w:tcPr>
                <w:p>
                  <w:pPr>
                    <w:jc w:val="center"/>
                    <w:outlineLvl w:val="9"/>
                  </w:pPr>
                  <w:r>
                    <w:rPr>
                      <w:rFonts w:hint="eastAsia"/>
                    </w:rPr>
                    <w:t>7.7</w:t>
                  </w:r>
                </w:p>
              </w:tc>
              <w:tc>
                <w:tcPr>
                  <w:tcW w:w="512" w:type="pct"/>
                  <w:vAlign w:val="center"/>
                </w:tcPr>
                <w:p>
                  <w:pPr>
                    <w:jc w:val="center"/>
                    <w:outlineLvl w:val="9"/>
                  </w:pPr>
                  <w:r>
                    <w:rPr>
                      <w:rFonts w:hint="eastAsia"/>
                    </w:rPr>
                    <w:t>7.7-8.0</w:t>
                  </w:r>
                </w:p>
              </w:tc>
              <w:tc>
                <w:tcPr>
                  <w:tcW w:w="334" w:type="pct"/>
                  <w:vAlign w:val="center"/>
                </w:tcPr>
                <w:p>
                  <w:pPr>
                    <w:jc w:val="center"/>
                    <w:outlineLvl w:val="9"/>
                  </w:pPr>
                  <w:r>
                    <w:rPr>
                      <w:rFonts w:hint="eastAsia"/>
                    </w:rPr>
                    <w:t>6-9</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化学需氧量</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440</w:t>
                  </w:r>
                </w:p>
              </w:tc>
              <w:tc>
                <w:tcPr>
                  <w:tcW w:w="393" w:type="pct"/>
                  <w:vAlign w:val="center"/>
                </w:tcPr>
                <w:p>
                  <w:pPr>
                    <w:jc w:val="center"/>
                    <w:outlineLvl w:val="9"/>
                  </w:pPr>
                  <w:r>
                    <w:rPr>
                      <w:rFonts w:hint="eastAsia"/>
                    </w:rPr>
                    <w:t>423</w:t>
                  </w:r>
                </w:p>
              </w:tc>
              <w:tc>
                <w:tcPr>
                  <w:tcW w:w="393" w:type="pct"/>
                  <w:tcBorders>
                    <w:right w:val="nil"/>
                  </w:tcBorders>
                  <w:vAlign w:val="center"/>
                </w:tcPr>
                <w:p>
                  <w:pPr>
                    <w:jc w:val="center"/>
                    <w:outlineLvl w:val="9"/>
                  </w:pPr>
                  <w:r>
                    <w:rPr>
                      <w:rFonts w:hint="eastAsia"/>
                    </w:rPr>
                    <w:t>455</w:t>
                  </w:r>
                </w:p>
              </w:tc>
              <w:tc>
                <w:tcPr>
                  <w:tcW w:w="402" w:type="pct"/>
                  <w:tcBorders>
                    <w:right w:val="nil"/>
                  </w:tcBorders>
                  <w:vAlign w:val="center"/>
                </w:tcPr>
                <w:p>
                  <w:pPr>
                    <w:jc w:val="center"/>
                    <w:outlineLvl w:val="9"/>
                  </w:pPr>
                  <w:r>
                    <w:rPr>
                      <w:rFonts w:hint="eastAsia"/>
                    </w:rPr>
                    <w:t>429</w:t>
                  </w:r>
                </w:p>
              </w:tc>
              <w:tc>
                <w:tcPr>
                  <w:tcW w:w="512" w:type="pct"/>
                  <w:vAlign w:val="center"/>
                </w:tcPr>
                <w:p>
                  <w:pPr>
                    <w:jc w:val="center"/>
                    <w:outlineLvl w:val="9"/>
                  </w:pPr>
                  <w:r>
                    <w:fldChar w:fldCharType="begin"/>
                  </w:r>
                  <w:r>
                    <w:instrText xml:space="preserve"> = average(E4:H4) \* MERGEFORMAT </w:instrText>
                  </w:r>
                  <w:r>
                    <w:fldChar w:fldCharType="separate"/>
                  </w:r>
                  <w:r>
                    <w:t>43</w:t>
                  </w:r>
                  <w:r>
                    <w:rPr>
                      <w:rFonts w:hint="eastAsia"/>
                    </w:rPr>
                    <w:t>7</w:t>
                  </w:r>
                  <w:r>
                    <w:fldChar w:fldCharType="end"/>
                  </w:r>
                </w:p>
              </w:tc>
              <w:tc>
                <w:tcPr>
                  <w:tcW w:w="334" w:type="pct"/>
                  <w:vAlign w:val="center"/>
                </w:tcPr>
                <w:p>
                  <w:pPr>
                    <w:jc w:val="center"/>
                    <w:outlineLvl w:val="9"/>
                  </w:pPr>
                  <w:r>
                    <w:rPr>
                      <w:rFonts w:hint="eastAsia"/>
                    </w:rPr>
                    <w:t>500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五日生化需氧量</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87.2</w:t>
                  </w:r>
                </w:p>
              </w:tc>
              <w:tc>
                <w:tcPr>
                  <w:tcW w:w="393" w:type="pct"/>
                  <w:vAlign w:val="center"/>
                </w:tcPr>
                <w:p>
                  <w:pPr>
                    <w:jc w:val="center"/>
                    <w:outlineLvl w:val="9"/>
                  </w:pPr>
                  <w:r>
                    <w:rPr>
                      <w:rFonts w:hint="eastAsia"/>
                    </w:rPr>
                    <w:t>71.7</w:t>
                  </w:r>
                </w:p>
              </w:tc>
              <w:tc>
                <w:tcPr>
                  <w:tcW w:w="393" w:type="pct"/>
                  <w:tcBorders>
                    <w:right w:val="nil"/>
                  </w:tcBorders>
                  <w:vAlign w:val="center"/>
                </w:tcPr>
                <w:p>
                  <w:pPr>
                    <w:jc w:val="center"/>
                    <w:outlineLvl w:val="9"/>
                  </w:pPr>
                  <w:r>
                    <w:rPr>
                      <w:rFonts w:hint="eastAsia"/>
                    </w:rPr>
                    <w:t>90.5</w:t>
                  </w:r>
                </w:p>
              </w:tc>
              <w:tc>
                <w:tcPr>
                  <w:tcW w:w="402" w:type="pct"/>
                  <w:tcBorders>
                    <w:right w:val="nil"/>
                  </w:tcBorders>
                  <w:vAlign w:val="center"/>
                </w:tcPr>
                <w:p>
                  <w:pPr>
                    <w:jc w:val="center"/>
                    <w:outlineLvl w:val="9"/>
                  </w:pPr>
                  <w:r>
                    <w:rPr>
                      <w:rFonts w:hint="eastAsia"/>
                    </w:rPr>
                    <w:t>78.1</w:t>
                  </w:r>
                </w:p>
              </w:tc>
              <w:tc>
                <w:tcPr>
                  <w:tcW w:w="512" w:type="pct"/>
                  <w:vAlign w:val="center"/>
                </w:tcPr>
                <w:p>
                  <w:pPr>
                    <w:jc w:val="center"/>
                    <w:outlineLvl w:val="9"/>
                  </w:pPr>
                  <w:r>
                    <w:fldChar w:fldCharType="begin"/>
                  </w:r>
                  <w:r>
                    <w:instrText xml:space="preserve"> = average(E5:H5) \* MERGEFORMAT </w:instrText>
                  </w:r>
                  <w:r>
                    <w:fldChar w:fldCharType="separate"/>
                  </w:r>
                  <w:r>
                    <w:t>81.</w:t>
                  </w:r>
                  <w:r>
                    <w:rPr>
                      <w:rFonts w:hint="eastAsia"/>
                    </w:rPr>
                    <w:t>9</w:t>
                  </w:r>
                  <w:r>
                    <w:fldChar w:fldCharType="end"/>
                  </w:r>
                </w:p>
              </w:tc>
              <w:tc>
                <w:tcPr>
                  <w:tcW w:w="334" w:type="pct"/>
                  <w:vAlign w:val="center"/>
                </w:tcPr>
                <w:p>
                  <w:pPr>
                    <w:jc w:val="center"/>
                    <w:outlineLvl w:val="9"/>
                  </w:pPr>
                  <w:r>
                    <w:rPr>
                      <w:rFonts w:hint="eastAsia"/>
                    </w:rPr>
                    <w:t>300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悬浮物</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25</w:t>
                  </w:r>
                </w:p>
              </w:tc>
              <w:tc>
                <w:tcPr>
                  <w:tcW w:w="393" w:type="pct"/>
                  <w:vAlign w:val="center"/>
                </w:tcPr>
                <w:p>
                  <w:pPr>
                    <w:jc w:val="center"/>
                    <w:outlineLvl w:val="9"/>
                  </w:pPr>
                  <w:r>
                    <w:rPr>
                      <w:rFonts w:hint="eastAsia"/>
                    </w:rPr>
                    <w:t>23</w:t>
                  </w:r>
                </w:p>
              </w:tc>
              <w:tc>
                <w:tcPr>
                  <w:tcW w:w="393" w:type="pct"/>
                  <w:tcBorders>
                    <w:right w:val="nil"/>
                  </w:tcBorders>
                  <w:vAlign w:val="center"/>
                </w:tcPr>
                <w:p>
                  <w:pPr>
                    <w:jc w:val="center"/>
                    <w:outlineLvl w:val="9"/>
                  </w:pPr>
                  <w:r>
                    <w:rPr>
                      <w:rFonts w:hint="eastAsia"/>
                    </w:rPr>
                    <w:t>26</w:t>
                  </w:r>
                </w:p>
              </w:tc>
              <w:tc>
                <w:tcPr>
                  <w:tcW w:w="402" w:type="pct"/>
                  <w:tcBorders>
                    <w:right w:val="nil"/>
                  </w:tcBorders>
                  <w:vAlign w:val="center"/>
                </w:tcPr>
                <w:p>
                  <w:pPr>
                    <w:jc w:val="center"/>
                    <w:outlineLvl w:val="9"/>
                  </w:pPr>
                  <w:r>
                    <w:rPr>
                      <w:rFonts w:hint="eastAsia"/>
                    </w:rPr>
                    <w:t>27</w:t>
                  </w:r>
                </w:p>
              </w:tc>
              <w:tc>
                <w:tcPr>
                  <w:tcW w:w="512" w:type="pct"/>
                  <w:vAlign w:val="center"/>
                </w:tcPr>
                <w:p>
                  <w:pPr>
                    <w:jc w:val="center"/>
                    <w:outlineLvl w:val="9"/>
                  </w:pPr>
                  <w:r>
                    <w:fldChar w:fldCharType="begin"/>
                  </w:r>
                  <w:r>
                    <w:instrText xml:space="preserve"> = average(E6:H6) \* MERGEFORMAT </w:instrText>
                  </w:r>
                  <w:r>
                    <w:fldChar w:fldCharType="separate"/>
                  </w:r>
                  <w:r>
                    <w:t>25</w:t>
                  </w:r>
                  <w:r>
                    <w:fldChar w:fldCharType="end"/>
                  </w:r>
                </w:p>
              </w:tc>
              <w:tc>
                <w:tcPr>
                  <w:tcW w:w="334" w:type="pct"/>
                  <w:vAlign w:val="center"/>
                </w:tcPr>
                <w:p>
                  <w:pPr>
                    <w:jc w:val="center"/>
                    <w:outlineLvl w:val="9"/>
                  </w:pPr>
                  <w:r>
                    <w:rPr>
                      <w:rFonts w:hint="eastAsia"/>
                    </w:rPr>
                    <w:t>400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t>氨氮</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52.4</w:t>
                  </w:r>
                </w:p>
              </w:tc>
              <w:tc>
                <w:tcPr>
                  <w:tcW w:w="393" w:type="pct"/>
                  <w:vAlign w:val="center"/>
                </w:tcPr>
                <w:p>
                  <w:pPr>
                    <w:jc w:val="center"/>
                    <w:outlineLvl w:val="9"/>
                  </w:pPr>
                  <w:r>
                    <w:rPr>
                      <w:rFonts w:hint="eastAsia"/>
                    </w:rPr>
                    <w:t>66.3</w:t>
                  </w:r>
                </w:p>
              </w:tc>
              <w:tc>
                <w:tcPr>
                  <w:tcW w:w="393" w:type="pct"/>
                  <w:tcBorders>
                    <w:right w:val="nil"/>
                  </w:tcBorders>
                  <w:vAlign w:val="center"/>
                </w:tcPr>
                <w:p>
                  <w:pPr>
                    <w:jc w:val="center"/>
                    <w:outlineLvl w:val="9"/>
                  </w:pPr>
                  <w:r>
                    <w:rPr>
                      <w:rFonts w:hint="eastAsia"/>
                    </w:rPr>
                    <w:t>51.3</w:t>
                  </w:r>
                </w:p>
              </w:tc>
              <w:tc>
                <w:tcPr>
                  <w:tcW w:w="402" w:type="pct"/>
                  <w:tcBorders>
                    <w:right w:val="nil"/>
                  </w:tcBorders>
                  <w:vAlign w:val="center"/>
                </w:tcPr>
                <w:p>
                  <w:pPr>
                    <w:jc w:val="center"/>
                    <w:outlineLvl w:val="9"/>
                  </w:pPr>
                  <w:r>
                    <w:rPr>
                      <w:rFonts w:hint="eastAsia"/>
                    </w:rPr>
                    <w:t>61.6</w:t>
                  </w:r>
                </w:p>
              </w:tc>
              <w:tc>
                <w:tcPr>
                  <w:tcW w:w="512" w:type="pct"/>
                  <w:vAlign w:val="center"/>
                </w:tcPr>
                <w:p>
                  <w:pPr>
                    <w:jc w:val="center"/>
                    <w:outlineLvl w:val="9"/>
                  </w:pPr>
                  <w:r>
                    <w:fldChar w:fldCharType="begin"/>
                  </w:r>
                  <w:r>
                    <w:instrText xml:space="preserve"> = average(E7:H7) \* MERGEFORMAT </w:instrText>
                  </w:r>
                  <w:r>
                    <w:fldChar w:fldCharType="separate"/>
                  </w:r>
                  <w:r>
                    <w:t>57.9</w:t>
                  </w:r>
                  <w:r>
                    <w:fldChar w:fldCharType="end"/>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石油类</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0.20</w:t>
                  </w:r>
                </w:p>
              </w:tc>
              <w:tc>
                <w:tcPr>
                  <w:tcW w:w="393" w:type="pct"/>
                  <w:vAlign w:val="center"/>
                </w:tcPr>
                <w:p>
                  <w:pPr>
                    <w:jc w:val="center"/>
                    <w:outlineLvl w:val="9"/>
                  </w:pPr>
                  <w:r>
                    <w:rPr>
                      <w:rFonts w:hint="eastAsia"/>
                    </w:rPr>
                    <w:t>0.18</w:t>
                  </w:r>
                </w:p>
              </w:tc>
              <w:tc>
                <w:tcPr>
                  <w:tcW w:w="393" w:type="pct"/>
                  <w:tcBorders>
                    <w:right w:val="nil"/>
                  </w:tcBorders>
                  <w:vAlign w:val="center"/>
                </w:tcPr>
                <w:p>
                  <w:pPr>
                    <w:jc w:val="center"/>
                    <w:outlineLvl w:val="9"/>
                  </w:pPr>
                  <w:r>
                    <w:rPr>
                      <w:rFonts w:hint="eastAsia"/>
                    </w:rPr>
                    <w:t>0.20</w:t>
                  </w:r>
                </w:p>
              </w:tc>
              <w:tc>
                <w:tcPr>
                  <w:tcW w:w="402" w:type="pct"/>
                  <w:tcBorders>
                    <w:right w:val="nil"/>
                  </w:tcBorders>
                  <w:vAlign w:val="center"/>
                </w:tcPr>
                <w:p>
                  <w:pPr>
                    <w:jc w:val="center"/>
                    <w:outlineLvl w:val="9"/>
                  </w:pPr>
                  <w:r>
                    <w:rPr>
                      <w:rFonts w:hint="eastAsia"/>
                    </w:rPr>
                    <w:t>0.46</w:t>
                  </w:r>
                </w:p>
              </w:tc>
              <w:tc>
                <w:tcPr>
                  <w:tcW w:w="512" w:type="pct"/>
                  <w:vAlign w:val="center"/>
                </w:tcPr>
                <w:p>
                  <w:pPr>
                    <w:jc w:val="center"/>
                    <w:outlineLvl w:val="9"/>
                  </w:pPr>
                  <w:r>
                    <w:fldChar w:fldCharType="begin"/>
                  </w:r>
                  <w:r>
                    <w:instrText xml:space="preserve"> = average(E18:H18) \* MERGEFORMAT </w:instrText>
                  </w:r>
                  <w:r>
                    <w:fldChar w:fldCharType="separate"/>
                  </w:r>
                  <w:r>
                    <w:t>0.26</w:t>
                  </w:r>
                  <w:r>
                    <w:fldChar w:fldCharType="end"/>
                  </w:r>
                </w:p>
              </w:tc>
              <w:tc>
                <w:tcPr>
                  <w:tcW w:w="334" w:type="pct"/>
                  <w:vAlign w:val="center"/>
                </w:tcPr>
                <w:p>
                  <w:pPr>
                    <w:jc w:val="center"/>
                    <w:outlineLvl w:val="9"/>
                  </w:pPr>
                  <w:r>
                    <w:rPr>
                      <w:rFonts w:hint="eastAsia"/>
                    </w:rPr>
                    <w:t>20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氯化物</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592</w:t>
                  </w:r>
                </w:p>
              </w:tc>
              <w:tc>
                <w:tcPr>
                  <w:tcW w:w="393" w:type="pct"/>
                  <w:vAlign w:val="center"/>
                </w:tcPr>
                <w:p>
                  <w:pPr>
                    <w:jc w:val="center"/>
                    <w:outlineLvl w:val="9"/>
                  </w:pPr>
                  <w:r>
                    <w:rPr>
                      <w:rFonts w:hint="eastAsia"/>
                    </w:rPr>
                    <w:t>714</w:t>
                  </w:r>
                </w:p>
              </w:tc>
              <w:tc>
                <w:tcPr>
                  <w:tcW w:w="393" w:type="pct"/>
                  <w:tcBorders>
                    <w:right w:val="nil"/>
                  </w:tcBorders>
                  <w:vAlign w:val="center"/>
                </w:tcPr>
                <w:p>
                  <w:pPr>
                    <w:jc w:val="center"/>
                    <w:outlineLvl w:val="9"/>
                  </w:pPr>
                  <w:r>
                    <w:rPr>
                      <w:rFonts w:hint="eastAsia"/>
                    </w:rPr>
                    <w:t>674</w:t>
                  </w:r>
                </w:p>
              </w:tc>
              <w:tc>
                <w:tcPr>
                  <w:tcW w:w="402" w:type="pct"/>
                  <w:tcBorders>
                    <w:right w:val="nil"/>
                  </w:tcBorders>
                  <w:vAlign w:val="center"/>
                </w:tcPr>
                <w:p>
                  <w:pPr>
                    <w:jc w:val="center"/>
                    <w:outlineLvl w:val="9"/>
                  </w:pPr>
                  <w:r>
                    <w:rPr>
                      <w:rFonts w:hint="eastAsia"/>
                    </w:rPr>
                    <w:t>634</w:t>
                  </w:r>
                </w:p>
              </w:tc>
              <w:tc>
                <w:tcPr>
                  <w:tcW w:w="512" w:type="pct"/>
                  <w:vAlign w:val="center"/>
                </w:tcPr>
                <w:p>
                  <w:pPr>
                    <w:jc w:val="center"/>
                    <w:outlineLvl w:val="9"/>
                  </w:pPr>
                  <w:r>
                    <w:fldChar w:fldCharType="begin"/>
                  </w:r>
                  <w:r>
                    <w:instrText xml:space="preserve"> = average(E9:H9) \* MERGEFORMAT </w:instrText>
                  </w:r>
                  <w:r>
                    <w:fldChar w:fldCharType="separate"/>
                  </w:r>
                  <w:r>
                    <w:t>65</w:t>
                  </w:r>
                  <w:r>
                    <w:rPr>
                      <w:rFonts w:hint="eastAsia"/>
                    </w:rPr>
                    <w:t>4</w:t>
                  </w:r>
                  <w:r>
                    <w:fldChar w:fldCharType="end"/>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*铁</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＜0.03</w:t>
                  </w:r>
                </w:p>
              </w:tc>
              <w:tc>
                <w:tcPr>
                  <w:tcW w:w="393" w:type="pct"/>
                  <w:vAlign w:val="center"/>
                </w:tcPr>
                <w:p>
                  <w:pPr>
                    <w:jc w:val="center"/>
                    <w:outlineLvl w:val="9"/>
                  </w:pPr>
                  <w:r>
                    <w:rPr>
                      <w:rFonts w:hint="eastAsia"/>
                    </w:rPr>
                    <w:t>＜0.03</w:t>
                  </w:r>
                </w:p>
              </w:tc>
              <w:tc>
                <w:tcPr>
                  <w:tcW w:w="393" w:type="pct"/>
                  <w:vAlign w:val="center"/>
                </w:tcPr>
                <w:p>
                  <w:pPr>
                    <w:jc w:val="center"/>
                    <w:outlineLvl w:val="9"/>
                  </w:pPr>
                  <w:r>
                    <w:rPr>
                      <w:rFonts w:hint="eastAsia"/>
                    </w:rPr>
                    <w:t>＜0.03</w:t>
                  </w:r>
                </w:p>
              </w:tc>
              <w:tc>
                <w:tcPr>
                  <w:tcW w:w="402" w:type="pct"/>
                  <w:vAlign w:val="center"/>
                </w:tcPr>
                <w:p>
                  <w:pPr>
                    <w:jc w:val="center"/>
                    <w:outlineLvl w:val="9"/>
                  </w:pPr>
                  <w:r>
                    <w:rPr>
                      <w:rFonts w:hint="eastAsia"/>
                    </w:rPr>
                    <w:t>＜0.03</w:t>
                  </w:r>
                </w:p>
              </w:tc>
              <w:tc>
                <w:tcPr>
                  <w:tcW w:w="512" w:type="pct"/>
                  <w:vAlign w:val="center"/>
                </w:tcPr>
                <w:p>
                  <w:pPr>
                    <w:jc w:val="center"/>
                    <w:outlineLvl w:val="9"/>
                  </w:pPr>
                  <w:r>
                    <w:rPr>
                      <w:rFonts w:hint="eastAsia"/>
                    </w:rPr>
                    <w:t>＜0.03</w:t>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*锌</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0.087</w:t>
                  </w:r>
                </w:p>
              </w:tc>
              <w:tc>
                <w:tcPr>
                  <w:tcW w:w="393" w:type="pct"/>
                  <w:vAlign w:val="center"/>
                </w:tcPr>
                <w:p>
                  <w:pPr>
                    <w:jc w:val="center"/>
                    <w:outlineLvl w:val="9"/>
                  </w:pPr>
                  <w:r>
                    <w:rPr>
                      <w:rFonts w:hint="eastAsia"/>
                    </w:rPr>
                    <w:t>0.081</w:t>
                  </w:r>
                </w:p>
              </w:tc>
              <w:tc>
                <w:tcPr>
                  <w:tcW w:w="393" w:type="pct"/>
                  <w:vAlign w:val="center"/>
                </w:tcPr>
                <w:p>
                  <w:pPr>
                    <w:jc w:val="center"/>
                    <w:outlineLvl w:val="9"/>
                  </w:pPr>
                  <w:r>
                    <w:rPr>
                      <w:rFonts w:hint="eastAsia"/>
                    </w:rPr>
                    <w:t>0.050</w:t>
                  </w:r>
                </w:p>
              </w:tc>
              <w:tc>
                <w:tcPr>
                  <w:tcW w:w="402" w:type="pct"/>
                  <w:vAlign w:val="center"/>
                </w:tcPr>
                <w:p>
                  <w:pPr>
                    <w:jc w:val="center"/>
                    <w:outlineLvl w:val="9"/>
                  </w:pPr>
                  <w:r>
                    <w:rPr>
                      <w:rFonts w:hint="eastAsia"/>
                    </w:rPr>
                    <w:t>0.110</w:t>
                  </w:r>
                </w:p>
              </w:tc>
              <w:tc>
                <w:tcPr>
                  <w:tcW w:w="512" w:type="pct"/>
                  <w:vAlign w:val="center"/>
                </w:tcPr>
                <w:p>
                  <w:pPr>
                    <w:jc w:val="center"/>
                    <w:outlineLvl w:val="9"/>
                  </w:pPr>
                  <w:r>
                    <w:fldChar w:fldCharType="begin"/>
                  </w:r>
                  <w:r>
                    <w:instrText xml:space="preserve"> = average(E11:H11) \* MERGEFORMAT </w:instrText>
                  </w:r>
                  <w:r>
                    <w:fldChar w:fldCharType="separate"/>
                  </w:r>
                  <w:r>
                    <w:t>0.082</w:t>
                  </w:r>
                  <w:r>
                    <w:fldChar w:fldCharType="end"/>
                  </w:r>
                </w:p>
              </w:tc>
              <w:tc>
                <w:tcPr>
                  <w:tcW w:w="334" w:type="pct"/>
                  <w:vAlign w:val="center"/>
                </w:tcPr>
                <w:p>
                  <w:pPr>
                    <w:jc w:val="center"/>
                    <w:outlineLvl w:val="9"/>
                  </w:pPr>
                  <w:r>
                    <w:rPr>
                      <w:rFonts w:hint="eastAsia"/>
                    </w:rPr>
                    <w:t>5.0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流量（m3/h）</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0.412</w:t>
                  </w:r>
                </w:p>
              </w:tc>
              <w:tc>
                <w:tcPr>
                  <w:tcW w:w="393" w:type="pct"/>
                  <w:vAlign w:val="center"/>
                </w:tcPr>
                <w:p>
                  <w:pPr>
                    <w:jc w:val="center"/>
                    <w:outlineLvl w:val="9"/>
                  </w:pPr>
                  <w:r>
                    <w:rPr>
                      <w:rFonts w:hint="eastAsia"/>
                    </w:rPr>
                    <w:t>0.410</w:t>
                  </w:r>
                </w:p>
              </w:tc>
              <w:tc>
                <w:tcPr>
                  <w:tcW w:w="393" w:type="pct"/>
                  <w:vAlign w:val="center"/>
                </w:tcPr>
                <w:p>
                  <w:pPr>
                    <w:jc w:val="center"/>
                    <w:outlineLvl w:val="9"/>
                  </w:pPr>
                  <w:r>
                    <w:rPr>
                      <w:rFonts w:hint="eastAsia"/>
                    </w:rPr>
                    <w:t>0.421</w:t>
                  </w:r>
                </w:p>
              </w:tc>
              <w:tc>
                <w:tcPr>
                  <w:tcW w:w="402" w:type="pct"/>
                  <w:vAlign w:val="center"/>
                </w:tcPr>
                <w:p>
                  <w:pPr>
                    <w:jc w:val="center"/>
                    <w:outlineLvl w:val="9"/>
                  </w:pPr>
                  <w:r>
                    <w:rPr>
                      <w:rFonts w:hint="eastAsia"/>
                    </w:rPr>
                    <w:t>0.419</w:t>
                  </w:r>
                </w:p>
              </w:tc>
              <w:tc>
                <w:tcPr>
                  <w:tcW w:w="512" w:type="pct"/>
                  <w:vAlign w:val="center"/>
                </w:tcPr>
                <w:p>
                  <w:pPr>
                    <w:jc w:val="center"/>
                    <w:outlineLvl w:val="9"/>
                  </w:pPr>
                  <w:r>
                    <w:fldChar w:fldCharType="begin"/>
                  </w:r>
                  <w:r>
                    <w:instrText xml:space="preserve"> = average(E12:H12) \* MERGEFORMAT </w:instrText>
                  </w:r>
                  <w:r>
                    <w:fldChar w:fldCharType="separate"/>
                  </w:r>
                  <w:r>
                    <w:t>0.41</w:t>
                  </w:r>
                  <w:r>
                    <w:rPr>
                      <w:rFonts w:hint="eastAsia"/>
                    </w:rPr>
                    <w:t>6</w:t>
                  </w:r>
                  <w:r>
                    <w:fldChar w:fldCharType="end"/>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tcBorders>
                    <w:top w:val="single" w:color="auto" w:sz="4" w:space="0"/>
                  </w:tcBorders>
                  <w:vAlign w:val="center"/>
                </w:tcPr>
                <w:p>
                  <w:pPr>
                    <w:spacing w:line="340" w:lineRule="exact"/>
                    <w:jc w:val="center"/>
                    <w:outlineLvl w:val="9"/>
                  </w:pPr>
                  <w:r>
                    <w:t>pH</w:t>
                  </w:r>
                  <w:r>
                    <w:rPr>
                      <w:rFonts w:hint="eastAsia"/>
                    </w:rPr>
                    <w:t>（无量纲）</w:t>
                  </w:r>
                </w:p>
              </w:tc>
              <w:tc>
                <w:tcPr>
                  <w:tcW w:w="620" w:type="pct"/>
                  <w:vMerge w:val="restart"/>
                  <w:tcBorders>
                    <w:top w:val="single" w:color="auto" w:sz="4" w:space="0"/>
                  </w:tcBorders>
                  <w:vAlign w:val="center"/>
                </w:tcPr>
                <w:p>
                  <w:pPr>
                    <w:jc w:val="center"/>
                    <w:outlineLvl w:val="9"/>
                  </w:pPr>
                  <w:r>
                    <w:t>2022.0</w:t>
                  </w:r>
                  <w:r>
                    <w:rPr>
                      <w:rFonts w:hint="eastAsia"/>
                    </w:rPr>
                    <w:t>8.05</w:t>
                  </w:r>
                </w:p>
              </w:tc>
              <w:tc>
                <w:tcPr>
                  <w:tcW w:w="384" w:type="pct"/>
                  <w:tcBorders>
                    <w:top w:val="single" w:color="auto" w:sz="4" w:space="0"/>
                    <w:bottom w:val="single" w:color="auto" w:sz="4" w:space="0"/>
                  </w:tcBorders>
                  <w:vAlign w:val="center"/>
                </w:tcPr>
                <w:p>
                  <w:pPr>
                    <w:jc w:val="center"/>
                    <w:outlineLvl w:val="9"/>
                  </w:pPr>
                  <w:r>
                    <w:rPr>
                      <w:rFonts w:hint="eastAsia"/>
                    </w:rPr>
                    <w:t>7.8</w:t>
                  </w:r>
                </w:p>
              </w:tc>
              <w:tc>
                <w:tcPr>
                  <w:tcW w:w="393" w:type="pct"/>
                  <w:vAlign w:val="center"/>
                </w:tcPr>
                <w:p>
                  <w:pPr>
                    <w:jc w:val="center"/>
                    <w:outlineLvl w:val="9"/>
                  </w:pPr>
                  <w:r>
                    <w:rPr>
                      <w:rFonts w:hint="eastAsia"/>
                    </w:rPr>
                    <w:t>7.8</w:t>
                  </w:r>
                </w:p>
              </w:tc>
              <w:tc>
                <w:tcPr>
                  <w:tcW w:w="393" w:type="pct"/>
                  <w:tcBorders>
                    <w:right w:val="nil"/>
                  </w:tcBorders>
                  <w:vAlign w:val="center"/>
                </w:tcPr>
                <w:p>
                  <w:pPr>
                    <w:jc w:val="center"/>
                    <w:outlineLvl w:val="9"/>
                  </w:pPr>
                  <w:r>
                    <w:rPr>
                      <w:rFonts w:hint="eastAsia"/>
                    </w:rPr>
                    <w:t>7.9</w:t>
                  </w:r>
                </w:p>
              </w:tc>
              <w:tc>
                <w:tcPr>
                  <w:tcW w:w="402" w:type="pct"/>
                  <w:tcBorders>
                    <w:right w:val="nil"/>
                  </w:tcBorders>
                  <w:vAlign w:val="center"/>
                </w:tcPr>
                <w:p>
                  <w:pPr>
                    <w:jc w:val="center"/>
                    <w:outlineLvl w:val="9"/>
                  </w:pPr>
                  <w:r>
                    <w:rPr>
                      <w:rFonts w:hint="eastAsia"/>
                    </w:rPr>
                    <w:t>7.9</w:t>
                  </w:r>
                </w:p>
              </w:tc>
              <w:tc>
                <w:tcPr>
                  <w:tcW w:w="512" w:type="pct"/>
                  <w:vAlign w:val="center"/>
                </w:tcPr>
                <w:p>
                  <w:pPr>
                    <w:jc w:val="center"/>
                    <w:outlineLvl w:val="9"/>
                  </w:pPr>
                  <w:r>
                    <w:rPr>
                      <w:rFonts w:hint="eastAsia"/>
                    </w:rPr>
                    <w:t>7.8-7.9</w:t>
                  </w:r>
                </w:p>
              </w:tc>
              <w:tc>
                <w:tcPr>
                  <w:tcW w:w="334" w:type="pct"/>
                  <w:vAlign w:val="center"/>
                </w:tcPr>
                <w:p>
                  <w:pPr>
                    <w:jc w:val="center"/>
                    <w:outlineLvl w:val="9"/>
                  </w:pPr>
                  <w:r>
                    <w:rPr>
                      <w:rFonts w:hint="eastAsia"/>
                    </w:rPr>
                    <w:t>6-9</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化学需氧量</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414</w:t>
                  </w:r>
                </w:p>
              </w:tc>
              <w:tc>
                <w:tcPr>
                  <w:tcW w:w="393" w:type="pct"/>
                  <w:vAlign w:val="center"/>
                </w:tcPr>
                <w:p>
                  <w:pPr>
                    <w:jc w:val="center"/>
                    <w:outlineLvl w:val="9"/>
                  </w:pPr>
                  <w:r>
                    <w:rPr>
                      <w:rFonts w:hint="eastAsia"/>
                    </w:rPr>
                    <w:t>431</w:t>
                  </w:r>
                </w:p>
              </w:tc>
              <w:tc>
                <w:tcPr>
                  <w:tcW w:w="393" w:type="pct"/>
                  <w:tcBorders>
                    <w:right w:val="nil"/>
                  </w:tcBorders>
                  <w:vAlign w:val="center"/>
                </w:tcPr>
                <w:p>
                  <w:pPr>
                    <w:jc w:val="center"/>
                    <w:outlineLvl w:val="9"/>
                  </w:pPr>
                  <w:r>
                    <w:rPr>
                      <w:rFonts w:hint="eastAsia"/>
                    </w:rPr>
                    <w:t>449</w:t>
                  </w:r>
                </w:p>
              </w:tc>
              <w:tc>
                <w:tcPr>
                  <w:tcW w:w="402" w:type="pct"/>
                  <w:tcBorders>
                    <w:right w:val="nil"/>
                  </w:tcBorders>
                  <w:vAlign w:val="center"/>
                </w:tcPr>
                <w:p>
                  <w:pPr>
                    <w:jc w:val="center"/>
                    <w:outlineLvl w:val="9"/>
                  </w:pPr>
                  <w:r>
                    <w:rPr>
                      <w:rFonts w:hint="eastAsia"/>
                    </w:rPr>
                    <w:t>437</w:t>
                  </w:r>
                </w:p>
              </w:tc>
              <w:tc>
                <w:tcPr>
                  <w:tcW w:w="512" w:type="pct"/>
                  <w:vAlign w:val="center"/>
                </w:tcPr>
                <w:p>
                  <w:pPr>
                    <w:jc w:val="center"/>
                    <w:outlineLvl w:val="9"/>
                  </w:pPr>
                  <w:r>
                    <w:fldChar w:fldCharType="begin"/>
                  </w:r>
                  <w:r>
                    <w:instrText xml:space="preserve"> = average(E14:H14) \* MERGEFORMAT </w:instrText>
                  </w:r>
                  <w:r>
                    <w:fldChar w:fldCharType="separate"/>
                  </w:r>
                  <w:r>
                    <w:t>43</w:t>
                  </w:r>
                  <w:r>
                    <w:rPr>
                      <w:rFonts w:hint="eastAsia"/>
                    </w:rPr>
                    <w:t>3</w:t>
                  </w:r>
                  <w:r>
                    <w:fldChar w:fldCharType="end"/>
                  </w:r>
                </w:p>
              </w:tc>
              <w:tc>
                <w:tcPr>
                  <w:tcW w:w="334" w:type="pct"/>
                  <w:vAlign w:val="center"/>
                </w:tcPr>
                <w:p>
                  <w:pPr>
                    <w:jc w:val="center"/>
                    <w:outlineLvl w:val="9"/>
                  </w:pPr>
                  <w:r>
                    <w:rPr>
                      <w:rFonts w:hint="eastAsia"/>
                    </w:rPr>
                    <w:t>500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五日生化需氧量</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73.6</w:t>
                  </w:r>
                </w:p>
              </w:tc>
              <w:tc>
                <w:tcPr>
                  <w:tcW w:w="393" w:type="pct"/>
                  <w:vAlign w:val="center"/>
                </w:tcPr>
                <w:p>
                  <w:pPr>
                    <w:jc w:val="center"/>
                    <w:outlineLvl w:val="9"/>
                  </w:pPr>
                  <w:r>
                    <w:rPr>
                      <w:rFonts w:hint="eastAsia"/>
                    </w:rPr>
                    <w:t>83.5</w:t>
                  </w:r>
                </w:p>
              </w:tc>
              <w:tc>
                <w:tcPr>
                  <w:tcW w:w="393" w:type="pct"/>
                  <w:tcBorders>
                    <w:right w:val="nil"/>
                  </w:tcBorders>
                  <w:vAlign w:val="center"/>
                </w:tcPr>
                <w:p>
                  <w:pPr>
                    <w:jc w:val="center"/>
                    <w:outlineLvl w:val="9"/>
                  </w:pPr>
                  <w:r>
                    <w:rPr>
                      <w:rFonts w:hint="eastAsia"/>
                    </w:rPr>
                    <w:t>86.9</w:t>
                  </w:r>
                </w:p>
              </w:tc>
              <w:tc>
                <w:tcPr>
                  <w:tcW w:w="402" w:type="pct"/>
                  <w:tcBorders>
                    <w:right w:val="nil"/>
                  </w:tcBorders>
                  <w:vAlign w:val="center"/>
                </w:tcPr>
                <w:p>
                  <w:pPr>
                    <w:jc w:val="center"/>
                    <w:outlineLvl w:val="9"/>
                  </w:pPr>
                  <w:r>
                    <w:rPr>
                      <w:rFonts w:hint="eastAsia"/>
                    </w:rPr>
                    <w:t>78.1</w:t>
                  </w:r>
                </w:p>
              </w:tc>
              <w:tc>
                <w:tcPr>
                  <w:tcW w:w="512" w:type="pct"/>
                  <w:vAlign w:val="center"/>
                </w:tcPr>
                <w:p>
                  <w:pPr>
                    <w:jc w:val="center"/>
                    <w:outlineLvl w:val="9"/>
                  </w:pPr>
                  <w:r>
                    <w:fldChar w:fldCharType="begin"/>
                  </w:r>
                  <w:r>
                    <w:instrText xml:space="preserve"> = average(E15:H15) \* MERGEFORMAT </w:instrText>
                  </w:r>
                  <w:r>
                    <w:fldChar w:fldCharType="separate"/>
                  </w:r>
                  <w:r>
                    <w:t>80.5</w:t>
                  </w:r>
                  <w:r>
                    <w:fldChar w:fldCharType="end"/>
                  </w:r>
                </w:p>
              </w:tc>
              <w:tc>
                <w:tcPr>
                  <w:tcW w:w="334" w:type="pct"/>
                  <w:vAlign w:val="center"/>
                </w:tcPr>
                <w:p>
                  <w:pPr>
                    <w:jc w:val="center"/>
                    <w:outlineLvl w:val="9"/>
                  </w:pPr>
                  <w:r>
                    <w:rPr>
                      <w:rFonts w:hint="eastAsia"/>
                    </w:rPr>
                    <w:t>300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260" w:lineRule="exact"/>
                    <w:jc w:val="center"/>
                    <w:outlineLvl w:val="9"/>
                  </w:pPr>
                  <w:r>
                    <w:t>悬浮物</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24</w:t>
                  </w:r>
                </w:p>
              </w:tc>
              <w:tc>
                <w:tcPr>
                  <w:tcW w:w="393" w:type="pct"/>
                  <w:vAlign w:val="center"/>
                </w:tcPr>
                <w:p>
                  <w:pPr>
                    <w:jc w:val="center"/>
                    <w:outlineLvl w:val="9"/>
                  </w:pPr>
                  <w:r>
                    <w:rPr>
                      <w:rFonts w:hint="eastAsia"/>
                    </w:rPr>
                    <w:t>28</w:t>
                  </w:r>
                </w:p>
              </w:tc>
              <w:tc>
                <w:tcPr>
                  <w:tcW w:w="393" w:type="pct"/>
                  <w:tcBorders>
                    <w:right w:val="nil"/>
                  </w:tcBorders>
                  <w:vAlign w:val="center"/>
                </w:tcPr>
                <w:p>
                  <w:pPr>
                    <w:jc w:val="center"/>
                    <w:outlineLvl w:val="9"/>
                  </w:pPr>
                  <w:r>
                    <w:rPr>
                      <w:rFonts w:hint="eastAsia"/>
                    </w:rPr>
                    <w:t>27</w:t>
                  </w:r>
                </w:p>
              </w:tc>
              <w:tc>
                <w:tcPr>
                  <w:tcW w:w="402" w:type="pct"/>
                  <w:tcBorders>
                    <w:right w:val="nil"/>
                  </w:tcBorders>
                  <w:vAlign w:val="center"/>
                </w:tcPr>
                <w:p>
                  <w:pPr>
                    <w:jc w:val="center"/>
                    <w:outlineLvl w:val="9"/>
                  </w:pPr>
                  <w:r>
                    <w:rPr>
                      <w:rFonts w:hint="eastAsia"/>
                    </w:rPr>
                    <w:t>29</w:t>
                  </w:r>
                </w:p>
              </w:tc>
              <w:tc>
                <w:tcPr>
                  <w:tcW w:w="512" w:type="pct"/>
                  <w:vAlign w:val="center"/>
                </w:tcPr>
                <w:p>
                  <w:pPr>
                    <w:jc w:val="center"/>
                    <w:outlineLvl w:val="9"/>
                  </w:pPr>
                  <w:r>
                    <w:fldChar w:fldCharType="begin"/>
                  </w:r>
                  <w:r>
                    <w:instrText xml:space="preserve"> = average(E16:H16) \* MERGEFORMAT </w:instrText>
                  </w:r>
                  <w:r>
                    <w:fldChar w:fldCharType="separate"/>
                  </w:r>
                  <w:r>
                    <w:t>27</w:t>
                  </w:r>
                  <w:r>
                    <w:fldChar w:fldCharType="end"/>
                  </w:r>
                </w:p>
              </w:tc>
              <w:tc>
                <w:tcPr>
                  <w:tcW w:w="334" w:type="pct"/>
                  <w:vAlign w:val="center"/>
                </w:tcPr>
                <w:p>
                  <w:pPr>
                    <w:jc w:val="center"/>
                    <w:outlineLvl w:val="9"/>
                  </w:pPr>
                  <w:r>
                    <w:rPr>
                      <w:rFonts w:hint="eastAsia"/>
                    </w:rPr>
                    <w:t>400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t>氨氮</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50.1</w:t>
                  </w:r>
                </w:p>
              </w:tc>
              <w:tc>
                <w:tcPr>
                  <w:tcW w:w="393" w:type="pct"/>
                  <w:vAlign w:val="center"/>
                </w:tcPr>
                <w:p>
                  <w:pPr>
                    <w:jc w:val="center"/>
                    <w:outlineLvl w:val="9"/>
                  </w:pPr>
                  <w:r>
                    <w:rPr>
                      <w:rFonts w:hint="eastAsia"/>
                    </w:rPr>
                    <w:t>48.3</w:t>
                  </w:r>
                </w:p>
              </w:tc>
              <w:tc>
                <w:tcPr>
                  <w:tcW w:w="393" w:type="pct"/>
                  <w:tcBorders>
                    <w:right w:val="nil"/>
                  </w:tcBorders>
                  <w:vAlign w:val="center"/>
                </w:tcPr>
                <w:p>
                  <w:pPr>
                    <w:jc w:val="center"/>
                    <w:outlineLvl w:val="9"/>
                  </w:pPr>
                  <w:r>
                    <w:rPr>
                      <w:rFonts w:hint="eastAsia"/>
                    </w:rPr>
                    <w:t>53.9</w:t>
                  </w:r>
                </w:p>
              </w:tc>
              <w:tc>
                <w:tcPr>
                  <w:tcW w:w="402" w:type="pct"/>
                  <w:tcBorders>
                    <w:right w:val="nil"/>
                  </w:tcBorders>
                  <w:vAlign w:val="center"/>
                </w:tcPr>
                <w:p>
                  <w:pPr>
                    <w:jc w:val="center"/>
                    <w:outlineLvl w:val="9"/>
                  </w:pPr>
                  <w:r>
                    <w:rPr>
                      <w:rFonts w:hint="eastAsia"/>
                    </w:rPr>
                    <w:t>55.5</w:t>
                  </w:r>
                </w:p>
              </w:tc>
              <w:tc>
                <w:tcPr>
                  <w:tcW w:w="512" w:type="pct"/>
                  <w:vAlign w:val="center"/>
                </w:tcPr>
                <w:p>
                  <w:pPr>
                    <w:jc w:val="center"/>
                    <w:outlineLvl w:val="9"/>
                  </w:pPr>
                  <w:r>
                    <w:fldChar w:fldCharType="begin"/>
                  </w:r>
                  <w:r>
                    <w:instrText xml:space="preserve"> = average(E17:H17) \* MERGEFORMAT </w:instrText>
                  </w:r>
                  <w:r>
                    <w:fldChar w:fldCharType="separate"/>
                  </w:r>
                  <w:r>
                    <w:t>5</w:t>
                  </w:r>
                  <w:r>
                    <w:rPr>
                      <w:rFonts w:hint="eastAsia"/>
                    </w:rPr>
                    <w:t>2</w:t>
                  </w:r>
                  <w:r>
                    <w:fldChar w:fldCharType="end"/>
                  </w:r>
                  <w:r>
                    <w:rPr>
                      <w:rFonts w:hint="eastAsia"/>
                    </w:rPr>
                    <w:t>.0</w:t>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石油类</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0.49</w:t>
                  </w:r>
                </w:p>
              </w:tc>
              <w:tc>
                <w:tcPr>
                  <w:tcW w:w="393" w:type="pct"/>
                  <w:vAlign w:val="center"/>
                </w:tcPr>
                <w:p>
                  <w:pPr>
                    <w:jc w:val="center"/>
                    <w:outlineLvl w:val="9"/>
                  </w:pPr>
                  <w:r>
                    <w:rPr>
                      <w:rFonts w:hint="eastAsia"/>
                    </w:rPr>
                    <w:t>0.52</w:t>
                  </w:r>
                </w:p>
              </w:tc>
              <w:tc>
                <w:tcPr>
                  <w:tcW w:w="393" w:type="pct"/>
                  <w:tcBorders>
                    <w:right w:val="nil"/>
                  </w:tcBorders>
                  <w:vAlign w:val="center"/>
                </w:tcPr>
                <w:p>
                  <w:pPr>
                    <w:jc w:val="center"/>
                    <w:outlineLvl w:val="9"/>
                  </w:pPr>
                  <w:r>
                    <w:rPr>
                      <w:rFonts w:hint="eastAsia"/>
                    </w:rPr>
                    <w:t>0.58</w:t>
                  </w:r>
                </w:p>
              </w:tc>
              <w:tc>
                <w:tcPr>
                  <w:tcW w:w="402" w:type="pct"/>
                  <w:tcBorders>
                    <w:right w:val="nil"/>
                  </w:tcBorders>
                  <w:vAlign w:val="center"/>
                </w:tcPr>
                <w:p>
                  <w:pPr>
                    <w:jc w:val="center"/>
                    <w:outlineLvl w:val="9"/>
                  </w:pPr>
                  <w:r>
                    <w:rPr>
                      <w:rFonts w:hint="eastAsia"/>
                    </w:rPr>
                    <w:t>0.41</w:t>
                  </w:r>
                </w:p>
              </w:tc>
              <w:tc>
                <w:tcPr>
                  <w:tcW w:w="512" w:type="pct"/>
                  <w:vAlign w:val="center"/>
                </w:tcPr>
                <w:p>
                  <w:pPr>
                    <w:jc w:val="center"/>
                    <w:outlineLvl w:val="9"/>
                  </w:pPr>
                  <w:r>
                    <w:rPr>
                      <w:rFonts w:hint="eastAsia"/>
                    </w:rPr>
                    <w:t>0.50</w:t>
                  </w:r>
                </w:p>
              </w:tc>
              <w:tc>
                <w:tcPr>
                  <w:tcW w:w="334" w:type="pct"/>
                  <w:vAlign w:val="center"/>
                </w:tcPr>
                <w:p>
                  <w:pPr>
                    <w:jc w:val="center"/>
                    <w:outlineLvl w:val="9"/>
                  </w:pPr>
                  <w:r>
                    <w:rPr>
                      <w:rFonts w:hint="eastAsia"/>
                    </w:rPr>
                    <w:t>20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氯化物</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729</w:t>
                  </w:r>
                </w:p>
              </w:tc>
              <w:tc>
                <w:tcPr>
                  <w:tcW w:w="393" w:type="pct"/>
                  <w:vAlign w:val="center"/>
                </w:tcPr>
                <w:p>
                  <w:pPr>
                    <w:jc w:val="center"/>
                    <w:outlineLvl w:val="9"/>
                  </w:pPr>
                  <w:r>
                    <w:rPr>
                      <w:rFonts w:hint="eastAsia"/>
                    </w:rPr>
                    <w:t>674</w:t>
                  </w:r>
                </w:p>
              </w:tc>
              <w:tc>
                <w:tcPr>
                  <w:tcW w:w="393" w:type="pct"/>
                  <w:tcBorders>
                    <w:right w:val="nil"/>
                  </w:tcBorders>
                  <w:vAlign w:val="center"/>
                </w:tcPr>
                <w:p>
                  <w:pPr>
                    <w:jc w:val="center"/>
                    <w:outlineLvl w:val="9"/>
                  </w:pPr>
                  <w:r>
                    <w:rPr>
                      <w:rFonts w:hint="eastAsia"/>
                    </w:rPr>
                    <w:t>639</w:t>
                  </w:r>
                </w:p>
              </w:tc>
              <w:tc>
                <w:tcPr>
                  <w:tcW w:w="402" w:type="pct"/>
                  <w:tcBorders>
                    <w:right w:val="nil"/>
                  </w:tcBorders>
                  <w:vAlign w:val="center"/>
                </w:tcPr>
                <w:p>
                  <w:pPr>
                    <w:jc w:val="center"/>
                    <w:outlineLvl w:val="9"/>
                  </w:pPr>
                  <w:r>
                    <w:rPr>
                      <w:rFonts w:hint="eastAsia"/>
                    </w:rPr>
                    <w:t>775</w:t>
                  </w:r>
                </w:p>
              </w:tc>
              <w:tc>
                <w:tcPr>
                  <w:tcW w:w="512" w:type="pct"/>
                  <w:vAlign w:val="center"/>
                </w:tcPr>
                <w:p>
                  <w:pPr>
                    <w:jc w:val="center"/>
                    <w:outlineLvl w:val="9"/>
                  </w:pPr>
                  <w:r>
                    <w:fldChar w:fldCharType="begin"/>
                  </w:r>
                  <w:r>
                    <w:instrText xml:space="preserve"> = average(E19:H19) \* MERGEFORMAT </w:instrText>
                  </w:r>
                  <w:r>
                    <w:fldChar w:fldCharType="separate"/>
                  </w:r>
                  <w:r>
                    <w:t>704</w:t>
                  </w:r>
                  <w:r>
                    <w:fldChar w:fldCharType="end"/>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*铁</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＜0.03</w:t>
                  </w:r>
                </w:p>
              </w:tc>
              <w:tc>
                <w:tcPr>
                  <w:tcW w:w="393" w:type="pct"/>
                  <w:vAlign w:val="center"/>
                </w:tcPr>
                <w:p>
                  <w:pPr>
                    <w:jc w:val="center"/>
                    <w:outlineLvl w:val="9"/>
                  </w:pPr>
                  <w:r>
                    <w:rPr>
                      <w:rFonts w:hint="eastAsia"/>
                    </w:rPr>
                    <w:t>＜0.03</w:t>
                  </w:r>
                </w:p>
              </w:tc>
              <w:tc>
                <w:tcPr>
                  <w:tcW w:w="393" w:type="pct"/>
                  <w:vAlign w:val="center"/>
                </w:tcPr>
                <w:p>
                  <w:pPr>
                    <w:jc w:val="center"/>
                    <w:outlineLvl w:val="9"/>
                  </w:pPr>
                  <w:r>
                    <w:rPr>
                      <w:rFonts w:hint="eastAsia"/>
                    </w:rPr>
                    <w:t>0.037</w:t>
                  </w:r>
                </w:p>
              </w:tc>
              <w:tc>
                <w:tcPr>
                  <w:tcW w:w="402" w:type="pct"/>
                  <w:vAlign w:val="center"/>
                </w:tcPr>
                <w:p>
                  <w:pPr>
                    <w:jc w:val="center"/>
                    <w:outlineLvl w:val="9"/>
                  </w:pPr>
                  <w:r>
                    <w:rPr>
                      <w:rFonts w:hint="eastAsia"/>
                    </w:rPr>
                    <w:t>＜0.03</w:t>
                  </w:r>
                </w:p>
              </w:tc>
              <w:tc>
                <w:tcPr>
                  <w:tcW w:w="512" w:type="pct"/>
                  <w:vAlign w:val="center"/>
                </w:tcPr>
                <w:p>
                  <w:pPr>
                    <w:jc w:val="center"/>
                    <w:outlineLvl w:val="9"/>
                  </w:pPr>
                  <w:r>
                    <w:rPr>
                      <w:rFonts w:hint="eastAsia"/>
                    </w:rPr>
                    <w:t>＜0.03</w:t>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*锌</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0.105</w:t>
                  </w:r>
                </w:p>
              </w:tc>
              <w:tc>
                <w:tcPr>
                  <w:tcW w:w="393" w:type="pct"/>
                  <w:vAlign w:val="center"/>
                </w:tcPr>
                <w:p>
                  <w:pPr>
                    <w:jc w:val="center"/>
                    <w:outlineLvl w:val="9"/>
                  </w:pPr>
                  <w:r>
                    <w:rPr>
                      <w:rFonts w:hint="eastAsia"/>
                    </w:rPr>
                    <w:t>0.099</w:t>
                  </w:r>
                </w:p>
              </w:tc>
              <w:tc>
                <w:tcPr>
                  <w:tcW w:w="393" w:type="pct"/>
                  <w:vAlign w:val="center"/>
                </w:tcPr>
                <w:p>
                  <w:pPr>
                    <w:jc w:val="center"/>
                    <w:outlineLvl w:val="9"/>
                  </w:pPr>
                  <w:r>
                    <w:rPr>
                      <w:rFonts w:hint="eastAsia"/>
                    </w:rPr>
                    <w:t>0.087</w:t>
                  </w:r>
                </w:p>
              </w:tc>
              <w:tc>
                <w:tcPr>
                  <w:tcW w:w="402" w:type="pct"/>
                  <w:vAlign w:val="center"/>
                </w:tcPr>
                <w:p>
                  <w:pPr>
                    <w:jc w:val="center"/>
                    <w:outlineLvl w:val="9"/>
                  </w:pPr>
                  <w:r>
                    <w:rPr>
                      <w:rFonts w:hint="eastAsia"/>
                    </w:rPr>
                    <w:t>0.117</w:t>
                  </w:r>
                </w:p>
              </w:tc>
              <w:tc>
                <w:tcPr>
                  <w:tcW w:w="512" w:type="pct"/>
                  <w:vAlign w:val="center"/>
                </w:tcPr>
                <w:p>
                  <w:pPr>
                    <w:jc w:val="center"/>
                    <w:outlineLvl w:val="9"/>
                  </w:pPr>
                  <w:r>
                    <w:fldChar w:fldCharType="begin"/>
                  </w:r>
                  <w:r>
                    <w:instrText xml:space="preserve"> = average(E21:H21) \* MERGEFORMAT </w:instrText>
                  </w:r>
                  <w:r>
                    <w:fldChar w:fldCharType="separate"/>
                  </w:r>
                  <w:r>
                    <w:t>0.102</w:t>
                  </w:r>
                  <w:r>
                    <w:fldChar w:fldCharType="end"/>
                  </w:r>
                </w:p>
              </w:tc>
              <w:tc>
                <w:tcPr>
                  <w:tcW w:w="334" w:type="pct"/>
                  <w:vAlign w:val="center"/>
                </w:tcPr>
                <w:p>
                  <w:pPr>
                    <w:jc w:val="center"/>
                    <w:outlineLvl w:val="9"/>
                  </w:pPr>
                  <w:r>
                    <w:rPr>
                      <w:rFonts w:hint="eastAsia"/>
                    </w:rPr>
                    <w:t>5.0</w:t>
                  </w:r>
                </w:p>
              </w:tc>
              <w:tc>
                <w:tcPr>
                  <w:tcW w:w="492" w:type="pct"/>
                  <w:tcBorders>
                    <w:right w:val="nil"/>
                  </w:tcBorders>
                  <w:vAlign w:val="center"/>
                </w:tcPr>
                <w:p>
                  <w:pPr>
                    <w:jc w:val="center"/>
                    <w:outlineLvl w:val="9"/>
                  </w:pPr>
                  <w: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419" w:type="pct"/>
                  <w:vMerge w:val="continue"/>
                  <w:tcBorders>
                    <w:left w:val="nil"/>
                  </w:tcBorders>
                  <w:vAlign w:val="center"/>
                </w:tcPr>
                <w:p>
                  <w:pPr>
                    <w:jc w:val="center"/>
                    <w:outlineLvl w:val="9"/>
                  </w:pPr>
                </w:p>
              </w:tc>
              <w:tc>
                <w:tcPr>
                  <w:tcW w:w="367" w:type="pct"/>
                  <w:vMerge w:val="continue"/>
                  <w:vAlign w:val="center"/>
                </w:tcPr>
                <w:p>
                  <w:pPr>
                    <w:jc w:val="center"/>
                    <w:outlineLvl w:val="9"/>
                  </w:pPr>
                </w:p>
              </w:tc>
              <w:tc>
                <w:tcPr>
                  <w:tcW w:w="678" w:type="pct"/>
                  <w:vAlign w:val="center"/>
                </w:tcPr>
                <w:p>
                  <w:pPr>
                    <w:spacing w:line="320" w:lineRule="exact"/>
                    <w:jc w:val="center"/>
                    <w:outlineLvl w:val="9"/>
                  </w:pPr>
                  <w:r>
                    <w:rPr>
                      <w:rFonts w:hint="eastAsia"/>
                    </w:rPr>
                    <w:t>流量（m3/h）</w:t>
                  </w:r>
                </w:p>
              </w:tc>
              <w:tc>
                <w:tcPr>
                  <w:tcW w:w="620" w:type="pct"/>
                  <w:vMerge w:val="continue"/>
                  <w:vAlign w:val="center"/>
                </w:tcPr>
                <w:p>
                  <w:pPr>
                    <w:jc w:val="center"/>
                    <w:outlineLvl w:val="9"/>
                  </w:pPr>
                </w:p>
              </w:tc>
              <w:tc>
                <w:tcPr>
                  <w:tcW w:w="384" w:type="pct"/>
                  <w:vAlign w:val="center"/>
                </w:tcPr>
                <w:p>
                  <w:pPr>
                    <w:jc w:val="center"/>
                    <w:outlineLvl w:val="9"/>
                  </w:pPr>
                  <w:r>
                    <w:rPr>
                      <w:rFonts w:hint="eastAsia"/>
                    </w:rPr>
                    <w:t>0.415</w:t>
                  </w:r>
                </w:p>
              </w:tc>
              <w:tc>
                <w:tcPr>
                  <w:tcW w:w="393" w:type="pct"/>
                  <w:vAlign w:val="center"/>
                </w:tcPr>
                <w:p>
                  <w:pPr>
                    <w:jc w:val="center"/>
                    <w:outlineLvl w:val="9"/>
                  </w:pPr>
                  <w:r>
                    <w:rPr>
                      <w:rFonts w:hint="eastAsia"/>
                    </w:rPr>
                    <w:t>0.422</w:t>
                  </w:r>
                </w:p>
              </w:tc>
              <w:tc>
                <w:tcPr>
                  <w:tcW w:w="393" w:type="pct"/>
                  <w:vAlign w:val="center"/>
                </w:tcPr>
                <w:p>
                  <w:pPr>
                    <w:jc w:val="center"/>
                    <w:outlineLvl w:val="9"/>
                  </w:pPr>
                  <w:r>
                    <w:rPr>
                      <w:rFonts w:hint="eastAsia"/>
                    </w:rPr>
                    <w:t>0.427</w:t>
                  </w:r>
                </w:p>
              </w:tc>
              <w:tc>
                <w:tcPr>
                  <w:tcW w:w="402" w:type="pct"/>
                  <w:vAlign w:val="center"/>
                </w:tcPr>
                <w:p>
                  <w:pPr>
                    <w:jc w:val="center"/>
                    <w:outlineLvl w:val="9"/>
                  </w:pPr>
                  <w:r>
                    <w:rPr>
                      <w:rFonts w:hint="eastAsia"/>
                    </w:rPr>
                    <w:t>0.436</w:t>
                  </w:r>
                </w:p>
              </w:tc>
              <w:tc>
                <w:tcPr>
                  <w:tcW w:w="512" w:type="pct"/>
                  <w:vAlign w:val="center"/>
                </w:tcPr>
                <w:p>
                  <w:pPr>
                    <w:jc w:val="center"/>
                    <w:outlineLvl w:val="9"/>
                  </w:pPr>
                  <w:r>
                    <w:fldChar w:fldCharType="begin"/>
                  </w:r>
                  <w:r>
                    <w:instrText xml:space="preserve"> = average(E22:H22) \* MERGEFORMAT </w:instrText>
                  </w:r>
                  <w:r>
                    <w:fldChar w:fldCharType="separate"/>
                  </w:r>
                  <w:r>
                    <w:t>0.425</w:t>
                  </w:r>
                  <w:r>
                    <w:fldChar w:fldCharType="end"/>
                  </w:r>
                </w:p>
              </w:tc>
              <w:tc>
                <w:tcPr>
                  <w:tcW w:w="334" w:type="pct"/>
                  <w:vAlign w:val="center"/>
                </w:tcPr>
                <w:p>
                  <w:pPr>
                    <w:jc w:val="center"/>
                    <w:outlineLvl w:val="9"/>
                  </w:pPr>
                  <w:r>
                    <w:rPr>
                      <w:rFonts w:hint="eastAsia"/>
                    </w:rPr>
                    <w:t>/</w:t>
                  </w:r>
                </w:p>
              </w:tc>
              <w:tc>
                <w:tcPr>
                  <w:tcW w:w="492" w:type="pct"/>
                  <w:tcBorders>
                    <w:right w:val="nil"/>
                  </w:tcBorders>
                  <w:vAlign w:val="center"/>
                </w:tcPr>
                <w:p>
                  <w:pPr>
                    <w:jc w:val="center"/>
                    <w:outlineLvl w:val="9"/>
                  </w:pPr>
                  <w:r>
                    <w:rPr>
                      <w:rFonts w:hint="eastAsia"/>
                    </w:rPr>
                    <w:t>/</w:t>
                  </w:r>
                </w:p>
              </w:tc>
            </w:tr>
          </w:tbl>
          <w:p>
            <w:pPr>
              <w:widowControl w:val="0"/>
              <w:adjustRightInd/>
              <w:snapToGrid/>
              <w:spacing w:line="0" w:lineRule="atLeast"/>
              <w:outlineLvl w:val="9"/>
            </w:pPr>
            <w:r>
              <w:rPr>
                <w:rFonts w:hint="eastAsia"/>
              </w:rPr>
              <w:t>备注：“&lt;”表示检测结果低于方法检出限或未检出。</w:t>
            </w:r>
          </w:p>
          <w:p>
            <w:pPr>
              <w:spacing w:line="360" w:lineRule="auto"/>
              <w:ind w:firstLine="440" w:firstLineChars="200"/>
              <w:outlineLvl w:val="9"/>
            </w:pPr>
          </w:p>
          <w:p>
            <w:pPr>
              <w:spacing w:line="360" w:lineRule="auto"/>
              <w:ind w:firstLine="440" w:firstLineChars="200"/>
              <w:outlineLvl w:val="9"/>
            </w:pPr>
          </w:p>
          <w:p>
            <w:pPr>
              <w:spacing w:line="360" w:lineRule="auto"/>
              <w:ind w:firstLine="440" w:firstLineChars="200"/>
              <w:outlineLvl w:val="9"/>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998"/>
              <w:gridCol w:w="1533"/>
              <w:gridCol w:w="2254"/>
              <w:gridCol w:w="3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8" w:hRule="atLeast"/>
                <w:jc w:val="center"/>
              </w:trPr>
              <w:tc>
                <w:tcPr>
                  <w:tcW w:w="1998" w:type="dxa"/>
                  <w:tcBorders>
                    <w:top w:val="single" w:color="auto" w:sz="4" w:space="0"/>
                    <w:left w:val="single" w:color="auto" w:sz="4" w:space="0"/>
                    <w:bottom w:val="single" w:color="auto" w:sz="4" w:space="0"/>
                    <w:right w:val="single" w:color="auto" w:sz="4" w:space="0"/>
                  </w:tcBorders>
                  <w:shd w:val="clear" w:color="auto" w:fill="CCFFFF"/>
                  <w:vAlign w:val="center"/>
                </w:tcPr>
                <w:p>
                  <w:pPr>
                    <w:pStyle w:val="20"/>
                    <w:outlineLvl w:val="9"/>
                  </w:pPr>
                  <w:r>
                    <w:rPr>
                      <w:rFonts w:hint="eastAsia"/>
                    </w:rPr>
                    <w:t>污染物名称</w:t>
                  </w:r>
                </w:p>
              </w:tc>
              <w:tc>
                <w:tcPr>
                  <w:tcW w:w="1533" w:type="dxa"/>
                  <w:tcBorders>
                    <w:top w:val="single" w:color="auto" w:sz="4" w:space="0"/>
                    <w:left w:val="single" w:color="auto" w:sz="4" w:space="0"/>
                    <w:bottom w:val="single" w:color="auto" w:sz="4" w:space="0"/>
                    <w:right w:val="single" w:color="auto" w:sz="4" w:space="0"/>
                  </w:tcBorders>
                  <w:shd w:val="clear" w:color="auto" w:fill="CCFFFF"/>
                  <w:vAlign w:val="center"/>
                </w:tcPr>
                <w:p>
                  <w:pPr>
                    <w:pStyle w:val="20"/>
                    <w:outlineLvl w:val="9"/>
                  </w:pPr>
                  <w:r>
                    <w:rPr>
                      <w:rFonts w:hint="eastAsia"/>
                    </w:rPr>
                    <w:t>单位</w:t>
                  </w:r>
                </w:p>
              </w:tc>
              <w:tc>
                <w:tcPr>
                  <w:tcW w:w="2254" w:type="dxa"/>
                  <w:tcBorders>
                    <w:top w:val="single" w:color="auto" w:sz="4" w:space="0"/>
                    <w:left w:val="single" w:color="auto" w:sz="4" w:space="0"/>
                    <w:bottom w:val="single" w:color="auto" w:sz="4" w:space="0"/>
                    <w:right w:val="single" w:color="auto" w:sz="4" w:space="0"/>
                  </w:tcBorders>
                  <w:shd w:val="clear" w:color="auto" w:fill="CCFFFF"/>
                  <w:vAlign w:val="center"/>
                </w:tcPr>
                <w:p>
                  <w:pPr>
                    <w:pStyle w:val="20"/>
                    <w:outlineLvl w:val="9"/>
                  </w:pPr>
                  <w:r>
                    <w:rPr>
                      <w:rFonts w:hint="eastAsia"/>
                    </w:rPr>
                    <w:t>总量控制指标</w:t>
                  </w:r>
                </w:p>
              </w:tc>
              <w:tc>
                <w:tcPr>
                  <w:tcW w:w="3288" w:type="dxa"/>
                  <w:tcBorders>
                    <w:top w:val="single" w:color="auto" w:sz="4" w:space="0"/>
                    <w:left w:val="single" w:color="auto" w:sz="4" w:space="0"/>
                    <w:bottom w:val="single" w:color="auto" w:sz="4" w:space="0"/>
                    <w:right w:val="single" w:color="auto" w:sz="4" w:space="0"/>
                  </w:tcBorders>
                  <w:shd w:val="clear" w:color="auto" w:fill="CCFFFF"/>
                  <w:vAlign w:val="center"/>
                </w:tcPr>
                <w:p>
                  <w:pPr>
                    <w:pStyle w:val="20"/>
                    <w:outlineLvl w:val="9"/>
                  </w:pPr>
                  <w:r>
                    <w:rPr>
                      <w:rFonts w:hint="eastAsi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1" w:hRule="atLeast"/>
                <w:jc w:val="center"/>
              </w:trPr>
              <w:tc>
                <w:tcPr>
                  <w:tcW w:w="1998" w:type="dxa"/>
                  <w:tcBorders>
                    <w:top w:val="single" w:color="auto" w:sz="4" w:space="0"/>
                    <w:left w:val="single" w:color="auto" w:sz="4" w:space="0"/>
                    <w:bottom w:val="single" w:color="auto" w:sz="4" w:space="0"/>
                    <w:right w:val="single" w:color="auto" w:sz="4" w:space="0"/>
                  </w:tcBorders>
                  <w:vAlign w:val="center"/>
                </w:tcPr>
                <w:p>
                  <w:pPr>
                    <w:pStyle w:val="20"/>
                    <w:outlineLvl w:val="9"/>
                  </w:pPr>
                  <w:r>
                    <w:rPr>
                      <w:lang w:val="fr-FR"/>
                    </w:rPr>
                    <w:t>VOCs</w:t>
                  </w:r>
                </w:p>
              </w:tc>
              <w:tc>
                <w:tcPr>
                  <w:tcW w:w="1533" w:type="dxa"/>
                  <w:tcBorders>
                    <w:top w:val="single" w:color="auto" w:sz="4" w:space="0"/>
                    <w:left w:val="single" w:color="auto" w:sz="4" w:space="0"/>
                    <w:bottom w:val="single" w:color="auto" w:sz="4" w:space="0"/>
                    <w:right w:val="single" w:color="auto" w:sz="4" w:space="0"/>
                  </w:tcBorders>
                  <w:vAlign w:val="center"/>
                </w:tcPr>
                <w:p>
                  <w:pPr>
                    <w:pStyle w:val="20"/>
                    <w:outlineLvl w:val="9"/>
                  </w:pPr>
                  <w:r>
                    <w:t>t/a</w:t>
                  </w:r>
                </w:p>
              </w:tc>
              <w:tc>
                <w:tcPr>
                  <w:tcW w:w="2254"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0.007</w:t>
                  </w:r>
                </w:p>
              </w:tc>
              <w:tc>
                <w:tcPr>
                  <w:tcW w:w="3288"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特征污染物控制指标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1" w:hRule="atLeast"/>
                <w:jc w:val="center"/>
              </w:trPr>
              <w:tc>
                <w:tcPr>
                  <w:tcW w:w="1998" w:type="dxa"/>
                  <w:tcBorders>
                    <w:top w:val="single" w:color="auto" w:sz="4" w:space="0"/>
                    <w:left w:val="single" w:color="auto" w:sz="4" w:space="0"/>
                    <w:bottom w:val="single" w:color="auto" w:sz="4" w:space="0"/>
                    <w:right w:val="single" w:color="auto" w:sz="4" w:space="0"/>
                  </w:tcBorders>
                  <w:vAlign w:val="center"/>
                </w:tcPr>
                <w:p>
                  <w:pPr>
                    <w:pStyle w:val="20"/>
                    <w:outlineLvl w:val="9"/>
                    <w:rPr>
                      <w:lang w:val="fr-FR"/>
                    </w:rPr>
                  </w:pPr>
                  <w:r>
                    <w:rPr>
                      <w:rFonts w:hint="eastAsia"/>
                      <w:lang w:val="fr-FR"/>
                    </w:rPr>
                    <w:t>SO2</w:t>
                  </w:r>
                </w:p>
              </w:tc>
              <w:tc>
                <w:tcPr>
                  <w:tcW w:w="1533" w:type="dxa"/>
                  <w:tcBorders>
                    <w:top w:val="single" w:color="auto" w:sz="4" w:space="0"/>
                    <w:left w:val="single" w:color="auto" w:sz="4" w:space="0"/>
                    <w:bottom w:val="single" w:color="auto" w:sz="4" w:space="0"/>
                    <w:right w:val="single" w:color="auto" w:sz="4" w:space="0"/>
                  </w:tcBorders>
                  <w:vAlign w:val="center"/>
                </w:tcPr>
                <w:p>
                  <w:pPr>
                    <w:pStyle w:val="20"/>
                    <w:outlineLvl w:val="9"/>
                  </w:pPr>
                  <w:r>
                    <w:t>t/a</w:t>
                  </w:r>
                </w:p>
              </w:tc>
              <w:tc>
                <w:tcPr>
                  <w:tcW w:w="2254"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0.384</w:t>
                  </w:r>
                </w:p>
              </w:tc>
              <w:tc>
                <w:tcPr>
                  <w:tcW w:w="3288"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总量控制指标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101" w:hRule="atLeast"/>
                <w:jc w:val="center"/>
              </w:trPr>
              <w:tc>
                <w:tcPr>
                  <w:tcW w:w="1998" w:type="dxa"/>
                  <w:tcBorders>
                    <w:top w:val="single" w:color="auto" w:sz="4" w:space="0"/>
                    <w:left w:val="single" w:color="auto" w:sz="4" w:space="0"/>
                    <w:bottom w:val="single" w:color="auto" w:sz="4" w:space="0"/>
                    <w:right w:val="single" w:color="auto" w:sz="4" w:space="0"/>
                  </w:tcBorders>
                  <w:vAlign w:val="center"/>
                </w:tcPr>
                <w:p>
                  <w:pPr>
                    <w:pStyle w:val="20"/>
                    <w:outlineLvl w:val="9"/>
                    <w:rPr>
                      <w:lang w:val="fr-FR"/>
                    </w:rPr>
                  </w:pPr>
                  <w:r>
                    <w:rPr>
                      <w:rFonts w:hint="eastAsia"/>
                      <w:lang w:val="fr-FR"/>
                    </w:rPr>
                    <w:t>NOx</w:t>
                  </w:r>
                </w:p>
              </w:tc>
              <w:tc>
                <w:tcPr>
                  <w:tcW w:w="1533" w:type="dxa"/>
                  <w:tcBorders>
                    <w:top w:val="single" w:color="auto" w:sz="4" w:space="0"/>
                    <w:left w:val="single" w:color="auto" w:sz="4" w:space="0"/>
                    <w:bottom w:val="single" w:color="auto" w:sz="4" w:space="0"/>
                    <w:right w:val="single" w:color="auto" w:sz="4" w:space="0"/>
                  </w:tcBorders>
                  <w:vAlign w:val="center"/>
                </w:tcPr>
                <w:p>
                  <w:pPr>
                    <w:pStyle w:val="20"/>
                    <w:outlineLvl w:val="9"/>
                  </w:pPr>
                  <w:r>
                    <w:t>t/a</w:t>
                  </w:r>
                </w:p>
              </w:tc>
              <w:tc>
                <w:tcPr>
                  <w:tcW w:w="2254"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0.648</w:t>
                  </w:r>
                </w:p>
              </w:tc>
              <w:tc>
                <w:tcPr>
                  <w:tcW w:w="3288" w:type="dxa"/>
                  <w:tcBorders>
                    <w:top w:val="single" w:color="auto" w:sz="4" w:space="0"/>
                    <w:left w:val="single" w:color="auto" w:sz="4" w:space="0"/>
                    <w:bottom w:val="single" w:color="auto" w:sz="4" w:space="0"/>
                    <w:right w:val="single" w:color="auto" w:sz="4" w:space="0"/>
                  </w:tcBorders>
                  <w:vAlign w:val="center"/>
                </w:tcPr>
                <w:p>
                  <w:pPr>
                    <w:pStyle w:val="20"/>
                    <w:outlineLvl w:val="9"/>
                  </w:pPr>
                  <w:r>
                    <w:rPr>
                      <w:rFonts w:hint="eastAsia"/>
                    </w:rPr>
                    <w:t>总量控制指标</w:t>
                  </w:r>
                </w:p>
              </w:tc>
            </w:tr>
          </w:tbl>
          <w:p>
            <w:pPr>
              <w:spacing w:line="360" w:lineRule="auto"/>
              <w:ind w:firstLine="440" w:firstLineChars="200"/>
              <w:outlineLvl w:val="9"/>
            </w:pPr>
          </w:p>
          <w:p>
            <w:pPr>
              <w:spacing w:line="360" w:lineRule="auto"/>
              <w:ind w:firstLine="440" w:firstLineChars="200"/>
              <w:outlineLvl w:val="9"/>
            </w:pPr>
          </w:p>
          <w:tbl>
            <w:tblPr>
              <w:tblStyle w:val="12"/>
              <w:tblW w:w="48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113"/>
              <w:gridCol w:w="2809"/>
              <w:gridCol w:w="2597"/>
              <w:gridCol w:w="2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4" w:hRule="atLeast"/>
                <w:tblHeader/>
                <w:jc w:val="center"/>
              </w:trPr>
              <w:tc>
                <w:tcPr>
                  <w:tcW w:w="2203" w:type="pct"/>
                  <w:gridSpan w:val="2"/>
                  <w:shd w:val="clear" w:color="auto" w:fill="CCFFFF"/>
                  <w:tcMar>
                    <w:left w:w="28" w:type="dxa"/>
                    <w:right w:w="28" w:type="dxa"/>
                  </w:tcMar>
                  <w:vAlign w:val="center"/>
                </w:tcPr>
                <w:p>
                  <w:pPr>
                    <w:pStyle w:val="20"/>
                    <w:outlineLvl w:val="9"/>
                  </w:pPr>
                  <w:r>
                    <w:t>污染物类别</w:t>
                  </w:r>
                </w:p>
              </w:tc>
              <w:tc>
                <w:tcPr>
                  <w:tcW w:w="1459" w:type="pct"/>
                  <w:shd w:val="clear" w:color="auto" w:fill="CCFFFF"/>
                  <w:vAlign w:val="center"/>
                </w:tcPr>
                <w:p>
                  <w:pPr>
                    <w:pStyle w:val="20"/>
                    <w:outlineLvl w:val="9"/>
                  </w:pPr>
                  <w:r>
                    <w:t>污染物名称</w:t>
                  </w:r>
                </w:p>
              </w:tc>
              <w:tc>
                <w:tcPr>
                  <w:tcW w:w="1338" w:type="pct"/>
                  <w:shd w:val="clear" w:color="auto" w:fill="CCFFFF"/>
                  <w:tcMar>
                    <w:left w:w="28" w:type="dxa"/>
                    <w:right w:w="28" w:type="dxa"/>
                  </w:tcMar>
                  <w:vAlign w:val="center"/>
                </w:tcPr>
                <w:p>
                  <w:pPr>
                    <w:pStyle w:val="20"/>
                    <w:outlineLvl w:val="9"/>
                  </w:pPr>
                  <w:r>
                    <w:rPr>
                      <w:rFonts w:hint="eastAsia"/>
                    </w:rPr>
                    <w:t>项目</w:t>
                  </w:r>
                  <w:r>
                    <w:t>排</w:t>
                  </w:r>
                  <w:r>
                    <w:rPr>
                      <w:rFonts w:hint="eastAsia"/>
                    </w:rPr>
                    <w:t>放</w:t>
                  </w:r>
                  <w:r>
                    <w:t>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5" w:hRule="atLeast"/>
                <w:tblHeader/>
                <w:jc w:val="center"/>
              </w:trPr>
              <w:tc>
                <w:tcPr>
                  <w:tcW w:w="625" w:type="pct"/>
                  <w:vMerge w:val="restart"/>
                  <w:shd w:val="clear" w:color="auto" w:fill="auto"/>
                  <w:tcMar>
                    <w:left w:w="28" w:type="dxa"/>
                    <w:right w:w="28" w:type="dxa"/>
                  </w:tcMar>
                  <w:vAlign w:val="center"/>
                </w:tcPr>
                <w:p>
                  <w:pPr>
                    <w:pStyle w:val="20"/>
                    <w:outlineLvl w:val="9"/>
                  </w:pPr>
                  <w:r>
                    <w:rPr>
                      <w:rFonts w:hint="eastAsia"/>
                    </w:rPr>
                    <w:t>废水</w:t>
                  </w:r>
                </w:p>
              </w:tc>
              <w:tc>
                <w:tcPr>
                  <w:tcW w:w="1578" w:type="pct"/>
                  <w:vMerge w:val="restart"/>
                  <w:shd w:val="clear" w:color="auto" w:fill="auto"/>
                  <w:vAlign w:val="center"/>
                </w:tcPr>
                <w:p>
                  <w:pPr>
                    <w:pStyle w:val="20"/>
                    <w:outlineLvl w:val="9"/>
                  </w:pPr>
                  <w:r>
                    <w:t>厂排口（间接排放口）</w:t>
                  </w:r>
                </w:p>
              </w:tc>
              <w:tc>
                <w:tcPr>
                  <w:tcW w:w="1459" w:type="pct"/>
                  <w:shd w:val="clear" w:color="auto" w:fill="auto"/>
                  <w:vAlign w:val="center"/>
                </w:tcPr>
                <w:p>
                  <w:pPr>
                    <w:pStyle w:val="20"/>
                    <w:outlineLvl w:val="9"/>
                  </w:pPr>
                  <w:r>
                    <w:rPr>
                      <w:rFonts w:hint="eastAsia"/>
                    </w:rPr>
                    <w:t>COD</w:t>
                  </w:r>
                </w:p>
              </w:tc>
              <w:tc>
                <w:tcPr>
                  <w:tcW w:w="1338" w:type="pct"/>
                  <w:shd w:val="clear" w:color="auto" w:fill="auto"/>
                  <w:tcMar>
                    <w:left w:w="28" w:type="dxa"/>
                    <w:right w:w="28" w:type="dxa"/>
                  </w:tcMar>
                  <w:vAlign w:val="center"/>
                </w:tcPr>
                <w:p>
                  <w:pPr>
                    <w:pStyle w:val="20"/>
                    <w:outlineLvl w:val="9"/>
                  </w:pPr>
                  <w:r>
                    <w:rPr>
                      <w:rFonts w:hint="eastAsia"/>
                    </w:rPr>
                    <w:t>1.329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5" w:hRule="atLeast"/>
                <w:tblHeader/>
                <w:jc w:val="center"/>
              </w:trPr>
              <w:tc>
                <w:tcPr>
                  <w:tcW w:w="625" w:type="pct"/>
                  <w:vMerge w:val="continue"/>
                  <w:shd w:val="clear" w:color="auto" w:fill="auto"/>
                  <w:tcMar>
                    <w:left w:w="28" w:type="dxa"/>
                    <w:right w:w="28" w:type="dxa"/>
                  </w:tcMar>
                  <w:vAlign w:val="center"/>
                </w:tcPr>
                <w:p>
                  <w:pPr>
                    <w:pStyle w:val="20"/>
                    <w:outlineLvl w:val="9"/>
                  </w:pPr>
                </w:p>
              </w:tc>
              <w:tc>
                <w:tcPr>
                  <w:tcW w:w="1578" w:type="pct"/>
                  <w:vMerge w:val="continue"/>
                  <w:shd w:val="clear" w:color="auto" w:fill="auto"/>
                  <w:vAlign w:val="center"/>
                </w:tcPr>
                <w:p>
                  <w:pPr>
                    <w:pStyle w:val="20"/>
                    <w:outlineLvl w:val="9"/>
                  </w:pPr>
                </w:p>
              </w:tc>
              <w:tc>
                <w:tcPr>
                  <w:tcW w:w="1459" w:type="pct"/>
                  <w:shd w:val="clear" w:color="auto" w:fill="auto"/>
                  <w:vAlign w:val="center"/>
                </w:tcPr>
                <w:p>
                  <w:pPr>
                    <w:pStyle w:val="20"/>
                    <w:outlineLvl w:val="9"/>
                  </w:pPr>
                  <w:r>
                    <w:rPr>
                      <w:rFonts w:hint="eastAsia"/>
                    </w:rPr>
                    <w:t>氨氮</w:t>
                  </w:r>
                </w:p>
              </w:tc>
              <w:tc>
                <w:tcPr>
                  <w:tcW w:w="1338" w:type="pct"/>
                  <w:shd w:val="clear" w:color="auto" w:fill="auto"/>
                  <w:tcMar>
                    <w:left w:w="28" w:type="dxa"/>
                    <w:right w:w="28" w:type="dxa"/>
                  </w:tcMar>
                  <w:vAlign w:val="center"/>
                </w:tcPr>
                <w:p>
                  <w:pPr>
                    <w:pStyle w:val="20"/>
                    <w:outlineLvl w:val="9"/>
                  </w:pPr>
                  <w:r>
                    <w:rPr>
                      <w:rFonts w:hint="eastAsia"/>
                    </w:rPr>
                    <w:t>0.120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5" w:hRule="atLeast"/>
                <w:tblHeader/>
                <w:jc w:val="center"/>
              </w:trPr>
              <w:tc>
                <w:tcPr>
                  <w:tcW w:w="625" w:type="pct"/>
                  <w:vMerge w:val="continue"/>
                  <w:shd w:val="clear" w:color="auto" w:fill="auto"/>
                  <w:tcMar>
                    <w:left w:w="28" w:type="dxa"/>
                    <w:right w:w="28" w:type="dxa"/>
                  </w:tcMar>
                  <w:vAlign w:val="center"/>
                </w:tcPr>
                <w:p>
                  <w:pPr>
                    <w:pStyle w:val="20"/>
                    <w:outlineLvl w:val="9"/>
                  </w:pPr>
                </w:p>
              </w:tc>
              <w:tc>
                <w:tcPr>
                  <w:tcW w:w="1578" w:type="pct"/>
                  <w:vMerge w:val="restart"/>
                  <w:shd w:val="clear" w:color="auto" w:fill="auto"/>
                  <w:vAlign w:val="center"/>
                </w:tcPr>
                <w:p>
                  <w:pPr>
                    <w:pStyle w:val="20"/>
                    <w:outlineLvl w:val="9"/>
                  </w:pPr>
                  <w:r>
                    <w:t>隆昌经开区污水处理厂排口</w:t>
                  </w:r>
                </w:p>
              </w:tc>
              <w:tc>
                <w:tcPr>
                  <w:tcW w:w="1459" w:type="pct"/>
                  <w:shd w:val="clear" w:color="auto" w:fill="auto"/>
                  <w:vAlign w:val="center"/>
                </w:tcPr>
                <w:p>
                  <w:pPr>
                    <w:pStyle w:val="20"/>
                    <w:outlineLvl w:val="9"/>
                  </w:pPr>
                  <w:r>
                    <w:rPr>
                      <w:rFonts w:hint="eastAsia"/>
                    </w:rPr>
                    <w:t>COD</w:t>
                  </w:r>
                </w:p>
              </w:tc>
              <w:tc>
                <w:tcPr>
                  <w:tcW w:w="1338" w:type="pct"/>
                  <w:shd w:val="clear" w:color="auto" w:fill="auto"/>
                  <w:tcMar>
                    <w:left w:w="28" w:type="dxa"/>
                    <w:right w:w="28" w:type="dxa"/>
                  </w:tcMar>
                  <w:vAlign w:val="center"/>
                </w:tcPr>
                <w:p>
                  <w:pPr>
                    <w:pStyle w:val="20"/>
                    <w:outlineLvl w:val="9"/>
                  </w:pPr>
                  <w:r>
                    <w:rPr>
                      <w:rFonts w:hint="eastAsia"/>
                    </w:rPr>
                    <w:t>0.053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45" w:hRule="atLeast"/>
                <w:tblHeader/>
                <w:jc w:val="center"/>
              </w:trPr>
              <w:tc>
                <w:tcPr>
                  <w:tcW w:w="625" w:type="pct"/>
                  <w:vMerge w:val="continue"/>
                  <w:shd w:val="clear" w:color="auto" w:fill="auto"/>
                  <w:tcMar>
                    <w:left w:w="28" w:type="dxa"/>
                    <w:right w:w="28" w:type="dxa"/>
                  </w:tcMar>
                  <w:vAlign w:val="center"/>
                </w:tcPr>
                <w:p>
                  <w:pPr>
                    <w:pStyle w:val="20"/>
                    <w:outlineLvl w:val="9"/>
                  </w:pPr>
                </w:p>
              </w:tc>
              <w:tc>
                <w:tcPr>
                  <w:tcW w:w="1578" w:type="pct"/>
                  <w:vMerge w:val="continue"/>
                  <w:shd w:val="clear" w:color="auto" w:fill="auto"/>
                  <w:vAlign w:val="center"/>
                </w:tcPr>
                <w:p>
                  <w:pPr>
                    <w:pStyle w:val="20"/>
                    <w:outlineLvl w:val="9"/>
                  </w:pPr>
                </w:p>
              </w:tc>
              <w:tc>
                <w:tcPr>
                  <w:tcW w:w="1459" w:type="pct"/>
                  <w:shd w:val="clear" w:color="auto" w:fill="auto"/>
                  <w:vAlign w:val="center"/>
                </w:tcPr>
                <w:p>
                  <w:pPr>
                    <w:pStyle w:val="20"/>
                    <w:outlineLvl w:val="9"/>
                  </w:pPr>
                  <w:r>
                    <w:rPr>
                      <w:rFonts w:hint="eastAsia"/>
                    </w:rPr>
                    <w:t>氨氮</w:t>
                  </w:r>
                </w:p>
              </w:tc>
              <w:tc>
                <w:tcPr>
                  <w:tcW w:w="1338" w:type="pct"/>
                  <w:shd w:val="clear" w:color="auto" w:fill="auto"/>
                  <w:tcMar>
                    <w:left w:w="28" w:type="dxa"/>
                    <w:right w:w="28" w:type="dxa"/>
                  </w:tcMar>
                  <w:vAlign w:val="center"/>
                </w:tcPr>
                <w:p>
                  <w:pPr>
                    <w:pStyle w:val="20"/>
                    <w:outlineLvl w:val="9"/>
                  </w:pPr>
                  <w:r>
                    <w:rPr>
                      <w:rFonts w:hint="eastAsia"/>
                    </w:rPr>
                    <w:t>0.003</w:t>
                  </w:r>
                </w:p>
              </w:tc>
            </w:tr>
          </w:tbl>
          <w:p>
            <w:pPr>
              <w:spacing w:line="360" w:lineRule="auto"/>
              <w:ind w:firstLine="440" w:firstLineChars="200"/>
              <w:outlineLvl w:val="9"/>
            </w:pPr>
          </w:p>
          <w:p>
            <w:pPr>
              <w:spacing w:line="360" w:lineRule="auto"/>
              <w:ind w:firstLine="440" w:firstLineChars="200"/>
              <w:outlineLvl w:val="9"/>
            </w:pPr>
          </w:p>
          <w:p>
            <w:pPr>
              <w:spacing w:line="360" w:lineRule="auto"/>
              <w:ind w:firstLine="440" w:firstLineChars="200"/>
              <w:outlineLvl w:val="9"/>
            </w:pPr>
          </w:p>
          <w:p>
            <w:pPr>
              <w:spacing w:line="360" w:lineRule="auto"/>
              <w:ind w:firstLine="440" w:firstLineChars="200"/>
              <w:outlineLvl w:val="9"/>
            </w:pP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7.2.5检测点位图</w:t>
            </w:r>
          </w:p>
          <w:p>
            <w:pPr>
              <w:outlineLvl w:val="9"/>
            </w:pPr>
            <w:r>
              <w:pict>
                <v:shape id="_x0000_s1026" o:spid="_x0000_s1026" o:spt="202" type="#_x0000_t202" style="position:absolute;left:0pt;margin-left:102.1pt;margin-top:9.35pt;height:23.05pt;width:41.65pt;rotation:786432f;z-index:251664384;mso-width-relative:page;mso-height-relative:page;" filled="f" stroked="f" coordsize="21600,21600" o:gfxdata="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OajsNbXAAAACQEAAA8AAAAAAAAAAQAgAAAAIgAAAGRycy9kb3ducmV2LnhtbFBLAQIUABQA&#10;AAAIAIdO4kBsqPd7uAEAAFwDAAAOAAAAAAAAAAEAIAAAACYBAABkcnMvZTJvRG9jLnhtbFBLBQYA&#10;AAAABgAGAFkBAABQBQAAAAA=&#10;">
                  <v:path/>
                  <v:fill on="f" focussize="0,0"/>
                  <v:stroke on="f" joinstyle="miter"/>
                  <v:imagedata o:title=""/>
                  <o:lock v:ext="edit"/>
                  <v:textbox>
                    <w:txbxContent>
                      <w:p>
                        <w:pPr>
                          <w:rPr>
                            <w:rFonts w:ascii="Times New Roman" w:hAnsi="Times New Roman"/>
                          </w:rPr>
                        </w:pPr>
                        <w:r>
                          <w:rPr>
                            <w:rFonts w:hint="eastAsia" w:ascii="Times New Roman" w:hAnsi="Times New Roman"/>
                          </w:rPr>
                          <w:t>6#○</w:t>
                        </w:r>
                      </w:p>
                    </w:txbxContent>
                  </v:textbox>
                </v:shape>
              </w:pict>
            </w:r>
            <w:r>
              <w:pict>
                <v:shape id="_x0000_s1058" o:spid="_x0000_s1058" o:spt="202" type="#_x0000_t202" style="position:absolute;left:0pt;margin-left:242.85pt;margin-top:14.4pt;height:24.15pt;width:37.95pt;rotation:851968f;z-index:251666432;mso-width-relative:page;mso-height-relative:page;" filled="f" stroked="f" coordsize="21600,21600" o:gfxdata="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F4AWXnYAAAACQEAAA8AAAAAAAAAAQAgAAAAIgAAAGRycy9kb3ducmV2LnhtbFBLAQIUABQA&#10;AAAIAIdO4kA5zTiJtwEAAFwDAAAOAAAAAAAAAAEAIAAAACcBAABkcnMvZTJvRG9jLnhtbFBLBQYA&#10;AAAABgAGAFkBAABQBQAAAAA=&#10;">
                  <v:path/>
                  <v:fill on="f" focussize="0,0"/>
                  <v:stroke on="f" joinstyle="miter"/>
                  <v:imagedata o:title=""/>
                  <o:lock v:ext="edit"/>
                  <v:textbox>
                    <w:txbxContent>
                      <w:p>
                        <w:pPr>
                          <w:rPr>
                            <w:rFonts w:ascii="Times New Roman" w:hAnsi="Times New Roman"/>
                          </w:rPr>
                        </w:pPr>
                        <w:r>
                          <w:rPr>
                            <w:rFonts w:ascii="Times New Roman" w:hAnsi="Times New Roman"/>
                            <w:color w:val="000000"/>
                            <w:sz w:val="21"/>
                            <w:szCs w:val="21"/>
                          </w:rPr>
                          <w:t>▲</w:t>
                        </w:r>
                        <w:r>
                          <w:rPr>
                            <w:rFonts w:hint="eastAsia" w:ascii="Times New Roman" w:hAnsi="Times New Roman"/>
                            <w:color w:val="000000"/>
                            <w:sz w:val="21"/>
                            <w:szCs w:val="21"/>
                          </w:rPr>
                          <w:t>2</w:t>
                        </w:r>
                        <w:r>
                          <w:rPr>
                            <w:rFonts w:hint="eastAsia" w:ascii="Times New Roman" w:hAnsi="Times New Roman"/>
                          </w:rPr>
                          <w:t>#</w:t>
                        </w:r>
                      </w:p>
                      <w:p>
                        <w:r>
                          <w:rPr>
                            <w:rFonts w:hint="eastAsia" w:ascii="Times New Roman" w:hAnsi="Times New Roman"/>
                          </w:rPr>
                          <w:t xml:space="preserve"> </w:t>
                        </w:r>
                      </w:p>
                    </w:txbxContent>
                  </v:textbox>
                </v:shape>
              </w:pict>
            </w:r>
          </w:p>
          <w:p>
            <w:pPr>
              <w:outlineLvl w:val="9"/>
            </w:pPr>
          </w:p>
          <w:p>
            <w:pPr>
              <w:outlineLvl w:val="9"/>
            </w:pPr>
            <w:r>
              <w:pict>
                <v:line id="_x0000_s1057" o:spid="_x0000_s1057" o:spt="20" style="position:absolute;left:0pt;flip:x;margin-left:269.25pt;margin-top:4.25pt;height:16.4pt;width:4.05pt;z-index:251692032;mso-width-relative:page;mso-height-relative:page;" coordsize="21600,21600" o:gfxdata="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ty1Eo1wAAAAgBAAAPAAAAAAAAAAEAIAAAACIAAABkcnMvZG93&#10;bnJldi54bWxQSwECFAAUAAAACACHTuJALDdo+gECAADzAwAADgAAAAAAAAABACAAAAAmAQAAZHJz&#10;L2Uyb0RvYy54bWxQSwUGAAAAAAYABgBZAQAAmQUAAAAA&#10;">
                  <v:path arrowok="t"/>
                  <v:fill focussize="0,0"/>
                  <v:stroke/>
                  <v:imagedata o:title=""/>
                  <o:lock v:ext="edit"/>
                </v:line>
              </w:pict>
            </w:r>
            <w:r>
              <w:pict>
                <v:line id="_x0000_s1056" o:spid="_x0000_s1056" o:spt="20" style="position:absolute;left:0pt;flip:x;margin-left:239.45pt;margin-top:0.45pt;height:13pt;width:3.4pt;z-index:251691008;mso-width-relative:page;mso-height-relative:page;" coordsize="21600,21600" o:gfxdata="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DDQlrzWAAAABwEAAA8AAAAAAAAAAQAgAAAAIgAAAGRycy9kb3du&#10;cmV2LnhtbFBLAQIUABQAAAAIAIdO4kCoafY8AQIAAPMDAAAOAAAAAAAAAAEAIAAAACUBAABkcnMv&#10;ZTJvRG9jLnhtbFBLBQYAAAAABgAGAFkBAACYBQAAAAA=&#10;">
                  <v:path arrowok="t"/>
                  <v:fill focussize="0,0"/>
                  <v:stroke/>
                  <v:imagedata o:title=""/>
                  <o:lock v:ext="edit"/>
                </v:line>
              </w:pict>
            </w:r>
            <w:r>
              <w:pict>
                <v:rect id="_x0000_s1055" o:spid="_x0000_s1055" o:spt="1" style="position:absolute;left:0pt;margin-left:237.1pt;margin-top:1.95pt;height:19.2pt;width:36.25pt;rotation:2031616f;z-index:251671552;mso-width-relative:page;mso-height-relative:page;" filled="f" stroked="f" coordsize="21600,21600" o:gfxdata="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DN0KT1wAA&#10;AAgBAAAPAAAAAAAAAAEAIAAAACIAAABkcnMvZG93bnJldi54bWxQSwECFAAUAAAACACHTuJADgid&#10;Na0BAABQAwAADgAAAAAAAAABACAAAAAmAQAAZHJzL2Uyb0RvYy54bWxQSwUGAAAAAAYABgBZAQAA&#10;RQUAAAAA&#10;">
                  <v:path/>
                  <v:fill on="f" focussize="0,0"/>
                  <v:stroke on="f"/>
                  <v:imagedata o:title=""/>
                  <o:lock v:ext="edit"/>
                  <v:textbox>
                    <w:txbxContent>
                      <w:p>
                        <w:pPr>
                          <w:widowControl w:val="0"/>
                          <w:adjustRightInd/>
                          <w:snapToGrid/>
                          <w:spacing w:line="240" w:lineRule="exact"/>
                        </w:pPr>
                        <w:r>
                          <w:rPr>
                            <w:rFonts w:hint="eastAsia" w:ascii="Times New Roman" w:hAnsi="Times New Roman"/>
                            <w:color w:val="000000"/>
                            <w:sz w:val="21"/>
                            <w:szCs w:val="21"/>
                          </w:rPr>
                          <w:t>大门</w:t>
                        </w:r>
                      </w:p>
                    </w:txbxContent>
                  </v:textbox>
                </v:rect>
              </w:pict>
            </w:r>
            <w:r>
              <w:pict>
                <v:rect id="_x0000_s1054" o:spid="_x0000_s1054" o:spt="1" style="position:absolute;left:0pt;margin-left:133.65pt;margin-top:1.45pt;height:199.5pt;width:222.35pt;rotation:589824f;z-index:-251657216;mso-width-relative:page;mso-height-relative:page;" filled="f" coordsize="21600,21600" o:gfxdata="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zzbjP1gAAAAkBAAAPAAAAAAAAAAEAIAAAACIAAABk&#10;cnMvZG93bnJldi54bWxQSwECFAAUAAAACACHTuJArbEzmwgCAAAQBAAADgAAAAAAAAABACAAAAAl&#10;AQAAZHJzL2Uyb0RvYy54bWxQSwUGAAAAAAYABgBZAQAAnwUAAAAA&#10;">
                  <v:path/>
                  <v:fill on="f" focussize="0,0"/>
                  <v:stroke/>
                  <v:imagedata o:title=""/>
                  <o:lock v:ext="edit"/>
                  <v:textbox>
                    <w:txbxContent>
                      <w:p/>
                    </w:txbxContent>
                  </v:textbox>
                </v:rect>
              </w:pict>
            </w:r>
            <w:r>
              <w:t xml:space="preserve">                              </w:t>
            </w:r>
          </w:p>
          <w:p>
            <w:pPr>
              <w:spacing w:line="360" w:lineRule="auto"/>
              <w:ind w:firstLine="6600" w:firstLineChars="3000"/>
              <w:outlineLvl w:val="9"/>
            </w:pPr>
            <w:r>
              <w:pict>
                <v:shape id="_x0000_s1053" o:spid="_x0000_s1053" o:spt="202" type="#_x0000_t202" style="position:absolute;left:0pt;margin-left:289.75pt;margin-top:0.65pt;height:25.45pt;width:38.15pt;rotation:524288f;z-index:251669504;mso-width-relative:page;mso-height-relative:page;" filled="f" stroked="f" coordsize="21600,21600" o:gfxdata="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eK5Re9gAAAAIAQAADwAAAAAAAAABACAAAAAiAAAAZHJzL2Rvd25yZXYueG1sUEsBAhQAFAAA&#10;AAgAh07iQLfWqLO2AQAAXAMAAA4AAAAAAAAAAQAgAAAAJwEAAGRycy9lMm9Eb2MueG1sUEsFBgAA&#10;AAAGAAYAWQEAAE8FAAAAAA==&#10;">
                  <v:path/>
                  <v:fill on="f" focussize="0,0"/>
                  <v:stroke on="f" joinstyle="miter"/>
                  <v:imagedata o:title=""/>
                  <o:lock v:ext="edit"/>
                  <v:textbox>
                    <w:txbxContent>
                      <w:p>
                        <w:pPr>
                          <w:rPr>
                            <w:rFonts w:ascii="Times New Roman" w:hAnsi="Times New Roman"/>
                          </w:rPr>
                        </w:pPr>
                        <w:r>
                          <w:rPr>
                            <w:rFonts w:ascii="Times New Roman" w:hAnsi="Times New Roman"/>
                            <w:color w:val="000000"/>
                            <w:sz w:val="21"/>
                            <w:szCs w:val="21"/>
                          </w:rPr>
                          <w:t>★</w:t>
                        </w:r>
                        <w:r>
                          <w:rPr>
                            <w:rFonts w:hint="eastAsia" w:ascii="Times New Roman" w:hAnsi="Times New Roman"/>
                            <w:color w:val="000000"/>
                            <w:sz w:val="21"/>
                            <w:szCs w:val="21"/>
                          </w:rPr>
                          <w:t>1#</w:t>
                        </w:r>
                      </w:p>
                    </w:txbxContent>
                  </v:textbox>
                </v:shape>
              </w:pict>
            </w:r>
            <w:r>
              <w:pict>
                <v:shape id="_x0000_s1052" o:spid="_x0000_s1052" o:spt="202" type="#_x0000_t202" style="position:absolute;left:0pt;margin-left:272.8pt;margin-top:22.85pt;height:23.15pt;width:53pt;rotation:786432f;z-index:251672576;mso-width-relative:page;mso-height-relative:page;" filled="f" stroked="f" coordsize="21600,21600" o:gfxdata="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mBnvE1wAAAAkBAAAPAAAAAAAAAAEAIAAAACIAAABkcnMvZG93bnJldi54bWxQSwECFAAUAAAA&#10;CACHTuJAPeB4wbYBAABcAwAADgAAAAAAAAABACAAAAAmAQAAZHJzL2Uyb0RvYy54bWxQSwUGAAAA&#10;AAYABgBZAQAATgUAAAAA&#10;">
                  <v:path/>
                  <v:fill on="f" focussize="0,0"/>
                  <v:stroke on="f" joinstyle="miter"/>
                  <v:imagedata o:title=""/>
                  <o:lock v:ext="edit"/>
                  <v:textbox>
                    <w:txbxContent>
                      <w:p>
                        <w:pPr>
                          <w:jc w:val="center"/>
                          <w:rPr>
                            <w:rFonts w:ascii="Times New Roman" w:hAnsi="Times New Roman"/>
                          </w:rPr>
                        </w:pPr>
                        <w:r>
                          <w:rPr>
                            <w:rFonts w:hint="eastAsia" w:ascii="Times New Roman" w:hAnsi="Times New Roman"/>
                          </w:rPr>
                          <w:t>生活区</w:t>
                        </w:r>
                      </w:p>
                    </w:txbxContent>
                  </v:textbox>
                </v:shape>
              </w:pict>
            </w:r>
            <w:r>
              <w:pict>
                <v:shape id="_x0000_s1051" o:spid="_x0000_s1051" o:spt="202" type="#_x0000_t202" style="position:absolute;left:0pt;margin-left:164.6pt;margin-top:2.6pt;height:23.15pt;width:53pt;rotation:786432f;z-index:251668480;mso-width-relative:page;mso-height-relative:page;" filled="f" stroked="f" coordsize="21600,21600" o:gfxdata="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EkoarfWAAAACAEAAA8AAAAAAAAAAQAgAAAAIgAAAGRycy9kb3ducmV2LnhtbFBLAQIUABQAAAAI&#10;AIdO4kDNTNY1tgEAAFwDAAAOAAAAAAAAAAEAIAAAACUBAABkcnMvZTJvRG9jLnhtbFBLBQYAAAAA&#10;BgAGAFkBAABNBQAAAAA=&#10;">
                  <v:path/>
                  <v:fill on="f" focussize="0,0"/>
                  <v:stroke on="f" joinstyle="miter"/>
                  <v:imagedata o:title=""/>
                  <o:lock v:ext="edit"/>
                  <v:textbox>
                    <w:txbxContent>
                      <w:p>
                        <w:pPr>
                          <w:jc w:val="center"/>
                          <w:rPr>
                            <w:rFonts w:ascii="Times New Roman" w:hAnsi="Times New Roman"/>
                          </w:rPr>
                        </w:pPr>
                        <w:r>
                          <w:rPr>
                            <w:rFonts w:hint="eastAsia" w:ascii="Times New Roman" w:hAnsi="Times New Roman"/>
                          </w:rPr>
                          <w:t>办公区</w:t>
                        </w:r>
                      </w:p>
                    </w:txbxContent>
                  </v:textbox>
                </v:shape>
              </w:pict>
            </w:r>
            <w:r>
              <w:pict>
                <v:rect id="_x0000_s1050" o:spid="_x0000_s1050" o:spt="1" style="position:absolute;left:0pt;margin-left:256.2pt;margin-top:18.35pt;height:32.8pt;width:76.95pt;rotation:589824f;z-index:251676672;mso-width-relative:page;mso-height-relative:page;" filled="f" coordsize="21600,21600" o:gfxdata="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xf80g1wAAAAoBAAAPAAAAAAAAAAEAIAAAACIAAABkcnMvZG93bnJl&#10;di54bWxQSwECFAAUAAAACACHTuJAer/DYP4BAAADBAAADgAAAAAAAAABACAAAAAmAQAAZHJzL2Uy&#10;b0RvYy54bWxQSwUGAAAAAAYABgBZAQAAlgUAAAAA&#10;">
                  <v:path/>
                  <v:fill on="f" focussize="0,0"/>
                  <v:stroke/>
                  <v:imagedata o:title=""/>
                  <o:lock v:ext="edit"/>
                </v:rect>
              </w:pict>
            </w:r>
            <w:r>
              <w:pict>
                <v:rect id="_x0000_s1049" o:spid="_x0000_s1049" o:spt="1" style="position:absolute;left:0pt;margin-left:165.85pt;margin-top:1.25pt;height:25.2pt;width:62.7pt;rotation:589824f;z-index:251675648;mso-width-relative:page;mso-height-relative:page;" filled="f" coordsize="21600,21600" o:gfxdata="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OR9B41gAAAAgBAAAPAAAAAAAAAAEAIAAAACIAAABkcnMvZG93bnJl&#10;di54bWxQSwECFAAUAAAACACHTuJAf9szR/8BAAADBAAADgAAAAAAAAABACAAAAAlAQAAZHJzL2Uy&#10;b0RvYy54bWxQSwUGAAAAAAYABgBZAQAAlgUAAAAA&#10;">
                  <v:path/>
                  <v:fill on="f" focussize="0,0"/>
                  <v:stroke/>
                  <v:imagedata o:title=""/>
                  <o:lock v:ext="edit"/>
                </v:rect>
              </w:pict>
            </w:r>
          </w:p>
          <w:p>
            <w:pPr>
              <w:spacing w:line="360" w:lineRule="auto"/>
              <w:outlineLvl w:val="9"/>
            </w:pPr>
          </w:p>
          <w:p>
            <w:pPr>
              <w:spacing w:line="360" w:lineRule="auto"/>
              <w:ind w:firstLine="5720" w:firstLineChars="2600"/>
              <w:outlineLvl w:val="9"/>
            </w:pPr>
            <w:r>
              <w:pict>
                <v:shape id="_x0000_s1048" o:spid="_x0000_s1048" o:spt="202" type="#_x0000_t202" style="position:absolute;left:0pt;margin-left:91.1pt;margin-top:1.95pt;height:22.05pt;width:42.65pt;rotation:458752f;z-index:251663360;mso-width-relative:page;mso-height-relative:page;" filled="f" stroked="f" coordsize="21600,21600" o:gfxdata="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LL6HetoAAAAIAQAADwAAAAAAAAABACAAAAAiAAAAZHJzL2Rvd25yZXYueG1sUEsBAhQA&#10;FAAAAAgAh07iQJXlABS3AQAAXAMAAA4AAAAAAAAAAQAgAAAAKQEAAGRycy9lMm9Eb2MueG1sUEsF&#10;BgAAAAAGAAYAWQEAAFIFAAAAAA==&#10;">
                  <v:path/>
                  <v:fill on="f" focussize="0,0"/>
                  <v:stroke on="f" joinstyle="miter"/>
                  <v:imagedata o:title=""/>
                  <o:lock v:ext="edit"/>
                  <v:textbox>
                    <w:txbxContent>
                      <w:p>
                        <w:pPr>
                          <w:rPr>
                            <w:rFonts w:ascii="Times New Roman" w:hAnsi="Times New Roman"/>
                          </w:rPr>
                        </w:pPr>
                        <w:r>
                          <w:rPr>
                            <w:rFonts w:hint="eastAsia" w:ascii="Times New Roman" w:hAnsi="Times New Roman"/>
                            <w:color w:val="000000"/>
                            <w:sz w:val="21"/>
                            <w:szCs w:val="21"/>
                          </w:rPr>
                          <w:t>7</w:t>
                        </w:r>
                        <w:r>
                          <w:rPr>
                            <w:rFonts w:hint="eastAsia" w:ascii="Times New Roman" w:hAnsi="Times New Roman"/>
                          </w:rPr>
                          <w:t>#</w:t>
                        </w:r>
                        <w:r>
                          <w:rPr>
                            <w:rFonts w:hint="eastAsia" w:ascii="Times New Roman" w:hAnsi="Times New Roman"/>
                            <w:color w:val="000000"/>
                            <w:sz w:val="21"/>
                            <w:szCs w:val="21"/>
                          </w:rPr>
                          <w:t>○</w:t>
                        </w:r>
                      </w:p>
                      <w:p>
                        <w:pPr>
                          <w:rPr>
                            <w:rFonts w:ascii="Times New Roman" w:hAnsi="Times New Roman"/>
                            <w:color w:val="000000"/>
                            <w:sz w:val="21"/>
                            <w:szCs w:val="21"/>
                          </w:rPr>
                        </w:pPr>
                      </w:p>
                    </w:txbxContent>
                  </v:textbox>
                </v:shape>
              </w:pict>
            </w:r>
            <w:r>
              <w:pict>
                <v:shape id="_x0000_s1047" o:spid="_x0000_s1047" o:spt="202" type="#_x0000_t202" style="position:absolute;left:0pt;margin-left:112.35pt;margin-top:8.7pt;height:46.2pt;width:30.9pt;rotation:327680f;z-index:251661312;mso-width-relative:page;mso-height-relative:page;" filled="f" stroked="f" coordsize="21600,21600" o:gfxdata="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cpYGidsAAAAKAQAADwAAAAAAAAABACAAAAAiAAAAZHJzL2Rvd25yZXYueG1sUEsBAhQA&#10;FAAAAAgAh07iQCPhYF+2AQAAXAMAAA4AAAAAAAAAAQAgAAAAKgEAAGRycy9lMm9Eb2MueG1sUEsF&#10;BgAAAAAGAAYAWQEAAFIFAAAAAA==&#10;">
                  <v:path/>
                  <v:fill on="f" focussize="0,0"/>
                  <v:stroke on="f" joinstyle="miter"/>
                  <v:imagedata o:title=""/>
                  <o:lock v:ext="edit"/>
                  <v:textbox>
                    <w:txbxContent>
                      <w:p>
                        <w:pPr>
                          <w:rPr>
                            <w:rFonts w:ascii="Times New Roman" w:hAnsi="Times New Roman"/>
                            <w:color w:val="000000"/>
                            <w:sz w:val="21"/>
                            <w:szCs w:val="21"/>
                          </w:rPr>
                        </w:pPr>
                        <w:r>
                          <w:rPr>
                            <w:rFonts w:ascii="Times New Roman" w:hAnsi="Times New Roman"/>
                            <w:color w:val="000000"/>
                            <w:sz w:val="21"/>
                            <w:szCs w:val="21"/>
                          </w:rPr>
                          <w:t>▲</w:t>
                        </w:r>
                      </w:p>
                      <w:p>
                        <w:pPr>
                          <w:rPr>
                            <w:rFonts w:ascii="Times New Roman" w:hAnsi="Times New Roman"/>
                          </w:rPr>
                        </w:pPr>
                        <w:r>
                          <w:rPr>
                            <w:rFonts w:hint="eastAsia" w:ascii="Times New Roman" w:hAnsi="Times New Roman"/>
                            <w:color w:val="000000"/>
                            <w:sz w:val="21"/>
                            <w:szCs w:val="21"/>
                          </w:rPr>
                          <w:t>1</w:t>
                        </w:r>
                        <w:r>
                          <w:rPr>
                            <w:rFonts w:hint="eastAsia" w:ascii="Times New Roman" w:hAnsi="Times New Roman"/>
                          </w:rPr>
                          <w:t>#</w:t>
                        </w:r>
                      </w:p>
                      <w:p>
                        <w:r>
                          <w:rPr>
                            <w:rFonts w:hint="eastAsia" w:ascii="Times New Roman" w:hAnsi="Times New Roman"/>
                          </w:rPr>
                          <w:t xml:space="preserve"> </w:t>
                        </w:r>
                      </w:p>
                    </w:txbxContent>
                  </v:textbox>
                </v:shape>
              </w:pict>
            </w:r>
            <w:r>
              <w:pict>
                <v:rect id="_x0000_s1046" o:spid="_x0000_s1046" o:spt="1" style="position:absolute;left:0pt;margin-left:154.05pt;margin-top:3pt;height:67.95pt;width:62.7pt;rotation:589824f;z-index:251677696;mso-width-relative:page;mso-height-relative:page;" filled="f" coordsize="21600,21600" o:gfxdata="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Af2qbjXAAAACQEAAA8AAAAAAAAAAQAgAAAAIgAAAGRycy9kb3ducmV2&#10;LnhtbFBLAQIUABQAAAAIAIdO4kDsEUle/QEAAAMEAAAOAAAAAAAAAAEAIAAAACYBAABkcnMvZTJv&#10;RG9jLnhtbFBLBQYAAAAABgAGAFkBAACVBQAAAAA=&#10;">
                  <v:path/>
                  <v:fill on="f" focussize="0,0"/>
                  <v:stroke/>
                  <v:imagedata o:title=""/>
                  <o:lock v:ext="edit"/>
                </v:rect>
              </w:pict>
            </w:r>
            <w:r>
              <w:pict>
                <v:shape id="_x0000_s1045" o:spid="_x0000_s1045" o:spt="202" type="#_x0000_t202" style="position:absolute;left:0pt;margin-left:160.45pt;margin-top:3.45pt;height:23.15pt;width:53pt;rotation:524288f;z-index:251681792;mso-width-relative:page;mso-height-relative:page;" filled="f" stroked="f" coordsize="21600,21600" o:gfxdata="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H5wcuTZAAAACAEAAA8AAAAAAAAAAQAgAAAAIgAAAGRycy9kb3ducmV2LnhtbFBLAQIUABQA&#10;AAAIAIdO4kCAncnQtgEAAFwDAAAOAAAAAAAAAAEAIAAAACgBAABkcnMvZTJvRG9jLnhtbFBLBQYA&#10;AAAABgAGAFkBAABQBQAAAAA=&#10;">
                  <v:path/>
                  <v:fill on="f" focussize="0,0"/>
                  <v:stroke on="f" joinstyle="miter"/>
                  <v:imagedata o:title=""/>
                  <o:lock v:ext="edit"/>
                  <v:textbox>
                    <w:txbxContent>
                      <w:p>
                        <w:pPr>
                          <w:jc w:val="center"/>
                          <w:rPr>
                            <w:rFonts w:ascii="Times New Roman" w:hAnsi="Times New Roman"/>
                          </w:rPr>
                        </w:pPr>
                        <w:r>
                          <w:rPr>
                            <w:rFonts w:hint="eastAsia" w:ascii="Times New Roman" w:hAnsi="Times New Roman"/>
                          </w:rPr>
                          <w:t>仓库</w:t>
                        </w:r>
                      </w:p>
                    </w:txbxContent>
                  </v:textbox>
                </v:shape>
              </w:pict>
            </w:r>
            <w:r>
              <w:pict>
                <v:rect id="_x0000_s1044" o:spid="_x0000_s1044" o:spt="1" style="position:absolute;left:0pt;margin-left:246.35pt;margin-top:20.6pt;height:60.35pt;width:82.05pt;rotation:589824f;z-index:251678720;mso-width-relative:page;mso-height-relative:page;" filled="f" coordsize="21600,21600" o:gfxdata="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6v5etYAAAAKAQAADwAAAAAAAAABACAAAAAiAAAAZHJzL2Rvd25y&#10;ZXYueG1sUEsBAhQAFAAAAAgAh07iQGVIYhEAAgAABAQAAA4AAAAAAAAAAQAgAAAAJQEAAGRycy9l&#10;Mm9Eb2MueG1sUEsFBgAAAAAGAAYAWQEAAJcFAAAAAA==&#10;">
                  <v:path/>
                  <v:fill on="f" focussize="0,0"/>
                  <v:stroke/>
                  <v:imagedata o:title=""/>
                  <o:lock v:ext="edit"/>
                </v:rect>
              </w:pict>
            </w:r>
          </w:p>
          <w:p>
            <w:pPr>
              <w:spacing w:line="360" w:lineRule="auto"/>
              <w:ind w:firstLine="5720" w:firstLineChars="2600"/>
              <w:outlineLvl w:val="9"/>
            </w:pPr>
            <w:r>
              <w:pict>
                <v:rect id="_x0000_s1043" o:spid="_x0000_s1043" o:spt="1" style="position:absolute;left:0pt;margin-left:133.7pt;margin-top:3.3pt;height:34.9pt;width:27.1pt;rotation:327680f;z-index:251688960;mso-width-relative:page;mso-height-relative:page;" filled="f" stroked="f" coordsize="21600,21600" o:gfxdata="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">
                  <v:path/>
                  <v:fill on="f" focussize="0,0"/>
                  <v:stroke on="f"/>
                  <v:imagedata o:title=""/>
                  <o:lock v:ext="edit"/>
                  <v:textbox>
                    <w:txbxContent>
                      <w:p>
                        <w:pPr>
                          <w:widowControl w:val="0"/>
                          <w:adjustRightInd/>
                          <w:snapToGrid/>
                          <w:spacing w:line="240" w:lineRule="exact"/>
                          <w:rPr>
                            <w:rFonts w:ascii="Times New Roman" w:hAnsi="Times New Roman"/>
                            <w:color w:val="000000"/>
                            <w:sz w:val="21"/>
                            <w:szCs w:val="21"/>
                          </w:rPr>
                        </w:pPr>
                        <w:r>
                          <w:rPr>
                            <w:rFonts w:ascii="Times New Roman" w:hAnsi="Times New Roman"/>
                            <w:color w:val="000000"/>
                            <w:sz w:val="21"/>
                            <w:szCs w:val="21"/>
                          </w:rPr>
                          <w:t>◎</w:t>
                        </w:r>
                      </w:p>
                      <w:p>
                        <w:pPr>
                          <w:widowControl w:val="0"/>
                          <w:adjustRightInd/>
                          <w:snapToGrid/>
                          <w:spacing w:line="240" w:lineRule="exact"/>
                        </w:pPr>
                        <w:r>
                          <w:rPr>
                            <w:rFonts w:hint="eastAsia" w:ascii="Times New Roman" w:hAnsi="Times New Roman"/>
                            <w:color w:val="000000"/>
                            <w:sz w:val="21"/>
                            <w:szCs w:val="21"/>
                          </w:rPr>
                          <w:t>4#</w:t>
                        </w:r>
                      </w:p>
                    </w:txbxContent>
                  </v:textbox>
                </v:rect>
              </w:pict>
            </w:r>
            <w:r>
              <w:pict>
                <v:shape id="_x0000_s1042" o:spid="_x0000_s1042" o:spt="202" type="#_x0000_t202" style="position:absolute;left:0pt;margin-left:152.75pt;margin-top:3.05pt;height:47.95pt;width:25.45pt;rotation:655360f;z-index:251686912;mso-width-relative:page;mso-height-relative:page;" filled="f" stroked="f" coordsize="21600,21600" o:gfxdata="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3iS25NUAAAAJAQAADwAAAAAAAAABACAAAAAiAAAAZHJzL2Rvd25yZXYueG1sUEsBAhQAFAAAAAgA&#10;h07iQC2VWBq2AQAAXAMAAA4AAAAAAAAAAQAgAAAAJAEAAGRycy9lMm9Eb2MueG1sUEsFBgAAAAAG&#10;AAYAWQEAAEwFAAAAAA==&#10;">
                  <v:path/>
                  <v:fill on="f" focussize="0,0"/>
                  <v:stroke on="f" joinstyle="miter"/>
                  <v:imagedata o:title=""/>
                  <o:lock v:ext="edit"/>
                  <v:textbox>
                    <w:txbxContent>
                      <w:p>
                        <w:pPr>
                          <w:widowControl w:val="0"/>
                          <w:adjustRightInd/>
                          <w:snapToGrid/>
                          <w:spacing w:line="240" w:lineRule="exact"/>
                        </w:pPr>
                        <w:r>
                          <w:rPr>
                            <w:rFonts w:hint="eastAsia" w:ascii="Times New Roman" w:hAnsi="Times New Roman"/>
                            <w:color w:val="000000"/>
                            <w:sz w:val="21"/>
                            <w:szCs w:val="21"/>
                          </w:rPr>
                          <w:t>热处理</w:t>
                        </w:r>
                      </w:p>
                    </w:txbxContent>
                  </v:textbox>
                </v:shape>
              </w:pict>
            </w:r>
            <w:r>
              <w:pict>
                <v:shape id="_x0000_s1041" o:spid="_x0000_s1041" o:spt="202" type="#_x0000_t202" style="position:absolute;left:0pt;margin-left:298.35pt;margin-top:22.9pt;height:21.3pt;width:36.35pt;z-index:251683840;mso-width-relative:page;mso-height-relative:page;" filled="f" stroked="f" coordsize="21600,21600" o:gfxdata="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ZUMjX&#10;AAAACQEAAA8AAAAAAAAAAQAgAAAAIgAAAGRycy9kb3ducmV2LnhtbFBLAQIUABQAAAAIAIdO4kCv&#10;mSPMrwEAAE8DAAAOAAAAAAAAAAEAIAAAACYBAABkcnMvZTJvRG9jLnhtbFBLBQYAAAAABgAGAFkB&#10;AABHBQAAAAA=&#10;">
                  <v:path/>
                  <v:fill on="f" focussize="0,0"/>
                  <v:stroke on="f" joinstyle="miter"/>
                  <v:imagedata o:title=""/>
                  <o:lock v:ext="edit"/>
                  <v:textbox>
                    <w:txbxContent>
                      <w:p>
                        <w:r>
                          <w:rPr>
                            <w:rFonts w:hint="eastAsia" w:ascii="Times New Roman" w:hAnsi="Times New Roman"/>
                            <w:color w:val="000000"/>
                            <w:sz w:val="21"/>
                            <w:szCs w:val="21"/>
                          </w:rPr>
                          <w:t>抛丸</w:t>
                        </w:r>
                      </w:p>
                    </w:txbxContent>
                  </v:textbox>
                </v:shape>
              </w:pict>
            </w:r>
            <w:r>
              <w:pict>
                <v:shape id="_x0000_s1040" o:spid="_x0000_s1040" o:spt="202" type="#_x0000_t202" style="position:absolute;left:0pt;margin-left:163.85pt;margin-top:11.4pt;height:23.15pt;width:53pt;rotation:524288f;z-index:251682816;mso-width-relative:page;mso-height-relative:page;" filled="f" stroked="f" coordsize="21600,21600" o:gfxdata="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0if0A2gAAAAkBAAAPAAAAAAAAAAEAIAAAACIAAABkcnMvZG93bnJldi54bWxQSwECFAAU&#10;AAAACACHTuJA0W5LFrYBAABcAwAADgAAAAAAAAABACAAAAApAQAAZHJzL2Uyb0RvYy54bWxQSwUG&#10;AAAAAAYABgBZAQAAUQUAAAAA&#10;">
                  <v:path/>
                  <v:fill on="f" focussize="0,0"/>
                  <v:stroke on="f" joinstyle="miter"/>
                  <v:imagedata o:title=""/>
                  <o:lock v:ext="edit"/>
                  <v:textbox>
                    <w:txbxContent>
                      <w:p>
                        <w:pPr>
                          <w:jc w:val="center"/>
                          <w:rPr>
                            <w:rFonts w:ascii="Times New Roman" w:hAnsi="Times New Roman"/>
                          </w:rPr>
                        </w:pPr>
                        <w:r>
                          <w:rPr>
                            <w:rFonts w:hint="eastAsia" w:ascii="Times New Roman" w:hAnsi="Times New Roman"/>
                          </w:rPr>
                          <w:t>车间</w:t>
                        </w:r>
                      </w:p>
                    </w:txbxContent>
                  </v:textbox>
                </v:shape>
              </w:pict>
            </w:r>
            <w:r>
              <w:pict>
                <v:shape id="_x0000_s1039" o:spid="_x0000_s1039" o:spt="202" type="#_x0000_t202" style="position:absolute;left:0pt;margin-left:249.35pt;margin-top:11.7pt;height:23.15pt;width:53pt;rotation:524288f;z-index:251680768;mso-width-relative:page;mso-height-relative:page;" filled="f" stroked="f" coordsize="21600,21600" o:gfxdata="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67O1B2gAAAAkBAAAPAAAAAAAAAAEAIAAAACIAAABkcnMvZG93bnJldi54bWxQSwECFAAU&#10;AAAACACHTuJAY329hrYBAABcAwAADgAAAAAAAAABACAAAAApAQAAZHJzL2Uyb0RvYy54bWxQSwUG&#10;AAAAAAYABgBZAQAAUQUAAAAA&#10;">
                  <v:path/>
                  <v:fill on="f" focussize="0,0"/>
                  <v:stroke on="f" joinstyle="miter"/>
                  <v:imagedata o:title=""/>
                  <o:lock v:ext="edit"/>
                  <v:textbox>
                    <w:txbxContent>
                      <w:p>
                        <w:pPr>
                          <w:jc w:val="center"/>
                          <w:rPr>
                            <w:rFonts w:ascii="Times New Roman" w:hAnsi="Times New Roman"/>
                          </w:rPr>
                        </w:pPr>
                        <w:r>
                          <w:rPr>
                            <w:rFonts w:hint="eastAsia" w:ascii="Times New Roman" w:hAnsi="Times New Roman"/>
                          </w:rPr>
                          <w:t>车间</w:t>
                        </w:r>
                      </w:p>
                    </w:txbxContent>
                  </v:textbox>
                </v:shape>
              </w:pict>
            </w:r>
            <w:r>
              <w:pict>
                <v:line id="_x0000_s1038" o:spid="_x0000_s1038" o:spt="20" style="position:absolute;left:0pt;margin-left:155.6pt;margin-top:1.25pt;height:8.9pt;width:62.05pt;z-index:251679744;mso-width-relative:page;mso-height-relative:page;" coordsize="21600,21600" o:gfxdata="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Naobh9UAAAAIAQAADwAAAAAAAAABACAAAAAiAAAAZHJzL2Rvd25yZXYueG1s&#10;UEsBAhQAFAAAAAgAh07iQDEumYb7AQAA6gMAAA4AAAAAAAAAAQAgAAAAJAEAAGRycy9lMm9Eb2Mu&#10;eG1sUEsFBgAAAAAGAAYAWQEAAJEFAAAAAA==&#10;">
                  <v:path arrowok="t"/>
                  <v:fill focussize="0,0"/>
                  <v:stroke/>
                  <v:imagedata o:title=""/>
                  <o:lock v:ext="edit"/>
                </v:line>
              </w:pict>
            </w:r>
            <w:r>
              <w:pict>
                <v:shape id="_x0000_s1037" o:spid="_x0000_s1037" o:spt="202" type="#_x0000_t202" style="position:absolute;left:0pt;margin-left:434pt;margin-top:4.2pt;height:24.15pt;width:27.15pt;rotation:-196608f;z-index:251660288;mso-width-relative:page;mso-height-relative:page;" filled="f" stroked="f" coordsize="21600,21600" o:gfxdata="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lCC1L9gAAAAIAQAADwAAAAAAAAABACAAAAAiAAAAZHJzL2Rvd25yZXYueG1sUEsBAhQAFAAA&#10;AAgAh07iQCl7ee62AQAAXQMAAA4AAAAAAAAAAQAgAAAAJwEAAGRycy9lMm9Eb2MueG1sUEsFBgAA&#10;AAAGAAYAWQEAAE8FAAAAAA==&#10;">
                  <v:path/>
                  <v:fill on="f" focussize="0,0"/>
                  <v:stroke on="f" joinstyle="miter"/>
                  <v:imagedata o:title=""/>
                  <o:lock v:ext="edit"/>
                  <v:textbox>
                    <w:txbxContent>
                      <w:p/>
                    </w:txbxContent>
                  </v:textbox>
                </v:shape>
              </w:pict>
            </w:r>
          </w:p>
          <w:p>
            <w:pPr>
              <w:spacing w:line="360" w:lineRule="auto"/>
              <w:ind w:firstLine="5720" w:firstLineChars="2600"/>
              <w:outlineLvl w:val="9"/>
            </w:pPr>
            <w:r>
              <w:pict>
                <v:shape id="_x0000_s1036" o:spid="_x0000_s1036" o:spt="202" type="#_x0000_t202" style="position:absolute;left:0pt;margin-left:363.5pt;margin-top:9.05pt;height:44.85pt;width:29.4pt;rotation:262144f;z-index:251673600;mso-width-relative:page;mso-height-relative:page;" filled="f" stroked="f" coordsize="21600,21600" o:gfxdata="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esraY9gAAAAKAQAADwAAAAAAAAABACAAAAAiAAAAZHJzL2Rvd25yZXYueG1sUEsBAhQAFAAA&#10;AAgAh07iQG48Wy22AQAAXAMAAA4AAAAAAAAAAQAgAAAAJwEAAGRycy9lMm9Eb2MueG1sUEsFBgAA&#10;AAAGAAYAWQEAAE8FAAAAAA==&#10;">
                  <v:path/>
                  <v:fill on="f" focussize="0,0"/>
                  <v:stroke on="f" joinstyle="miter"/>
                  <v:imagedata o:title=""/>
                  <o:lock v:ext="edit"/>
                  <v:textbox>
                    <w:txbxContent>
                      <w:p>
                        <w:pPr>
                          <w:rPr>
                            <w:rFonts w:ascii="Times New Roman" w:hAnsi="Times New Roman"/>
                          </w:rPr>
                        </w:pPr>
                        <w:r>
                          <w:rPr>
                            <w:rFonts w:hint="eastAsia" w:ascii="Times New Roman" w:hAnsi="Times New Roman"/>
                          </w:rPr>
                          <w:t>○</w:t>
                        </w:r>
                      </w:p>
                      <w:p>
                        <w:pPr>
                          <w:rPr>
                            <w:rFonts w:ascii="Times New Roman" w:hAnsi="Times New Roman"/>
                          </w:rPr>
                        </w:pPr>
                        <w:r>
                          <w:rPr>
                            <w:rFonts w:hint="eastAsia" w:ascii="Times New Roman" w:hAnsi="Times New Roman"/>
                          </w:rPr>
                          <w:t>5#</w:t>
                        </w:r>
                      </w:p>
                    </w:txbxContent>
                  </v:textbox>
                </v:shape>
              </w:pict>
            </w:r>
            <w:r>
              <w:pict>
                <v:shape id="_x0000_s1035" o:spid="_x0000_s1035" o:spt="202" type="#_x0000_t202" style="position:absolute;left:0pt;margin-left:348.35pt;margin-top:8.1pt;height:38.5pt;width:27.75pt;z-index:251662336;mso-width-relative:page;mso-height-relative:page;" filled="f" stroked="f" coordsize="21600,21600" o:gfxdata="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AFjIZk&#10;1wAAAAkBAAAPAAAAAAAAAAEAIAAAACIAAABkcnMvZG93bnJldi54bWxQSwECFAAUAAAACACHTuJA&#10;abeRp7ABAABPAwAADgAAAAAAAAABACAAAAAmAQAAZHJzL2Uyb0RvYy54bWxQSwUGAAAAAAYABgBZ&#10;AQAASAUAAAAA&#10;">
                  <v:path/>
                  <v:fill on="f" focussize="0,0"/>
                  <v:stroke on="f" joinstyle="miter"/>
                  <v:imagedata o:title=""/>
                  <o:lock v:ext="edit"/>
                  <v:textbox>
                    <w:txbxContent>
                      <w:p>
                        <w:pPr>
                          <w:rPr>
                            <w:rFonts w:ascii="Times New Roman" w:hAnsi="Times New Roman"/>
                            <w:color w:val="000000"/>
                            <w:sz w:val="21"/>
                            <w:szCs w:val="21"/>
                          </w:rPr>
                        </w:pPr>
                        <w:r>
                          <w:rPr>
                            <w:rFonts w:ascii="Times New Roman" w:hAnsi="Times New Roman"/>
                            <w:color w:val="000000"/>
                            <w:sz w:val="21"/>
                            <w:szCs w:val="21"/>
                          </w:rPr>
                          <w:t>▲</w:t>
                        </w:r>
                      </w:p>
                      <w:p>
                        <w:pPr>
                          <w:rPr>
                            <w:rFonts w:ascii="Times New Roman" w:hAnsi="Times New Roman"/>
                            <w:color w:val="000000"/>
                            <w:sz w:val="21"/>
                            <w:szCs w:val="21"/>
                          </w:rPr>
                        </w:pPr>
                        <w:r>
                          <w:rPr>
                            <w:rFonts w:hint="eastAsia" w:ascii="Times New Roman" w:hAnsi="Times New Roman"/>
                          </w:rPr>
                          <w:t>3#</w:t>
                        </w:r>
                      </w:p>
                      <w:p>
                        <w:pPr>
                          <w:rPr>
                            <w:rFonts w:ascii="Times New Roman" w:hAnsi="Times New Roman"/>
                          </w:rPr>
                        </w:pPr>
                      </w:p>
                      <w:p>
                        <w:r>
                          <w:rPr>
                            <w:rFonts w:hint="eastAsia" w:ascii="Times New Roman" w:hAnsi="Times New Roman"/>
                          </w:rPr>
                          <w:t xml:space="preserve"> </w:t>
                        </w:r>
                      </w:p>
                    </w:txbxContent>
                  </v:textbox>
                </v:shape>
              </w:pict>
            </w:r>
            <w:r>
              <w:pict>
                <v:rect id="_x0000_s1034" o:spid="_x0000_s1034" o:spt="1" style="position:absolute;left:0pt;margin-left:320.9pt;margin-top:5.05pt;height:20.6pt;width:37.95pt;z-index:251670528;mso-width-relative:page;mso-height-relative:page;" filled="f" stroked="f" coordsize="21600,21600" o:gfxdata="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K0eccPaAAAACQEAAA8A&#10;AAAAAAAAAQAgAAAAIgAAAGRycy9kb3ducmV2LnhtbFBLAQIUABQAAAAIAIdO4kD11bJjowEAAEID&#10;AAAOAAAAAAAAAAEAIAAAACkBAABkcnMvZTJvRG9jLnhtbFBLBQYAAAAABgAGAFkBAAA+BQAAAAA=&#10;">
                  <v:path/>
                  <v:fill on="f" focussize="0,0"/>
                  <v:stroke on="f"/>
                  <v:imagedata o:title=""/>
                  <o:lock v:ext="edit"/>
                  <v:textbox>
                    <w:txbxContent>
                      <w:p>
                        <w:pPr>
                          <w:widowControl w:val="0"/>
                          <w:adjustRightInd/>
                          <w:snapToGrid/>
                          <w:spacing w:line="240" w:lineRule="exact"/>
                        </w:pPr>
                        <w:r>
                          <w:rPr>
                            <w:rFonts w:ascii="Times New Roman" w:hAnsi="Times New Roman"/>
                            <w:color w:val="000000"/>
                            <w:sz w:val="21"/>
                            <w:szCs w:val="21"/>
                          </w:rPr>
                          <w:t>◎</w:t>
                        </w:r>
                        <w:r>
                          <w:rPr>
                            <w:rFonts w:hint="eastAsia" w:ascii="Times New Roman" w:hAnsi="Times New Roman"/>
                            <w:color w:val="000000"/>
                            <w:sz w:val="21"/>
                            <w:szCs w:val="21"/>
                          </w:rPr>
                          <w:t>3#</w:t>
                        </w:r>
                      </w:p>
                    </w:txbxContent>
                  </v:textbox>
                </v:rect>
              </w:pict>
            </w:r>
            <w:r>
              <w:pict>
                <v:shape id="_x0000_s1033" o:spid="_x0000_s1033" o:spt="202" type="#_x0000_t202" style="position:absolute;left:0pt;margin-left:249.3pt;margin-top:13.75pt;height:21.3pt;width:36.35pt;rotation:655360f;z-index:251685888;mso-width-relative:page;mso-height-relative:page;" filled="f" stroked="f" coordsize="21600,21600" o:gfxdata="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CGexcA1wAAAAkBAAAPAAAAAAAAAAEAIAAAACIAAABkcnMvZG93bnJldi54bWxQSwECFAAUAAAA&#10;CACHTuJAgWHGKrYBAABcAwAADgAAAAAAAAABACAAAAAmAQAAZHJzL2Uyb0RvYy54bWxQSwUGAAAA&#10;AAYABgBZAQAATgUAAAAA&#10;">
                  <v:path/>
                  <v:fill on="f" focussize="0,0"/>
                  <v:stroke on="f" joinstyle="miter"/>
                  <v:imagedata o:title=""/>
                  <o:lock v:ext="edit"/>
                  <v:textbox>
                    <w:txbxContent>
                      <w:p>
                        <w:r>
                          <w:rPr>
                            <w:rFonts w:hint="eastAsia" w:ascii="Times New Roman" w:hAnsi="Times New Roman"/>
                            <w:color w:val="000000"/>
                            <w:sz w:val="21"/>
                            <w:szCs w:val="21"/>
                          </w:rPr>
                          <w:t>锌锅</w:t>
                        </w:r>
                      </w:p>
                    </w:txbxContent>
                  </v:textbox>
                </v:shape>
              </w:pict>
            </w:r>
            <w:r>
              <w:pict>
                <v:shape id="_x0000_s1032" o:spid="_x0000_s1032" o:spt="202" type="#_x0000_t202" style="position:absolute;left:0pt;margin-left:283.8pt;margin-top:19.6pt;height:21.3pt;width:36.35pt;rotation:655360f;z-index:251684864;mso-width-relative:page;mso-height-relative:page;" filled="f" stroked="f" coordsize="21600,21600" o:gfxdata="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Gl3WuvWAAAACQEAAA8AAAAAAAAAAQAgAAAAIgAAAGRycy9kb3ducmV2LnhtbFBLAQIUABQAAAAI&#10;AIdO4kDRBVx5tgEAAFwDAAAOAAAAAAAAAAEAIAAAACUBAABkcnMvZTJvRG9jLnhtbFBLBQYAAAAA&#10;BgAGAFkBAABNBQAAAAA=&#10;">
                  <v:path/>
                  <v:fill on="f" focussize="0,0"/>
                  <v:stroke on="f" joinstyle="miter"/>
                  <v:imagedata o:title=""/>
                  <o:lock v:ext="edit"/>
                  <v:textbox>
                    <w:txbxContent>
                      <w:p>
                        <w:r>
                          <w:rPr>
                            <w:rFonts w:hint="eastAsia" w:ascii="Times New Roman" w:hAnsi="Times New Roman"/>
                            <w:color w:val="000000"/>
                            <w:sz w:val="21"/>
                            <w:szCs w:val="21"/>
                          </w:rPr>
                          <w:t>酸洗</w:t>
                        </w:r>
                      </w:p>
                    </w:txbxContent>
                  </v:textbox>
                </v:shape>
              </w:pict>
            </w:r>
          </w:p>
          <w:p>
            <w:pPr>
              <w:spacing w:line="360" w:lineRule="auto"/>
              <w:ind w:firstLine="6600" w:firstLineChars="3000"/>
              <w:outlineLvl w:val="9"/>
            </w:pPr>
            <w:r>
              <w:pict>
                <v:shape id="_x0000_s1031" o:spid="_x0000_s1031" o:spt="202" type="#_x0000_t202" style="position:absolute;left:0pt;margin-left:74.25pt;margin-top:16.45pt;height:20.6pt;width:37.1pt;rotation:589824f;z-index:251665408;mso-width-relative:page;mso-height-relative:page;" filled="f" stroked="f" coordsize="21600,21600" o:gfxdata="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TrOe12gAAAAkBAAAPAAAAAAAAAAEAIAAAACIAAABkcnMvZG93bnJldi54bWxQSwECFAAU&#10;AAAACACHTuJAsp2psbYBAABcAwAADgAAAAAAAAABACAAAAApAQAAZHJzL2Uyb0RvYy54bWxQSwUG&#10;AAAAAAYABgBZAQAAUQUAAAAA&#10;">
                  <v:path/>
                  <v:fill on="f" focussize="0,0"/>
                  <v:stroke on="f" joinstyle="miter"/>
                  <v:imagedata o:title=""/>
                  <o:lock v:ext="edit"/>
                  <v:textbox>
                    <w:txbxContent>
                      <w:p>
                        <w:pPr>
                          <w:rPr>
                            <w:rFonts w:ascii="Times New Roman" w:hAnsi="Times New Roman"/>
                            <w:color w:val="000000"/>
                            <w:sz w:val="21"/>
                            <w:szCs w:val="21"/>
                          </w:rPr>
                        </w:pPr>
                        <w:r>
                          <w:rPr>
                            <w:rFonts w:hint="eastAsia" w:ascii="Times New Roman" w:hAnsi="Times New Roman"/>
                          </w:rPr>
                          <w:t>8#</w:t>
                        </w:r>
                        <w:r>
                          <w:rPr>
                            <w:rFonts w:hint="eastAsia" w:ascii="Times New Roman" w:hAnsi="Times New Roman"/>
                            <w:color w:val="000000"/>
                            <w:sz w:val="21"/>
                            <w:szCs w:val="21"/>
                          </w:rPr>
                          <w:t>○</w:t>
                        </w:r>
                      </w:p>
                    </w:txbxContent>
                  </v:textbox>
                </v:shape>
              </w:pict>
            </w:r>
            <w:r>
              <w:pict>
                <v:rect id="_x0000_s1030" o:spid="_x0000_s1030" o:spt="1" style="position:absolute;left:0pt;margin-left:252.3pt;margin-top:5.05pt;height:34.9pt;width:27.1pt;z-index:251687936;mso-width-relative:page;mso-height-relative:page;" filled="f" stroked="f" coordsize="21600,21600" o:gfxdata="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">
                  <v:path/>
                  <v:fill on="f" focussize="0,0"/>
                  <v:stroke on="f"/>
                  <v:imagedata o:title=""/>
                  <o:lock v:ext="edit"/>
                  <v:textbox>
                    <w:txbxContent>
                      <w:p>
                        <w:pPr>
                          <w:widowControl w:val="0"/>
                          <w:adjustRightInd/>
                          <w:snapToGrid/>
                          <w:spacing w:line="240" w:lineRule="exact"/>
                          <w:rPr>
                            <w:rFonts w:ascii="Times New Roman" w:hAnsi="Times New Roman"/>
                            <w:color w:val="000000"/>
                            <w:sz w:val="21"/>
                            <w:szCs w:val="21"/>
                          </w:rPr>
                        </w:pPr>
                        <w:r>
                          <w:rPr>
                            <w:rFonts w:ascii="Times New Roman" w:hAnsi="Times New Roman"/>
                            <w:color w:val="000000"/>
                            <w:sz w:val="21"/>
                            <w:szCs w:val="21"/>
                          </w:rPr>
                          <w:t>◎</w:t>
                        </w:r>
                      </w:p>
                      <w:p>
                        <w:pPr>
                          <w:widowControl w:val="0"/>
                          <w:adjustRightInd/>
                          <w:snapToGrid/>
                          <w:spacing w:line="240" w:lineRule="exact"/>
                        </w:pPr>
                        <w:r>
                          <w:rPr>
                            <w:rFonts w:hint="eastAsia" w:ascii="Times New Roman" w:hAnsi="Times New Roman"/>
                            <w:color w:val="000000"/>
                            <w:sz w:val="21"/>
                            <w:szCs w:val="21"/>
                          </w:rPr>
                          <w:t>2#</w:t>
                        </w:r>
                      </w:p>
                    </w:txbxContent>
                  </v:textbox>
                </v:rect>
              </w:pict>
            </w:r>
            <w:r>
              <w:pict>
                <v:rect id="_x0000_s1029" o:spid="_x0000_s1029" o:spt="1" style="position:absolute;left:0pt;margin-left:289.35pt;margin-top:10.8pt;height:34.9pt;width:27.1pt;z-index:251674624;mso-width-relative:page;mso-height-relative:page;" filled="f" stroked="f" coordsize="21600,21600" o:gfxdata="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">
                  <v:path/>
                  <v:fill on="f" focussize="0,0"/>
                  <v:stroke on="f"/>
                  <v:imagedata o:title=""/>
                  <o:lock v:ext="edit"/>
                  <v:textbox>
                    <w:txbxContent>
                      <w:p>
                        <w:pPr>
                          <w:widowControl w:val="0"/>
                          <w:adjustRightInd/>
                          <w:snapToGrid/>
                          <w:spacing w:line="240" w:lineRule="exact"/>
                          <w:rPr>
                            <w:rFonts w:ascii="Times New Roman" w:hAnsi="Times New Roman"/>
                            <w:color w:val="000000"/>
                            <w:sz w:val="21"/>
                            <w:szCs w:val="21"/>
                          </w:rPr>
                        </w:pPr>
                        <w:r>
                          <w:rPr>
                            <w:rFonts w:ascii="Times New Roman" w:hAnsi="Times New Roman"/>
                            <w:color w:val="000000"/>
                            <w:sz w:val="21"/>
                            <w:szCs w:val="21"/>
                          </w:rPr>
                          <w:t>◎</w:t>
                        </w:r>
                      </w:p>
                      <w:p>
                        <w:pPr>
                          <w:widowControl w:val="0"/>
                          <w:adjustRightInd/>
                          <w:snapToGrid/>
                          <w:spacing w:line="240" w:lineRule="exact"/>
                        </w:pPr>
                        <w:r>
                          <w:rPr>
                            <w:rFonts w:hint="eastAsia" w:ascii="Times New Roman" w:hAnsi="Times New Roman"/>
                            <w:color w:val="000000"/>
                            <w:sz w:val="21"/>
                            <w:szCs w:val="21"/>
                          </w:rPr>
                          <w:t>1#</w:t>
                        </w:r>
                      </w:p>
                    </w:txbxContent>
                  </v:textbox>
                </v:rect>
              </w:pict>
            </w:r>
          </w:p>
          <w:p>
            <w:pPr>
              <w:spacing w:line="360" w:lineRule="auto"/>
              <w:ind w:firstLine="6600" w:firstLineChars="3000"/>
              <w:outlineLvl w:val="9"/>
            </w:pPr>
            <w:r>
              <w:pict>
                <v:shape id="_x0000_s1028" o:spid="_x0000_s1028" o:spt="202" type="#_x0000_t202" style="position:absolute;left:0pt;margin-left:195.3pt;margin-top:8.6pt;height:21.3pt;width:67pt;rotation:589824f;z-index:251689984;mso-width-relative:page;mso-height-relative:page;" filled="f" stroked="f" coordsize="21600,21600" o:gfxdata="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T0Px+2gAAAAkBAAAPAAAAAAAAAAEAIAAAACIAAABkcnMvZG93bnJldi54bWxQSwECFAAU&#10;AAAACACHTuJAuoE/RLYBAABcAwAADgAAAAAAAAABACAAAAApAQAAZHJzL2Uyb0RvYy54bWxQSwUG&#10;AAAAAAYABgBZAQAAUQUAAAAA&#10;">
                  <v:path/>
                  <v:fill on="f" focussize="0,0"/>
                  <v:stroke on="f" joinstyle="miter"/>
                  <v:imagedata o:title=""/>
                  <o:lock v:ext="edit"/>
                  <v:textbox>
                    <w:txbxContent>
                      <w:p>
                        <w:r>
                          <w:rPr>
                            <w:rFonts w:hint="eastAsia"/>
                          </w:rPr>
                          <w:t>生产车间</w:t>
                        </w:r>
                      </w:p>
                    </w:txbxContent>
                  </v:textbox>
                </v:shape>
              </w:pict>
            </w:r>
          </w:p>
          <w:p>
            <w:pPr>
              <w:spacing w:line="360" w:lineRule="auto"/>
              <w:ind w:firstLine="6600" w:firstLineChars="3000"/>
              <w:outlineLvl w:val="9"/>
            </w:pPr>
            <w:r>
              <w:pict>
                <v:shape id="_x0000_s1027" o:spid="_x0000_s1027" o:spt="202" type="#_x0000_t202" style="position:absolute;left:0pt;margin-left:199.6pt;margin-top:15.8pt;height:26.5pt;width:38.4pt;rotation:851968f;z-index:251667456;mso-width-relative:page;mso-height-relative:page;" filled="f" stroked="f" coordsize="21600,21600" o:gfxdata="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T1IgmNgAAAAJAQAADwAAAAAAAAABACAAAAAiAAAAZHJzL2Rvd25yZXYueG1sUEsBAhQAFAAA&#10;AAgAh07iQPSLKX+2AQAAXAMAAA4AAAAAAAAAAQAgAAAAJwEAAGRycy9lMm9Eb2MueG1sUEsFBgAA&#10;AAAGAAYAWQEAAE8FAAAAAA==&#10;">
                  <v:path/>
                  <v:fill on="f" focussize="0,0"/>
                  <v:stroke on="f" joinstyle="miter"/>
                  <v:imagedata o:title=""/>
                  <o:lock v:ext="edit"/>
                  <v:textbox>
                    <w:txbxContent>
                      <w:p>
                        <w:pPr>
                          <w:rPr>
                            <w:rFonts w:ascii="Times New Roman" w:hAnsi="Times New Roman"/>
                          </w:rPr>
                        </w:pPr>
                        <w:r>
                          <w:rPr>
                            <w:rFonts w:ascii="Times New Roman" w:hAnsi="Times New Roman"/>
                            <w:color w:val="000000"/>
                            <w:sz w:val="21"/>
                            <w:szCs w:val="21"/>
                          </w:rPr>
                          <w:t>▲</w:t>
                        </w:r>
                        <w:r>
                          <w:rPr>
                            <w:rFonts w:hint="eastAsia" w:ascii="Times New Roman" w:hAnsi="Times New Roman"/>
                            <w:color w:val="000000"/>
                            <w:sz w:val="21"/>
                            <w:szCs w:val="21"/>
                          </w:rPr>
                          <w:t>4</w:t>
                        </w:r>
                        <w:r>
                          <w:rPr>
                            <w:rFonts w:hint="eastAsia" w:ascii="Times New Roman" w:hAnsi="Times New Roman"/>
                          </w:rPr>
                          <w:t>#</w:t>
                        </w:r>
                      </w:p>
                      <w:p>
                        <w:r>
                          <w:rPr>
                            <w:rFonts w:hint="eastAsia" w:ascii="Times New Roman" w:hAnsi="Times New Roman"/>
                          </w:rPr>
                          <w:t xml:space="preserve"> </w:t>
                        </w:r>
                      </w:p>
                    </w:txbxContent>
                  </v:textbox>
                </v:shape>
              </w:pict>
            </w:r>
          </w:p>
          <w:p>
            <w:pPr>
              <w:spacing w:line="360" w:lineRule="auto"/>
              <w:ind w:firstLine="6600" w:firstLineChars="3000"/>
              <w:outlineLvl w:val="9"/>
            </w:pPr>
          </w:p>
          <w:p>
            <w:pPr>
              <w:pStyle w:val="2"/>
              <w:outlineLvl w:val="9"/>
            </w:pPr>
          </w:p>
          <w:p>
            <w:pPr>
              <w:outlineLvl w:val="9"/>
            </w:pPr>
          </w:p>
          <w:p>
            <w:pPr>
              <w:pStyle w:val="2"/>
              <w:outlineLvl w:val="9"/>
            </w:pPr>
          </w:p>
          <w:p>
            <w:pPr>
              <w:outlineLvl w:val="9"/>
            </w:pPr>
          </w:p>
          <w:p>
            <w:pPr>
              <w:spacing w:line="360" w:lineRule="auto"/>
              <w:ind w:firstLine="6600" w:firstLineChars="3000"/>
              <w:outlineLvl w:val="9"/>
            </w:pPr>
            <w:r>
              <w:t>“</w:t>
            </w:r>
            <w:r>
              <w:rPr>
                <w:rFonts w:hint="eastAsia"/>
              </w:rPr>
              <w:t>○</w:t>
            </w:r>
            <w:r>
              <w:t>”</w:t>
            </w:r>
            <w:r>
              <w:rPr>
                <w:rFonts w:hint="eastAsia"/>
              </w:rPr>
              <w:t>代表无</w:t>
            </w:r>
            <w:r>
              <w:t>组织废气监测点</w:t>
            </w:r>
          </w:p>
          <w:p>
            <w:pPr>
              <w:spacing w:line="360" w:lineRule="auto"/>
              <w:jc w:val="center"/>
              <w:outlineLvl w:val="9"/>
            </w:pPr>
            <w:r>
              <w:rPr>
                <w:rFonts w:hint="eastAsia"/>
              </w:rPr>
              <w:t xml:space="preserve">                                                   </w:t>
            </w:r>
            <w:r>
              <w:t>“▲”</w:t>
            </w:r>
            <w:r>
              <w:rPr>
                <w:rFonts w:hint="eastAsia"/>
              </w:rPr>
              <w:t>代表</w:t>
            </w:r>
            <w:r>
              <w:t>噪声监测点</w:t>
            </w:r>
          </w:p>
          <w:p>
            <w:pPr>
              <w:spacing w:line="360" w:lineRule="auto"/>
              <w:ind w:firstLine="6600" w:firstLineChars="3000"/>
              <w:outlineLvl w:val="9"/>
            </w:pPr>
            <w:r>
              <w:t>“★”</w:t>
            </w:r>
            <w:r>
              <w:rPr>
                <w:rFonts w:hint="eastAsia"/>
              </w:rPr>
              <w:t>代表</w:t>
            </w:r>
            <w:r>
              <w:t>废水监测点</w:t>
            </w:r>
          </w:p>
          <w:p>
            <w:pPr>
              <w:pStyle w:val="29"/>
              <w:spacing w:line="360" w:lineRule="auto"/>
              <w:ind w:firstLine="420"/>
              <w:jc w:val="center"/>
              <w:outlineLvl w:val="9"/>
            </w:pPr>
            <w:r>
              <w:rPr>
                <w:rFonts w:hint="eastAsia"/>
              </w:rPr>
              <w:t xml:space="preserve">                                                     </w:t>
            </w:r>
            <w:r>
              <w:t>“◎”</w:t>
            </w:r>
            <w:r>
              <w:rPr>
                <w:rFonts w:hint="eastAsia"/>
              </w:rPr>
              <w:t>代表</w:t>
            </w:r>
            <w:r>
              <w:t>有组织废气</w:t>
            </w:r>
          </w:p>
          <w:p>
            <w:pPr>
              <w:outlineLvl w:val="9"/>
            </w:pPr>
          </w:p>
          <w:p>
            <w:pPr>
              <w:pStyle w:val="6"/>
              <w:spacing w:line="360" w:lineRule="auto"/>
              <w:ind w:left="0" w:leftChars="0"/>
              <w:jc w:val="center"/>
              <w:outlineLvl w:val="9"/>
            </w:pPr>
            <w:r>
              <w:rPr>
                <w:rFonts w:hint="eastAsia"/>
              </w:rPr>
              <w:t>图7-1 验收监测布点图</w:t>
            </w:r>
          </w:p>
          <w:p>
            <w:pPr>
              <w:spacing w:line="360" w:lineRule="auto"/>
              <w:ind w:firstLine="480" w:firstLineChars="200"/>
              <w:outlineLvl w:val="9"/>
              <w:rPr>
                <w:rFonts w:hint="eastAsia" w:asciiTheme="minorEastAsia" w:hAnsiTheme="minorEastAsia" w:eastAsiaTheme="minorEastAsia" w:cstheme="minorEastAsia"/>
                <w:sz w:val="24"/>
                <w:szCs w:val="24"/>
              </w:rPr>
            </w:pPr>
            <w:bookmarkStart w:id="46" w:name="_Toc383433899"/>
            <w:r>
              <w:rPr>
                <w:rFonts w:hint="eastAsia" w:asciiTheme="minorEastAsia" w:hAnsiTheme="minorEastAsia" w:eastAsiaTheme="minorEastAsia" w:cstheme="minorEastAsia"/>
                <w:sz w:val="24"/>
                <w:szCs w:val="24"/>
              </w:rPr>
              <w:t>7.3总量控制</w:t>
            </w:r>
            <w:bookmarkEnd w:id="46"/>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根据本次验收监测结果（全年设计运行300d ,每天8h），本项目环评建议总量指标与实际排放总量控制指标见表7-6所示。</w:t>
            </w:r>
          </w:p>
          <w:p>
            <w:pPr>
              <w:jc w:val="center"/>
              <w:outlineLvl w:val="9"/>
            </w:pPr>
            <w:r>
              <w:rPr>
                <w:rFonts w:hint="eastAsia"/>
              </w:rPr>
              <w:t>表7-6 总量控制指标对照表</w:t>
            </w:r>
          </w:p>
          <w:tbl>
            <w:tblPr>
              <w:tblStyle w:val="13"/>
              <w:tblW w:w="91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57"/>
              <w:gridCol w:w="3057"/>
              <w:gridCol w:w="3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7" w:type="dxa"/>
                  <w:vAlign w:val="center"/>
                </w:tcPr>
                <w:p>
                  <w:pPr>
                    <w:spacing w:line="360" w:lineRule="auto"/>
                    <w:jc w:val="center"/>
                    <w:outlineLvl w:val="9"/>
                  </w:pPr>
                  <w:r>
                    <w:rPr>
                      <w:rFonts w:hint="eastAsia"/>
                    </w:rPr>
                    <w:t>污染物名称</w:t>
                  </w:r>
                </w:p>
              </w:tc>
              <w:tc>
                <w:tcPr>
                  <w:tcW w:w="3057" w:type="dxa"/>
                  <w:vAlign w:val="center"/>
                </w:tcPr>
                <w:p>
                  <w:pPr>
                    <w:spacing w:line="360" w:lineRule="auto"/>
                    <w:jc w:val="center"/>
                    <w:outlineLvl w:val="9"/>
                  </w:pPr>
                  <w:r>
                    <w:rPr>
                      <w:rFonts w:hint="eastAsia"/>
                    </w:rPr>
                    <w:t>实际排放总量（t/a）</w:t>
                  </w:r>
                </w:p>
              </w:tc>
              <w:tc>
                <w:tcPr>
                  <w:tcW w:w="3058" w:type="dxa"/>
                  <w:vAlign w:val="center"/>
                </w:tcPr>
                <w:p>
                  <w:pPr>
                    <w:spacing w:line="360" w:lineRule="auto"/>
                    <w:jc w:val="center"/>
                    <w:outlineLvl w:val="9"/>
                  </w:pPr>
                  <w:r>
                    <w:rPr>
                      <w:rFonts w:hint="eastAsia"/>
                    </w:rPr>
                    <w:t>环评建议总量（t/a）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57" w:type="dxa"/>
                  <w:vAlign w:val="center"/>
                </w:tcPr>
                <w:p>
                  <w:pPr>
                    <w:pStyle w:val="17"/>
                    <w:spacing w:before="30"/>
                    <w:ind w:left="774" w:right="758"/>
                    <w:outlineLvl w:val="9"/>
                    <w:rPr>
                      <w:lang w:val="en-US"/>
                    </w:rPr>
                  </w:pPr>
                  <w:r>
                    <w:rPr>
                      <w:rFonts w:hint="eastAsia"/>
                    </w:rPr>
                    <w:t>VOCs（以非甲烷总烃计）</w:t>
                  </w:r>
                </w:p>
              </w:tc>
              <w:tc>
                <w:tcPr>
                  <w:tcW w:w="3057" w:type="dxa"/>
                  <w:vAlign w:val="center"/>
                </w:tcPr>
                <w:p>
                  <w:pPr>
                    <w:pStyle w:val="17"/>
                    <w:spacing w:before="30"/>
                    <w:ind w:left="774" w:right="758"/>
                    <w:outlineLvl w:val="9"/>
                  </w:pPr>
                  <w:r>
                    <w:rPr>
                      <w:rFonts w:hint="eastAsia"/>
                    </w:rPr>
                    <w:t>0.211</w:t>
                  </w:r>
                </w:p>
              </w:tc>
              <w:tc>
                <w:tcPr>
                  <w:tcW w:w="3058" w:type="dxa"/>
                  <w:vAlign w:val="center"/>
                </w:tcPr>
                <w:p>
                  <w:pPr>
                    <w:pStyle w:val="17"/>
                    <w:spacing w:before="41"/>
                    <w:ind w:left="349" w:right="334"/>
                    <w:outlineLvl w:val="9"/>
                    <w:rPr>
                      <w:lang w:val="en-US"/>
                    </w:rPr>
                  </w:pPr>
                  <w:r>
                    <w:rPr>
                      <w:rFonts w:hint="eastAsia"/>
                    </w:rPr>
                    <w:t>1.321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57" w:type="dxa"/>
                  <w:vAlign w:val="center"/>
                </w:tcPr>
                <w:p>
                  <w:pPr>
                    <w:pStyle w:val="17"/>
                    <w:spacing w:before="41"/>
                    <w:ind w:left="774" w:right="757"/>
                    <w:outlineLvl w:val="9"/>
                    <w:rPr>
                      <w:lang w:val="en-US"/>
                    </w:rPr>
                  </w:pPr>
                  <w:r>
                    <w:rPr>
                      <w:rFonts w:hint="eastAsia"/>
                    </w:rPr>
                    <w:t>SO2</w:t>
                  </w:r>
                </w:p>
              </w:tc>
              <w:tc>
                <w:tcPr>
                  <w:tcW w:w="3057" w:type="dxa"/>
                  <w:vAlign w:val="center"/>
                </w:tcPr>
                <w:p>
                  <w:pPr>
                    <w:spacing w:line="360" w:lineRule="auto"/>
                    <w:jc w:val="center"/>
                    <w:outlineLvl w:val="9"/>
                  </w:pPr>
                  <w:r>
                    <w:rPr>
                      <w:rFonts w:hint="eastAsia"/>
                    </w:rPr>
                    <w:t>0.006</w:t>
                  </w:r>
                </w:p>
              </w:tc>
              <w:tc>
                <w:tcPr>
                  <w:tcW w:w="3058" w:type="dxa"/>
                  <w:vAlign w:val="center"/>
                </w:tcPr>
                <w:p>
                  <w:pPr>
                    <w:pStyle w:val="17"/>
                    <w:spacing w:before="41"/>
                    <w:ind w:left="349" w:right="334"/>
                    <w:outlineLvl w:val="9"/>
                    <w:rPr>
                      <w:lang w:val="en-US"/>
                    </w:rPr>
                  </w:pPr>
                  <w:r>
                    <w:rPr>
                      <w:rFonts w:hint="eastAsia"/>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57" w:type="dxa"/>
                  <w:vAlign w:val="center"/>
                </w:tcPr>
                <w:p>
                  <w:pPr>
                    <w:pStyle w:val="17"/>
                    <w:spacing w:before="41"/>
                    <w:ind w:left="774" w:right="760"/>
                    <w:outlineLvl w:val="9"/>
                    <w:rPr>
                      <w:lang w:val="en-US"/>
                    </w:rPr>
                  </w:pPr>
                  <w:r>
                    <w:rPr>
                      <w:rFonts w:hint="eastAsia"/>
                    </w:rPr>
                    <w:t>NOx</w:t>
                  </w:r>
                </w:p>
              </w:tc>
              <w:tc>
                <w:tcPr>
                  <w:tcW w:w="3057" w:type="dxa"/>
                  <w:vAlign w:val="center"/>
                </w:tcPr>
                <w:p>
                  <w:pPr>
                    <w:spacing w:line="360" w:lineRule="auto"/>
                    <w:jc w:val="center"/>
                    <w:outlineLvl w:val="9"/>
                  </w:pPr>
                  <w:r>
                    <w:rPr>
                      <w:rFonts w:hint="eastAsia"/>
                    </w:rPr>
                    <w:t>0.015</w:t>
                  </w:r>
                </w:p>
              </w:tc>
              <w:tc>
                <w:tcPr>
                  <w:tcW w:w="3058" w:type="dxa"/>
                  <w:vAlign w:val="center"/>
                </w:tcPr>
                <w:p>
                  <w:pPr>
                    <w:pStyle w:val="17"/>
                    <w:spacing w:before="41"/>
                    <w:ind w:left="349" w:right="334"/>
                    <w:outlineLvl w:val="9"/>
                    <w:rPr>
                      <w:lang w:val="en-US"/>
                    </w:rPr>
                  </w:pPr>
                  <w:r>
                    <w:rPr>
                      <w:rFonts w:hint="eastAsia"/>
                    </w:rPr>
                    <w:t>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57" w:type="dxa"/>
                  <w:vAlign w:val="center"/>
                </w:tcPr>
                <w:p>
                  <w:pPr>
                    <w:pStyle w:val="17"/>
                    <w:spacing w:before="41"/>
                    <w:ind w:left="774" w:right="759"/>
                    <w:outlineLvl w:val="9"/>
                    <w:rPr>
                      <w:lang w:val="en-US"/>
                    </w:rPr>
                  </w:pPr>
                  <w:r>
                    <w:rPr>
                      <w:rFonts w:hint="eastAsia"/>
                    </w:rPr>
                    <w:t>COD</w:t>
                  </w:r>
                </w:p>
              </w:tc>
              <w:tc>
                <w:tcPr>
                  <w:tcW w:w="3057" w:type="dxa"/>
                  <w:vAlign w:val="center"/>
                </w:tcPr>
                <w:p>
                  <w:pPr>
                    <w:spacing w:line="360" w:lineRule="auto"/>
                    <w:jc w:val="center"/>
                    <w:outlineLvl w:val="9"/>
                  </w:pPr>
                  <w:r>
                    <w:rPr>
                      <w:rFonts w:hint="eastAsia"/>
                    </w:rPr>
                    <w:t>1.490</w:t>
                  </w:r>
                </w:p>
              </w:tc>
              <w:tc>
                <w:tcPr>
                  <w:tcW w:w="3058" w:type="dxa"/>
                  <w:vAlign w:val="center"/>
                </w:tcPr>
                <w:p>
                  <w:pPr>
                    <w:pStyle w:val="17"/>
                    <w:spacing w:before="41"/>
                    <w:ind w:left="349" w:right="334"/>
                    <w:outlineLvl w:val="9"/>
                    <w:rPr>
                      <w:lang w:val="en-US"/>
                    </w:rPr>
                  </w:pPr>
                  <w:r>
                    <w:rPr>
                      <w:rFonts w:hint="eastAsia"/>
                    </w:rPr>
                    <w:t>1.919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57" w:type="dxa"/>
                  <w:vAlign w:val="center"/>
                </w:tcPr>
                <w:p>
                  <w:pPr>
                    <w:pStyle w:val="17"/>
                    <w:spacing w:before="29"/>
                    <w:ind w:left="774" w:right="758"/>
                    <w:outlineLvl w:val="9"/>
                    <w:rPr>
                      <w:lang w:val="en-US"/>
                    </w:rPr>
                  </w:pPr>
                  <w:r>
                    <w:rPr>
                      <w:rFonts w:hint="eastAsia"/>
                    </w:rPr>
                    <w:t>氨氮</w:t>
                  </w:r>
                </w:p>
              </w:tc>
              <w:tc>
                <w:tcPr>
                  <w:tcW w:w="3057" w:type="dxa"/>
                  <w:vAlign w:val="center"/>
                </w:tcPr>
                <w:p>
                  <w:pPr>
                    <w:spacing w:line="360" w:lineRule="auto"/>
                    <w:jc w:val="center"/>
                    <w:outlineLvl w:val="9"/>
                  </w:pPr>
                  <w:r>
                    <w:rPr>
                      <w:rFonts w:hint="eastAsia"/>
                    </w:rPr>
                    <w:t>0.183</w:t>
                  </w:r>
                </w:p>
              </w:tc>
              <w:tc>
                <w:tcPr>
                  <w:tcW w:w="3058" w:type="dxa"/>
                  <w:vAlign w:val="center"/>
                </w:tcPr>
                <w:p>
                  <w:pPr>
                    <w:pStyle w:val="17"/>
                    <w:spacing w:before="41"/>
                    <w:ind w:left="349" w:right="334"/>
                    <w:outlineLvl w:val="9"/>
                    <w:rPr>
                      <w:lang w:val="en-US"/>
                    </w:rPr>
                  </w:pPr>
                  <w:r>
                    <w:rPr>
                      <w:rFonts w:hint="eastAsia"/>
                    </w:rPr>
                    <w:t>0.173</w:t>
                  </w:r>
                </w:p>
              </w:tc>
            </w:tr>
          </w:tbl>
          <w:p>
            <w:pPr>
              <w:pStyle w:val="2"/>
              <w:outlineLvl w:val="9"/>
            </w:pPr>
          </w:p>
        </w:tc>
      </w:tr>
    </w:tbl>
    <w:p>
      <w:pPr>
        <w:pStyle w:val="2"/>
      </w:pPr>
    </w:p>
    <w:p>
      <w:r>
        <w:br w:type="page"/>
      </w:r>
    </w:p>
    <w:p>
      <w:pPr>
        <w:outlineLvl w:val="0"/>
        <w:rPr>
          <w:rFonts w:asciiTheme="majorEastAsia" w:hAnsiTheme="majorEastAsia" w:eastAsiaTheme="majorEastAsia" w:cstheme="majorEastAsia"/>
          <w:b/>
          <w:sz w:val="28"/>
          <w:szCs w:val="28"/>
        </w:rPr>
      </w:pPr>
      <w:bookmarkStart w:id="47" w:name="_Toc17358_WPSOffice_Level1"/>
      <w:bookmarkStart w:id="48" w:name="_Toc325_WPSOffice_Level1"/>
      <w:bookmarkStart w:id="49" w:name="_Toc6699"/>
      <w:bookmarkStart w:id="50" w:name="_Toc6858"/>
      <w:bookmarkStart w:id="51" w:name="_Toc10274"/>
      <w:r>
        <w:rPr>
          <w:rFonts w:hint="eastAsia" w:asciiTheme="majorEastAsia" w:hAnsiTheme="majorEastAsia" w:eastAsiaTheme="majorEastAsia" w:cstheme="majorEastAsia"/>
          <w:b/>
          <w:sz w:val="28"/>
          <w:szCs w:val="28"/>
        </w:rPr>
        <w:t>表八 环保检查结果</w:t>
      </w:r>
      <w:bookmarkEnd w:id="47"/>
      <w:bookmarkEnd w:id="48"/>
      <w:bookmarkEnd w:id="49"/>
      <w:bookmarkEnd w:id="50"/>
      <w:bookmarkEnd w:id="51"/>
    </w:p>
    <w:tbl>
      <w:tblPr>
        <w:tblStyle w:val="13"/>
        <w:tblpPr w:leftFromText="180" w:rightFromText="180" w:vertAnchor="text" w:tblpXSpec="left" w:tblpY="1"/>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top"/>
          </w:tcPr>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 环保审批手续及“三同时”执行情况检查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于2021年8月17日在隆昌市经济和信息化局进行了项目备案，备案号:川投资备【2108-511028-07-02-131127】JXQB-0258号。根据《中华人民共和国环境保护法》、《中华人民共和国环境影响评价法》、《建设项目环境保护管理条列》、《建设项目环境影响评价分类管理目录》等相关规定，2021年11月，信息产业电子第十一设计研究院科技工程股份有限公司承担并编制完成了《四川东博轨道科技有限公司新增1.5万吨/年紧固件生产扩建项目环境影响报告表》，并于2022年2月7日取得了内江生态环境局批复内市环隆审批【2022】2号。项目于2022年2月开工建设，于2022年7月建成投产试运行。根据调查，项目投产试运行至今未发生过环境污染投诉及相关行政处罚。目前项目主要设备和环保设施运行正常，具备验收监测条件。（项目已进行排污登记管理：登记编号：91511028MA67MUK70B001W）。</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8.2环境保护管理制度的建立和执行情况检查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建立了较完善的企业环保组织机构，环保组织机构人员责任明确，配备有兼职环保工作人员，负责日常环保工作、事故预防、处理以及通报。为认真贯彻执行国家有关的环境保护法律法规，建设单位还应应做好以下几个方面的环境管理工作：</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（1）不断完善环境保护管理制度；                                                                                                                                                                                                                                                                                                                                                                                                                             </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（2）委托具有资质的第三方检测机构，按照排污许可中自行检测方案要求对主要污染物进行年度检测。</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不得擅自拆除或闲置污染治理设施，不得故意不正常使用污染治理设施，确保污染物达标排放。固体废弃物外售应建立台账制度，明确固体废物去向。污染治理设施的管理必须与相应的生产活动一起纳入到日常管理工作的范畴落实责任人、操作人员、维修人员、运行经费、设备的备品备件和其他原辅材料。</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8.3环境保护档案管理情况检查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项目相关的各项环保档案资料（环境影响报告表、环评批复、环保设备档案、固废处置合同、环境保护管理制度等）等均由兼职人员统一管理、收存。兼职人员同时负责监督管理主要环保设施的运行、维护以及登记保管环保设施维修记录。</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（1）健全各类台账并严格管理，包括废气、废水、噪声检测台账等，台账保存期限不得少于三年；         </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（2）建立非正常工况申报管理制度，包括出现项目停产、突发环境事故等情况，建设单位应及时向当地生态主管部门报告并备案；</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 环保治理设施的完成、运行、维护情况检查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本项目总投资2000万元，其中环保投资98万元，约占工程总投资的4.9%，投入生产以来，环保设施运行稳定、正常。</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8.5 排污口规范化整治和厂区绿化检查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厂区外种有乔、灌木等，有一定绿化措施；废气经处理后经15米排气筒排放；经污水处理站处理的除油清洗废水、酸洗清洗废水、水洗塔废水和经预处理池处理的生活污水达《污水综合排放标准》（GB8978-1996）三级标准后通过园区污水管网排入经开区污水处理厂处理，无偷排漏排现象。</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8.6卫生防护距离检查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w:t>
            </w:r>
            <w:r>
              <w:rPr>
                <w:rFonts w:hint="eastAsia" w:asciiTheme="minorEastAsia" w:hAnsiTheme="minorEastAsia" w:eastAsiaTheme="minorEastAsia" w:cstheme="minorEastAsia"/>
                <w:sz w:val="24"/>
                <w:szCs w:val="24"/>
                <w:lang w:eastAsia="zh-CN"/>
              </w:rPr>
              <w:t>未</w:t>
            </w:r>
            <w:r>
              <w:rPr>
                <w:rFonts w:hint="eastAsia" w:asciiTheme="minorEastAsia" w:hAnsiTheme="minorEastAsia" w:eastAsiaTheme="minorEastAsia" w:cstheme="minorEastAsia"/>
                <w:sz w:val="24"/>
                <w:szCs w:val="24"/>
              </w:rPr>
              <w:t>划定卫生防护距离。据现场调查，目前项目周边没有学校、居民等敏感点，今后也不得规划建设居住区、学校、医院等敏感保护目标。</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8.7环境风险防范措施检查</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本项目严格按照《建筑设计防火规范》合理布置总图，按照《建筑灭火器配置设计规范》（GB50140-2005）之规定，设立禁止烟火标志牌，并设置消防沙、消火栓和灭火器。</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8.8环评批复落实情况检查</w:t>
            </w:r>
          </w:p>
          <w:p>
            <w:pPr>
              <w:spacing w:before="156"/>
              <w:ind w:firstLine="422" w:firstLineChars="200"/>
              <w:jc w:val="center"/>
              <w:outlineLvl w:val="9"/>
              <w:rPr>
                <w:rFonts w:ascii="宋体" w:hAnsi="宋体" w:cs="宋体"/>
                <w:sz w:val="21"/>
                <w:szCs w:val="21"/>
              </w:rPr>
            </w:pPr>
            <w:r>
              <w:rPr>
                <w:rFonts w:hint="eastAsia" w:ascii="宋体" w:hAnsi="宋体" w:cs="宋体"/>
                <w:b/>
                <w:bCs/>
                <w:sz w:val="21"/>
                <w:szCs w:val="21"/>
              </w:rPr>
              <w:t>表8-1   环评批复与实际实施情况对照表</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54"/>
              <w:gridCol w:w="4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3" w:type="pct"/>
                  <w:vAlign w:val="center"/>
                </w:tcPr>
                <w:p>
                  <w:pPr>
                    <w:adjustRightInd/>
                    <w:spacing w:before="156" w:afterAutospacing="1"/>
                    <w:ind w:firstLine="422"/>
                    <w:jc w:val="center"/>
                    <w:outlineLvl w:val="9"/>
                    <w:rPr>
                      <w:rFonts w:ascii="宋体" w:hAnsi="宋体" w:cs="宋体"/>
                      <w:b/>
                      <w:bCs/>
                      <w:sz w:val="18"/>
                      <w:szCs w:val="18"/>
                    </w:rPr>
                  </w:pPr>
                  <w:r>
                    <w:rPr>
                      <w:rFonts w:hint="eastAsia" w:ascii="宋体" w:hAnsi="宋体" w:cs="宋体"/>
                      <w:b/>
                      <w:bCs/>
                      <w:sz w:val="18"/>
                      <w:szCs w:val="18"/>
                    </w:rPr>
                    <w:t>环评批复要求</w:t>
                  </w:r>
                </w:p>
              </w:tc>
              <w:tc>
                <w:tcPr>
                  <w:tcW w:w="2296" w:type="pct"/>
                  <w:vAlign w:val="center"/>
                </w:tcPr>
                <w:p>
                  <w:pPr>
                    <w:adjustRightInd/>
                    <w:spacing w:before="156" w:afterAutospacing="1"/>
                    <w:jc w:val="center"/>
                    <w:outlineLvl w:val="9"/>
                    <w:rPr>
                      <w:rFonts w:ascii="宋体" w:hAnsi="宋体" w:cs="宋体"/>
                      <w:b/>
                      <w:bCs/>
                      <w:sz w:val="18"/>
                      <w:szCs w:val="18"/>
                    </w:rPr>
                  </w:pPr>
                  <w:r>
                    <w:rPr>
                      <w:rFonts w:hint="eastAsia" w:ascii="宋体" w:hAnsi="宋体" w:cs="宋体"/>
                      <w:b/>
                      <w:bCs/>
                      <w:sz w:val="18"/>
                      <w:szCs w:val="18"/>
                    </w:rPr>
                    <w:t>实际落实情况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2703" w:type="pct"/>
                  <w:vAlign w:val="center"/>
                </w:tcPr>
                <w:p>
                  <w:pPr>
                    <w:spacing w:line="360" w:lineRule="auto"/>
                    <w:jc w:val="center"/>
                    <w:outlineLvl w:val="9"/>
                    <w:rPr>
                      <w:rFonts w:hint="eastAsia"/>
                      <w:sz w:val="18"/>
                      <w:szCs w:val="18"/>
                    </w:rPr>
                  </w:pPr>
                  <w:r>
                    <w:rPr>
                      <w:rFonts w:hint="eastAsia"/>
                      <w:sz w:val="18"/>
                      <w:szCs w:val="18"/>
                    </w:rPr>
                    <w:t>落实“报告表”提出的水污染防治措施。施工期生活污水依托现有预处理池处理后进入经开区污水处理厂处理，施工废水用于地坪养护，不排放；运营期酸雾处理配套的水洗塔废水作为酸洗池补水，不排放，经污水处理站处理的除油清洗废水、酸洗清洗废水、水洗塔废水和经预处理池处理的生活污水达《污水综合排放标准》（GB8978-1996）三级标准后通过园区污水管网排入经开区污水处理厂处理。</w:t>
                  </w:r>
                </w:p>
              </w:tc>
              <w:tc>
                <w:tcPr>
                  <w:tcW w:w="2296" w:type="pct"/>
                  <w:vAlign w:val="center"/>
                </w:tcPr>
                <w:p>
                  <w:pPr>
                    <w:spacing w:line="360" w:lineRule="auto"/>
                    <w:jc w:val="center"/>
                    <w:outlineLvl w:val="9"/>
                    <w:rPr>
                      <w:rFonts w:hint="eastAsia"/>
                      <w:sz w:val="18"/>
                      <w:szCs w:val="18"/>
                      <w:lang w:eastAsia="zh-CN"/>
                    </w:rPr>
                  </w:pPr>
                  <w:r>
                    <w:rPr>
                      <w:rFonts w:hint="eastAsia"/>
                      <w:sz w:val="18"/>
                      <w:szCs w:val="18"/>
                    </w:rPr>
                    <w:t>已落实</w:t>
                  </w:r>
                  <w:r>
                    <w:rPr>
                      <w:rFonts w:hint="eastAsia"/>
                      <w:sz w:val="18"/>
                      <w:szCs w:val="18"/>
                      <w:lang w:eastAsia="zh-CN"/>
                    </w:rPr>
                    <w:t>，</w:t>
                  </w:r>
                  <w:r>
                    <w:rPr>
                      <w:rFonts w:hint="eastAsia"/>
                      <w:sz w:val="18"/>
                      <w:szCs w:val="18"/>
                    </w:rPr>
                    <w:t>施工期生活污水依托现有预处理池处理后进入经开区污水处理厂处理，施工废水用于地坪养护，不排放；运营期酸雾处理配套的水洗塔废水作为酸洗池补水，不排放，经污水处理站处理的除油清洗废水、酸洗清洗废水、水洗塔废水和经预处理池处理的生活污水达《污水综合排放标准》（GB8978-1996）三级标准后通过园区污水管网排入经开区污水处理厂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8" w:hRule="atLeast"/>
              </w:trPr>
              <w:tc>
                <w:tcPr>
                  <w:tcW w:w="2703" w:type="pct"/>
                  <w:vAlign w:val="center"/>
                </w:tcPr>
                <w:p>
                  <w:pPr>
                    <w:pStyle w:val="26"/>
                    <w:ind w:firstLine="360" w:firstLineChars="200"/>
                    <w:jc w:val="center"/>
                    <w:outlineLvl w:val="9"/>
                    <w:rPr>
                      <w:rFonts w:ascii="Times New Roman" w:hAnsi="Times New Roman"/>
                      <w:sz w:val="18"/>
                      <w:szCs w:val="18"/>
                    </w:rPr>
                  </w:pPr>
                  <w:r>
                    <w:rPr>
                      <w:rFonts w:hint="eastAsia" w:ascii="Times New Roman" w:hAnsi="Times New Roman"/>
                      <w:sz w:val="18"/>
                      <w:szCs w:val="18"/>
                    </w:rPr>
                    <w:t>落实“报告表”提出的大气污染防治措施。运营期抛丸粉尘经系统自带的“沉降分离器+旋风除尘器+滤筒除尘器”处理后由15m排气筒排放，热处理烟气经集气罩收集至“油雾净化器+UV光解+活性炭吸附装置”处理后由15m进排气筒排放，酸洗废气经密闭收集至水洗塔处理后由15m排气筒排放，锌锅烟气经密闭收集至“脉冲布袋除尘器+水洗塔”处理后和锌锅加热炉天然气燃烧烟气由15m高排气筒排放。</w:t>
                  </w:r>
                </w:p>
                <w:p>
                  <w:pPr>
                    <w:spacing w:before="156" w:line="360" w:lineRule="auto"/>
                    <w:ind w:firstLine="420"/>
                    <w:jc w:val="center"/>
                    <w:outlineLvl w:val="9"/>
                    <w:rPr>
                      <w:rFonts w:ascii="宋体" w:hAnsi="宋体" w:cs="宋体"/>
                      <w:sz w:val="18"/>
                      <w:szCs w:val="18"/>
                    </w:rPr>
                  </w:pPr>
                </w:p>
              </w:tc>
              <w:tc>
                <w:tcPr>
                  <w:tcW w:w="2296" w:type="pct"/>
                  <w:vAlign w:val="center"/>
                </w:tcPr>
                <w:p>
                  <w:pPr>
                    <w:pStyle w:val="26"/>
                    <w:ind w:firstLine="360" w:firstLineChars="200"/>
                    <w:jc w:val="center"/>
                    <w:outlineLvl w:val="9"/>
                    <w:rPr>
                      <w:rFonts w:ascii="宋体" w:hAnsi="宋体" w:cs="宋体"/>
                      <w:sz w:val="18"/>
                      <w:szCs w:val="18"/>
                    </w:rPr>
                  </w:pPr>
                  <w:r>
                    <w:rPr>
                      <w:rFonts w:hint="eastAsia" w:ascii="宋体" w:hAnsi="宋体" w:cs="宋体"/>
                      <w:sz w:val="18"/>
                      <w:szCs w:val="18"/>
                    </w:rPr>
                    <w:t>已落实。</w:t>
                  </w:r>
                  <w:r>
                    <w:rPr>
                      <w:rFonts w:hint="eastAsia" w:ascii="Times New Roman" w:hAnsi="Times New Roman"/>
                      <w:sz w:val="18"/>
                      <w:szCs w:val="18"/>
                    </w:rPr>
                    <w:t>运营期抛丸粉尘经系统自带的“沉降分离器+旋风除尘器+滤筒除尘器”处理后由15m排气筒排放，热处理烟气经集气罩收集至“油雾净化器+UV光解+活性炭吸附装置”处理后由15m进排气筒排放，酸洗废气经密闭收集至水洗塔处理后由15m排气筒排放，锌锅烟气经密闭收集至“脉冲布袋除尘器+水洗塔”处理后和锌锅加热炉天然气燃烧烟气由15m高排气筒排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2703" w:type="pct"/>
                  <w:vAlign w:val="center"/>
                </w:tcPr>
                <w:p>
                  <w:pPr>
                    <w:pStyle w:val="26"/>
                    <w:ind w:firstLine="360" w:firstLineChars="200"/>
                    <w:jc w:val="center"/>
                    <w:outlineLvl w:val="9"/>
                    <w:rPr>
                      <w:rFonts w:ascii="Times New Roman" w:hAnsi="Times New Roman"/>
                      <w:sz w:val="18"/>
                      <w:szCs w:val="18"/>
                    </w:rPr>
                  </w:pPr>
                  <w:r>
                    <w:rPr>
                      <w:rFonts w:hint="eastAsia" w:ascii="Times New Roman" w:hAnsi="Times New Roman"/>
                      <w:sz w:val="18"/>
                      <w:szCs w:val="18"/>
                    </w:rPr>
                    <w:t>落实“报告表”提出的噪声污染控制措施。施工期采取合理安排施工时间、文明施工的等措施；运营期采取选用低噪声设备合理布局、消声等措施。</w:t>
                  </w:r>
                </w:p>
                <w:p>
                  <w:pPr>
                    <w:spacing w:before="156" w:line="360" w:lineRule="auto"/>
                    <w:ind w:firstLine="420"/>
                    <w:jc w:val="center"/>
                    <w:outlineLvl w:val="9"/>
                    <w:rPr>
                      <w:rFonts w:ascii="宋体" w:hAnsi="宋体" w:cs="宋体"/>
                      <w:sz w:val="18"/>
                      <w:szCs w:val="18"/>
                    </w:rPr>
                  </w:pPr>
                </w:p>
              </w:tc>
              <w:tc>
                <w:tcPr>
                  <w:tcW w:w="2296" w:type="pct"/>
                  <w:vAlign w:val="center"/>
                </w:tcPr>
                <w:p>
                  <w:pPr>
                    <w:pStyle w:val="26"/>
                    <w:ind w:firstLine="360" w:firstLineChars="200"/>
                    <w:jc w:val="center"/>
                    <w:outlineLvl w:val="9"/>
                    <w:rPr>
                      <w:rFonts w:ascii="Times New Roman" w:hAnsi="Times New Roman"/>
                      <w:sz w:val="18"/>
                      <w:szCs w:val="18"/>
                    </w:rPr>
                  </w:pPr>
                  <w:r>
                    <w:rPr>
                      <w:rFonts w:hint="eastAsia" w:ascii="宋体" w:hAnsi="宋体" w:cs="宋体"/>
                      <w:sz w:val="18"/>
                      <w:szCs w:val="18"/>
                    </w:rPr>
                    <w:t>已落实。</w:t>
                  </w:r>
                  <w:r>
                    <w:rPr>
                      <w:rFonts w:hint="eastAsia" w:ascii="Times New Roman" w:hAnsi="Times New Roman"/>
                      <w:sz w:val="18"/>
                      <w:szCs w:val="18"/>
                    </w:rPr>
                    <w:t>施工期采取合理安排施工时间、文明施工的等措施；运营期采取选用低噪声设备合理布局、消声等措施。</w:t>
                  </w:r>
                </w:p>
                <w:p>
                  <w:pPr>
                    <w:pStyle w:val="31"/>
                    <w:spacing w:before="156" w:line="360" w:lineRule="auto"/>
                    <w:ind w:left="0" w:firstLine="420"/>
                    <w:jc w:val="center"/>
                    <w:outlineLvl w:val="9"/>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2703" w:type="pct"/>
                  <w:vAlign w:val="center"/>
                </w:tcPr>
                <w:p>
                  <w:pPr>
                    <w:pStyle w:val="26"/>
                    <w:ind w:firstLine="360" w:firstLineChars="200"/>
                    <w:jc w:val="center"/>
                    <w:outlineLvl w:val="9"/>
                    <w:rPr>
                      <w:rFonts w:ascii="Times New Roman" w:hAnsi="Times New Roman"/>
                      <w:sz w:val="18"/>
                      <w:szCs w:val="18"/>
                    </w:rPr>
                  </w:pPr>
                  <w:r>
                    <w:rPr>
                      <w:rFonts w:hint="eastAsia" w:ascii="Times New Roman" w:hAnsi="Times New Roman"/>
                      <w:sz w:val="18"/>
                      <w:szCs w:val="18"/>
                    </w:rPr>
                    <w:t>落实“报告表”提出的各类固废的收集、处置和综合利用措施。施工期生活垃圾由环卫部门统一清运、废包装材料、费耗材外售废品收购站，废气建渣运至指定场所；运营期储油槽废槽液槽渣、酸洗槽废槽液槽渣、助镀槽槽渣、锌锅烟气处理收尘灰渣、污水处理站污泥、废淬火油、废矿物油及废油桶、含油废棉纱手套和废切削液委托</w:t>
                  </w:r>
                  <w:r>
                    <w:rPr>
                      <w:rFonts w:hint="eastAsia" w:ascii="Times New Roman" w:hAnsi="Times New Roman"/>
                      <w:sz w:val="18"/>
                      <w:szCs w:val="18"/>
                      <w:lang w:eastAsia="zh-CN"/>
                    </w:rPr>
                    <w:t>珙县华洁危险废物治理有限责任公司</w:t>
                  </w:r>
                  <w:r>
                    <w:rPr>
                      <w:rFonts w:hint="eastAsia" w:ascii="Times New Roman" w:hAnsi="Times New Roman"/>
                      <w:sz w:val="18"/>
                      <w:szCs w:val="18"/>
                    </w:rPr>
                    <w:t>处理，废钢材边角料返回混料工段利用，收尘带外售建材厂，废工件篮外售金属回收公司，锌锅灰渣经危废鉴别后按规定处置。</w:t>
                  </w:r>
                </w:p>
                <w:p>
                  <w:pPr>
                    <w:spacing w:before="156" w:line="360" w:lineRule="auto"/>
                    <w:ind w:firstLine="420"/>
                    <w:jc w:val="center"/>
                    <w:outlineLvl w:val="9"/>
                    <w:rPr>
                      <w:rFonts w:ascii="宋体" w:hAnsi="宋体" w:cs="宋体"/>
                      <w:sz w:val="18"/>
                      <w:szCs w:val="18"/>
                    </w:rPr>
                  </w:pPr>
                </w:p>
              </w:tc>
              <w:tc>
                <w:tcPr>
                  <w:tcW w:w="2296" w:type="pct"/>
                  <w:vAlign w:val="center"/>
                </w:tcPr>
                <w:p>
                  <w:pPr>
                    <w:spacing w:line="360" w:lineRule="auto"/>
                    <w:ind w:firstLine="360" w:firstLineChars="200"/>
                    <w:outlineLvl w:val="9"/>
                    <w:rPr>
                      <w:rFonts w:hint="eastAsia" w:ascii="Times New Roman" w:hAnsi="Times New Roman"/>
                      <w:sz w:val="18"/>
                      <w:szCs w:val="18"/>
                      <w:lang w:eastAsia="zh-CN"/>
                    </w:rPr>
                  </w:pPr>
                  <w:r>
                    <w:rPr>
                      <w:rFonts w:hint="eastAsia" w:ascii="宋体" w:hAnsi="宋体" w:cs="宋体"/>
                      <w:sz w:val="18"/>
                      <w:szCs w:val="18"/>
                    </w:rPr>
                    <w:t>已落实。</w:t>
                  </w:r>
                  <w:r>
                    <w:rPr>
                      <w:rFonts w:hint="eastAsia" w:ascii="Times New Roman" w:hAnsi="Times New Roman"/>
                      <w:sz w:val="18"/>
                      <w:szCs w:val="18"/>
                    </w:rPr>
                    <w:t>施工期生活垃圾由环卫部门统一清运、废包装材料、费耗材外售废品收购站，废气建渣运至指定场所；运营期储油槽废槽液槽渣、酸洗槽废槽液槽渣、助镀槽槽渣、锌锅烟气处理收尘灰渣、污水处理站污泥、废淬火油、废矿物油及废油桶、含油废棉纱手套和废切削液委托</w:t>
                  </w:r>
                  <w:r>
                    <w:rPr>
                      <w:rFonts w:hint="eastAsia" w:ascii="Times New Roman" w:hAnsi="Times New Roman"/>
                      <w:sz w:val="18"/>
                      <w:szCs w:val="18"/>
                      <w:lang w:eastAsia="zh-CN"/>
                    </w:rPr>
                    <w:t>珙县华洁危险废物治理有限责任公司</w:t>
                  </w:r>
                  <w:r>
                    <w:rPr>
                      <w:rFonts w:hint="eastAsia" w:ascii="Times New Roman" w:hAnsi="Times New Roman"/>
                      <w:sz w:val="18"/>
                      <w:szCs w:val="18"/>
                    </w:rPr>
                    <w:t>处理，废钢材边角料返回混料工段利用，收尘带外售建材厂，废工件篮外售金属回收公司，</w:t>
                  </w:r>
                  <w:r>
                    <w:rPr>
                      <w:rFonts w:hint="eastAsia" w:ascii="Times New Roman" w:hAnsi="Times New Roman"/>
                      <w:sz w:val="18"/>
                      <w:szCs w:val="18"/>
                      <w:lang w:val="en-US" w:eastAsia="zh-CN"/>
                    </w:rPr>
                    <w:t>根据《危险废物排除管理清单（2021 年版）》的公告 （公告 2021 年 第 66 号），</w:t>
                  </w:r>
                  <w:r>
                    <w:rPr>
                      <w:rFonts w:hint="eastAsia" w:ascii="Times New Roman" w:hAnsi="Times New Roman"/>
                      <w:sz w:val="18"/>
                      <w:szCs w:val="18"/>
                    </w:rPr>
                    <w:t>锌灰和锌渣不</w:t>
                  </w:r>
                  <w:r>
                    <w:rPr>
                      <w:rFonts w:hint="eastAsia" w:ascii="Times New Roman" w:hAnsi="Times New Roman"/>
                      <w:sz w:val="18"/>
                      <w:szCs w:val="18"/>
                      <w:lang w:eastAsia="zh-CN"/>
                    </w:rPr>
                    <w:t>属于</w:t>
                  </w:r>
                  <w:r>
                    <w:rPr>
                      <w:rFonts w:hint="eastAsia" w:ascii="Times New Roman" w:hAnsi="Times New Roman"/>
                      <w:sz w:val="18"/>
                      <w:szCs w:val="18"/>
                    </w:rPr>
                    <w:t>危险废物</w:t>
                  </w:r>
                  <w:r>
                    <w:rPr>
                      <w:rFonts w:hint="eastAsia" w:ascii="Times New Roman" w:hAnsi="Times New Roman"/>
                      <w:sz w:val="18"/>
                      <w:szCs w:val="18"/>
                      <w:lang w:eastAsia="zh-CN"/>
                    </w:rPr>
                    <w:t>，</w:t>
                  </w:r>
                  <w:r>
                    <w:rPr>
                      <w:rFonts w:hint="eastAsia" w:ascii="Times New Roman" w:hAnsi="Times New Roman"/>
                      <w:sz w:val="18"/>
                      <w:szCs w:val="18"/>
                    </w:rPr>
                    <w:t>按一般固废处置</w:t>
                  </w:r>
                  <w:r>
                    <w:rPr>
                      <w:rFonts w:hint="eastAsia" w:ascii="Times New Roman" w:hAnsi="Times New Roman"/>
                      <w:sz w:val="18"/>
                      <w:szCs w:val="18"/>
                      <w:lang w:eastAsia="zh-CN"/>
                    </w:rPr>
                    <w:t>，直接</w:t>
                  </w:r>
                  <w:r>
                    <w:rPr>
                      <w:rFonts w:hint="eastAsia" w:ascii="Times New Roman" w:hAnsi="Times New Roman"/>
                      <w:sz w:val="18"/>
                      <w:szCs w:val="18"/>
                    </w:rPr>
                    <w:t>售予</w:t>
                  </w:r>
                  <w:r>
                    <w:rPr>
                      <w:rFonts w:hint="eastAsia" w:ascii="Times New Roman" w:hAnsi="Times New Roman"/>
                      <w:sz w:val="18"/>
                      <w:szCs w:val="18"/>
                      <w:lang w:eastAsia="zh-CN"/>
                    </w:rPr>
                    <w:t>四川中再生环保科技服务有限公司</w:t>
                  </w:r>
                  <w:r>
                    <w:rPr>
                      <w:rFonts w:hint="eastAsia" w:ascii="Times New Roman" w:hAnsi="Times New Roman"/>
                      <w:sz w:val="18"/>
                      <w:szCs w:val="18"/>
                    </w:rPr>
                    <w:t>。</w:t>
                  </w:r>
                </w:p>
                <w:p>
                  <w:pPr>
                    <w:pStyle w:val="26"/>
                    <w:ind w:firstLine="360" w:firstLineChars="200"/>
                    <w:jc w:val="center"/>
                    <w:outlineLvl w:val="9"/>
                    <w:rPr>
                      <w:rFonts w:ascii="宋体" w:hAnsi="宋体" w:cs="宋体"/>
                      <w:sz w:val="18"/>
                      <w:szCs w:val="18"/>
                    </w:rPr>
                  </w:pPr>
                  <w:r>
                    <w:rPr>
                      <w:rFonts w:hint="eastAsia" w:ascii="Times New Roman" w:hAnsi="Times New Roman"/>
                      <w:sz w:val="18"/>
                      <w:szCs w:val="18"/>
                    </w:rPr>
                    <w:t>。</w:t>
                  </w:r>
                </w:p>
                <w:p>
                  <w:pPr>
                    <w:spacing w:before="156" w:line="360" w:lineRule="auto"/>
                    <w:ind w:firstLine="420"/>
                    <w:jc w:val="center"/>
                    <w:outlineLvl w:val="9"/>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2703" w:type="pct"/>
                  <w:vAlign w:val="center"/>
                </w:tcPr>
                <w:p>
                  <w:pPr>
                    <w:pStyle w:val="26"/>
                    <w:ind w:firstLine="360" w:firstLineChars="200"/>
                    <w:jc w:val="center"/>
                    <w:outlineLvl w:val="9"/>
                    <w:rPr>
                      <w:rFonts w:ascii="Times New Roman" w:hAnsi="Times New Roman"/>
                      <w:sz w:val="18"/>
                      <w:szCs w:val="18"/>
                    </w:rPr>
                  </w:pPr>
                  <w:r>
                    <w:rPr>
                      <w:rFonts w:hint="eastAsia" w:ascii="Times New Roman" w:hAnsi="Times New Roman"/>
                      <w:sz w:val="18"/>
                      <w:szCs w:val="18"/>
                    </w:rPr>
                    <w:t>落实“报告表”提出的以新带老措施。拆除QPQ盐浴生产线，安装排气筒，在雨水排口、污水排口设置规范标志牌，标明排水类型及主要污染物，对抛丸区西侧整体封闭，加装门隔声，运营期加强管理。</w:t>
                  </w:r>
                </w:p>
                <w:p>
                  <w:pPr>
                    <w:spacing w:before="156" w:line="360" w:lineRule="auto"/>
                    <w:ind w:firstLine="420"/>
                    <w:jc w:val="center"/>
                    <w:outlineLvl w:val="9"/>
                    <w:rPr>
                      <w:rFonts w:ascii="宋体" w:hAnsi="宋体" w:cs="宋体"/>
                      <w:sz w:val="18"/>
                      <w:szCs w:val="18"/>
                    </w:rPr>
                  </w:pPr>
                </w:p>
              </w:tc>
              <w:tc>
                <w:tcPr>
                  <w:tcW w:w="2296" w:type="pct"/>
                  <w:vAlign w:val="center"/>
                </w:tcPr>
                <w:p>
                  <w:pPr>
                    <w:pStyle w:val="26"/>
                    <w:ind w:firstLine="360" w:firstLineChars="200"/>
                    <w:jc w:val="center"/>
                    <w:outlineLvl w:val="9"/>
                    <w:rPr>
                      <w:rFonts w:ascii="Times New Roman" w:hAnsi="Times New Roman"/>
                      <w:sz w:val="18"/>
                      <w:szCs w:val="18"/>
                    </w:rPr>
                  </w:pPr>
                  <w:r>
                    <w:rPr>
                      <w:rFonts w:hint="eastAsia" w:ascii="宋体" w:hAnsi="宋体" w:cs="宋体"/>
                      <w:sz w:val="18"/>
                      <w:szCs w:val="18"/>
                    </w:rPr>
                    <w:t>已落实</w:t>
                  </w:r>
                  <w:r>
                    <w:rPr>
                      <w:rFonts w:hint="eastAsia" w:ascii="宋体" w:hAnsi="宋体" w:cs="宋体"/>
                      <w:sz w:val="18"/>
                      <w:szCs w:val="18"/>
                      <w:lang w:eastAsia="zh-CN"/>
                    </w:rPr>
                    <w:t>。</w:t>
                  </w:r>
                  <w:r>
                    <w:rPr>
                      <w:rFonts w:hint="eastAsia" w:ascii="Times New Roman" w:hAnsi="Times New Roman"/>
                      <w:sz w:val="18"/>
                      <w:szCs w:val="18"/>
                    </w:rPr>
                    <w:t>拆除QPQ盐浴生产线，安装排气筒，在雨水排口、污水排口设置规范标志牌，标明排水类型及主要污染物，对抛丸区西侧整体封闭，加装门隔声，运营期加强管理。</w:t>
                  </w:r>
                </w:p>
                <w:p>
                  <w:pPr>
                    <w:spacing w:before="156" w:line="360" w:lineRule="auto"/>
                    <w:ind w:firstLine="420"/>
                    <w:jc w:val="center"/>
                    <w:outlineLvl w:val="9"/>
                    <w:rPr>
                      <w:rFonts w:hint="eastAsia" w:ascii="宋体" w:hAnsi="宋体" w:eastAsia="宋体" w:cs="宋体"/>
                      <w:sz w:val="18"/>
                      <w:szCs w:val="18"/>
                      <w:lang w:eastAsia="zh-CN"/>
                    </w:rPr>
                  </w:pPr>
                </w:p>
              </w:tc>
            </w:tr>
          </w:tbl>
          <w:p>
            <w:pPr>
              <w:pStyle w:val="2"/>
              <w:outlineLvl w:val="9"/>
            </w:pPr>
          </w:p>
        </w:tc>
      </w:tr>
    </w:tbl>
    <w:p>
      <w:r>
        <w:br w:type="page"/>
      </w:r>
    </w:p>
    <w:p/>
    <w:p>
      <w:pPr>
        <w:outlineLvl w:val="0"/>
        <w:rPr>
          <w:rFonts w:asciiTheme="majorEastAsia" w:hAnsiTheme="majorEastAsia" w:eastAsiaTheme="majorEastAsia" w:cstheme="majorEastAsia"/>
          <w:b/>
          <w:sz w:val="28"/>
          <w:szCs w:val="28"/>
        </w:rPr>
      </w:pPr>
      <w:bookmarkStart w:id="52" w:name="_Toc213"/>
      <w:bookmarkStart w:id="53" w:name="_Toc5572"/>
      <w:bookmarkStart w:id="54" w:name="_Toc16508_WPSOffice_Level1"/>
      <w:bookmarkStart w:id="55" w:name="_Toc14029_WPSOffice_Level1"/>
      <w:bookmarkStart w:id="56" w:name="_Toc18846_WPSOffice_Level1"/>
      <w:bookmarkStart w:id="57" w:name="_Toc13171"/>
      <w:r>
        <w:rPr>
          <w:rFonts w:hint="eastAsia" w:asciiTheme="majorEastAsia" w:hAnsiTheme="majorEastAsia" w:eastAsiaTheme="majorEastAsia" w:cstheme="majorEastAsia"/>
          <w:b/>
          <w:sz w:val="28"/>
          <w:szCs w:val="28"/>
        </w:rPr>
        <w:t>表九 验收监测结论</w:t>
      </w:r>
      <w:bookmarkEnd w:id="52"/>
      <w:bookmarkEnd w:id="53"/>
      <w:bookmarkEnd w:id="54"/>
      <w:bookmarkEnd w:id="55"/>
      <w:bookmarkEnd w:id="56"/>
      <w:bookmarkEnd w:id="57"/>
    </w:p>
    <w:p>
      <w:pPr>
        <w:pStyle w:val="2"/>
      </w:pPr>
    </w:p>
    <w:tbl>
      <w:tblPr>
        <w:tblStyle w:val="13"/>
        <w:tblpPr w:leftFromText="180" w:rightFromText="180" w:vertAnchor="text" w:tblpX="1" w:tblpY="1"/>
        <w:tblOverlap w:val="never"/>
        <w:tblW w:w="93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top"/>
          </w:tcPr>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1、有组织废气</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根据验收检测报告，验收检测期间有组织废气非甲烷总烃（VOCs 以综合响应的方法测量非甲烷有机化合物（以 NMOC 表示，以碳计））符合《四川省固定污染源大气挥发性有机物排放标准》（DB51/ 2377-2017）表3中表面涂装行业排放浓度限值，2#、3#点位的颗粒物、1#点位的*氯化氢符合《大气污染物综合排放标准》（GB 16297-1996）表2中有组织二级排放标准限值；4#点位的颗粒物、二氧化硫、氮氧化物符合《四川省工业炉窑大气污染物综合治理实施清单》标准限值。</w:t>
            </w:r>
          </w:p>
          <w:p>
            <w:pPr>
              <w:spacing w:line="360" w:lineRule="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无组织废气</w:t>
            </w:r>
          </w:p>
          <w:p>
            <w:pPr>
              <w:spacing w:line="360" w:lineRule="auto"/>
              <w:ind w:firstLine="480" w:firstLineChars="200"/>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根据验收检测报告，验收检测期间无组织废气非甲烷总烃（VOCs 以综合响应的方法测量非甲烷有机化合物（以 NMOC 表示，以碳计））符合《四川省固定污染源大气挥发性有机物排放标准》（DB51/ 2377-2017）表5中其他无组织排放监控浓度限值，颗粒物、二氧化硫、氮氧化物、*氯化氢符合《大气污染物综合排放标准》（GB 16297-1996）表2中无组织排放限值。</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3、噪声</w:t>
            </w: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根据验收检测报告，验收检测期间企业厂界噪声符合《工业企业厂界环境噪声排放标准》（GB 12348-2008）表1中3类功能区标准限值。</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4、废水</w:t>
            </w: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根据验收检测报告，验收检测期间废水符合《污水综合排放标准》（GB 8978-1996）表4中三级排放标准限值。</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5、固体废物</w:t>
            </w: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危险废物：除油槽废槽液槽渣、酸洗槽废槽液槽渣、助镀液槽渣、锌锅烟气处理收尘灰渣、污水处理站污泥、废淬火油、废润滑油、废油桶及含油棉纱手套、废切削液暂存于危废暂存间，委托珙县华洁危险废物治理有限责任公司进行处理。</w:t>
            </w: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一般固废：废钢材边角料售予四川中再生环保科技服务有限公司；项目抛丸机粉尘外售建材厂利用；项目热镀锌加工使用的工件篮，一般1年更换8个，更换量约0.4t/a，属于一般固废，售予四川中再生环保科技服务有限公司；本项目新增生活垃圾产生量约3t/a，由当地环卫部门统一清运和处置。</w:t>
            </w:r>
          </w:p>
          <w:p>
            <w:pPr>
              <w:spacing w:line="360" w:lineRule="auto"/>
              <w:ind w:firstLine="480" w:firstLineChars="200"/>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根据《危险废物排除管理清单（2021 年版）》的公告 （公告 2021 年 第 66 号），锌灰和锌渣不属于危险废物，按一般固废处置，直接售予四川中再生环保科技服务有限公司。</w:t>
            </w:r>
          </w:p>
          <w:p>
            <w:pPr>
              <w:spacing w:line="360" w:lineRule="auto"/>
              <w:ind w:firstLine="482" w:firstLineChars="200"/>
              <w:outlineLvl w:val="9"/>
              <w:rPr>
                <w:rFonts w:hint="eastAsia" w:asciiTheme="minorEastAsia" w:hAnsiTheme="minorEastAsia" w:eastAsiaTheme="minorEastAsia" w:cstheme="minorEastAsia"/>
                <w:b/>
                <w:bCs w:val="0"/>
                <w:sz w:val="24"/>
                <w:szCs w:val="24"/>
              </w:rPr>
            </w:pPr>
            <w:r>
              <w:rPr>
                <w:rFonts w:hint="eastAsia" w:asciiTheme="minorEastAsia" w:hAnsiTheme="minorEastAsia" w:eastAsiaTheme="minorEastAsia" w:cstheme="minorEastAsia"/>
                <w:b/>
                <w:bCs w:val="0"/>
                <w:sz w:val="24"/>
                <w:szCs w:val="24"/>
              </w:rPr>
              <w:t>综上所述，本项目严格执行了环境影响评价提出的环保措施，环保审查、审批手续完备，各项环保设施、设备基本按照环评要求落实。验收监测期间，无组织废气、有组织废气、废水、噪声均可做到达标排放，固体废物得到妥当管理与处置，公司制定了相应的环境管理制度，建议通过竣工环境保护验收。</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6、建议</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1.废水：做好预处理池清掏工作。</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2.噪声：加强主要产噪设备的日常维护和润滑管理，确保厂界噪声不扰民。</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3.固体废物：做好固体废物的合理处置和综合利用以及转运工作。</w:t>
            </w:r>
          </w:p>
          <w:p>
            <w:pPr>
              <w:spacing w:line="360" w:lineRule="auto"/>
              <w:outlineLvl w:val="9"/>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4.其它：做好工程“三废”排放主要环保污染治理设施运行台帐的日常运行登记管理；制定年度监测计划，委托有资质的单位定期进行监测，依法公开环境信息。</w:t>
            </w:r>
          </w:p>
          <w:p>
            <w:pPr>
              <w:spacing w:before="156" w:line="360" w:lineRule="auto"/>
              <w:ind w:firstLine="480"/>
              <w:outlineLvl w:val="9"/>
              <w:rPr>
                <w:rFonts w:ascii="宋体" w:hAnsi="宋体" w:cs="宋体"/>
                <w:sz w:val="24"/>
                <w:szCs w:val="24"/>
              </w:rPr>
            </w:pPr>
          </w:p>
        </w:tc>
      </w:tr>
    </w:tbl>
    <w:p>
      <w:pPr>
        <w:ind w:firstLine="440"/>
      </w:pPr>
    </w:p>
    <w:p>
      <w:pPr>
        <w:adjustRightInd/>
        <w:snapToGrid/>
        <w:rPr>
          <w:sz w:val="18"/>
        </w:rPr>
      </w:pPr>
    </w:p>
    <w:p>
      <w:pPr>
        <w:pStyle w:val="2"/>
      </w:pPr>
    </w:p>
    <w:p>
      <w:pPr>
        <w:rPr>
          <w:sz w:val="18"/>
        </w:rPr>
      </w:pPr>
      <w:r>
        <w:br w:type="page"/>
      </w:r>
    </w:p>
    <w:p>
      <w:pPr>
        <w:pStyle w:val="3"/>
        <w:spacing w:line="360" w:lineRule="auto"/>
        <w:sectPr>
          <w:pgSz w:w="11906" w:h="16838"/>
          <w:pgMar w:top="1440" w:right="1800" w:bottom="1440" w:left="1800" w:header="851" w:footer="992" w:gutter="0"/>
          <w:cols w:space="425" w:num="1"/>
          <w:docGrid w:type="lines" w:linePitch="312" w:charSpace="0"/>
        </w:sectPr>
      </w:pPr>
    </w:p>
    <w:p>
      <w:pPr>
        <w:spacing w:beforeLines="20" w:line="400" w:lineRule="exact"/>
        <w:jc w:val="center"/>
        <w:outlineLvl w:val="0"/>
        <w:rPr>
          <w:rFonts w:ascii="宋体" w:hAnsi="宋体" w:cs="宋体"/>
          <w:b/>
          <w:color w:val="000000" w:themeColor="text1"/>
          <w:sz w:val="32"/>
          <w:szCs w:val="32"/>
        </w:rPr>
      </w:pPr>
      <w:bookmarkStart w:id="58" w:name="_Toc3380"/>
      <w:r>
        <w:rPr>
          <w:rFonts w:hint="eastAsia" w:ascii="宋体" w:hAnsi="宋体" w:cs="宋体"/>
          <w:b/>
          <w:color w:val="000000" w:themeColor="text1"/>
          <w:sz w:val="32"/>
          <w:szCs w:val="32"/>
        </w:rPr>
        <w:t>项目工程竣工环境保护“三同时”验收登记表</w:t>
      </w:r>
      <w:bookmarkEnd w:id="58"/>
    </w:p>
    <w:p>
      <w:pPr>
        <w:pStyle w:val="2"/>
      </w:pPr>
    </w:p>
    <w:p>
      <w:pPr>
        <w:spacing w:line="340" w:lineRule="exact"/>
        <w:outlineLvl w:val="9"/>
        <w:rPr>
          <w:rFonts w:ascii="宋体" w:hAnsi="宋体" w:cs="宋体"/>
        </w:rPr>
      </w:pPr>
      <w:r>
        <w:rPr>
          <w:rFonts w:hint="eastAsia" w:ascii="宋体" w:hAnsi="宋体" w:cs="宋体"/>
          <w:b/>
          <w:color w:val="000000" w:themeColor="text1"/>
          <w:sz w:val="24"/>
          <w:szCs w:val="24"/>
        </w:rPr>
        <w:t xml:space="preserve">填表单位(盖章):             填表人(签字):                         项目经办人(签字): </w:t>
      </w:r>
    </w:p>
    <w:tbl>
      <w:tblPr>
        <w:tblStyle w:val="12"/>
        <w:tblW w:w="500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29"/>
        <w:gridCol w:w="1508"/>
        <w:gridCol w:w="671"/>
        <w:gridCol w:w="106"/>
        <w:gridCol w:w="965"/>
        <w:gridCol w:w="76"/>
        <w:gridCol w:w="171"/>
        <w:gridCol w:w="235"/>
        <w:gridCol w:w="562"/>
        <w:gridCol w:w="45"/>
        <w:gridCol w:w="453"/>
        <w:gridCol w:w="316"/>
        <w:gridCol w:w="67"/>
        <w:gridCol w:w="81"/>
        <w:gridCol w:w="814"/>
        <w:gridCol w:w="84"/>
        <w:gridCol w:w="92"/>
        <w:gridCol w:w="417"/>
        <w:gridCol w:w="422"/>
        <w:gridCol w:w="190"/>
        <w:gridCol w:w="694"/>
        <w:gridCol w:w="613"/>
        <w:gridCol w:w="1007"/>
        <w:gridCol w:w="512"/>
        <w:gridCol w:w="274"/>
        <w:gridCol w:w="106"/>
        <w:gridCol w:w="736"/>
        <w:gridCol w:w="154"/>
        <w:gridCol w:w="369"/>
        <w:gridCol w:w="574"/>
        <w:gridCol w:w="148"/>
        <w:gridCol w:w="9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建设</w:t>
            </w:r>
          </w:p>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项目</w:t>
            </w: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项目名称</w:t>
            </w:r>
          </w:p>
        </w:tc>
        <w:tc>
          <w:tcPr>
            <w:tcW w:w="1994" w:type="pct"/>
            <w:gridSpan w:val="17"/>
            <w:tcBorders>
              <w:top w:val="single" w:color="auto" w:sz="4" w:space="0"/>
              <w:left w:val="nil"/>
              <w:bottom w:val="single" w:color="auto" w:sz="4" w:space="0"/>
              <w:right w:val="single" w:color="auto" w:sz="4" w:space="0"/>
            </w:tcBorders>
            <w:shd w:val="clear" w:color="auto" w:fill="auto"/>
            <w:vAlign w:val="center"/>
          </w:tcPr>
          <w:p>
            <w:pPr>
              <w:jc w:val="center"/>
              <w:outlineLvl w:val="9"/>
              <w:rPr>
                <w:rFonts w:cs="宋体" w:asciiTheme="minorEastAsia" w:hAnsiTheme="minorEastAsia" w:eastAsiaTheme="minorEastAsia"/>
                <w:color w:val="000000" w:themeColor="text1"/>
                <w:sz w:val="18"/>
                <w:szCs w:val="18"/>
              </w:rPr>
            </w:pPr>
            <w:r>
              <w:rPr>
                <w:rFonts w:hint="eastAsia" w:asciiTheme="minorEastAsia" w:hAnsiTheme="minorEastAsia" w:eastAsiaTheme="minorEastAsia"/>
                <w:sz w:val="18"/>
                <w:szCs w:val="18"/>
              </w:rPr>
              <w:t>四川东博轨道科技有限公司</w:t>
            </w:r>
            <w:r>
              <w:rPr>
                <w:rFonts w:asciiTheme="minorEastAsia" w:hAnsiTheme="minorEastAsia" w:eastAsiaTheme="minorEastAsia"/>
                <w:sz w:val="18"/>
                <w:szCs w:val="18"/>
              </w:rPr>
              <w:t>新增</w:t>
            </w:r>
            <w:r>
              <w:rPr>
                <w:rFonts w:hint="eastAsia" w:asciiTheme="minorEastAsia" w:hAnsiTheme="minorEastAsia" w:eastAsiaTheme="minorEastAsia"/>
                <w:sz w:val="18"/>
                <w:szCs w:val="18"/>
              </w:rPr>
              <w:t>1.5万吨/年紧固件生产扩建项目</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建设地点</w:t>
            </w:r>
          </w:p>
        </w:tc>
        <w:tc>
          <w:tcPr>
            <w:tcW w:w="1741" w:type="pct"/>
            <w:gridSpan w:val="10"/>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Theme="minorEastAsia" w:hAnsiTheme="minorEastAsia" w:eastAsiaTheme="minorEastAsia"/>
                <w:sz w:val="18"/>
                <w:szCs w:val="18"/>
              </w:rPr>
            </w:pPr>
            <w:r>
              <w:rPr>
                <w:rFonts w:hint="eastAsia" w:asciiTheme="minorEastAsia" w:hAnsiTheme="minorEastAsia" w:eastAsiaTheme="minorEastAsia"/>
                <w:sz w:val="18"/>
                <w:szCs w:val="18"/>
              </w:rPr>
              <w:t>隆昌市环城东路203号（隆昌黄土坡工业园区内）</w:t>
            </w:r>
          </w:p>
          <w:p>
            <w:pPr>
              <w:jc w:val="center"/>
              <w:outlineLvl w:val="9"/>
              <w:rPr>
                <w:rFonts w:asciiTheme="minorEastAsia" w:hAnsiTheme="minorEastAsia" w:eastAsiaTheme="minorEastAsia"/>
                <w:sz w:val="18"/>
                <w:szCs w:val="18"/>
              </w:rPr>
            </w:pPr>
            <w:r>
              <w:rPr>
                <w:rFonts w:hint="eastAsia" w:asciiTheme="minorEastAsia" w:hAnsiTheme="minorEastAsia" w:eastAsiaTheme="minorEastAsia"/>
                <w:sz w:val="18"/>
                <w:szCs w:val="18"/>
              </w:rPr>
              <w:t>（东经 105.310356︒，北纬 29.342874︒）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建设单位</w:t>
            </w:r>
          </w:p>
        </w:tc>
        <w:tc>
          <w:tcPr>
            <w:tcW w:w="1994" w:type="pct"/>
            <w:gridSpan w:val="17"/>
            <w:tcBorders>
              <w:top w:val="single" w:color="auto" w:sz="4" w:space="0"/>
              <w:left w:val="nil"/>
              <w:bottom w:val="single" w:color="auto" w:sz="4" w:space="0"/>
              <w:right w:val="single" w:color="auto" w:sz="4" w:space="0"/>
            </w:tcBorders>
            <w:shd w:val="clear" w:color="auto" w:fill="auto"/>
            <w:vAlign w:val="center"/>
          </w:tcPr>
          <w:p>
            <w:pPr>
              <w:jc w:val="center"/>
              <w:outlineLvl w:val="9"/>
              <w:rPr>
                <w:rFonts w:cs="宋体" w:asciiTheme="minorEastAsia" w:hAnsiTheme="minorEastAsia" w:eastAsiaTheme="minorEastAsia"/>
                <w:color w:val="000000" w:themeColor="text1"/>
                <w:sz w:val="18"/>
                <w:szCs w:val="18"/>
              </w:rPr>
            </w:pPr>
            <w:r>
              <w:rPr>
                <w:rFonts w:hint="eastAsia" w:asciiTheme="minorEastAsia" w:hAnsiTheme="minorEastAsia" w:eastAsiaTheme="minorEastAsia"/>
                <w:sz w:val="18"/>
                <w:szCs w:val="18"/>
              </w:rPr>
              <w:t>四川东博轨道科技有限公司</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邮编</w:t>
            </w:r>
          </w:p>
        </w:tc>
        <w:tc>
          <w:tcPr>
            <w:tcW w:w="54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642150</w:t>
            </w:r>
          </w:p>
        </w:tc>
        <w:tc>
          <w:tcPr>
            <w:tcW w:w="586"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联系电话</w:t>
            </w:r>
          </w:p>
        </w:tc>
        <w:tc>
          <w:tcPr>
            <w:tcW w:w="612"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Theme="majorEastAsia" w:hAnsiTheme="majorEastAsia" w:eastAsiaTheme="majorEastAsia" w:cstheme="majorEastAsia"/>
                <w:sz w:val="18"/>
                <w:szCs w:val="18"/>
              </w:rPr>
              <w:t>13684405999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行业类别</w:t>
            </w:r>
          </w:p>
        </w:tc>
        <w:tc>
          <w:tcPr>
            <w:tcW w:w="1340" w:type="pct"/>
            <w:gridSpan w:val="1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Theme="minorEastAsia" w:hAnsiTheme="minorEastAsia" w:eastAsiaTheme="minorEastAsia"/>
                <w:sz w:val="18"/>
                <w:szCs w:val="18"/>
              </w:rPr>
              <w:t>铁路专用设备及器材、配件制造C3716</w:t>
            </w:r>
          </w:p>
        </w:tc>
        <w:tc>
          <w:tcPr>
            <w:tcW w:w="321"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建设性质</w:t>
            </w:r>
          </w:p>
        </w:tc>
        <w:tc>
          <w:tcPr>
            <w:tcW w:w="332"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新建</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建设项目开工日期</w:t>
            </w:r>
          </w:p>
        </w:tc>
        <w:tc>
          <w:tcPr>
            <w:tcW w:w="54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2022.2</w:t>
            </w:r>
          </w:p>
        </w:tc>
        <w:tc>
          <w:tcPr>
            <w:tcW w:w="586"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投入试运行日期</w:t>
            </w:r>
          </w:p>
        </w:tc>
        <w:tc>
          <w:tcPr>
            <w:tcW w:w="612"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Theme="majorEastAsia" w:hAnsiTheme="majorEastAsia" w:eastAsiaTheme="majorEastAsia" w:cstheme="majorEastAsia"/>
                <w:sz w:val="18"/>
                <w:szCs w:val="18"/>
              </w:rPr>
              <w:t>2022.7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设计生产能力</w:t>
            </w:r>
          </w:p>
        </w:tc>
        <w:tc>
          <w:tcPr>
            <w:tcW w:w="1994" w:type="pct"/>
            <w:gridSpan w:val="17"/>
            <w:tcBorders>
              <w:top w:val="single" w:color="auto" w:sz="4" w:space="0"/>
              <w:left w:val="nil"/>
              <w:bottom w:val="single" w:color="auto" w:sz="4" w:space="0"/>
              <w:right w:val="single" w:color="auto" w:sz="4" w:space="0"/>
            </w:tcBorders>
            <w:shd w:val="clear" w:color="auto" w:fill="auto"/>
            <w:vAlign w:val="center"/>
          </w:tcPr>
          <w:p>
            <w:pPr>
              <w:pStyle w:val="17"/>
              <w:spacing w:before="83"/>
              <w:ind w:left="112"/>
              <w:outlineLvl w:val="9"/>
              <w:rPr>
                <w:b/>
                <w:color w:val="000000" w:themeColor="text1"/>
                <w:sz w:val="18"/>
                <w:szCs w:val="18"/>
                <w:lang w:val="en-US"/>
              </w:rPr>
            </w:pPr>
            <w:r>
              <w:rPr>
                <w:rFonts w:hint="eastAsia" w:asciiTheme="majorEastAsia" w:hAnsiTheme="majorEastAsia" w:eastAsiaTheme="majorEastAsia" w:cstheme="majorEastAsia"/>
                <w:sz w:val="18"/>
                <w:szCs w:val="18"/>
              </w:rPr>
              <w:t>年加工1.5万吨热镀锌（不含钝化处理）紧固件</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实际生产量</w:t>
            </w:r>
          </w:p>
        </w:tc>
        <w:tc>
          <w:tcPr>
            <w:tcW w:w="1741" w:type="pct"/>
            <w:gridSpan w:val="10"/>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Theme="majorEastAsia" w:hAnsiTheme="majorEastAsia" w:eastAsiaTheme="majorEastAsia" w:cstheme="majorEastAsia"/>
                <w:sz w:val="18"/>
                <w:szCs w:val="18"/>
              </w:rPr>
              <w:t>年加工1.5万吨热镀锌（不含钝化处理）紧固件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投资总概算(万元)</w:t>
            </w:r>
          </w:p>
        </w:tc>
        <w:tc>
          <w:tcPr>
            <w:tcW w:w="650" w:type="pct"/>
            <w:gridSpan w:val="4"/>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2000</w:t>
            </w:r>
          </w:p>
        </w:tc>
        <w:tc>
          <w:tcPr>
            <w:tcW w:w="637" w:type="pct"/>
            <w:gridSpan w:val="6"/>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环保投资总概算(万元)</w:t>
            </w:r>
          </w:p>
        </w:tc>
        <w:tc>
          <w:tcPr>
            <w:tcW w:w="344" w:type="pct"/>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98</w:t>
            </w:r>
          </w:p>
        </w:tc>
        <w:tc>
          <w:tcPr>
            <w:tcW w:w="362" w:type="pct"/>
            <w:gridSpan w:val="4"/>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所占比例%</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4.9%</w:t>
            </w:r>
          </w:p>
        </w:tc>
        <w:tc>
          <w:tcPr>
            <w:tcW w:w="679" w:type="pct"/>
            <w:gridSpan w:val="4"/>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环保设施设计单位</w:t>
            </w:r>
          </w:p>
        </w:tc>
        <w:tc>
          <w:tcPr>
            <w:tcW w:w="1062" w:type="pct"/>
            <w:gridSpan w:val="6"/>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实际总投资(万元)</w:t>
            </w:r>
          </w:p>
        </w:tc>
        <w:tc>
          <w:tcPr>
            <w:tcW w:w="650"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2000</w:t>
            </w:r>
          </w:p>
        </w:tc>
        <w:tc>
          <w:tcPr>
            <w:tcW w:w="637"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实际环保投资(万元)</w:t>
            </w:r>
          </w:p>
        </w:tc>
        <w:tc>
          <w:tcPr>
            <w:tcW w:w="344"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98</w:t>
            </w:r>
          </w:p>
        </w:tc>
        <w:tc>
          <w:tcPr>
            <w:tcW w:w="362"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所占比例%</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4.9%</w:t>
            </w:r>
          </w:p>
        </w:tc>
        <w:tc>
          <w:tcPr>
            <w:tcW w:w="679"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环保设施施工单位</w:t>
            </w:r>
          </w:p>
        </w:tc>
        <w:tc>
          <w:tcPr>
            <w:tcW w:w="1062"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Theme="minorEastAsia" w:hAnsiTheme="minorEastAsia" w:eastAsiaTheme="minorEastAsia"/>
                <w:sz w:val="18"/>
                <w:szCs w:val="18"/>
              </w:rPr>
              <w:t>四川东博轨道科技有限公司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环评审批部门</w:t>
            </w:r>
          </w:p>
        </w:tc>
        <w:tc>
          <w:tcPr>
            <w:tcW w:w="711"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Theme="majorEastAsia" w:hAnsiTheme="majorEastAsia" w:eastAsiaTheme="majorEastAsia" w:cstheme="majorEastAsia"/>
                <w:sz w:val="18"/>
                <w:szCs w:val="18"/>
              </w:rPr>
            </w:pPr>
            <w:r>
              <w:rPr>
                <w:rFonts w:hint="eastAsia" w:asciiTheme="majorEastAsia" w:hAnsiTheme="majorEastAsia" w:eastAsiaTheme="majorEastAsia" w:cstheme="majorEastAsia"/>
                <w:sz w:val="18"/>
                <w:szCs w:val="18"/>
              </w:rPr>
              <w:t>内江市隆昌</w:t>
            </w:r>
          </w:p>
          <w:p>
            <w:pPr>
              <w:jc w:val="center"/>
              <w:outlineLvl w:val="9"/>
              <w:rPr>
                <w:rFonts w:ascii="宋体" w:hAnsi="宋体" w:cs="宋体"/>
                <w:bCs/>
                <w:sz w:val="18"/>
                <w:szCs w:val="18"/>
              </w:rPr>
            </w:pPr>
            <w:r>
              <w:rPr>
                <w:rFonts w:hint="eastAsia" w:asciiTheme="majorEastAsia" w:hAnsiTheme="majorEastAsia" w:eastAsiaTheme="majorEastAsia" w:cstheme="majorEastAsia"/>
                <w:sz w:val="18"/>
                <w:szCs w:val="18"/>
              </w:rPr>
              <w:t>生态环境局</w:t>
            </w:r>
          </w:p>
        </w:tc>
        <w:tc>
          <w:tcPr>
            <w:tcW w:w="285"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批准文号</w:t>
            </w:r>
          </w:p>
        </w:tc>
        <w:tc>
          <w:tcPr>
            <w:tcW w:w="635"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Cs/>
                <w:color w:val="000000"/>
                <w:sz w:val="18"/>
                <w:szCs w:val="18"/>
              </w:rPr>
              <w:t>内市环隆审批【2022】2号</w:t>
            </w:r>
          </w:p>
        </w:tc>
        <w:tc>
          <w:tcPr>
            <w:tcW w:w="362"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批准日期</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spacing w:line="240" w:lineRule="atLeast"/>
              <w:jc w:val="center"/>
              <w:outlineLvl w:val="9"/>
              <w:rPr>
                <w:rFonts w:ascii="宋体" w:hAnsi="宋体" w:cs="宋体"/>
                <w:b/>
                <w:sz w:val="18"/>
                <w:szCs w:val="18"/>
              </w:rPr>
            </w:pPr>
            <w:r>
              <w:rPr>
                <w:rFonts w:hint="eastAsia" w:ascii="宋体" w:hAnsi="宋体" w:cs="宋体"/>
                <w:b/>
                <w:sz w:val="18"/>
                <w:szCs w:val="18"/>
              </w:rPr>
              <w:t>2022.2.7</w:t>
            </w:r>
          </w:p>
        </w:tc>
        <w:tc>
          <w:tcPr>
            <w:tcW w:w="679"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环评单位</w:t>
            </w:r>
          </w:p>
        </w:tc>
        <w:tc>
          <w:tcPr>
            <w:tcW w:w="1062"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pacing w:val="-12"/>
                <w:sz w:val="18"/>
                <w:szCs w:val="18"/>
              </w:rPr>
            </w:pPr>
            <w:r>
              <w:rPr>
                <w:rFonts w:hint="eastAsia" w:ascii="宋体" w:hAnsi="宋体" w:cs="宋体"/>
                <w:color w:val="000000"/>
                <w:sz w:val="18"/>
                <w:szCs w:val="18"/>
              </w:rPr>
              <w:t>信息产业电子第十一设计研究院科技工程股份有限公司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初步设计审批部门</w:t>
            </w:r>
          </w:p>
        </w:tc>
        <w:tc>
          <w:tcPr>
            <w:tcW w:w="711"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0000" w:themeColor="text1"/>
                <w:spacing w:val="-14"/>
                <w:sz w:val="18"/>
                <w:szCs w:val="18"/>
              </w:rPr>
            </w:pPr>
            <w:r>
              <w:rPr>
                <w:rFonts w:hint="eastAsia" w:ascii="宋体" w:hAnsi="宋体" w:cs="宋体"/>
                <w:bCs/>
                <w:color w:val="000000" w:themeColor="text1"/>
                <w:spacing w:val="-14"/>
                <w:sz w:val="18"/>
                <w:szCs w:val="18"/>
              </w:rPr>
              <w:t>/</w:t>
            </w:r>
          </w:p>
        </w:tc>
        <w:tc>
          <w:tcPr>
            <w:tcW w:w="285"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批准文号</w:t>
            </w:r>
          </w:p>
        </w:tc>
        <w:tc>
          <w:tcPr>
            <w:tcW w:w="635" w:type="pct"/>
            <w:gridSpan w:val="6"/>
            <w:tcBorders>
              <w:top w:val="single" w:color="auto" w:sz="4" w:space="0"/>
              <w:left w:val="nil"/>
              <w:bottom w:val="single" w:color="auto" w:sz="4" w:space="0"/>
              <w:right w:val="single" w:color="auto" w:sz="4" w:space="0"/>
            </w:tcBorders>
            <w:shd w:val="clear" w:color="auto" w:fill="auto"/>
            <w:vAlign w:val="center"/>
          </w:tcPr>
          <w:p>
            <w:pPr>
              <w:spacing w:line="300" w:lineRule="exact"/>
              <w:jc w:val="center"/>
              <w:outlineLvl w:val="9"/>
              <w:rPr>
                <w:rFonts w:ascii="宋体" w:hAnsi="宋体" w:cs="宋体"/>
                <w:bCs/>
                <w:color w:val="000000" w:themeColor="text1"/>
                <w:sz w:val="18"/>
                <w:szCs w:val="18"/>
              </w:rPr>
            </w:pPr>
            <w:r>
              <w:rPr>
                <w:rFonts w:hint="eastAsia" w:ascii="宋体" w:hAnsi="宋体" w:cs="宋体"/>
                <w:bCs/>
                <w:color w:val="000000" w:themeColor="text1"/>
                <w:sz w:val="18"/>
                <w:szCs w:val="18"/>
              </w:rPr>
              <w:t>/</w:t>
            </w:r>
          </w:p>
        </w:tc>
        <w:tc>
          <w:tcPr>
            <w:tcW w:w="362"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批准日期</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0000" w:themeColor="text1"/>
                <w:sz w:val="18"/>
                <w:szCs w:val="18"/>
              </w:rPr>
            </w:pPr>
            <w:r>
              <w:rPr>
                <w:rFonts w:hint="eastAsia" w:ascii="宋体" w:hAnsi="宋体" w:cs="宋体"/>
                <w:bCs/>
                <w:color w:val="000000" w:themeColor="text1"/>
                <w:sz w:val="18"/>
                <w:szCs w:val="18"/>
              </w:rPr>
              <w:t>/</w:t>
            </w:r>
          </w:p>
        </w:tc>
        <w:tc>
          <w:tcPr>
            <w:tcW w:w="679" w:type="pct"/>
            <w:gridSpan w:val="4"/>
            <w:vMerge w:val="restart"/>
            <w:tcBorders>
              <w:top w:val="nil"/>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环保设施检测单位</w:t>
            </w:r>
          </w:p>
        </w:tc>
        <w:tc>
          <w:tcPr>
            <w:tcW w:w="1062" w:type="pct"/>
            <w:gridSpan w:val="6"/>
            <w:vMerge w:val="restart"/>
            <w:tcBorders>
              <w:top w:val="nil"/>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sz w:val="18"/>
                <w:szCs w:val="18"/>
              </w:rPr>
            </w:pPr>
            <w:r>
              <w:rPr>
                <w:rFonts w:hint="eastAsia" w:ascii="宋体" w:hAnsi="宋体" w:cs="宋体"/>
                <w:color w:val="000000"/>
                <w:sz w:val="18"/>
                <w:szCs w:val="18"/>
              </w:rPr>
              <w:t>析谱科技（成都）有限公司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环保验收审批部门</w:t>
            </w:r>
          </w:p>
        </w:tc>
        <w:tc>
          <w:tcPr>
            <w:tcW w:w="711"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sz w:val="18"/>
                <w:szCs w:val="18"/>
              </w:rPr>
            </w:pPr>
          </w:p>
        </w:tc>
        <w:tc>
          <w:tcPr>
            <w:tcW w:w="285"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批准文号</w:t>
            </w:r>
          </w:p>
        </w:tc>
        <w:tc>
          <w:tcPr>
            <w:tcW w:w="635"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sz w:val="18"/>
                <w:szCs w:val="18"/>
              </w:rPr>
            </w:pPr>
            <w:r>
              <w:rPr>
                <w:rFonts w:hint="eastAsia" w:ascii="宋体" w:hAnsi="宋体" w:cs="宋体"/>
                <w:bCs/>
                <w:sz w:val="18"/>
                <w:szCs w:val="18"/>
              </w:rPr>
              <w:t>/</w:t>
            </w:r>
          </w:p>
        </w:tc>
        <w:tc>
          <w:tcPr>
            <w:tcW w:w="362"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批准日期</w:t>
            </w:r>
          </w:p>
        </w:tc>
        <w:tc>
          <w:tcPr>
            <w:tcW w:w="535"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sz w:val="18"/>
                <w:szCs w:val="18"/>
              </w:rPr>
            </w:pPr>
            <w:r>
              <w:rPr>
                <w:rFonts w:hint="eastAsia" w:ascii="宋体" w:hAnsi="宋体" w:cs="宋体"/>
                <w:bCs/>
                <w:sz w:val="18"/>
                <w:szCs w:val="18"/>
              </w:rPr>
              <w:t>/</w:t>
            </w:r>
          </w:p>
        </w:tc>
        <w:tc>
          <w:tcPr>
            <w:tcW w:w="679" w:type="pct"/>
            <w:gridSpan w:val="4"/>
            <w:vMerge w:val="continue"/>
            <w:tcBorders>
              <w:top w:val="nil"/>
              <w:left w:val="nil"/>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1062" w:type="pct"/>
            <w:gridSpan w:val="6"/>
            <w:vMerge w:val="continue"/>
            <w:tcBorders>
              <w:top w:val="nil"/>
              <w:left w:val="nil"/>
              <w:bottom w:val="single" w:color="auto" w:sz="4" w:space="0"/>
              <w:right w:val="single" w:color="auto" w:sz="4" w:space="0"/>
            </w:tcBorders>
            <w:shd w:val="clear" w:color="auto" w:fill="auto"/>
            <w:vAlign w:val="center"/>
          </w:tcPr>
          <w:p>
            <w:pPr>
              <w:outlineLvl w:val="9"/>
              <w:rPr>
                <w:rFonts w:ascii="宋体" w:hAnsi="宋体" w:cs="宋体"/>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废水治理(万元)</w:t>
            </w:r>
          </w:p>
        </w:tc>
        <w:tc>
          <w:tcPr>
            <w:tcW w:w="278"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50</w:t>
            </w:r>
          </w:p>
        </w:tc>
        <w:tc>
          <w:tcPr>
            <w:tcW w:w="517"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废气治理(万元)</w:t>
            </w:r>
          </w:p>
        </w:tc>
        <w:tc>
          <w:tcPr>
            <w:tcW w:w="201"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31</w:t>
            </w:r>
          </w:p>
        </w:tc>
        <w:tc>
          <w:tcPr>
            <w:tcW w:w="635" w:type="pct"/>
            <w:gridSpan w:val="6"/>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噪声治理(万元)</w:t>
            </w:r>
          </w:p>
        </w:tc>
        <w:tc>
          <w:tcPr>
            <w:tcW w:w="212" w:type="pct"/>
            <w:gridSpan w:val="3"/>
            <w:tcBorders>
              <w:top w:val="single" w:color="auto" w:sz="4" w:space="0"/>
              <w:left w:val="nil"/>
              <w:bottom w:val="single" w:color="auto" w:sz="4" w:space="0"/>
              <w:right w:val="single" w:color="auto" w:sz="4" w:space="0"/>
            </w:tcBorders>
            <w:shd w:val="clear" w:color="auto" w:fill="auto"/>
            <w:vAlign w:val="center"/>
          </w:tcPr>
          <w:p>
            <w:pPr>
              <w:ind w:left="15"/>
              <w:jc w:val="center"/>
              <w:outlineLvl w:val="9"/>
              <w:rPr>
                <w:rFonts w:ascii="宋体" w:hAnsi="宋体" w:cs="宋体"/>
                <w:b/>
                <w:sz w:val="18"/>
                <w:szCs w:val="18"/>
              </w:rPr>
            </w:pPr>
            <w:r>
              <w:rPr>
                <w:rFonts w:hint="eastAsia" w:ascii="宋体" w:hAnsi="宋体" w:cs="宋体"/>
                <w:b/>
                <w:sz w:val="18"/>
                <w:szCs w:val="18"/>
              </w:rPr>
              <w:t>5</w:t>
            </w:r>
          </w:p>
        </w:tc>
        <w:tc>
          <w:tcPr>
            <w:tcW w:w="46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固废治理（万元）</w:t>
            </w:r>
          </w:p>
        </w:tc>
        <w:tc>
          <w:tcPr>
            <w:tcW w:w="218"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0</w:t>
            </w:r>
          </w:p>
        </w:tc>
        <w:tc>
          <w:tcPr>
            <w:tcW w:w="679"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绿化及生态(万元)</w:t>
            </w:r>
          </w:p>
        </w:tc>
        <w:tc>
          <w:tcPr>
            <w:tcW w:w="262"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sz w:val="18"/>
                <w:szCs w:val="18"/>
              </w:rPr>
              <w:t>/</w:t>
            </w:r>
          </w:p>
        </w:tc>
        <w:tc>
          <w:tcPr>
            <w:tcW w:w="392"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其它(万元)</w:t>
            </w:r>
          </w:p>
        </w:tc>
        <w:tc>
          <w:tcPr>
            <w:tcW w:w="40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sz w:val="18"/>
                <w:szCs w:val="18"/>
              </w:rPr>
            </w:pPr>
            <w:r>
              <w:rPr>
                <w:rFonts w:hint="eastAsia" w:ascii="宋体" w:hAnsi="宋体" w:cs="宋体"/>
                <w:b/>
                <w:sz w:val="18"/>
                <w:szCs w:val="18"/>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81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新增废水处理设施能力</w:t>
            </w:r>
          </w:p>
        </w:tc>
        <w:tc>
          <w:tcPr>
            <w:tcW w:w="896" w:type="pct"/>
            <w:gridSpan w:val="7"/>
            <w:tcBorders>
              <w:top w:val="single" w:color="auto" w:sz="4" w:space="0"/>
              <w:left w:val="nil"/>
              <w:bottom w:val="single" w:color="auto" w:sz="4" w:space="0"/>
              <w:right w:val="single" w:color="auto" w:sz="4" w:space="0"/>
            </w:tcBorders>
            <w:shd w:val="clear" w:color="auto" w:fill="auto"/>
            <w:vAlign w:val="center"/>
          </w:tcPr>
          <w:p>
            <w:pPr>
              <w:ind w:left="-110" w:leftChars="-50" w:right="-110" w:rightChars="-50"/>
              <w:jc w:val="center"/>
              <w:outlineLvl w:val="9"/>
              <w:rPr>
                <w:rFonts w:ascii="宋体" w:hAnsi="宋体" w:cs="宋体"/>
                <w:b/>
                <w:color w:val="000000" w:themeColor="text1"/>
                <w:spacing w:val="-14"/>
                <w:sz w:val="18"/>
                <w:szCs w:val="18"/>
              </w:rPr>
            </w:pPr>
            <w:r>
              <w:rPr>
                <w:rFonts w:hint="eastAsia" w:ascii="宋体" w:hAnsi="宋体" w:cs="宋体"/>
                <w:b/>
                <w:color w:val="000000" w:themeColor="text1"/>
                <w:sz w:val="18"/>
                <w:szCs w:val="18"/>
              </w:rPr>
              <w:t>/</w:t>
            </w:r>
          </w:p>
        </w:tc>
        <w:tc>
          <w:tcPr>
            <w:tcW w:w="819" w:type="pct"/>
            <w:gridSpan w:val="8"/>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新增废气处理设施能力</w:t>
            </w:r>
          </w:p>
        </w:tc>
        <w:tc>
          <w:tcPr>
            <w:tcW w:w="895"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582"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年平均工作时</w:t>
            </w:r>
          </w:p>
        </w:tc>
        <w:tc>
          <w:tcPr>
            <w:tcW w:w="79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5000h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restart"/>
            <w:tcBorders>
              <w:top w:val="nil"/>
              <w:left w:val="single" w:color="auto" w:sz="4" w:space="0"/>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污染物排放达标与总量控制</w:t>
            </w:r>
          </w:p>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(工业建设项目详填)</w:t>
            </w: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污染物</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原有排放量(1)</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本期工程实际排放浓度(2)</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本期工程允许排放浓度(3)</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本期工程产生量(4)</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本期工程自身削减量(5)</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本期工程实际排放量(6)</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本期工程核定排放量(7)</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本期工程</w:t>
            </w:r>
          </w:p>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“以新带老”削减量(8)</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全厂实际排放总量(9)</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区域平衡替代削减量(11)</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Cs/>
                <w:color w:val="00B0F0"/>
                <w:sz w:val="18"/>
                <w:szCs w:val="18"/>
              </w:rPr>
            </w:pPr>
            <w:r>
              <w:rPr>
                <w:rFonts w:hint="eastAsia" w:ascii="宋体" w:hAnsi="宋体" w:cs="宋体"/>
                <w:color w:val="000000" w:themeColor="text1"/>
                <w:sz w:val="18"/>
                <w:szCs w:val="18"/>
              </w:rPr>
              <w:t>/</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B0F0"/>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6" w:hRule="atLeast"/>
        </w:trPr>
        <w:tc>
          <w:tcPr>
            <w:tcW w:w="189" w:type="pct"/>
            <w:vMerge w:val="continue"/>
            <w:tcBorders>
              <w:top w:val="nil"/>
              <w:left w:val="single" w:color="auto" w:sz="4" w:space="0"/>
              <w:bottom w:val="single" w:color="auto" w:sz="4" w:space="0"/>
              <w:right w:val="single" w:color="auto" w:sz="4" w:space="0"/>
            </w:tcBorders>
            <w:shd w:val="clear" w:color="auto" w:fill="auto"/>
            <w:vAlign w:val="center"/>
          </w:tcPr>
          <w:p>
            <w:pPr>
              <w:outlineLvl w:val="9"/>
              <w:rPr>
                <w:rFonts w:ascii="宋体" w:hAnsi="宋体" w:cs="宋体"/>
                <w:color w:val="000000" w:themeColor="text1"/>
                <w:sz w:val="18"/>
                <w:szCs w:val="18"/>
              </w:rPr>
            </w:pPr>
          </w:p>
        </w:tc>
        <w:tc>
          <w:tcPr>
            <w:tcW w:w="539"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b/>
                <w:color w:val="000000" w:themeColor="text1"/>
                <w:sz w:val="18"/>
                <w:szCs w:val="18"/>
              </w:rPr>
            </w:pPr>
            <w:r>
              <w:rPr>
                <w:rFonts w:hint="eastAsia" w:ascii="宋体" w:hAnsi="宋体" w:cs="宋体"/>
                <w:b/>
                <w:color w:val="000000" w:themeColor="text1"/>
                <w:sz w:val="18"/>
                <w:szCs w:val="18"/>
              </w:rPr>
              <w:t>固体废弃物</w:t>
            </w:r>
          </w:p>
        </w:tc>
        <w:tc>
          <w:tcPr>
            <w:tcW w:w="240"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9" w:type="pct"/>
            <w:gridSpan w:val="5"/>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299"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83" w:type="pct"/>
            <w:gridSpan w:val="4"/>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67"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467" w:type="pct"/>
            <w:gridSpan w:val="2"/>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641"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6"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90" w:type="pct"/>
            <w:gridSpan w:val="3"/>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c>
          <w:tcPr>
            <w:tcW w:w="354" w:type="pct"/>
            <w:tcBorders>
              <w:top w:val="single" w:color="auto" w:sz="4" w:space="0"/>
              <w:left w:val="nil"/>
              <w:bottom w:val="single" w:color="auto" w:sz="4" w:space="0"/>
              <w:right w:val="single" w:color="auto" w:sz="4" w:space="0"/>
            </w:tcBorders>
            <w:shd w:val="clear" w:color="auto" w:fill="auto"/>
            <w:vAlign w:val="center"/>
          </w:tcPr>
          <w:p>
            <w:pPr>
              <w:jc w:val="center"/>
              <w:outlineLvl w:val="9"/>
              <w:rPr>
                <w:rFonts w:ascii="宋体" w:hAnsi="宋体" w:cs="宋体"/>
                <w:color w:val="000000" w:themeColor="text1"/>
                <w:sz w:val="18"/>
                <w:szCs w:val="18"/>
              </w:rPr>
            </w:pPr>
            <w:r>
              <w:rPr>
                <w:rFonts w:hint="eastAsia" w:ascii="宋体" w:hAnsi="宋体" w:cs="宋体"/>
                <w:color w:val="000000" w:themeColor="text1"/>
                <w:sz w:val="18"/>
                <w:szCs w:val="18"/>
              </w:rPr>
              <w:t>/</w:t>
            </w:r>
          </w:p>
        </w:tc>
      </w:tr>
    </w:tbl>
    <w:p>
      <w:pPr>
        <w:pStyle w:val="2"/>
        <w:outlineLvl w:val="9"/>
      </w:pPr>
      <w:r>
        <w:pict>
          <v:rect id="_x0000_s1066" o:spid="_x0000_s1066" o:spt="1" style="position:absolute;left:0pt;margin-left:-3.85pt;margin-top:40.3pt;height:35.3pt;width:728.25pt;z-index:251693056;v-text-anchor:middle;mso-width-relative:page;mso-height-relative:page;" fillcolor="#FFFFFF" filled="t" stroked="f" coordsize="21600,21600" o:gfxdata="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aNijr2gAAAAsBAAAPAAAAAAAAAAEAIAAAACIAAABkcnMv&#10;ZG93bnJldi54bWxQSwECFAAUAAAACACHTuJAnsrATnMCAADWBAAADgAAAAAAAAABACAAAAApAQAA&#10;ZHJzL2Uyb0RvYy54bWxQSwUGAAAAAAYABgBZAQAADgYAAAAA&#10;">
            <v:path/>
            <v:fill on="t" focussize="0,0"/>
            <v:stroke on="f" weight="1pt"/>
            <v:imagedata o:title=""/>
            <o:lock v:ext="edit"/>
            <v:textbox>
              <w:txbxContent>
                <w:p>
                  <w:r>
                    <w:rPr>
                      <w:rFonts w:hint="eastAsia"/>
                      <w:sz w:val="18"/>
                      <w:szCs w:val="18"/>
                    </w:rPr>
                    <w:t>注</w:t>
                  </w:r>
                  <w:r>
                    <w:rPr>
                      <w:sz w:val="18"/>
                      <w:szCs w:val="18"/>
                    </w:rPr>
                    <w:t>:1</w:t>
                  </w:r>
                  <w:r>
                    <w:rPr>
                      <w:rFonts w:hint="eastAsia"/>
                      <w:sz w:val="18"/>
                      <w:szCs w:val="18"/>
                    </w:rPr>
                    <w:t>、排放增减量：（</w:t>
                  </w:r>
                  <w:r>
                    <w:rPr>
                      <w:sz w:val="18"/>
                      <w:szCs w:val="18"/>
                    </w:rPr>
                    <w:t>+</w:t>
                  </w:r>
                  <w:r>
                    <w:rPr>
                      <w:rFonts w:hint="eastAsia"/>
                      <w:sz w:val="18"/>
                      <w:szCs w:val="18"/>
                    </w:rPr>
                    <w:t>）表示增加，（</w:t>
                  </w:r>
                  <w:r>
                    <w:rPr>
                      <w:sz w:val="18"/>
                      <w:szCs w:val="18"/>
                    </w:rPr>
                    <w:t>-</w:t>
                  </w:r>
                  <w:r>
                    <w:rPr>
                      <w:rFonts w:hint="eastAsia"/>
                      <w:sz w:val="18"/>
                      <w:szCs w:val="18"/>
                    </w:rPr>
                    <w:t>）表示减少。</w:t>
                  </w:r>
                  <w:r>
                    <w:rPr>
                      <w:sz w:val="18"/>
                      <w:szCs w:val="18"/>
                    </w:rPr>
                    <w:t>2</w:t>
                  </w:r>
                  <w:r>
                    <w:rPr>
                      <w:rFonts w:hint="eastAsia"/>
                      <w:sz w:val="18"/>
                      <w:szCs w:val="18"/>
                    </w:rPr>
                    <w:t>、</w:t>
                  </w:r>
                  <w:r>
                    <w:rPr>
                      <w:rFonts w:hint="eastAsia"/>
                      <w:spacing w:val="-8"/>
                      <w:sz w:val="18"/>
                      <w:szCs w:val="18"/>
                    </w:rPr>
                    <w:t>（</w:t>
                  </w:r>
                  <w:r>
                    <w:rPr>
                      <w:spacing w:val="-8"/>
                      <w:sz w:val="18"/>
                      <w:szCs w:val="18"/>
                    </w:rPr>
                    <w:t>12</w:t>
                  </w:r>
                  <w:r>
                    <w:rPr>
                      <w:rFonts w:hint="eastAsia"/>
                      <w:spacing w:val="-8"/>
                      <w:sz w:val="18"/>
                      <w:szCs w:val="18"/>
                    </w:rPr>
                    <w:t>）</w:t>
                  </w:r>
                  <w:r>
                    <w:rPr>
                      <w:spacing w:val="-8"/>
                      <w:sz w:val="18"/>
                      <w:szCs w:val="18"/>
                    </w:rPr>
                    <w:t>=</w:t>
                  </w:r>
                  <w:r>
                    <w:rPr>
                      <w:rFonts w:hint="eastAsia"/>
                      <w:spacing w:val="-20"/>
                      <w:sz w:val="18"/>
                      <w:szCs w:val="18"/>
                    </w:rPr>
                    <w:t>（</w:t>
                  </w:r>
                  <w:r>
                    <w:rPr>
                      <w:spacing w:val="-20"/>
                      <w:sz w:val="18"/>
                      <w:szCs w:val="18"/>
                    </w:rPr>
                    <w:t>6</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8</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11</w:t>
                  </w:r>
                  <w:r>
                    <w:rPr>
                      <w:rFonts w:hint="eastAsia"/>
                      <w:spacing w:val="-20"/>
                      <w:sz w:val="18"/>
                      <w:szCs w:val="18"/>
                    </w:rPr>
                    <w:t>），（</w:t>
                  </w:r>
                  <w:r>
                    <w:rPr>
                      <w:spacing w:val="-20"/>
                      <w:sz w:val="18"/>
                      <w:szCs w:val="18"/>
                    </w:rPr>
                    <w:t>9</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4</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5</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8</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11</w:t>
                  </w:r>
                  <w:r>
                    <w:rPr>
                      <w:rFonts w:hint="eastAsia"/>
                      <w:spacing w:val="-20"/>
                      <w:sz w:val="18"/>
                      <w:szCs w:val="18"/>
                    </w:rPr>
                    <w:t>）</w:t>
                  </w:r>
                  <w:r>
                    <w:rPr>
                      <w:spacing w:val="-20"/>
                      <w:sz w:val="18"/>
                      <w:szCs w:val="18"/>
                    </w:rPr>
                    <w:t>+</w:t>
                  </w:r>
                  <w:r>
                    <w:rPr>
                      <w:rFonts w:hint="eastAsia"/>
                      <w:spacing w:val="-20"/>
                      <w:sz w:val="18"/>
                      <w:szCs w:val="18"/>
                    </w:rPr>
                    <w:t>（</w:t>
                  </w:r>
                  <w:r>
                    <w:rPr>
                      <w:spacing w:val="-20"/>
                      <w:sz w:val="18"/>
                      <w:szCs w:val="18"/>
                    </w:rPr>
                    <w:t>1</w:t>
                  </w:r>
                  <w:r>
                    <w:rPr>
                      <w:rFonts w:hint="eastAsia"/>
                      <w:spacing w:val="-20"/>
                      <w:sz w:val="18"/>
                      <w:szCs w:val="18"/>
                    </w:rPr>
                    <w:t>）。</w:t>
                  </w:r>
                  <w:r>
                    <w:rPr>
                      <w:sz w:val="18"/>
                      <w:szCs w:val="18"/>
                    </w:rPr>
                    <w:t>3</w:t>
                  </w:r>
                  <w:r>
                    <w:rPr>
                      <w:rFonts w:hint="eastAsia"/>
                      <w:sz w:val="18"/>
                      <w:szCs w:val="18"/>
                    </w:rPr>
                    <w:t>、计量单位：废水排放量</w:t>
                  </w:r>
                  <w:r>
                    <w:rPr>
                      <w:sz w:val="18"/>
                      <w:szCs w:val="18"/>
                    </w:rPr>
                    <w:t>——</w:t>
                  </w:r>
                  <w:r>
                    <w:rPr>
                      <w:rFonts w:hint="eastAsia"/>
                      <w:sz w:val="18"/>
                      <w:szCs w:val="18"/>
                    </w:rPr>
                    <w:t>万吨／年；废气排放量</w:t>
                  </w:r>
                  <w:r>
                    <w:rPr>
                      <w:sz w:val="18"/>
                      <w:szCs w:val="18"/>
                    </w:rPr>
                    <w:t>——</w:t>
                  </w:r>
                  <w:r>
                    <w:rPr>
                      <w:rFonts w:hint="eastAsia"/>
                      <w:sz w:val="18"/>
                      <w:szCs w:val="18"/>
                    </w:rPr>
                    <w:t>万标立方米／年；工业固体废物排放量</w:t>
                  </w:r>
                  <w:r>
                    <w:rPr>
                      <w:sz w:val="18"/>
                      <w:szCs w:val="18"/>
                    </w:rPr>
                    <w:t>—</w:t>
                  </w:r>
                  <w:r>
                    <w:rPr>
                      <w:rFonts w:hint="eastAsia"/>
                      <w:sz w:val="18"/>
                      <w:szCs w:val="18"/>
                    </w:rPr>
                    <w:t>万吨／年；水污染物排放浓度</w:t>
                  </w:r>
                  <w:r>
                    <w:rPr>
                      <w:sz w:val="18"/>
                      <w:szCs w:val="18"/>
                    </w:rPr>
                    <w:t>——</w:t>
                  </w:r>
                  <w:r>
                    <w:rPr>
                      <w:rFonts w:hint="eastAsia"/>
                      <w:sz w:val="18"/>
                      <w:szCs w:val="18"/>
                    </w:rPr>
                    <w:t>毫克／升；大气污染物排放浓度</w:t>
                  </w:r>
                  <w:r>
                    <w:rPr>
                      <w:sz w:val="18"/>
                      <w:szCs w:val="18"/>
                    </w:rPr>
                    <w:t>——</w:t>
                  </w:r>
                  <w:r>
                    <w:rPr>
                      <w:rFonts w:hint="eastAsia"/>
                      <w:sz w:val="18"/>
                      <w:szCs w:val="18"/>
                    </w:rPr>
                    <w:t>毫克／立方米；水污染物排放量</w:t>
                  </w:r>
                  <w:r>
                    <w:rPr>
                      <w:sz w:val="18"/>
                      <w:szCs w:val="18"/>
                    </w:rPr>
                    <w:t>——</w:t>
                  </w:r>
                  <w:r>
                    <w:rPr>
                      <w:rFonts w:hint="eastAsia"/>
                      <w:sz w:val="18"/>
                      <w:szCs w:val="18"/>
                    </w:rPr>
                    <w:t>吨／年；大气污染物排放量</w:t>
                  </w:r>
                  <w:r>
                    <w:rPr>
                      <w:sz w:val="18"/>
                      <w:szCs w:val="18"/>
                    </w:rPr>
                    <w:t>——</w:t>
                  </w:r>
                  <w:r>
                    <w:rPr>
                      <w:rFonts w:hint="eastAsia"/>
                      <w:sz w:val="18"/>
                      <w:szCs w:val="18"/>
                    </w:rPr>
                    <w:t>吨／年。</w:t>
                  </w:r>
                </w:p>
                <w:p>
                  <w:pPr>
                    <w:ind w:left="440" w:leftChars="200"/>
                    <w:jc w:val="center"/>
                  </w:pPr>
                </w:p>
              </w:txbxContent>
            </v:textbox>
          </v:rect>
        </w:pict>
      </w:r>
    </w:p>
    <w:sectPr>
      <w:pgSz w:w="16838" w:h="11906" w:orient="landscape"/>
      <w:pgMar w:top="1797" w:right="1440" w:bottom="1797" w:left="1440"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TimesNewRoman">
    <w:altName w:val="黑体"/>
    <w:panose1 w:val="00000000000000000000"/>
    <w:charset w:val="86"/>
    <w:family w:val="auto"/>
    <w:pitch w:val="default"/>
    <w:sig w:usb0="00000000" w:usb1="00000000" w:usb2="00000010"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p>
  <w:p>
    <w:pPr>
      <w:pStyle w:val="8"/>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wwr/1N0CAAAmBgAADgAAAAAAAAABACAAAAAfAQAAZHJzL2Uyb0RvYy54bWxQSwUG&#10;AAAAAAYABgBZAQAAbgYAAAAA&#10;">
          <v:path/>
          <v:fill on="f" focussize="0,0"/>
          <v:stroke on="f" weight="0.5pt" joinstyle="miter"/>
          <v:imagedata o:title=""/>
          <o:lock v:ext="edit"/>
          <v:textbox inset="0mm,0mm,0mm,0mm" style="mso-fit-shape-to-text:t;">
            <w:txbxContent>
              <w:p>
                <w:pPr>
                  <w:pStyle w:val="8"/>
                </w:pPr>
                <w:r>
                  <w:fldChar w:fldCharType="begin"/>
                </w:r>
                <w:r>
                  <w:instrText xml:space="preserve"> PAGE  \* MERGEFORMAT </w:instrText>
                </w:r>
                <w:r>
                  <w:fldChar w:fldCharType="separate"/>
                </w:r>
                <w:r>
                  <w:t>41</w:t>
                </w:r>
                <w:r>
                  <w:fldChar w:fldCharType="end"/>
                </w:r>
              </w:p>
            </w:txbxContent>
          </v:textbox>
        </v:shape>
      </w:pict>
    </w:r>
  </w:p>
  <w:p>
    <w:pPr>
      <w:pStyle w:val="8"/>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HorizontalSpacing w:val="11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zZjNmRiMDI2YzIwNTM2MzEwMjMxNGJlYTg2MTcxYTYifQ=="/>
  </w:docVars>
  <w:rsids>
    <w:rsidRoot w:val="38973312"/>
    <w:rsid w:val="00035C7A"/>
    <w:rsid w:val="00045E47"/>
    <w:rsid w:val="00051516"/>
    <w:rsid w:val="00106257"/>
    <w:rsid w:val="00197FEF"/>
    <w:rsid w:val="001B3359"/>
    <w:rsid w:val="001D382E"/>
    <w:rsid w:val="002779F9"/>
    <w:rsid w:val="002913B0"/>
    <w:rsid w:val="00337077"/>
    <w:rsid w:val="00344BF7"/>
    <w:rsid w:val="00495592"/>
    <w:rsid w:val="005A3231"/>
    <w:rsid w:val="005F6DD6"/>
    <w:rsid w:val="00665702"/>
    <w:rsid w:val="006A562B"/>
    <w:rsid w:val="006E19FE"/>
    <w:rsid w:val="00755D4D"/>
    <w:rsid w:val="007A53DF"/>
    <w:rsid w:val="00833A23"/>
    <w:rsid w:val="00862071"/>
    <w:rsid w:val="008C14E8"/>
    <w:rsid w:val="008E485A"/>
    <w:rsid w:val="00937F7E"/>
    <w:rsid w:val="00A3648E"/>
    <w:rsid w:val="00A46308"/>
    <w:rsid w:val="00A61AF8"/>
    <w:rsid w:val="00A720C4"/>
    <w:rsid w:val="00AB1605"/>
    <w:rsid w:val="00B3313F"/>
    <w:rsid w:val="00C12089"/>
    <w:rsid w:val="00C6695F"/>
    <w:rsid w:val="00C813C3"/>
    <w:rsid w:val="00C953CA"/>
    <w:rsid w:val="00CA30BF"/>
    <w:rsid w:val="00CC46D3"/>
    <w:rsid w:val="00D318A2"/>
    <w:rsid w:val="00D476A6"/>
    <w:rsid w:val="00DB65B0"/>
    <w:rsid w:val="00E31DC9"/>
    <w:rsid w:val="00E80A75"/>
    <w:rsid w:val="00F0150C"/>
    <w:rsid w:val="02A91FBB"/>
    <w:rsid w:val="03FF6945"/>
    <w:rsid w:val="04504B52"/>
    <w:rsid w:val="050F34FA"/>
    <w:rsid w:val="08D1130E"/>
    <w:rsid w:val="08F828BB"/>
    <w:rsid w:val="0BB8347E"/>
    <w:rsid w:val="0E776C5F"/>
    <w:rsid w:val="0EE8387F"/>
    <w:rsid w:val="12780B6A"/>
    <w:rsid w:val="193365E0"/>
    <w:rsid w:val="1E256E7D"/>
    <w:rsid w:val="1F0F035D"/>
    <w:rsid w:val="22622E4D"/>
    <w:rsid w:val="24571544"/>
    <w:rsid w:val="2D6706EB"/>
    <w:rsid w:val="2DDB721A"/>
    <w:rsid w:val="35124664"/>
    <w:rsid w:val="38973312"/>
    <w:rsid w:val="3CE968BC"/>
    <w:rsid w:val="3E7F19F3"/>
    <w:rsid w:val="3FB5376A"/>
    <w:rsid w:val="42274495"/>
    <w:rsid w:val="443A1606"/>
    <w:rsid w:val="45721A02"/>
    <w:rsid w:val="46313BA0"/>
    <w:rsid w:val="46342C38"/>
    <w:rsid w:val="47D7362B"/>
    <w:rsid w:val="48AE35F1"/>
    <w:rsid w:val="49380D36"/>
    <w:rsid w:val="4B306168"/>
    <w:rsid w:val="509456B8"/>
    <w:rsid w:val="5DC23D13"/>
    <w:rsid w:val="5EE1718D"/>
    <w:rsid w:val="64D40147"/>
    <w:rsid w:val="6B0E2945"/>
    <w:rsid w:val="6EF22F3E"/>
    <w:rsid w:val="73655EC3"/>
    <w:rsid w:val="741534F2"/>
    <w:rsid w:val="7A3C78BD"/>
    <w:rsid w:val="7F567E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pPr>
    <w:rPr>
      <w:rFonts w:ascii="Tahoma" w:hAnsi="Tahoma" w:eastAsia="宋体" w:cs="Times New Roman"/>
      <w:sz w:val="22"/>
      <w:szCs w:val="22"/>
      <w:lang w:val="en-US" w:eastAsia="zh-CN" w:bidi="ar-SA"/>
    </w:rPr>
  </w:style>
  <w:style w:type="paragraph" w:styleId="3">
    <w:name w:val="heading 2"/>
    <w:basedOn w:val="1"/>
    <w:next w:val="1"/>
    <w:qFormat/>
    <w:uiPriority w:val="99"/>
    <w:pPr>
      <w:keepNext/>
      <w:keepLines/>
      <w:spacing w:line="400" w:lineRule="exact"/>
      <w:outlineLvl w:val="1"/>
    </w:pPr>
    <w:rPr>
      <w:rFonts w:ascii="Times New Roman" w:hAnsi="Times New Roman"/>
      <w:bCs/>
      <w:sz w:val="24"/>
    </w:rPr>
  </w:style>
  <w:style w:type="paragraph" w:styleId="4">
    <w:name w:val="heading 5"/>
    <w:basedOn w:val="1"/>
    <w:next w:val="1"/>
    <w:qFormat/>
    <w:uiPriority w:val="1"/>
    <w:pPr>
      <w:ind w:left="1240" w:firstLine="280"/>
      <w:outlineLvl w:val="4"/>
    </w:pPr>
    <w:rPr>
      <w:rFonts w:ascii="仿宋" w:hAnsi="仿宋" w:eastAsia="仿宋" w:cs="仿宋"/>
      <w:sz w:val="28"/>
      <w:szCs w:val="28"/>
    </w:rPr>
  </w:style>
  <w:style w:type="character" w:default="1" w:styleId="14">
    <w:name w:val="Default Paragraph Font"/>
    <w:semiHidden/>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header"/>
    <w:basedOn w:val="1"/>
    <w:next w:val="1"/>
    <w:qFormat/>
    <w:uiPriority w:val="0"/>
    <w:pPr>
      <w:pBdr>
        <w:top w:val="none" w:color="auto" w:sz="0" w:space="1"/>
        <w:left w:val="none" w:color="auto" w:sz="0" w:space="4"/>
        <w:bottom w:val="none" w:color="auto" w:sz="0" w:space="1"/>
        <w:right w:val="none" w:color="auto" w:sz="0" w:space="4"/>
      </w:pBdr>
      <w:tabs>
        <w:tab w:val="center" w:pos="4153"/>
        <w:tab w:val="right" w:pos="8306"/>
      </w:tabs>
      <w:jc w:val="both"/>
    </w:pPr>
    <w:rPr>
      <w:sz w:val="18"/>
    </w:rPr>
  </w:style>
  <w:style w:type="paragraph" w:styleId="5">
    <w:name w:val="Body Text"/>
    <w:basedOn w:val="1"/>
    <w:qFormat/>
    <w:uiPriority w:val="0"/>
    <w:pPr>
      <w:widowControl w:val="0"/>
      <w:spacing w:line="400" w:lineRule="exact"/>
      <w:jc w:val="both"/>
    </w:pPr>
    <w:rPr>
      <w:rFonts w:ascii="宋体" w:hAnsi="Times New Roman"/>
      <w:kern w:val="2"/>
      <w:sz w:val="24"/>
      <w:szCs w:val="24"/>
    </w:rPr>
  </w:style>
  <w:style w:type="paragraph" w:styleId="6">
    <w:name w:val="Body Text Indent 2"/>
    <w:basedOn w:val="1"/>
    <w:unhideWhenUsed/>
    <w:qFormat/>
    <w:uiPriority w:val="99"/>
    <w:pPr>
      <w:spacing w:after="120" w:line="480" w:lineRule="auto"/>
      <w:ind w:left="420" w:leftChars="200"/>
    </w:pPr>
  </w:style>
  <w:style w:type="paragraph" w:styleId="7">
    <w:name w:val="Balloon Text"/>
    <w:basedOn w:val="1"/>
    <w:link w:val="30"/>
    <w:qFormat/>
    <w:uiPriority w:val="0"/>
    <w:rPr>
      <w:sz w:val="18"/>
      <w:szCs w:val="18"/>
    </w:rPr>
  </w:style>
  <w:style w:type="paragraph" w:styleId="8">
    <w:name w:val="footer"/>
    <w:basedOn w:val="1"/>
    <w:qFormat/>
    <w:uiPriority w:val="99"/>
    <w:pPr>
      <w:tabs>
        <w:tab w:val="center" w:pos="4153"/>
        <w:tab w:val="right" w:pos="8306"/>
      </w:tabs>
    </w:pPr>
    <w:rPr>
      <w:sz w:val="18"/>
    </w:rPr>
  </w:style>
  <w:style w:type="paragraph" w:styleId="9">
    <w:name w:val="toc 1"/>
    <w:basedOn w:val="1"/>
    <w:next w:val="1"/>
    <w:qFormat/>
    <w:uiPriority w:val="0"/>
  </w:style>
  <w:style w:type="paragraph" w:styleId="10">
    <w:name w:val="toc 2"/>
    <w:basedOn w:val="1"/>
    <w:next w:val="1"/>
    <w:qFormat/>
    <w:uiPriority w:val="0"/>
    <w:pPr>
      <w:ind w:left="420" w:leftChars="200"/>
    </w:pPr>
  </w:style>
  <w:style w:type="paragraph" w:styleId="11">
    <w:name w:val="Body Text First Indent"/>
    <w:basedOn w:val="5"/>
    <w:next w:val="1"/>
    <w:qFormat/>
    <w:uiPriority w:val="0"/>
    <w:pPr>
      <w:spacing w:after="120"/>
      <w:ind w:firstLine="420"/>
    </w:pPr>
  </w:style>
  <w:style w:type="table" w:styleId="13">
    <w:name w:val="Table Grid"/>
    <w:basedOn w:val="1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5">
    <w:name w:val="正文0.5"/>
    <w:basedOn w:val="1"/>
    <w:next w:val="1"/>
    <w:qFormat/>
    <w:uiPriority w:val="0"/>
    <w:pPr>
      <w:spacing w:beforeLines="50" w:line="360" w:lineRule="auto"/>
      <w:ind w:firstLine="200" w:firstLineChars="200"/>
    </w:pPr>
    <w:rPr>
      <w:sz w:val="24"/>
      <w:szCs w:val="21"/>
    </w:rPr>
  </w:style>
  <w:style w:type="paragraph" w:customStyle="1" w:styleId="16">
    <w:name w:val="MY正文"/>
    <w:basedOn w:val="1"/>
    <w:qFormat/>
    <w:uiPriority w:val="99"/>
    <w:rPr>
      <w:rFonts w:ascii="Times New Roman" w:hAnsi="Times New Roman"/>
      <w:bCs/>
      <w:szCs w:val="44"/>
    </w:rPr>
  </w:style>
  <w:style w:type="paragraph" w:customStyle="1" w:styleId="17">
    <w:name w:val="Table Paragraph"/>
    <w:basedOn w:val="1"/>
    <w:qFormat/>
    <w:uiPriority w:val="1"/>
    <w:pPr>
      <w:jc w:val="center"/>
    </w:pPr>
    <w:rPr>
      <w:rFonts w:ascii="Times New Roman" w:hAnsi="Times New Roman" w:eastAsia="Times New Roman"/>
      <w:lang w:val="zh-CN" w:bidi="zh-CN"/>
    </w:rPr>
  </w:style>
  <w:style w:type="paragraph" w:customStyle="1" w:styleId="18">
    <w:name w:val="正文1"/>
    <w:basedOn w:val="19"/>
    <w:qFormat/>
    <w:uiPriority w:val="0"/>
    <w:pPr>
      <w:ind w:firstLine="420"/>
    </w:pPr>
    <w:rPr>
      <w:sz w:val="24"/>
    </w:rPr>
  </w:style>
  <w:style w:type="paragraph" w:customStyle="1" w:styleId="19">
    <w:name w:val="样式 小四 行距: 1.5 倍行距 首行缩进:  2 字符"/>
    <w:basedOn w:val="1"/>
    <w:qFormat/>
    <w:uiPriority w:val="0"/>
    <w:pPr>
      <w:spacing w:line="360" w:lineRule="auto"/>
      <w:ind w:firstLine="480" w:firstLineChars="200"/>
    </w:pPr>
    <w:rPr>
      <w:rFonts w:cs="宋体"/>
      <w:szCs w:val="20"/>
    </w:rPr>
  </w:style>
  <w:style w:type="paragraph" w:customStyle="1" w:styleId="20">
    <w:name w:val="表格"/>
    <w:basedOn w:val="1"/>
    <w:next w:val="1"/>
    <w:qFormat/>
    <w:uiPriority w:val="0"/>
    <w:pPr>
      <w:jc w:val="center"/>
    </w:pPr>
    <w:rPr>
      <w:szCs w:val="20"/>
    </w:rPr>
  </w:style>
  <w:style w:type="paragraph" w:customStyle="1" w:styleId="21">
    <w:name w:val="图例表例"/>
    <w:basedOn w:val="1"/>
    <w:next w:val="1"/>
    <w:qFormat/>
    <w:uiPriority w:val="0"/>
    <w:pPr>
      <w:jc w:val="center"/>
    </w:pPr>
    <w:rPr>
      <w:b/>
      <w:sz w:val="24"/>
      <w:szCs w:val="21"/>
    </w:rPr>
  </w:style>
  <w:style w:type="paragraph" w:customStyle="1" w:styleId="22">
    <w:name w:val="3.5级"/>
    <w:basedOn w:val="23"/>
    <w:next w:val="1"/>
    <w:qFormat/>
    <w:uiPriority w:val="0"/>
    <w:pPr>
      <w:spacing w:beforeLines="50"/>
      <w:outlineLvl w:val="2"/>
    </w:pPr>
  </w:style>
  <w:style w:type="paragraph" w:customStyle="1" w:styleId="23">
    <w:name w:val="3级"/>
    <w:basedOn w:val="1"/>
    <w:next w:val="1"/>
    <w:qFormat/>
    <w:uiPriority w:val="0"/>
    <w:pPr>
      <w:spacing w:line="360" w:lineRule="auto"/>
      <w:ind w:firstLine="200" w:firstLineChars="200"/>
    </w:pPr>
    <w:rPr>
      <w:rFonts w:eastAsia="黑体"/>
      <w:sz w:val="24"/>
      <w:szCs w:val="21"/>
    </w:rPr>
  </w:style>
  <w:style w:type="paragraph" w:customStyle="1" w:styleId="24">
    <w:name w:val="WPSOffice手动目录 1"/>
    <w:qFormat/>
    <w:uiPriority w:val="0"/>
    <w:rPr>
      <w:rFonts w:asciiTheme="minorHAnsi" w:hAnsiTheme="minorHAnsi" w:eastAsiaTheme="minorEastAsia" w:cstheme="minorBidi"/>
      <w:lang w:val="en-US" w:eastAsia="zh-CN" w:bidi="ar-SA"/>
    </w:rPr>
  </w:style>
  <w:style w:type="paragraph" w:customStyle="1" w:styleId="25">
    <w:name w:val="WPSOffice手动目录 2"/>
    <w:qFormat/>
    <w:uiPriority w:val="0"/>
    <w:pPr>
      <w:ind w:left="200" w:leftChars="200"/>
    </w:pPr>
    <w:rPr>
      <w:rFonts w:asciiTheme="minorHAnsi" w:hAnsiTheme="minorHAnsi" w:eastAsiaTheme="minorEastAsia" w:cstheme="minorBidi"/>
      <w:lang w:val="en-US" w:eastAsia="zh-CN" w:bidi="ar-SA"/>
    </w:rPr>
  </w:style>
  <w:style w:type="paragraph" w:customStyle="1" w:styleId="26">
    <w:name w:val="报告"/>
    <w:basedOn w:val="1"/>
    <w:qFormat/>
    <w:uiPriority w:val="0"/>
    <w:pPr>
      <w:spacing w:line="360" w:lineRule="auto"/>
      <w:ind w:firstLine="505"/>
      <w:textAlignment w:val="center"/>
    </w:pPr>
    <w:rPr>
      <w:rFonts w:ascii="TimesNewRoman" w:hAnsi="TimesNewRoman"/>
      <w:sz w:val="24"/>
      <w:szCs w:val="20"/>
    </w:rPr>
  </w:style>
  <w:style w:type="character" w:customStyle="1" w:styleId="27">
    <w:name w:val="font31"/>
    <w:basedOn w:val="14"/>
    <w:qFormat/>
    <w:uiPriority w:val="0"/>
    <w:rPr>
      <w:rFonts w:hint="eastAsia" w:ascii="宋体" w:hAnsi="宋体" w:eastAsia="宋体" w:cs="宋体"/>
      <w:color w:val="000000"/>
      <w:sz w:val="21"/>
      <w:szCs w:val="21"/>
      <w:u w:val="none"/>
    </w:rPr>
  </w:style>
  <w:style w:type="character" w:customStyle="1" w:styleId="28">
    <w:name w:val="font61"/>
    <w:basedOn w:val="14"/>
    <w:qFormat/>
    <w:uiPriority w:val="0"/>
    <w:rPr>
      <w:rFonts w:hint="eastAsia" w:ascii="宋体" w:hAnsi="宋体" w:eastAsia="宋体" w:cs="宋体"/>
      <w:color w:val="000000"/>
      <w:sz w:val="22"/>
      <w:szCs w:val="22"/>
      <w:u w:val="none"/>
    </w:rPr>
  </w:style>
  <w:style w:type="paragraph" w:customStyle="1" w:styleId="29">
    <w:name w:val="正文小四"/>
    <w:basedOn w:val="1"/>
    <w:qFormat/>
    <w:uiPriority w:val="0"/>
    <w:pPr>
      <w:ind w:firstLine="200" w:firstLineChars="200"/>
    </w:pPr>
    <w:rPr>
      <w:sz w:val="24"/>
      <w:szCs w:val="20"/>
    </w:rPr>
  </w:style>
  <w:style w:type="character" w:customStyle="1" w:styleId="30">
    <w:name w:val="批注框文本 Char"/>
    <w:basedOn w:val="14"/>
    <w:link w:val="7"/>
    <w:qFormat/>
    <w:uiPriority w:val="0"/>
    <w:rPr>
      <w:rFonts w:ascii="Tahoma" w:hAnsi="Tahoma" w:eastAsia="宋体" w:cs="Times New Roman"/>
      <w:sz w:val="18"/>
      <w:szCs w:val="18"/>
    </w:rPr>
  </w:style>
  <w:style w:type="paragraph" w:customStyle="1" w:styleId="31">
    <w:name w:val="报告表正文"/>
    <w:basedOn w:val="1"/>
    <w:qFormat/>
    <w:uiPriority w:val="0"/>
    <w:pPr>
      <w:spacing w:line="312" w:lineRule="auto"/>
      <w:ind w:left="113" w:right="113" w:firstLine="482"/>
      <w:textAlignment w:val="baseline"/>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2.bin"/><Relationship Id="rId8" Type="http://schemas.openxmlformats.org/officeDocument/2006/relationships/image" Target="media/image1.emf"/><Relationship Id="rId7" Type="http://schemas.openxmlformats.org/officeDocument/2006/relationships/oleObject" Target="embeddings/oleObject1.bin"/><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2.xml"/><Relationship Id="rId15" Type="http://schemas.openxmlformats.org/officeDocument/2006/relationships/customXml" Target="../customXml/item1.xml"/><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emf"/><Relationship Id="rId11" Type="http://schemas.openxmlformats.org/officeDocument/2006/relationships/oleObject" Target="embeddings/oleObject3.bin"/><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49"/>
    <customShpInfo spid="_x0000_s1026"/>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Info spid="_x0000_s106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4E2ED8A-501E-4692-9A59-41A627505AF8}">
  <ds:schemaRefs/>
</ds:datastoreItem>
</file>

<file path=docProps/app.xml><?xml version="1.0" encoding="utf-8"?>
<Properties xmlns="http://schemas.openxmlformats.org/officeDocument/2006/extended-properties" xmlns:vt="http://schemas.openxmlformats.org/officeDocument/2006/docPropsVTypes">
  <Template>Normal</Template>
  <Pages>51</Pages>
  <Words>29648</Words>
  <Characters>35150</Characters>
  <Lines>286</Lines>
  <Paragraphs>80</Paragraphs>
  <TotalTime>7</TotalTime>
  <ScaleCrop>false</ScaleCrop>
  <LinksUpToDate>false</LinksUpToDate>
  <CharactersWithSpaces>36123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2022-08-21T02:20:00Z</dcterms:created>
  <dc:creator>一路彩虹</dc:creator>
  <cp:lastModifiedBy>一路彩虹</cp:lastModifiedBy>
  <dcterms:modified xsi:type="dcterms:W3CDTF">2022-10-11T08:07:58Z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9A5626354A744FC4BA88F0F0E438B7D1</vt:lpwstr>
  </property>
</Properties>
</file>