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heme="minorEastAsia" w:hAnsiTheme="minorEastAsia" w:eastAsiaTheme="minorEastAsia"/>
          <w:color w:val="3E3E3E"/>
          <w:sz w:val="36"/>
          <w:szCs w:val="36"/>
          <w:lang w:val="en-US" w:eastAsia="zh-CN"/>
        </w:rPr>
      </w:pPr>
      <w:r>
        <w:rPr>
          <w:rFonts w:hint="eastAsia" w:asciiTheme="minorEastAsia" w:hAnsiTheme="minorEastAsia"/>
          <w:b/>
          <w:color w:val="3E3E3E"/>
          <w:sz w:val="36"/>
          <w:szCs w:val="36"/>
        </w:rPr>
        <w:t>山东益大新材料股份有限公司年产9.5万吨针状焦项目</w:t>
      </w:r>
      <w:r>
        <w:rPr>
          <w:rFonts w:asciiTheme="minorEastAsia" w:hAnsiTheme="minorEastAsia"/>
          <w:b/>
          <w:color w:val="3E3E3E"/>
          <w:sz w:val="36"/>
          <w:szCs w:val="36"/>
        </w:rPr>
        <w:t>环境保护自行验收</w:t>
      </w:r>
      <w:r>
        <w:rPr>
          <w:rFonts w:hint="eastAsia" w:asciiTheme="minorEastAsia" w:hAnsiTheme="minorEastAsia"/>
          <w:b/>
          <w:color w:val="3E3E3E"/>
          <w:sz w:val="36"/>
          <w:szCs w:val="36"/>
          <w:lang w:val="en-US" w:eastAsia="zh-CN"/>
        </w:rPr>
        <w:t>内容</w:t>
      </w:r>
      <w:bookmarkStart w:id="0" w:name="_GoBack"/>
      <w:bookmarkEnd w:id="0"/>
    </w:p>
    <w:p>
      <w:pPr>
        <w:ind w:firstLine="600" w:firstLineChars="200"/>
        <w:rPr>
          <w:rFonts w:ascii="仿宋" w:hAnsi="仿宋" w:eastAsia="仿宋"/>
          <w:color w:val="3E3E3E"/>
          <w:sz w:val="30"/>
          <w:szCs w:val="30"/>
        </w:rPr>
      </w:pPr>
      <w:r>
        <w:rPr>
          <w:rFonts w:hint="eastAsia" w:ascii="仿宋" w:hAnsi="仿宋" w:eastAsia="仿宋"/>
          <w:color w:val="3E3E3E"/>
          <w:sz w:val="30"/>
          <w:szCs w:val="30"/>
        </w:rPr>
        <w:t>2022年10月0</w:t>
      </w:r>
      <w:r>
        <w:rPr>
          <w:rFonts w:hint="eastAsia" w:ascii="仿宋" w:hAnsi="仿宋" w:eastAsia="仿宋"/>
          <w:color w:val="3E3E3E"/>
          <w:sz w:val="30"/>
          <w:szCs w:val="30"/>
          <w:lang w:val="en-US" w:eastAsia="zh-CN"/>
        </w:rPr>
        <w:t>9</w:t>
      </w:r>
      <w:r>
        <w:rPr>
          <w:rFonts w:hint="eastAsia" w:ascii="仿宋" w:hAnsi="仿宋" w:eastAsia="仿宋"/>
          <w:color w:val="3E3E3E"/>
          <w:sz w:val="30"/>
          <w:szCs w:val="30"/>
        </w:rPr>
        <w:t>日</w:t>
      </w:r>
      <w:r>
        <w:rPr>
          <w:rFonts w:ascii="仿宋" w:hAnsi="仿宋" w:eastAsia="仿宋"/>
          <w:color w:val="3E3E3E"/>
          <w:sz w:val="30"/>
          <w:szCs w:val="30"/>
        </w:rPr>
        <w:t>，</w:t>
      </w:r>
      <w:r>
        <w:rPr>
          <w:rFonts w:hint="eastAsia" w:ascii="仿宋" w:hAnsi="仿宋" w:eastAsia="仿宋"/>
          <w:color w:val="3E3E3E"/>
          <w:sz w:val="30"/>
          <w:szCs w:val="30"/>
        </w:rPr>
        <w:t>山东益大新材料股份有限公司</w:t>
      </w:r>
      <w:r>
        <w:rPr>
          <w:rFonts w:ascii="仿宋" w:hAnsi="仿宋" w:eastAsia="仿宋"/>
          <w:color w:val="3E3E3E"/>
          <w:sz w:val="30"/>
          <w:szCs w:val="30"/>
        </w:rPr>
        <w:t>组织召开</w:t>
      </w:r>
      <w:r>
        <w:rPr>
          <w:rFonts w:hint="eastAsia" w:ascii="仿宋" w:hAnsi="仿宋" w:eastAsia="仿宋"/>
          <w:color w:val="3E3E3E"/>
          <w:sz w:val="30"/>
          <w:szCs w:val="30"/>
        </w:rPr>
        <w:t>年产9.5万吨针状焦项目</w:t>
      </w:r>
      <w:r>
        <w:rPr>
          <w:rFonts w:ascii="仿宋" w:hAnsi="仿宋" w:eastAsia="仿宋"/>
          <w:color w:val="3E3E3E"/>
          <w:sz w:val="30"/>
          <w:szCs w:val="30"/>
        </w:rPr>
        <w:t>环境保护验收现场会。验收组由工程建设单位（</w:t>
      </w:r>
      <w:r>
        <w:rPr>
          <w:rFonts w:hint="eastAsia" w:ascii="仿宋" w:hAnsi="仿宋" w:eastAsia="仿宋"/>
          <w:color w:val="3E3E3E"/>
          <w:sz w:val="30"/>
          <w:szCs w:val="30"/>
        </w:rPr>
        <w:t xml:space="preserve">山东益大新材料股份有限公司 </w:t>
      </w:r>
      <w:r>
        <w:rPr>
          <w:rFonts w:ascii="仿宋" w:hAnsi="仿宋" w:eastAsia="仿宋"/>
          <w:color w:val="3E3E3E"/>
          <w:sz w:val="30"/>
          <w:szCs w:val="30"/>
        </w:rPr>
        <w:t>）</w:t>
      </w:r>
      <w:r>
        <w:rPr>
          <w:rFonts w:hint="eastAsia" w:ascii="仿宋" w:hAnsi="仿宋" w:eastAsia="仿宋"/>
          <w:color w:val="3E3E3E"/>
          <w:sz w:val="30"/>
          <w:szCs w:val="30"/>
        </w:rPr>
        <w:t>、</w:t>
      </w:r>
      <w:r>
        <w:rPr>
          <w:rFonts w:ascii="仿宋" w:hAnsi="仿宋" w:eastAsia="仿宋"/>
          <w:color w:val="3E3E3E"/>
          <w:sz w:val="30"/>
          <w:szCs w:val="30"/>
        </w:rPr>
        <w:t>监测单位（</w:t>
      </w:r>
      <w:r>
        <w:rPr>
          <w:rFonts w:hint="eastAsia" w:ascii="仿宋" w:hAnsi="仿宋" w:eastAsia="仿宋"/>
          <w:color w:val="3E3E3E"/>
          <w:sz w:val="30"/>
          <w:szCs w:val="30"/>
        </w:rPr>
        <w:t>山东森泽检验检测技术有限公司</w:t>
      </w:r>
      <w:r>
        <w:rPr>
          <w:rFonts w:ascii="仿宋" w:hAnsi="仿宋" w:eastAsia="仿宋"/>
          <w:color w:val="3E3E3E"/>
          <w:sz w:val="30"/>
          <w:szCs w:val="30"/>
        </w:rPr>
        <w:t>）</w:t>
      </w:r>
      <w:r>
        <w:rPr>
          <w:rFonts w:hint="eastAsia" w:ascii="仿宋" w:hAnsi="仿宋" w:eastAsia="仿宋"/>
          <w:color w:val="3E3E3E"/>
          <w:sz w:val="30"/>
          <w:szCs w:val="30"/>
        </w:rPr>
        <w:t>及</w:t>
      </w:r>
      <w:r>
        <w:rPr>
          <w:rFonts w:ascii="仿宋" w:hAnsi="仿宋" w:eastAsia="仿宋"/>
          <w:color w:val="3E3E3E"/>
          <w:sz w:val="30"/>
          <w:szCs w:val="30"/>
        </w:rPr>
        <w:t>特邀</w:t>
      </w:r>
      <w:r>
        <w:rPr>
          <w:rFonts w:hint="eastAsia" w:ascii="仿宋" w:hAnsi="仿宋" w:eastAsia="仿宋"/>
          <w:color w:val="3E3E3E"/>
          <w:sz w:val="30"/>
          <w:szCs w:val="30"/>
        </w:rPr>
        <w:t>相关</w:t>
      </w:r>
      <w:r>
        <w:rPr>
          <w:rFonts w:ascii="仿宋" w:hAnsi="仿宋" w:eastAsia="仿宋"/>
          <w:color w:val="3E3E3E"/>
          <w:sz w:val="30"/>
          <w:szCs w:val="30"/>
        </w:rPr>
        <w:t>专家（名单附后）组成。</w:t>
      </w:r>
      <w:r>
        <w:rPr>
          <w:rFonts w:hint="eastAsia" w:ascii="仿宋" w:hAnsi="仿宋" w:eastAsia="仿宋"/>
          <w:color w:val="3E3E3E"/>
          <w:sz w:val="30"/>
          <w:szCs w:val="30"/>
        </w:rPr>
        <w:t>验收组现场查阅并核实了本项目建设运营期配套环境保护设施的建设与运行情况，根据《建设项目环境保护管理条例》以及《建设项目竣工环境保护验收暂行办法》国环规环评【2017】4号文相关要求，经认真研究讨论形成验收意见如下：</w:t>
      </w:r>
    </w:p>
    <w:p>
      <w:pPr>
        <w:pStyle w:val="21"/>
        <w:shd w:val="clear" w:color="auto" w:fill="FFFFFF"/>
        <w:spacing w:before="0" w:beforeAutospacing="0" w:after="0" w:afterAutospacing="0" w:line="384" w:lineRule="atLeast"/>
        <w:ind w:firstLine="602" w:firstLineChars="200"/>
        <w:jc w:val="both"/>
        <w:rPr>
          <w:rFonts w:ascii="仿宋" w:hAnsi="仿宋" w:eastAsia="仿宋"/>
          <w:sz w:val="30"/>
          <w:szCs w:val="30"/>
        </w:rPr>
      </w:pPr>
      <w:r>
        <w:rPr>
          <w:rStyle w:val="25"/>
          <w:rFonts w:ascii="仿宋" w:hAnsi="仿宋" w:eastAsia="仿宋"/>
          <w:sz w:val="30"/>
          <w:szCs w:val="30"/>
        </w:rPr>
        <w:t>一、工程建设基本情况</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山东益大新材料股份有限公司位于山东省济宁市嘉祥县梁宝寺镇红旗路路北，公司2022年1月份投资18000万元建设年产9.5万吨针状焦项目，公司2022年01月委托中环博宏（山东）环境技术有限公司对该项目进行了环境影响评价，依据《环境影响评价技术导则》的要求编制完成了《年产9.5万吨针状焦项目环境影响报告书》，并与2022年08月01日取得了济宁市生态环境局嘉祥县分局的环评批复，审批文号为：济环审（嘉祥）【2022】7号文。2022年01月委托山东天玮环境科技有限公司编制完成了山东益大新材料股份有限公司《5.6万吨/年油浆过滤技改项目环境影响报告表》，2022年03月17日济宁市生态环境局嘉祥县分局以济环报告表（嘉祥）【2022】17号文对该项目进行了批复。</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 xml:space="preserve">本项目生产工艺: </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一、催化油浆超临界萃取装置工艺：</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原料从原料罐经过滤后用高压原料泵送入静态混合器，在静态混合器中与主溶剂混合，混合后进入轻重油份分离塔分离出轻重相，重相为原料沥青与溶剂的混合物，重相经副溶剂（循环溶剂）逆流萃取后进一步萃取其中的油分，然后从塔底排出，进入沥青加热器（热源导热油炉）加热到给定温度，然后进入汽提塔，闪蒸汽提后将其中的溶剂回收，增加原料反冲洗系统及油浆过滤器，有效提高中间产品收率。</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轻重油分分离塔塔顶轻相为油与溶剂的混合物，从塔顶排出，换热后升高温度，经加热后进入超临界回收塔，超临界回收塔底富烷烃油相进入闪蒸塔闪蒸汽提其中的溶剂，闪蒸塔塔顶溶剂进入换热器作为加热介质，从换热器排出后与来自溶剂罐的低温溶剂混合后进入高压空冷降温，满足溶剂的温度压力要求，从汽提塔顶排出的低压溶剂经换热和低压空冷后，进入脱水罐，脱除汽提水，低压溶剂冷凝后返回溶剂罐，溶剂罐中的溶剂经增压泵增压后与来自换热器的溶剂混合。</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抽提塔塔底分离出的油浆沥青，经加热器加热（热源为导热油炉），减压后进入汽提塔，经蒸汽汽提后，产品送出装置。富芳烃油分离塔塔底分离出的富芳烃油，经减压后，进入富芳烃油汽提塔，经蒸汽汽提、冷却后产品送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二、制氢装置工艺流程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本制氢装置是以天然气为原料，采用蒸汽转化造气工艺制取粗氢气。转化压力3.0MPa(G)，粗氢经变换和PSA分离杂质后得产品氢气。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（1）原料脱硫</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在320-330℃、3.0MPa下，原料气通过钴钼加氢催化剂，将有机硫转化成无机硫（H2S）；再通过氧化锌脱硫剂，将原料气中的H2S脱至0.2ppm以下，以满足蒸汽转化催化剂对硫的要求。</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（2）烃类的蒸汽转化</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是以水蒸汽为氧化剂，在741℃、3.0MPa和镍催化剂的作用下将烃类物质转化，得到制取氢气的原料气。这一过程为吸热过程，故需外供热量，转化所需的热量由转化炉辐射段提供。</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在镍催化剂作用下其主要反应如下：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CH4 +H2O → CO + 3H2–Q；  CO + H2O→ CO2 + H2 + Q</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（3）一氧化碳变换</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转化气温度在398℃进入变换炉，在2.9MPa和高变催化剂的作用下，一氧化碳与水蒸气发生如下反应：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CO + H2O → CO2 + H2 + Q</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（4）变压吸附（PSA）纯化</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经冷却、洗涤、分离后的变换气进入有数台并列操作的吸附器和一系列程序控制法构成的变压吸附系统。每个吸附器内装填有吸附材料，其中一台吸附器通过原料气时，原料气中的杂质组分配吸附剂吸附而获得高纯度的氢气。同时其它吸附器处于吸附床再生的不同阶段。各台吸附器定时切换，交替吸附和再生，使原料气不断输入，产品氢气不断输出。本套装置共设有8台吸附器，其中始终有2台处于吸附状态，其余6台处于降压再生或升压状态，采用3次均压的方法。</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吸附器中装有专用吸附剂，原料气进入吸附器后原料气中的杂质CO2、CO、CH4、H2O等被专用吸附剂吸附，高纯氢气流出吸附器，进入产品气缓冲罐，产品气缓冲罐中设有精密滤芯，当高纯氢气流经原料气缓冲罐时，颗粒度大于0.3μm的颗粒被从产品气中滤除，高纯氢气流出产品气缓冲罐，送入用气工段；当混合填料的吸附容量达到设定值时，吸附塔之间自动切换，先前工作的吸附塔降压进入降压再生状态，再生好的吸附塔经预升压至工作压力后再进入吸附状态；吸附塔的再生主要是根据压力不同，吸附质在混合填料上的吸附量不同的原理，当降低吸附塔的压力时，被吸附在混合填料上的杂质自动脱吸，被排出吸附塔，混合填料实现再生。吸附塔的再生包括压降、逆降、冲洗三个状态。均压是指处于降压再生状态的吸附塔将吸附塔内的气体均给处于预升压状态且压力比其低的吸附塔，这样可以有效的利用吸附塔内的余气，避免将其排出系统，造成浪费，提高回收率；逆降是指处于降压再生状态的吸附塔，当其压力为所有吸附塔中最低压力时，不能再给其他吸附塔匀气，则将这部分剩余气体直接排出吸附塔；冲洗是指用产品气冲洗逆降状态结束的吸附塔，将其内部杂质吹出系统。吸附塔的预升压包括均压升、逆升、顺升三个状态。均压升是指利用处于降压再生状态的吸附塔内的气体给处于预再生状态的吸附塔进行升压；逆升是指当吸附塔的压力升至高于所有处于降压状态的吸附塔时，再用产品气给其升压；顺升是指用原料气给逆升状态结束的吸附塔继续升压至工作压力，顺升状态完成后，吸附塔即可进入吸附状态，解析气回转化炉焚烧处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三、加氢装置工艺流程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1、工艺流程简述</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（1）反应部分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萃取部分来的芳烃油（从焦化部分来的汽油、柴油）和氢气混合后，再经过加氢进料过滤器过滤后进入原料缓冲罐，设有氮气保护，防止原料氧化，再由反应进料泵抽出升压后，换热。换热后与氢气混合，再与加氢精制产物进行换热，然后经加热炉加热至要求温度，自上而下流经加氢精制反应器。在反应器中，原料油和氢气在催化剂作用下，进行加氢脱硫、脱氮、烯烃饱和等精制反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该工序主要污染物为加氢加热炉脱硫干气燃烧的烟气。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加氢精制反应器出来的反应产物与混氢原料及低分油换热后，再进入反应产物空冷器，冷却至55℃左右进入反应产物后冷器，冷至45℃左右进入高压分离器进行油、水、气三相分离。为了防止加氢反应生成的硫化氢和氨在低温下生成铵盐，堵塞空冷器，在空冷器前注入脱氧水。高压分离器顶气体经循环氢压缩机升压后，与经压缩后的新氢混合，返回到反应系统。（在高低压分离器分离出的酸性气体；高低压分离器产生的酸性废水）。</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从高压分离器中部出来的液体生成油，减压后进到低压分离器，继续分离出残余的水。油相去脱硫及分馏部分。从高压分离器及低压分离器底部出来的含硫含氨污水经减压后，去酸性水汽提装置。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（2）分馏系统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低分油与反应产物换热后，进入生成油脱硫化氢汽提塔。经过炉加热的过热蒸汽进行汽提。（该工序主要污染物为分馏塔重沸炉脱硫干气燃烧的烟气）。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塔顶油经空冷器、水冷器冷凝冷却到40℃，进入塔顶回流罐。液体作为塔顶回流。含硫气体和低分气一起送到焦化装置进行脱硫或火炬系统。从塔底出来的脱硫化氢油直接进入分馏塔。（该工序主要污染物为脱硫化氢汽提塔放空的气体；脱硫化氢汽提塔产生的废水；分馏塔冷凝回收装置放空的气体；分馏塔冷凝回收装置产生的废水）。</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分馏塔顶油气经分馏塔空冷器和分馏塔顶后冷器冷凝冷却到10℃，进入塔顶回流罐，罐顶少量油气至放加热炉焚烧处置，罐底轻芳烃用塔顶回流泵抽出，一部分作为回流打入分馏塔顶部，另一部分进产品油罐。</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分馏塔底由分馏塔底重沸炉提供热量，精制重芳烃从塔底抽出后经精制重芳烃泵升压与原料油换热后，再经精制重芳烃空冷器、后冷器冷却至40℃，作为产品送出装置。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（3）焦化汽油柴油加氢精制</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从焦化部分来的不饱和汽油、柴油，通过该装置进行加氢精制，得到副产品汽油、柴油。生产过程同上。</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四、延迟焦化单元工艺流程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工艺原理是采用加热裂解，将加氢油浆在高温(约500℃)下进行深度的热裂化和缩合反应，转化为气体、汽油、柴油、蜡油和固体产品焦炭。</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（1）反应、分馏部分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罐区来的富芳烃油进入装置后依次进入柴油-原料油换热器、蜡油-原料油换热器换热到278℃后，进入原料缓冲罐，经原料升压后，依次进入辐射炉对流段和原料加热炉，预热至300℃后分两路进入分馏塔底和第6层换热板上，原料油与来自焦炭塔顶的430℃热油气接触换热。原料油中蜡油以上重馏分与热油气中被冷凝的循环油一起流入塔底，在350℃下经加热炉进料泵入口过滤器用加热炉进料泵抽出去焦化炉加热。分别在焦化炉对流室后、辐射室前、辐射室注入除氧水，以防止炉管结焦。经过焦化炉对流段、辐射段物料被快速加热到要求温度后通过四通阀进入焦炭塔底部。从焦化炉出来的高温油在焦炭塔内由于高温和长停留时间，产生裂解、缩合等一系列反应，最后生成焦炭和焦化油气。焦炭结聚在焦炭塔内，高温的焦化油气自塔顶进入分馏塔换热板下。从焦炭塔顶流出的430℃热油气在分馏塔换热段与原料油换热后，循环油流入塔底，其余大量油气经8层换热板进入集油箱以上分馏段。从下往上分馏出蜡油、轻蜡油、柴油、汽油和富气。分馏塔底循环油(350℃)经过滤器后，用塔底循环油泵打循环过滤以防止塔底结焦及焦粉进入焦炭塔。蜡油自蜡油集油箱(350℃)由蜡油泵抽出，至蜡油-原料油换热器与原料油换热后，分成五路：一路作回流，分别返回到分馏塔蜡油集油箱下和分馏塔第11层塔板，以调节集油箱气相温度；一路去焦炭塔顶作为急冷油；一路去封油冷却器冷却后进封油罐作机泵封油，另一路经与蜡油水冷器换热冷却到90℃后送出装置，还有一路去原料罐作为反应后期增加循环比。中段回流从第17层塔板（299℃)由中段回流泵抽出，经中段回流蒸汽过热器和中段蒸汽发生器，换热到230℃后返回到第20层塔板作回流。柴油自分馏塔柴油集油箱由柴油泵抽出，经柴油-原料油换热器，柴油富吸收油换热器后一部分返回分馏塔作柴油回流，另一部分去柴油空冷器冷却至50℃后，再去柴油水冷器冷却至40℃后又分为两路：一路出装置，另一路去吸收稳定的再吸收塔作吸收油。由吸收稳定返回的富吸收柴油经柴油富吸收油换热器换热后（136℃)返回分馏塔。分馏塔塔顶回流由分馏塔顶循环回流泵抽出经顶回流除盐水换热器后返回分馏塔。分馏塔塔顶油气经分馏塔顶空冷器和水冷器冷却至40℃后在分馏塔顶油气分离罐中进行气液分离。重组分的粗汽油由汽油泵抽出送至吸收稳定单元。含硫污水由含硫污水泵送往厂区污水汽提装置，在分馏塔顶油气（110℃)挥发线上注入缓蚀剂。分离罐顶部的焦化富气去压缩机入口分液罐。底部汽油经汽油泵送至吸收稳定部分的吸收塔。底部的含硫污水经含硫污水泵压送后分两路：一路打入分馏塔顶气相线上，另一路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（2）吸收-稳定部分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焦化来的富气进入富气压缩机入口分液罐分液，经富气压缩机升压至1.4MPa，与吸收塔底泵打出的吸收塔底液及解吸塔的轻组分一起进入富气水冷器冷却至40℃后进入富气分离罐，分离出的富气进入吸收塔下部，从焦化汽油泵来的粗汽油进入吸收塔上段作为吸收剂，从稳定来的稳定汽油作为补充吸收剂打入顶部，与塔底气体逆流接触，富气中的C3、C4组分大部分被吸收下来。吸收塔设中段回流，中段回流从吸收塔第17层塔盘抽出，经吸收塔中段回流泵加压至吸收塔中段回流换热器后返回吸收塔底16层塔盘。从吸收塔顶出来的带少量吸收剂的贫气自压进入再吸收塔底部，再吸收塔塔顶打入来自柴油水冷器的柴油，柴油作为吸收剂与自下而上的贫气逆流接触，以脱除气体中夹带的汽油组分。再吸收塔的塔顶气体为干气，干气送至脱硫部分进行干气脱硫。</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再吸收塔底的富吸收柴油返回分馏。从富气分液罐抽出的凝缩油经解析塔进料泵升压后进入解析塔进料换热器，换热至75℃后进入解吸塔顶部。吸收塔底富吸收油经吸收塔底泵升压后，进入富气分液罐。凝缩油经解析脱出所含有的轻组分，轻组分送至富气水冷器冷却后进入富气分液罐，再进入吸收塔。解吸塔塔底油经稳定塔进料泵升压，进入稳定塔第24层，塔顶馏出物经稳定塔顶水冷器冷却至45℃，进入稳定塔顶回流罐。回流罐内液化气经过稳定塔回流泵升压后，一部分作为回流返回稳定塔顶部来控制塔顶温，另一部分经过液化气水冷器冷却后进入脱硫部分。塔底稳定汽油经过解析塔进料换热器、稳定汽油除氧水换热器、稳定汽油空冷器、稳定汽油水冷器换热后由稳定汽油泵一部分作为吸收塔的补充吸收剂进入吸收塔顶部，另一部分作为稳定汽油出装置。解吸塔底重沸器和稳定塔底重沸器由装置外来的导热油提供全塔热源。</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（3）脱硫部分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再吸收塔的塔顶气体为干气，干气自压至焦化干气分液罐，分液后进入焦化干气脱硫塔。干气自下而上经22层单溢流塔盘与从搭顶流下的贫胺液逆向接触，干气中的酸性物质H2S、CO2被胺液吸收。脱除酸性气后的干气进入位于干气脱硫塔上方的干气溶剂沉降罐，分离携带的胺液，净化后干气进入全厂燃料气系统。自吸收稳定部分来的液化烃，进入液化气脱硫塔底部，经13层筛孔塔盘与从塔顶流下的贫胺液逆向接触，液化气中的H2S被胺液吸收。净化后的液化气从塔顶溢出，经液化烃溶剂沉降罐分离携带的胺液，再经烃碱混合器与碱液混合后进入液化烃碱洗罐，分离携带的碱液后进入烃水混合水洗，再进液化烃水洗沉降罐分离携带的水后，脱硫后液化烃出装置。</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液化烃碱洗罐出来的富碱液首先经碱液加热器加热到55℃左右进入碱液氧化塔底部，在C-1403内碱液中的硫醇钠被空气氧化为二硫化物，碱液也得到再生。碱液和二硫化物从C-1403顶部进入碱液二硫化物分离罐，碱液从D-1412底部由碱液循环泵抽出循环使用，二硫化物从D-1412上部溢流进入二硫化物罐，二硫化物间断性由二硫化物泵排除，进行处理。从碱液氧化塔排出的碱液在碱液二硫化物分离罐中与二硫化物分离后，并由碱液循环泵送至烃碱混合器的入口，循环使用。非净化风从底部侧面进入碱液氧化塔，尾气自碱液二硫化物分离罐（D-1412）分出，排入厂区酸性气管网。根据全厂统一考虑，本装置所需碱液由系统管网输进入，从系统过来的碱液进入碱液配制罐（D-1415)，由碱液配制罐配置后送至脱硫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该环节主要污染物为稳定塔回流罐排水。</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（4）放空部分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塔小吹汽来的油气经大油气线进分馏塔分馏。焦炭塔大吹汽，给水冷焦产生的大量高温（≧180℃)蒸汽及少量油气进入接触冷却塔下段塔，接触冷却塔建立循环，控制塔顶温度。重油段下段底用接触冷却塔底泵抽出，经水箱冷却器冷却后，一部分作重油段顶回流，控制顶气相温度；另一部分送出装置。重油段下段底由甩油泵抽出返回分馏塔。重油段顶油气及总管来的乏气直接进入接触冷却塔顶空冷器。当焦炭塔来的油气温度低于180℃时，切换到接触冷却塔上段用水洗涤，控制塔顶温度在145℃，进一步除去夹带的汽柴油馏分。上段底部含油污水流入冷焦水隔油处理。顶部水蒸汽及少量轻烃气经接触冷却塔顶空冷、接触冷却塔顶水冷器冷却到40℃，进入接触冷却塔顶油气分离罐，分出的污水由污水泵送入冷焦水隔油罐或酸性水汽提处理，另一部分作水洗段回流，控制塔顶温度。接触冷却塔顶油气分离罐顶部的不凝气直接排入火炬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（5）焦炭处理部分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焦炭处理是将焦炭塔内生成的焦炭经吹蒸汽、水冷却再经高压水切割后取出的处理过程。当A焦炭塔连续进料36～48小时，料位达到规定高度时，按如下程序进行处理：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①四通阀按规定程序操作切向B塔进料，B塔为在线塔，A塔停止进料为离线塔。</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②吹蒸汽B塔正常进料的同时，A塔开始进行吹蒸汽。首先是小吹汽。即是用小量蒸汽将塔内的未成焦组份慢慢赶出，然后再用大量蒸汽吹赶轻组份。小量吹汽时吹出的蒸汽和油汽进入分馏塔。一般小吹汽时间1小时左右。大量吹汽时吹出的蒸汽和油汽进入接触冷却塔，一般大吹汽时间约2小时。焦炭塔温度可降至近300℃。</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③水冷焦</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大吹气后期，逐渐降低蒸汽量，开始向A塔通入冷焦水。开始时使用泵小量通入冷水，确保冷水进入焦炭塔内后，关闭蒸汽，然后逐渐增大水量。冷焦水由塔顶溢流管线至D-1216/A、B，直至塔顶温度降至不大于90℃停止进水。静置一段时间后，塔顶温度不再升高时，将冷却水从塔底放入储焦池。最终的放水温度为不大于90℃。赶出的油汽进入接触冷却塔。小给水过渡到大给水，一定要缓慢进行。因为在焦炭塔进水后，会产生局部过热，使塔产生应力变形，如上部顶盖移动100-200mm，顶部晃动厉害等。因此，在水冷时要按《冷焦给水操作曲线》进行。</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④水力除焦</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经生产管理程序最终确认离线塔具备除焦条件后，打开焦炭塔顶盖和塔底盖，开始水力除焦。切焦水是由切焦水储水罐用高压水泵升压至33MPA，经软胶管连接钻杆，再通过切焦器送入塔内。高压水管线上设置了三位控制阀及使水返回切焦水储水罐的旁通管路。水力除焦分钻孔和切割两步。利用高压水的高速冲击力，首先由电动马达驱动切焦器作上下运动进行焦层钻孔，孔道打通后，切焦器自动切换开始自上而下水平切割焦层。焦炭和切焦水通过焦炭层钻通的孔道一起入储焦池。由于冲击力，生焦被切成碎块。钻孔和切割出的生焦和水一起从焦炭塔通过塔底盖机和溜槽排至焦坑。生焦用抓斗吊车抓起至格筛料斗送往煅烧单元。</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（6）干气、液化气脱硫</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来自生产装置中的冷低分气进入低分气分液罐，自分液罐顶部引出的气体进入低分气脱硫塔底部。该塔内装三层散堆填料，贫液通过贫溶剂泵打入低分气脱硫塔顶部，由塔底上升的气体与由塔顶下流的贫液在塔中逆流接触，气体中的硫化氢被胺液吸收。塔顶经脱硫后的气体在压力控制下经低分气旋流除胺器送至PSA或膜分离回收氢气或改入高低压瓦斯系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干气进入干气分液罐，从罐顶部引出的气体进入干气脱硫塔底部。干气脱硫塔内装填料，贫液自贫溶剂泵进入干气脱硫塔顶部，由塔底上升的气体与由塔顶下流的贫液在塔中逆流接触，气体中的硫化氢被胺液吸收。塔顶经脱硫后的气体在压力控制下经干气旋流除胺器送出装置，进入装置外高压瓦斯系统（燃料气系统）。富液出装置送溶剂再生单元。</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从吸收-稳定系统来富含硫化氢的液化气从液化气脱硫塔的下部进入，溶剂则从液化气脱硫塔的上部进入，脱硫后的液化气进入溶剂沉降罐，脱除携带的胺液后进入脱硫醇单元；塔底吸收硫化氢的富胺液自压到胺液再生部分。</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（7）溶剂再生</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干气、液化气来富液由液化气脱硫塔、干气气脱硫塔底部抽出，通过富液过滤器除去杂质后再经贫富液换热器，换热至98℃后进入富液闪蒸罐降压闪蒸，少量的轻烃气体汽化后在压力控制下排至低压瓦斯管网，闪蒸后的富液由闪蒸罐底部抽出，在液位控制下自压进入溶剂再生塔第4层塔盘。溶剂再生塔设有24层浮阀塔盘。胺液由溶剂再生塔下部集液箱抽出作为溶剂再生塔底重沸器进料，经重沸加热后返回塔底部，再生塔底重沸器的热源正常生产时由装置自产的0.4MPa饱和蒸汽提供，不足部分的蒸汽由1.0MPa蒸汽经减温减压器进行补充。开工时1.0MPa蒸汽经减温减压器后作为重沸器的热源。溶剂再生塔顶部气体经溶剂再生塔顶空冷器冷却至40℃后进入溶剂再生塔顶回流罐，罐顶部出来的酸性气在压力控制下送到硫氢化钠装置，底部抽出的液体经溶剂再生塔顶回流泵升压后作为塔的回流。</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再生后的MDEA溶液由再生塔底部抽出，先经溶剂再生塔底泵升压后再进贫富溶剂换热器换热，最后至贫溶剂空冷器冷却至55℃后进入溶剂储罐。由溶剂储罐出来的贫溶剂至贫溶剂泵，升压后进入溶剂冷却器冷却到40℃再分二路，一路在流量控制下进入液化气脱硫塔顶部，另一路在流量控制下进入干气脱硫塔。在贫溶剂接力泵出口有一小部分贫溶剂通过在线贫液过滤器除去溶剂中的杂质后返回至溶剂缓冲罐储罐。</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五、油浆过滤装置生产工艺流程</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自罐区来的原料油浆由油浆输送泵（P1001）输送至冷原料缓冲罐（V1001B），经冷原料输送泵（P1002）进入燃气加热炉（F1001），加热至300℃左右进入热原料缓冲罐（V1001A），热原料缓冲罐顶部挥发的气体经冷却器（E1001）冷却后进入油气分离器（V1003），分离器底部液体放入污油缓冲罐（V1011），打入罐区污油罐，作为产品销售，分离器顶部气体进入加热炉燃烧后高空排放；热原料缓冲罐（V1001A）底部热原料油浆由热原料输送泵（P1003）升压后进入两组过滤器（F1002AB）进行过滤。过滤后的轻质油浆经过柴油油浆换热器（E1002）、列管冷却器（E1003）冷却至120℃左右后进入成品缓冲罐（V1012），最后经由产品输送泵（P1006）输送至罐区，作为现有项目原料利用。</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A/B两组过滤器为同时在线工作，当其中一台过滤器达到规定压差或过滤时间时，该台过滤器进行再生操作。再生时，先放空过滤期内油浆到重质油浆罐（V1006），然后往过滤器中放入柴油进行浸泡，浸泡后过滤器顶部用焦化干气冲压，压力达到0.6MPa时，打开过滤器底部再生阀，过滤器内柴油和油浆混合物快速放入柴油污油罐（V1009AB），再生后的过滤器重新投入使用。</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重质油浆罐（V1006）内含胶质、灰分等高的重质油浆由重质油浆泵（P1005）升压后输送至罐区重质油罐。柴油污油罐（V1009AB）内物料经过静止沉降16小时后，下部重质油浆经冷却后放入污油缓冲罐（V1011），经污油泵（P1007）打入罐区污油罐，作为产品销售，上部柴油返回柴油缓冲罐（V1004）作为再生辅料。</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该过滤工艺属于物理分离过程，加热炉给油浆升温是为了降低油浆粘度，便于过滤；过滤后的轻质油浆是生产针状焦的优质原料，可改善针状焦品质并提高针状焦收率；过滤后含胶质、灰分等高的重质油浆返回罐区重质油罐。本生产过程没有固体废弃物产生，再生时的冲压气体采用净化后的焦化干气，该部分气体主要成分为氢气和甲烷，经管道进入加热炉燃烧后高空排放。生产过程无生产废水产生，装置物料冷却所用的循环水由公司现有循环水系统提供。</w:t>
      </w:r>
    </w:p>
    <w:p>
      <w:pPr>
        <w:spacing w:line="360" w:lineRule="auto"/>
        <w:ind w:firstLine="753" w:firstLineChars="250"/>
        <w:rPr>
          <w:rFonts w:ascii="仿宋" w:hAnsi="仿宋" w:eastAsia="仿宋"/>
          <w:color w:val="3E3E3E"/>
          <w:sz w:val="30"/>
          <w:szCs w:val="30"/>
        </w:rPr>
      </w:pPr>
      <w:r>
        <w:rPr>
          <w:rFonts w:ascii="仿宋" w:hAnsi="仿宋" w:eastAsia="仿宋"/>
          <w:b/>
          <w:color w:val="3E3E3E"/>
          <w:sz w:val="30"/>
          <w:szCs w:val="30"/>
        </w:rPr>
        <w:t>二、工程变更情况</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 xml:space="preserve">项目在实际建设过程中项目的性质、地点、生产工艺、环保措施等未发生变化，因此本项目未发生重大变动。 </w:t>
      </w:r>
    </w:p>
    <w:p>
      <w:pPr>
        <w:pStyle w:val="21"/>
        <w:shd w:val="clear" w:color="auto" w:fill="FFFFFF"/>
        <w:spacing w:before="0" w:beforeAutospacing="0" w:after="0" w:afterAutospacing="0" w:line="384" w:lineRule="atLeast"/>
        <w:ind w:firstLine="602" w:firstLineChars="200"/>
        <w:jc w:val="both"/>
        <w:rPr>
          <w:rStyle w:val="25"/>
          <w:rFonts w:ascii="仿宋" w:hAnsi="仿宋" w:eastAsia="仿宋"/>
          <w:sz w:val="30"/>
          <w:szCs w:val="30"/>
        </w:rPr>
      </w:pPr>
      <w:r>
        <w:rPr>
          <w:rStyle w:val="25"/>
          <w:rFonts w:ascii="仿宋" w:hAnsi="仿宋" w:eastAsia="仿宋"/>
          <w:sz w:val="30"/>
          <w:szCs w:val="30"/>
        </w:rPr>
        <w:t>三、环境保护设施落实情况</w:t>
      </w:r>
    </w:p>
    <w:p>
      <w:pPr>
        <w:ind w:firstLine="600" w:firstLineChars="200"/>
        <w:rPr>
          <w:rFonts w:ascii="仿宋" w:hAnsi="仿宋" w:eastAsia="仿宋"/>
          <w:color w:val="3E3E3E"/>
          <w:sz w:val="30"/>
          <w:szCs w:val="30"/>
        </w:rPr>
      </w:pPr>
      <w:r>
        <w:rPr>
          <w:rFonts w:ascii="仿宋" w:hAnsi="仿宋" w:eastAsia="仿宋"/>
          <w:color w:val="3E3E3E"/>
          <w:sz w:val="30"/>
          <w:szCs w:val="30"/>
        </w:rPr>
        <w:t>根据验收</w:t>
      </w:r>
      <w:r>
        <w:rPr>
          <w:rFonts w:hint="eastAsia" w:ascii="仿宋" w:hAnsi="仿宋" w:eastAsia="仿宋"/>
          <w:color w:val="3E3E3E"/>
          <w:sz w:val="30"/>
          <w:szCs w:val="30"/>
        </w:rPr>
        <w:t>监测报告</w:t>
      </w:r>
      <w:r>
        <w:rPr>
          <w:rFonts w:ascii="仿宋" w:hAnsi="仿宋" w:eastAsia="仿宋"/>
          <w:color w:val="3E3E3E"/>
          <w:sz w:val="30"/>
          <w:szCs w:val="30"/>
        </w:rPr>
        <w:t>的结论，本项目运行期落实了环评</w:t>
      </w:r>
      <w:r>
        <w:rPr>
          <w:rFonts w:hint="eastAsia" w:ascii="仿宋" w:hAnsi="仿宋" w:eastAsia="仿宋"/>
          <w:color w:val="3E3E3E"/>
          <w:sz w:val="30"/>
          <w:szCs w:val="30"/>
        </w:rPr>
        <w:t>批复的各项</w:t>
      </w:r>
      <w:r>
        <w:rPr>
          <w:rFonts w:ascii="仿宋" w:hAnsi="仿宋" w:eastAsia="仿宋"/>
          <w:color w:val="3E3E3E"/>
          <w:sz w:val="30"/>
          <w:szCs w:val="30"/>
        </w:rPr>
        <w:t>的</w:t>
      </w:r>
      <w:r>
        <w:rPr>
          <w:rFonts w:hint="eastAsia" w:ascii="仿宋" w:hAnsi="仿宋" w:eastAsia="仿宋"/>
          <w:color w:val="3E3E3E"/>
          <w:sz w:val="30"/>
          <w:szCs w:val="30"/>
        </w:rPr>
        <w:t>要求。</w:t>
      </w:r>
    </w:p>
    <w:p>
      <w:pPr>
        <w:numPr>
          <w:ilvl w:val="0"/>
          <w:numId w:val="1"/>
        </w:numPr>
        <w:ind w:firstLine="602" w:firstLineChars="200"/>
        <w:rPr>
          <w:rFonts w:ascii="仿宋" w:hAnsi="仿宋" w:eastAsia="仿宋"/>
          <w:b/>
          <w:color w:val="3E3E3E"/>
          <w:sz w:val="30"/>
          <w:szCs w:val="30"/>
        </w:rPr>
      </w:pPr>
      <w:r>
        <w:rPr>
          <w:rFonts w:hint="eastAsia" w:ascii="仿宋" w:hAnsi="仿宋" w:eastAsia="仿宋"/>
          <w:b/>
          <w:color w:val="3E3E3E"/>
          <w:sz w:val="30"/>
          <w:szCs w:val="30"/>
        </w:rPr>
        <w:t>废水治理方面：</w:t>
      </w:r>
    </w:p>
    <w:p>
      <w:pPr>
        <w:pStyle w:val="2"/>
        <w:ind w:left="0" w:leftChars="0" w:firstLine="600"/>
        <w:rPr>
          <w:rFonts w:ascii="仿宋" w:hAnsi="仿宋" w:eastAsia="仿宋"/>
          <w:color w:val="3E3E3E"/>
          <w:sz w:val="30"/>
          <w:szCs w:val="30"/>
        </w:rPr>
      </w:pPr>
      <w:r>
        <w:rPr>
          <w:rFonts w:hint="eastAsia" w:ascii="仿宋" w:hAnsi="仿宋" w:eastAsia="仿宋"/>
          <w:color w:val="3E3E3E"/>
          <w:sz w:val="30"/>
          <w:szCs w:val="30"/>
        </w:rPr>
        <w:t>项目排水采用雨污分流制，雨水单独收集后排入市政雨水管网。本项目煅烧单元脱水仓脱水进入沉淀池循环使用，用作除焦水、切焦水，不外排。油系酸性废水进入酸性水汽提装置处理，出水与延迟焦化分馏塔油水分离器排水、超临界萃取装置废水、加氢装置废水、除盐水站废水、溶剂再生装置废水、循环排污水、储运系统废水、煅烧前烘干废水、地面冲洗废水、设备冷却水一并进入厂区污水处理站处理后排入红旗河，外排水质满足《石油炼制工业污染物排放标准》（GB31570-2015）》表1直接排放、《流域水污染物综合排放标准 第1部分：南四湖东平湖流域》（DB37/3416.1-2018）表2重点保护区标准要求。</w:t>
      </w:r>
    </w:p>
    <w:p>
      <w:pPr>
        <w:numPr>
          <w:ilvl w:val="0"/>
          <w:numId w:val="2"/>
        </w:numPr>
        <w:spacing w:line="360" w:lineRule="auto"/>
        <w:ind w:firstLine="602" w:firstLineChars="200"/>
        <w:rPr>
          <w:rFonts w:ascii="仿宋" w:hAnsi="仿宋" w:eastAsia="仿宋"/>
          <w:b/>
          <w:bCs/>
          <w:sz w:val="30"/>
          <w:szCs w:val="30"/>
        </w:rPr>
      </w:pPr>
      <w:r>
        <w:rPr>
          <w:rFonts w:hint="eastAsia" w:ascii="仿宋" w:hAnsi="仿宋" w:eastAsia="仿宋"/>
          <w:b/>
          <w:bCs/>
          <w:sz w:val="30"/>
          <w:szCs w:val="30"/>
        </w:rPr>
        <w:t>废气产生及治理方面：</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①萃取导热油炉废气：污染物成分为烟尘、NOx、SO2、VOCs。</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配套高效低氮燃烧器处理，燃烧废气通过20m高排气筒DA008排放；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②制氢转化炉废气、加氢反应加热炉废气、加氢重沸加热炉废气：污染物成分为烟尘、NOx、SO2。</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配套高效低氮燃烧器处理，燃烧废气分别通过25m高排气筒DA002、28m高排气筒DA006、32m高排气筒DA004排放；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③焦化加热炉废气、冷焦/切焦废气、酸性水提不凝气、溶剂再生不凝气、污水处理站废气及危废间废气：污染物成分为烟尘、NOx、SO2、VOCs、氨气、H2S。</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经焦化加热炉焚烧处理，通过60m高排气筒DA005排放；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④煅烧前烘干、包装、破碎废气、煅烧后包装废气、回转窑冷却废气：污染物成分为颗粒物。</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煅烧前包装废气、烘干废气经袋式除尘器处理后通过15m高排气筒DA011排放；煅烧前破碎收尘废气经袋式除尘器处理后通过30m高排气筒DA012排放；煅烧后包装废气经袋式除尘器处理后通过15m高排气筒DA013排放；回转窑冷却废气经袋式除尘器处理后通过15m高排气筒DA009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⑤回转窑煅烧废气：污染物成分为烟尘、NOx、SO2、氨气。</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回转窑尾部设集尘室，高温废气进入焚烧炉焚烧后再进入余热锅炉，余热回收后的烟气经SCR脱销+湿法脱硫+布袋除尘器处理后通过37m高排气筒DA003排放；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⑥10t/h蒸汽锅炉与15t/h蒸汽锅炉废气：颗粒物、NOx、SO2。</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配套高效低氮燃烧器处理，燃烧废气通过15m高排气筒DA010、DA017排放；</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⑦油浆过滤加热炉废气：烟尘、NOx、SO2、VOCs。</w:t>
      </w:r>
    </w:p>
    <w:p>
      <w:pPr>
        <w:pStyle w:val="4"/>
        <w:ind w:left="0" w:leftChars="0" w:firstLine="600"/>
        <w:jc w:val="left"/>
        <w:rPr>
          <w:rFonts w:ascii="仿宋" w:hAnsi="仿宋" w:eastAsia="仿宋" w:cs="仿宋"/>
          <w:snapToGrid w:val="0"/>
          <w:kern w:val="0"/>
          <w:sz w:val="30"/>
          <w:szCs w:val="30"/>
        </w:rPr>
      </w:pPr>
      <w:r>
        <w:rPr>
          <w:rFonts w:hint="eastAsia" w:ascii="仿宋" w:hAnsi="仿宋" w:eastAsia="仿宋" w:cs="仿宋"/>
          <w:snapToGrid w:val="0"/>
          <w:kern w:val="0"/>
          <w:sz w:val="30"/>
          <w:szCs w:val="30"/>
        </w:rPr>
        <w:t>缓冲罐放空废气经冷凝回收后送加热炉燃烧，加热炉配套低氮燃烧器，燃烧废气经一根15m高排气筒DA014排放。</w:t>
      </w:r>
    </w:p>
    <w:p>
      <w:pPr>
        <w:ind w:firstLine="600" w:firstLineChars="200"/>
        <w:rPr>
          <w:rFonts w:ascii="仿宋" w:hAnsi="仿宋" w:eastAsia="仿宋" w:cs="仿宋"/>
          <w:color w:val="3E3E3E"/>
          <w:sz w:val="30"/>
          <w:szCs w:val="30"/>
        </w:rPr>
      </w:pPr>
      <w:r>
        <w:rPr>
          <w:rFonts w:hint="eastAsia" w:ascii="仿宋" w:hAnsi="仿宋" w:eastAsia="仿宋" w:cs="仿宋"/>
          <w:color w:val="3E3E3E"/>
          <w:sz w:val="30"/>
          <w:szCs w:val="30"/>
        </w:rPr>
        <w:t>根据验收监测报告结论，结合现场检查，本项目运行管理基本符合环评和环评批复要求。在验收监测期间，根据企业提供的生产报表，监测期间两天的生产负荷为84.2%-88.4%，符合建设项目竣工环境保护验收对工况大于75%的要求。</w:t>
      </w:r>
    </w:p>
    <w:p>
      <w:pPr>
        <w:pStyle w:val="21"/>
        <w:shd w:val="clear" w:color="auto" w:fill="FFFFFF"/>
        <w:spacing w:before="0" w:beforeAutospacing="0" w:after="0" w:afterAutospacing="0" w:line="384" w:lineRule="atLeast"/>
        <w:ind w:firstLine="602" w:firstLineChars="200"/>
        <w:jc w:val="both"/>
        <w:rPr>
          <w:rStyle w:val="25"/>
          <w:rFonts w:ascii="仿宋" w:hAnsi="仿宋" w:eastAsia="仿宋"/>
          <w:sz w:val="30"/>
          <w:szCs w:val="30"/>
        </w:rPr>
      </w:pPr>
      <w:r>
        <w:rPr>
          <w:rStyle w:val="25"/>
          <w:rFonts w:hint="eastAsia" w:ascii="仿宋" w:hAnsi="仿宋" w:eastAsia="仿宋"/>
          <w:sz w:val="30"/>
          <w:szCs w:val="30"/>
        </w:rPr>
        <w:t>四、验收监测结果</w:t>
      </w:r>
    </w:p>
    <w:p>
      <w:pPr>
        <w:ind w:firstLine="602" w:firstLineChars="200"/>
        <w:rPr>
          <w:rFonts w:ascii="仿宋" w:hAnsi="仿宋" w:eastAsia="仿宋"/>
          <w:b/>
          <w:color w:val="3E3E3E"/>
          <w:sz w:val="30"/>
          <w:szCs w:val="30"/>
        </w:rPr>
      </w:pPr>
      <w:r>
        <w:rPr>
          <w:rFonts w:hint="eastAsia" w:ascii="仿宋" w:hAnsi="仿宋" w:eastAsia="仿宋"/>
          <w:b/>
          <w:color w:val="3E3E3E"/>
          <w:sz w:val="30"/>
          <w:szCs w:val="30"/>
        </w:rPr>
        <w:t>1、废气监测结果</w:t>
      </w:r>
    </w:p>
    <w:p>
      <w:pPr>
        <w:ind w:firstLine="600" w:firstLineChars="200"/>
        <w:rPr>
          <w:rFonts w:ascii="仿宋" w:hAnsi="仿宋" w:eastAsia="仿宋" w:cs="仿宋"/>
          <w:color w:val="3E3E3E"/>
          <w:sz w:val="30"/>
          <w:szCs w:val="30"/>
        </w:rPr>
      </w:pPr>
      <w:r>
        <w:rPr>
          <w:rFonts w:ascii="仿宋" w:hAnsi="仿宋" w:eastAsia="仿宋" w:cs="仿宋"/>
          <w:color w:val="3E3E3E"/>
          <w:sz w:val="30"/>
          <w:szCs w:val="30"/>
        </w:rPr>
        <w:t>（1）有组织废气</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监测结果表明：验收期监测间，制氢转化炉P2颗粒物两日最大排放浓度为3.8mg/m3、最大排放速率为0.04kg/h；SO2两日最大排放浓度为4mg/m3、最大排放速率为0.044kg/h；NOx两日最大排放浓度为38mg/m3、最大排放速率为0.419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加氢重沸加热炉排气筒P4颗粒物两日最大排放浓度为3.4mg/m3、最大排放速率为0.066kg/h；SO2两日最大排放浓度为3mg/m3、最大排放速率为0.057kg/h；NOx两日最大排放浓度为38mg/m3、最大排放速率为0.723kg/h；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加氢反应加热炉排气筒P6颗粒物两日最大排放浓度为3.6mg/m3、最大排放速率为0.071kg/h；SO2两日最大排放浓度为4mg/m3、最大排放速率为0.079kg/h；NOx两日最大排放浓度为37mg/m3、最大排放速率为0.727kg/h；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萃取导热油炉排气筒P8VOCs两日最大排放浓度为9.14mg/m3、最大排放速率为0.124kg/h；颗粒物两日最大排放浓度为3.9mg/m3、最大排放速率为0.053kg/h；SO2两日最大排放浓度为10mg/m3、最大排放速率为0.137kg/h；NOx两日最大排放浓度为50mg/m3、最大排放速率为0.687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油浆过滤加热炉废气排气筒P14VOCs两日最大排放浓度为8.49mg/m3、最大排放速率为0.025kg/h；颗粒物两日最大排放浓度为3.4mg/m3、最大排放速率为0.010kg/h；SO2两日最大排放浓度为3.0mg/m3、最大排放速率为8.6*10-3kg/h；NOx两日最大排放浓度为69mg/m3、最大排放速率为0.194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10t/h燃气锅炉排气筒P10颗粒物两日最大排放浓度为3.9mg/m3、最大排放速率为0.037kg/h；SO2两日最大排放浓度为15mg/m3、最大排放速率为0.143kg/h；NOx两日最大排放浓度为49mg/m3、最大排放速率为0.469kg/h；烟气黑度＜1（级）；</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15t/h燃气锅炉排气筒P17颗粒物两日最大排放浓度为4.0mg/m3、最大排放速率为0.042kg/h；SO2两日最大排放浓度为16mg/m3、最大排放速率为0.172kg/h；NOx两日最大排放浓度为50mg/m3、最大排放速率为0.530kg/h；烟气黑度＜1（级）；</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焦化加热炉排气筒P5出口VOCs两日最大排放浓度为8.8mg/m3、最大排放速率为0.102kg/h；颗粒物两日最大排放浓度为3.7mg/m3、最大排放速率为0.045kg/h；SO2两日最大排放浓度为7mg/m3、最大排放速率为0.085kg/h；NOx两日最大排放浓度为17mg/m3、最大排放速率为0.188kg/h；氨两日最大排放浓度为1.27mg/m3、最大排放速率为0.015kg/h；硫化氢两日最大排放浓度为0.099mg/m3、最大排放速率为9.7*10-4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煅烧前烘干、包装排气筒P11出口颗粒物两日最大排放浓度为3.4mg/m3、最大排放速率为0.029kg/h；</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有组织废气排放均能够满足《锅炉大气污染物排放标准》（DB37/2374-2018）表2重点控制区，《区域性大气污染物综合排放标准》（DB37/2376-2019）表1、表2重点控制区，《挥发性有机物排放标准 第6部分：有机化工行业》（DB37/2801.6-2018）表1II时段，《工业炉窑大气污染物排放标准》（DB37/2375-2019）表1，《恶臭污染物排放标准》（GB14554-93）及《有机化工企业污水处理厂（站）挥发性有机物及恶臭污染物排放标准》（DB37/3161-2018）表1、《大气污染物综合排放标准》（GB16297-1996）表2排放限值要求。</w:t>
      </w:r>
    </w:p>
    <w:p>
      <w:pPr>
        <w:pStyle w:val="39"/>
        <w:adjustRightInd/>
        <w:snapToGrid/>
        <w:spacing w:beforeLines="0" w:afterLines="0"/>
        <w:ind w:firstLine="750" w:firstLineChars="250"/>
        <w:rPr>
          <w:rFonts w:ascii="仿宋" w:hAnsi="仿宋" w:eastAsia="仿宋" w:cs="仿宋"/>
          <w:color w:val="3E3E3E"/>
          <w:sz w:val="30"/>
          <w:szCs w:val="30"/>
        </w:rPr>
      </w:pPr>
      <w:r>
        <w:rPr>
          <w:rFonts w:ascii="仿宋" w:hAnsi="仿宋" w:eastAsia="仿宋" w:cs="仿宋"/>
          <w:color w:val="3E3E3E"/>
          <w:sz w:val="30"/>
          <w:szCs w:val="30"/>
        </w:rPr>
        <w:t>（2）无组织废气</w:t>
      </w:r>
    </w:p>
    <w:p>
      <w:pPr>
        <w:pStyle w:val="39"/>
        <w:adjustRightInd/>
        <w:snapToGrid/>
        <w:spacing w:beforeLines="0" w:afterLines="0"/>
        <w:ind w:firstLine="750" w:firstLineChars="250"/>
        <w:rPr>
          <w:rFonts w:ascii="仿宋" w:hAnsi="仿宋" w:eastAsia="仿宋" w:cs="仿宋"/>
          <w:color w:val="3E3E3E"/>
          <w:sz w:val="30"/>
          <w:szCs w:val="30"/>
        </w:rPr>
      </w:pPr>
      <w:r>
        <w:rPr>
          <w:rFonts w:hint="eastAsia" w:ascii="仿宋" w:hAnsi="仿宋" w:eastAsia="仿宋" w:cs="仿宋"/>
          <w:color w:val="3E3E3E"/>
          <w:sz w:val="30"/>
          <w:szCs w:val="30"/>
        </w:rPr>
        <w:t>监测结果表明：</w:t>
      </w:r>
      <w:r>
        <w:rPr>
          <w:rFonts w:ascii="仿宋" w:hAnsi="仿宋" w:eastAsia="仿宋" w:cs="仿宋"/>
          <w:color w:val="3E3E3E"/>
          <w:sz w:val="30"/>
          <w:szCs w:val="30"/>
        </w:rPr>
        <w:t>验收期监测间，本项目无组织</w:t>
      </w:r>
      <w:r>
        <w:rPr>
          <w:rFonts w:hint="eastAsia" w:ascii="仿宋" w:hAnsi="仿宋" w:eastAsia="仿宋" w:cs="仿宋"/>
          <w:color w:val="3E3E3E"/>
          <w:sz w:val="30"/>
          <w:szCs w:val="30"/>
        </w:rPr>
        <w:t>废气</w:t>
      </w:r>
      <w:r>
        <w:rPr>
          <w:rFonts w:ascii="仿宋" w:hAnsi="仿宋" w:eastAsia="仿宋" w:cs="仿宋"/>
          <w:color w:val="3E3E3E"/>
          <w:sz w:val="30"/>
          <w:szCs w:val="30"/>
        </w:rPr>
        <w:t>排放颗粒物</w:t>
      </w:r>
      <w:r>
        <w:rPr>
          <w:rFonts w:hint="eastAsia" w:ascii="仿宋" w:hAnsi="仿宋" w:eastAsia="仿宋" w:cs="仿宋"/>
          <w:color w:val="3E3E3E"/>
          <w:sz w:val="30"/>
          <w:szCs w:val="30"/>
        </w:rPr>
        <w:t>两日最大浓度为0.307</w:t>
      </w:r>
      <w:r>
        <w:rPr>
          <w:rFonts w:ascii="仿宋" w:hAnsi="仿宋" w:eastAsia="仿宋" w:cs="仿宋"/>
          <w:color w:val="3E3E3E"/>
          <w:sz w:val="30"/>
          <w:szCs w:val="30"/>
        </w:rPr>
        <w:t>mg/m3</w:t>
      </w:r>
      <w:r>
        <w:rPr>
          <w:rFonts w:hint="eastAsia" w:ascii="仿宋" w:hAnsi="仿宋" w:eastAsia="仿宋" w:cs="仿宋"/>
          <w:color w:val="3E3E3E"/>
          <w:sz w:val="30"/>
          <w:szCs w:val="30"/>
        </w:rPr>
        <w:t>，VOCs两日最大浓度分别为1.61</w:t>
      </w:r>
      <w:r>
        <w:rPr>
          <w:rFonts w:ascii="仿宋" w:hAnsi="仿宋" w:eastAsia="仿宋" w:cs="仿宋"/>
          <w:color w:val="3E3E3E"/>
          <w:sz w:val="30"/>
          <w:szCs w:val="30"/>
        </w:rPr>
        <w:t>mg/m3</w:t>
      </w:r>
      <w:r>
        <w:rPr>
          <w:rFonts w:hint="eastAsia" w:ascii="仿宋" w:hAnsi="仿宋" w:eastAsia="仿宋" w:cs="仿宋"/>
          <w:color w:val="3E3E3E"/>
          <w:sz w:val="30"/>
          <w:szCs w:val="30"/>
        </w:rPr>
        <w:t>，SO2两日最大浓度分别为0.044</w:t>
      </w:r>
      <w:r>
        <w:rPr>
          <w:rFonts w:ascii="仿宋" w:hAnsi="仿宋" w:eastAsia="仿宋" w:cs="仿宋"/>
          <w:color w:val="3E3E3E"/>
          <w:sz w:val="30"/>
          <w:szCs w:val="30"/>
        </w:rPr>
        <w:t>mg/m3</w:t>
      </w:r>
      <w:r>
        <w:rPr>
          <w:rFonts w:hint="eastAsia" w:ascii="仿宋" w:hAnsi="仿宋" w:eastAsia="仿宋" w:cs="仿宋"/>
          <w:color w:val="3E3E3E"/>
          <w:sz w:val="30"/>
          <w:szCs w:val="30"/>
        </w:rPr>
        <w:t>，NOx两日最大浓度分别为0.020</w:t>
      </w:r>
      <w:r>
        <w:rPr>
          <w:rFonts w:ascii="仿宋" w:hAnsi="仿宋" w:eastAsia="仿宋" w:cs="仿宋"/>
          <w:color w:val="3E3E3E"/>
          <w:sz w:val="30"/>
          <w:szCs w:val="30"/>
        </w:rPr>
        <w:t>mg/m3</w:t>
      </w:r>
      <w:r>
        <w:rPr>
          <w:rFonts w:hint="eastAsia" w:ascii="仿宋" w:hAnsi="仿宋" w:eastAsia="仿宋" w:cs="仿宋"/>
          <w:color w:val="3E3E3E"/>
          <w:sz w:val="30"/>
          <w:szCs w:val="30"/>
        </w:rPr>
        <w:t>，氨两日最大浓度分别为0.112</w:t>
      </w:r>
      <w:r>
        <w:rPr>
          <w:rFonts w:ascii="仿宋" w:hAnsi="仿宋" w:eastAsia="仿宋" w:cs="仿宋"/>
          <w:color w:val="3E3E3E"/>
          <w:sz w:val="30"/>
          <w:szCs w:val="30"/>
        </w:rPr>
        <w:t>mg/m3</w:t>
      </w:r>
      <w:r>
        <w:rPr>
          <w:rFonts w:hint="eastAsia" w:ascii="仿宋" w:hAnsi="仿宋" w:eastAsia="仿宋" w:cs="仿宋"/>
          <w:color w:val="3E3E3E"/>
          <w:sz w:val="30"/>
          <w:szCs w:val="30"/>
        </w:rPr>
        <w:t>，硫化氢两日最大浓度分别为0.005</w:t>
      </w:r>
      <w:r>
        <w:rPr>
          <w:rFonts w:ascii="仿宋" w:hAnsi="仿宋" w:eastAsia="仿宋" w:cs="仿宋"/>
          <w:color w:val="3E3E3E"/>
          <w:sz w:val="30"/>
          <w:szCs w:val="30"/>
        </w:rPr>
        <w:t>mg/m3</w:t>
      </w:r>
      <w:r>
        <w:rPr>
          <w:rFonts w:hint="eastAsia" w:ascii="仿宋" w:hAnsi="仿宋" w:eastAsia="仿宋" w:cs="仿宋"/>
          <w:color w:val="3E3E3E"/>
          <w:sz w:val="30"/>
          <w:szCs w:val="30"/>
        </w:rPr>
        <w:t>，臭气浓度＜10（无量纲）；无组织废气</w:t>
      </w:r>
      <w:r>
        <w:rPr>
          <w:rFonts w:ascii="仿宋" w:hAnsi="仿宋" w:eastAsia="仿宋" w:cs="仿宋"/>
          <w:color w:val="3E3E3E"/>
          <w:sz w:val="30"/>
          <w:szCs w:val="30"/>
        </w:rPr>
        <w:t>满足</w:t>
      </w:r>
      <w:r>
        <w:rPr>
          <w:rFonts w:hint="eastAsia" w:ascii="仿宋" w:hAnsi="仿宋" w:eastAsia="仿宋" w:cs="仿宋"/>
          <w:color w:val="3E3E3E"/>
          <w:sz w:val="30"/>
          <w:szCs w:val="30"/>
        </w:rPr>
        <w:t>《大气污染物综合排放标准》（GB16297-1996）表2、《挥发性有机物排放标准 第6部分：有机化工行业》（DB37/2801.6-2018）表3、《有机化工企业污水处理厂（站）挥发性有机物及恶臭污染物排放标准》（DB37/3161-2018）表2、《恶臭污染物排放标准》（GB14554-93）表1标准要求。</w:t>
      </w:r>
    </w:p>
    <w:p>
      <w:pPr>
        <w:numPr>
          <w:ilvl w:val="0"/>
          <w:numId w:val="3"/>
        </w:numPr>
        <w:ind w:firstLine="602" w:firstLineChars="200"/>
        <w:rPr>
          <w:rFonts w:ascii="仿宋" w:hAnsi="仿宋" w:eastAsia="仿宋"/>
          <w:b/>
          <w:sz w:val="30"/>
          <w:szCs w:val="30"/>
        </w:rPr>
      </w:pPr>
      <w:r>
        <w:rPr>
          <w:rFonts w:hint="eastAsia" w:ascii="仿宋" w:hAnsi="仿宋" w:eastAsia="仿宋"/>
          <w:b/>
          <w:sz w:val="30"/>
          <w:szCs w:val="30"/>
        </w:rPr>
        <w:t>废水检查结论</w:t>
      </w:r>
    </w:p>
    <w:p>
      <w:pPr>
        <w:pStyle w:val="4"/>
        <w:ind w:left="67" w:firstLine="600"/>
        <w:rPr>
          <w:rFonts w:ascii="仿宋" w:hAnsi="仿宋" w:eastAsia="仿宋" w:cs="仿宋"/>
          <w:sz w:val="30"/>
          <w:szCs w:val="30"/>
        </w:rPr>
      </w:pPr>
      <w:r>
        <w:rPr>
          <w:rFonts w:hint="eastAsia" w:ascii="仿宋" w:hAnsi="仿宋" w:eastAsia="仿宋" w:cs="仿宋"/>
          <w:sz w:val="30"/>
          <w:szCs w:val="30"/>
        </w:rPr>
        <w:t>项目区采取“雨污分流”措施，验收期监测间，废水总排口pH最大值为8.0(无量纲）；化学需氧量最大值为34mg/L；氨氮最大值为4.36mg/L；总氮最大值为7.83mg/L；五日生化需氧量最大值为8.7mg/L；挥发酚最大值为0.123mg/L；石油类最大值为0.90mg/L；动植物油最大值为0.58mg/L；总磷最大值为0.18mg/L；悬浮物最大值为15mg/L；总氰化物最大值为0.133mg/L；邻二甲苯、苯、甲苯、乙苯、对，间二甲苯未检出，酸性废水排放口砷未检出，满足《石油炼制工业污染物排放标准》（GB31570-2015）》表1直接排放、《流域水污染物综合排放标准 第1部分：南四湖东平湖流域》（DB37/3416.1-2018）表2重点保护区标准要求。</w:t>
      </w:r>
    </w:p>
    <w:p>
      <w:pPr>
        <w:ind w:firstLine="602" w:firstLineChars="200"/>
        <w:rPr>
          <w:rFonts w:ascii="仿宋" w:hAnsi="仿宋" w:eastAsia="仿宋"/>
          <w:b/>
          <w:sz w:val="30"/>
          <w:szCs w:val="30"/>
        </w:rPr>
      </w:pPr>
      <w:r>
        <w:rPr>
          <w:rFonts w:hint="eastAsia" w:ascii="仿宋" w:hAnsi="仿宋" w:eastAsia="仿宋"/>
          <w:b/>
          <w:sz w:val="30"/>
          <w:szCs w:val="30"/>
        </w:rPr>
        <w:t>3、噪声检查结论</w:t>
      </w:r>
    </w:p>
    <w:p>
      <w:pPr>
        <w:pStyle w:val="4"/>
        <w:ind w:left="67" w:firstLine="600"/>
        <w:rPr>
          <w:rFonts w:ascii="仿宋" w:hAnsi="仿宋" w:eastAsia="仿宋" w:cstheme="minorBidi"/>
          <w:color w:val="3E3E3E"/>
          <w:sz w:val="30"/>
          <w:szCs w:val="30"/>
        </w:rPr>
      </w:pPr>
      <w:r>
        <w:rPr>
          <w:rFonts w:hint="eastAsia" w:ascii="仿宋" w:hAnsi="仿宋" w:eastAsia="仿宋" w:cstheme="minorBidi"/>
          <w:color w:val="3E3E3E"/>
          <w:sz w:val="30"/>
          <w:szCs w:val="30"/>
        </w:rPr>
        <w:t>验收监测期间，四个厂界的昼间噪声在为52.8~57.6dB（A）之间，夜间噪声在43.7~48.2dB（A）之间，均符合《工业企业厂界环境噪声排放标准》（GB12348 -2008）中3类标准要求。</w:t>
      </w:r>
    </w:p>
    <w:p>
      <w:pPr>
        <w:ind w:firstLine="602" w:firstLineChars="200"/>
        <w:rPr>
          <w:rFonts w:ascii="仿宋" w:hAnsi="仿宋" w:eastAsia="仿宋"/>
          <w:b/>
          <w:sz w:val="30"/>
          <w:szCs w:val="30"/>
        </w:rPr>
      </w:pPr>
      <w:r>
        <w:rPr>
          <w:rFonts w:hint="eastAsia" w:ascii="仿宋" w:hAnsi="仿宋" w:eastAsia="仿宋"/>
          <w:b/>
          <w:sz w:val="30"/>
          <w:szCs w:val="30"/>
        </w:rPr>
        <w:t>4、固废处置检查结论</w:t>
      </w:r>
    </w:p>
    <w:p>
      <w:pPr>
        <w:pStyle w:val="4"/>
        <w:ind w:left="67" w:firstLine="600"/>
        <w:rPr>
          <w:rFonts w:ascii="仿宋" w:hAnsi="仿宋" w:eastAsia="仿宋" w:cstheme="minorBidi"/>
          <w:color w:val="3E3E3E"/>
          <w:sz w:val="30"/>
          <w:szCs w:val="30"/>
        </w:rPr>
      </w:pPr>
      <w:r>
        <w:rPr>
          <w:rFonts w:hint="eastAsia" w:ascii="仿宋" w:hAnsi="仿宋" w:eastAsia="仿宋" w:cstheme="minorBidi"/>
          <w:color w:val="3E3E3E"/>
          <w:sz w:val="30"/>
          <w:szCs w:val="30"/>
        </w:rPr>
        <w:t>本项目产生的一般固体废物：生活垃圾、除盐水站废树脂、脱硫渣、污油；污油暂存至罐区，回用于超临界萃取装置；废树脂厂家更换后回收；脱硫渣外售用作建筑原料；生活垃圾收集后由环卫部门定期清理。</w:t>
      </w:r>
    </w:p>
    <w:p>
      <w:pPr>
        <w:pStyle w:val="4"/>
        <w:ind w:left="67" w:firstLine="600"/>
        <w:rPr>
          <w:rFonts w:ascii="仿宋" w:hAnsi="仿宋" w:eastAsia="仿宋" w:cstheme="minorBidi"/>
          <w:color w:val="3E3E3E"/>
          <w:sz w:val="30"/>
          <w:szCs w:val="30"/>
        </w:rPr>
      </w:pPr>
      <w:r>
        <w:rPr>
          <w:rFonts w:hint="eastAsia" w:ascii="仿宋" w:hAnsi="仿宋" w:eastAsia="仿宋" w:cstheme="minorBidi"/>
          <w:color w:val="3E3E3E"/>
          <w:sz w:val="30"/>
          <w:szCs w:val="30"/>
        </w:rPr>
        <w:t>危险废物：超临界萃取装置产生的废导热油，加氢装置、脱硝系统产生的废催化剂，污水处理站污泥，油气回收产生的废活性炭，富液过滤器杂质、制氢装置产生的废分子筛；暂存于危废间，委托资质单位处理（危废单位资质及委托处置协议见附件）。</w:t>
      </w:r>
    </w:p>
    <w:p>
      <w:pPr>
        <w:pStyle w:val="4"/>
        <w:ind w:left="67" w:firstLine="600"/>
        <w:rPr>
          <w:rFonts w:ascii="仿宋" w:hAnsi="仿宋" w:eastAsia="仿宋" w:cstheme="minorBidi"/>
          <w:color w:val="3E3E3E"/>
          <w:sz w:val="30"/>
          <w:szCs w:val="30"/>
        </w:rPr>
      </w:pPr>
      <w:r>
        <w:rPr>
          <w:rFonts w:hint="eastAsia" w:ascii="仿宋" w:hAnsi="仿宋" w:eastAsia="仿宋" w:cstheme="minorBidi"/>
          <w:color w:val="3E3E3E"/>
          <w:sz w:val="30"/>
          <w:szCs w:val="30"/>
        </w:rPr>
        <w:t>各类固废均得到合理处置，符合《一般工业固体废物贮存和填埋污染控制标准》（GB18599-2020）、《危险废物贮存污染控制标准》（GB18597-2001）及修改单要求。</w:t>
      </w:r>
    </w:p>
    <w:p>
      <w:pPr>
        <w:ind w:firstLine="602" w:firstLineChars="200"/>
        <w:rPr>
          <w:rFonts w:ascii="仿宋" w:hAnsi="仿宋" w:eastAsia="仿宋"/>
          <w:b/>
          <w:sz w:val="30"/>
          <w:szCs w:val="30"/>
        </w:rPr>
      </w:pPr>
      <w:r>
        <w:rPr>
          <w:rFonts w:hint="eastAsia" w:ascii="仿宋" w:hAnsi="仿宋" w:eastAsia="仿宋"/>
          <w:b/>
          <w:sz w:val="30"/>
          <w:szCs w:val="30"/>
        </w:rPr>
        <w:t>五、验收总体结论</w:t>
      </w:r>
    </w:p>
    <w:p>
      <w:pPr>
        <w:ind w:firstLine="600" w:firstLineChars="200"/>
        <w:rPr>
          <w:rFonts w:ascii="仿宋" w:hAnsi="仿宋" w:eastAsia="仿宋"/>
          <w:color w:val="3E3E3E"/>
          <w:sz w:val="30"/>
          <w:szCs w:val="30"/>
        </w:rPr>
      </w:pPr>
      <w:r>
        <w:rPr>
          <w:rFonts w:hint="eastAsia" w:ascii="仿宋" w:hAnsi="仿宋" w:eastAsia="仿宋"/>
          <w:color w:val="3E3E3E"/>
          <w:sz w:val="30"/>
          <w:szCs w:val="30"/>
        </w:rPr>
        <w:t>结合项目验收监测报告书结论和现场检查的实际情况，该项目执行了环境影响评价和“三同时”管理制度，基本落实了规定的各项污染防治措施，外排污染物符合达标排放要求。基本同意通过验收。</w:t>
      </w:r>
    </w:p>
    <w:p/>
    <w:sectPr>
      <w:headerReference r:id="rId3" w:type="default"/>
      <w:footerReference r:id="rId4" w:type="default"/>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326367"/>
    </w:sdtPr>
    <w:sdtContent>
      <w:p>
        <w:pPr>
          <w:pStyle w:val="19"/>
        </w:pPr>
        <w:r>
          <w:fldChar w:fldCharType="begin"/>
        </w:r>
        <w:r>
          <w:instrText xml:space="preserve"> PAGE   \* MERGEFORMAT </w:instrText>
        </w:r>
        <w:r>
          <w:fldChar w:fldCharType="separate"/>
        </w:r>
        <w:r>
          <w:rPr>
            <w:lang w:val="zh-CN"/>
          </w:rPr>
          <w:t>25</w:t>
        </w:r>
        <w:r>
          <w:rPr>
            <w:lang w:val="zh-CN"/>
          </w:rPr>
          <w:fldChar w:fldCharType="end"/>
        </w:r>
      </w:p>
    </w:sdtContent>
  </w:sdt>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6561B"/>
    <w:multiLevelType w:val="singleLevel"/>
    <w:tmpl w:val="8A76561B"/>
    <w:lvl w:ilvl="0" w:tentative="0">
      <w:start w:val="2"/>
      <w:numFmt w:val="decimal"/>
      <w:suff w:val="nothing"/>
      <w:lvlText w:val="%1、"/>
      <w:lvlJc w:val="left"/>
    </w:lvl>
  </w:abstractNum>
  <w:abstractNum w:abstractNumId="1">
    <w:nsid w:val="F2FDA2D6"/>
    <w:multiLevelType w:val="singleLevel"/>
    <w:tmpl w:val="F2FDA2D6"/>
    <w:lvl w:ilvl="0" w:tentative="0">
      <w:start w:val="2"/>
      <w:numFmt w:val="decimal"/>
      <w:suff w:val="nothing"/>
      <w:lvlText w:val="%1、"/>
      <w:lvlJc w:val="left"/>
    </w:lvl>
  </w:abstractNum>
  <w:abstractNum w:abstractNumId="2">
    <w:nsid w:val="027414BB"/>
    <w:multiLevelType w:val="singleLevel"/>
    <w:tmpl w:val="027414BB"/>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kNDUwNmM0ZGMyODBiMGY4YjRmNTVkNmNjZjE3NjkifQ=="/>
  </w:docVars>
  <w:rsids>
    <w:rsidRoot w:val="003A3C4A"/>
    <w:rsid w:val="00054758"/>
    <w:rsid w:val="000750A9"/>
    <w:rsid w:val="000A3FD4"/>
    <w:rsid w:val="000F726F"/>
    <w:rsid w:val="001278A2"/>
    <w:rsid w:val="00140A73"/>
    <w:rsid w:val="00183C22"/>
    <w:rsid w:val="00183EC7"/>
    <w:rsid w:val="001C1F53"/>
    <w:rsid w:val="001D2228"/>
    <w:rsid w:val="00220E05"/>
    <w:rsid w:val="00226ADA"/>
    <w:rsid w:val="00234144"/>
    <w:rsid w:val="00255BEC"/>
    <w:rsid w:val="0026381F"/>
    <w:rsid w:val="002C66DF"/>
    <w:rsid w:val="002D20BD"/>
    <w:rsid w:val="002F6E9E"/>
    <w:rsid w:val="003034BB"/>
    <w:rsid w:val="003447C1"/>
    <w:rsid w:val="00390F76"/>
    <w:rsid w:val="003A3C4A"/>
    <w:rsid w:val="003B30BC"/>
    <w:rsid w:val="003D44EF"/>
    <w:rsid w:val="00421123"/>
    <w:rsid w:val="00421613"/>
    <w:rsid w:val="0043297C"/>
    <w:rsid w:val="00470F90"/>
    <w:rsid w:val="00486DD7"/>
    <w:rsid w:val="0049101A"/>
    <w:rsid w:val="004D51BF"/>
    <w:rsid w:val="004D615A"/>
    <w:rsid w:val="004E05C1"/>
    <w:rsid w:val="00515F9A"/>
    <w:rsid w:val="00515FA9"/>
    <w:rsid w:val="0052257E"/>
    <w:rsid w:val="0053084F"/>
    <w:rsid w:val="00545AAD"/>
    <w:rsid w:val="00582ED5"/>
    <w:rsid w:val="005974D8"/>
    <w:rsid w:val="006570D3"/>
    <w:rsid w:val="00684378"/>
    <w:rsid w:val="00690F61"/>
    <w:rsid w:val="0069537E"/>
    <w:rsid w:val="006F086D"/>
    <w:rsid w:val="006F52CF"/>
    <w:rsid w:val="00734CF1"/>
    <w:rsid w:val="007717DC"/>
    <w:rsid w:val="00777BF1"/>
    <w:rsid w:val="00795776"/>
    <w:rsid w:val="007A2777"/>
    <w:rsid w:val="007B0F1F"/>
    <w:rsid w:val="007D4390"/>
    <w:rsid w:val="007D79DE"/>
    <w:rsid w:val="008103BB"/>
    <w:rsid w:val="00816074"/>
    <w:rsid w:val="008345F7"/>
    <w:rsid w:val="00853DB7"/>
    <w:rsid w:val="008D709C"/>
    <w:rsid w:val="00922B53"/>
    <w:rsid w:val="00950D5C"/>
    <w:rsid w:val="00952726"/>
    <w:rsid w:val="009668FC"/>
    <w:rsid w:val="00994887"/>
    <w:rsid w:val="00A11CB0"/>
    <w:rsid w:val="00A556FC"/>
    <w:rsid w:val="00A769D5"/>
    <w:rsid w:val="00AD1AC1"/>
    <w:rsid w:val="00AF2971"/>
    <w:rsid w:val="00B52887"/>
    <w:rsid w:val="00B56DF2"/>
    <w:rsid w:val="00B84EEE"/>
    <w:rsid w:val="00BD4271"/>
    <w:rsid w:val="00C20F90"/>
    <w:rsid w:val="00C23EE1"/>
    <w:rsid w:val="00C242ED"/>
    <w:rsid w:val="00C441F7"/>
    <w:rsid w:val="00CC76BC"/>
    <w:rsid w:val="00CE33C9"/>
    <w:rsid w:val="00CF04FC"/>
    <w:rsid w:val="00D22B41"/>
    <w:rsid w:val="00D60755"/>
    <w:rsid w:val="00D92540"/>
    <w:rsid w:val="00DA049D"/>
    <w:rsid w:val="00DB6193"/>
    <w:rsid w:val="00DE4C01"/>
    <w:rsid w:val="00E1620C"/>
    <w:rsid w:val="00EF0DA5"/>
    <w:rsid w:val="00F2661E"/>
    <w:rsid w:val="00F351EC"/>
    <w:rsid w:val="00F80B88"/>
    <w:rsid w:val="00FA1FE1"/>
    <w:rsid w:val="00FB3E1A"/>
    <w:rsid w:val="00FD0532"/>
    <w:rsid w:val="00FD77B5"/>
    <w:rsid w:val="01343308"/>
    <w:rsid w:val="014A403C"/>
    <w:rsid w:val="01D243E0"/>
    <w:rsid w:val="024646C7"/>
    <w:rsid w:val="02B3166C"/>
    <w:rsid w:val="03362268"/>
    <w:rsid w:val="03410174"/>
    <w:rsid w:val="03977872"/>
    <w:rsid w:val="042E4239"/>
    <w:rsid w:val="049A7D1E"/>
    <w:rsid w:val="058F4350"/>
    <w:rsid w:val="067B3890"/>
    <w:rsid w:val="06D07FFD"/>
    <w:rsid w:val="06DC557D"/>
    <w:rsid w:val="06ED2D25"/>
    <w:rsid w:val="07143C69"/>
    <w:rsid w:val="076A2C8E"/>
    <w:rsid w:val="07B6597E"/>
    <w:rsid w:val="07B80136"/>
    <w:rsid w:val="08C57D27"/>
    <w:rsid w:val="0A0C13D7"/>
    <w:rsid w:val="0C152121"/>
    <w:rsid w:val="0C4B4672"/>
    <w:rsid w:val="0E1C0FA7"/>
    <w:rsid w:val="11575E01"/>
    <w:rsid w:val="11DB3984"/>
    <w:rsid w:val="1231677E"/>
    <w:rsid w:val="12544566"/>
    <w:rsid w:val="12864914"/>
    <w:rsid w:val="132D571C"/>
    <w:rsid w:val="137A3877"/>
    <w:rsid w:val="137A6FC0"/>
    <w:rsid w:val="13EF22A4"/>
    <w:rsid w:val="14334D10"/>
    <w:rsid w:val="14910C21"/>
    <w:rsid w:val="14D10D59"/>
    <w:rsid w:val="14EC00F1"/>
    <w:rsid w:val="16BE37E4"/>
    <w:rsid w:val="16CC61FA"/>
    <w:rsid w:val="171D3CD9"/>
    <w:rsid w:val="17225582"/>
    <w:rsid w:val="19B67CC8"/>
    <w:rsid w:val="19D33674"/>
    <w:rsid w:val="1DEE30B9"/>
    <w:rsid w:val="1E3A68B0"/>
    <w:rsid w:val="1E4F4E01"/>
    <w:rsid w:val="1FD67414"/>
    <w:rsid w:val="212B218B"/>
    <w:rsid w:val="2156213E"/>
    <w:rsid w:val="2328010D"/>
    <w:rsid w:val="24AB05C1"/>
    <w:rsid w:val="24C67A1D"/>
    <w:rsid w:val="24E722C4"/>
    <w:rsid w:val="253B090E"/>
    <w:rsid w:val="257A0FBE"/>
    <w:rsid w:val="264C490C"/>
    <w:rsid w:val="26CB5031"/>
    <w:rsid w:val="286C0AF0"/>
    <w:rsid w:val="29CB6C61"/>
    <w:rsid w:val="2A3E673D"/>
    <w:rsid w:val="2C051504"/>
    <w:rsid w:val="2C120F6D"/>
    <w:rsid w:val="2CA37055"/>
    <w:rsid w:val="2CA81BFC"/>
    <w:rsid w:val="2CBF15EA"/>
    <w:rsid w:val="2CEF48C2"/>
    <w:rsid w:val="2CFF5768"/>
    <w:rsid w:val="306729C2"/>
    <w:rsid w:val="30BD24C2"/>
    <w:rsid w:val="30D43B29"/>
    <w:rsid w:val="32F74049"/>
    <w:rsid w:val="336A3119"/>
    <w:rsid w:val="33D54D44"/>
    <w:rsid w:val="33E130B2"/>
    <w:rsid w:val="341E7629"/>
    <w:rsid w:val="34721E0A"/>
    <w:rsid w:val="34B97AAA"/>
    <w:rsid w:val="352B6B5D"/>
    <w:rsid w:val="38ED4713"/>
    <w:rsid w:val="3C564923"/>
    <w:rsid w:val="3E171B28"/>
    <w:rsid w:val="3F1F075E"/>
    <w:rsid w:val="406300DF"/>
    <w:rsid w:val="41802DCE"/>
    <w:rsid w:val="41B40803"/>
    <w:rsid w:val="42051650"/>
    <w:rsid w:val="435E02F2"/>
    <w:rsid w:val="4390407E"/>
    <w:rsid w:val="43D86D9E"/>
    <w:rsid w:val="4449104F"/>
    <w:rsid w:val="44B2389F"/>
    <w:rsid w:val="44DE36B4"/>
    <w:rsid w:val="4592537C"/>
    <w:rsid w:val="45B874F9"/>
    <w:rsid w:val="467F0662"/>
    <w:rsid w:val="4760763A"/>
    <w:rsid w:val="47DE760A"/>
    <w:rsid w:val="48273274"/>
    <w:rsid w:val="48795813"/>
    <w:rsid w:val="487E2F55"/>
    <w:rsid w:val="491B259A"/>
    <w:rsid w:val="498A0478"/>
    <w:rsid w:val="498A7897"/>
    <w:rsid w:val="49C762FA"/>
    <w:rsid w:val="49D70ED5"/>
    <w:rsid w:val="4AD27794"/>
    <w:rsid w:val="4B790D1E"/>
    <w:rsid w:val="4CAF7782"/>
    <w:rsid w:val="4CFD60A2"/>
    <w:rsid w:val="4D3E580A"/>
    <w:rsid w:val="4DA223C9"/>
    <w:rsid w:val="4E1D6663"/>
    <w:rsid w:val="4E2E7F22"/>
    <w:rsid w:val="4E3A4CC7"/>
    <w:rsid w:val="4E8C5748"/>
    <w:rsid w:val="4F0F165E"/>
    <w:rsid w:val="501532EE"/>
    <w:rsid w:val="52383941"/>
    <w:rsid w:val="52AB3CC3"/>
    <w:rsid w:val="533B309A"/>
    <w:rsid w:val="53DD0348"/>
    <w:rsid w:val="546B13BF"/>
    <w:rsid w:val="558832A6"/>
    <w:rsid w:val="567F4CA3"/>
    <w:rsid w:val="573C5BB5"/>
    <w:rsid w:val="590C5CD4"/>
    <w:rsid w:val="594142BB"/>
    <w:rsid w:val="595F082E"/>
    <w:rsid w:val="59695999"/>
    <w:rsid w:val="596B62F4"/>
    <w:rsid w:val="59D31C31"/>
    <w:rsid w:val="59D82B1D"/>
    <w:rsid w:val="59FF08C9"/>
    <w:rsid w:val="5A3457B5"/>
    <w:rsid w:val="5B4A35F4"/>
    <w:rsid w:val="5BCC2D28"/>
    <w:rsid w:val="5C810E6F"/>
    <w:rsid w:val="5DF13982"/>
    <w:rsid w:val="5E9E002B"/>
    <w:rsid w:val="5EB72DFB"/>
    <w:rsid w:val="5FCE37F8"/>
    <w:rsid w:val="63257E26"/>
    <w:rsid w:val="632E09FB"/>
    <w:rsid w:val="63DF51DB"/>
    <w:rsid w:val="650106A5"/>
    <w:rsid w:val="65753271"/>
    <w:rsid w:val="65E81684"/>
    <w:rsid w:val="660A74E8"/>
    <w:rsid w:val="66772D59"/>
    <w:rsid w:val="67736D27"/>
    <w:rsid w:val="68123E32"/>
    <w:rsid w:val="69D31B8D"/>
    <w:rsid w:val="6B6C027B"/>
    <w:rsid w:val="6B81329A"/>
    <w:rsid w:val="6BD96DBB"/>
    <w:rsid w:val="6C4E3E56"/>
    <w:rsid w:val="6E09370D"/>
    <w:rsid w:val="70105CDB"/>
    <w:rsid w:val="70445658"/>
    <w:rsid w:val="71AF602D"/>
    <w:rsid w:val="72FA00D3"/>
    <w:rsid w:val="730114ED"/>
    <w:rsid w:val="73ED3032"/>
    <w:rsid w:val="74DC6CF6"/>
    <w:rsid w:val="75066471"/>
    <w:rsid w:val="75C858C2"/>
    <w:rsid w:val="76A94385"/>
    <w:rsid w:val="7765579E"/>
    <w:rsid w:val="77D204E3"/>
    <w:rsid w:val="792A3958"/>
    <w:rsid w:val="7B2F6175"/>
    <w:rsid w:val="7B8A1333"/>
    <w:rsid w:val="7B975F11"/>
    <w:rsid w:val="7BD63A9A"/>
    <w:rsid w:val="7C4316B9"/>
    <w:rsid w:val="7C4F0C68"/>
    <w:rsid w:val="7C7E2290"/>
    <w:rsid w:val="7D4B130D"/>
    <w:rsid w:val="7D577E57"/>
    <w:rsid w:val="7D8D4DAF"/>
    <w:rsid w:val="7EB94606"/>
    <w:rsid w:val="7ED1561C"/>
    <w:rsid w:val="7FAC6516"/>
    <w:rsid w:val="7FB54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1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4"/>
    <w:qFormat/>
    <w:uiPriority w:val="0"/>
    <w:pPr>
      <w:ind w:firstLine="420" w:firstLineChars="200"/>
    </w:pPr>
    <w:rPr>
      <w:szCs w:val="20"/>
    </w:rPr>
  </w:style>
  <w:style w:type="paragraph" w:styleId="3">
    <w:name w:val="Body Text Indent"/>
    <w:basedOn w:val="1"/>
    <w:next w:val="4"/>
    <w:link w:val="33"/>
    <w:semiHidden/>
    <w:unhideWhenUsed/>
    <w:qFormat/>
    <w:uiPriority w:val="99"/>
    <w:pPr>
      <w:spacing w:after="120"/>
      <w:ind w:left="420" w:leftChars="200"/>
    </w:pPr>
  </w:style>
  <w:style w:type="paragraph" w:customStyle="1" w:styleId="4">
    <w:name w:val="样式 正文文本缩进 + 行距: 1.5 倍行距"/>
    <w:basedOn w:val="3"/>
    <w:next w:val="5"/>
    <w:qFormat/>
    <w:uiPriority w:val="0"/>
    <w:pPr>
      <w:spacing w:after="0" w:line="360" w:lineRule="auto"/>
      <w:ind w:left="32" w:leftChars="32" w:firstLine="200" w:firstLineChars="200"/>
    </w:pPr>
    <w:rPr>
      <w:rFonts w:ascii="Calibri" w:hAnsi="Calibri" w:eastAsia="宋体" w:cs="宋体"/>
      <w:szCs w:val="20"/>
    </w:rPr>
  </w:style>
  <w:style w:type="paragraph" w:customStyle="1" w:styleId="5">
    <w:name w:val="Char Char5 Char Char Char Char Char Char Char Char Char Char Char Char Char Char Char1"/>
    <w:next w:val="6"/>
    <w:qFormat/>
    <w:uiPriority w:val="0"/>
    <w:pPr>
      <w:widowControl w:val="0"/>
      <w:spacing w:before="100" w:beforeAutospacing="1" w:after="100" w:afterAutospacing="1" w:line="360" w:lineRule="auto"/>
      <w:ind w:left="742" w:firstLine="24"/>
      <w:outlineLvl w:val="2"/>
    </w:pPr>
    <w:rPr>
      <w:rFonts w:hint="eastAsia" w:ascii="宋体" w:hAnsi="宋体" w:eastAsia="宋体" w:cs="Times New Roman"/>
      <w:b/>
      <w:sz w:val="27"/>
      <w:szCs w:val="27"/>
      <w:lang w:val="en-US" w:eastAsia="zh-CN" w:bidi="ar-SA"/>
    </w:rPr>
  </w:style>
  <w:style w:type="paragraph" w:customStyle="1" w:styleId="6">
    <w:name w:val="Char5"/>
    <w:next w:val="7"/>
    <w:qFormat/>
    <w:uiPriority w:val="0"/>
    <w:pPr>
      <w:widowControl w:val="0"/>
      <w:ind w:firstLine="5632"/>
      <w:jc w:val="both"/>
    </w:pPr>
    <w:rPr>
      <w:rFonts w:ascii="Calibri" w:hAnsi="Calibri" w:eastAsia="宋体" w:cs="Times New Roman"/>
      <w:kern w:val="2"/>
      <w:sz w:val="21"/>
      <w:szCs w:val="24"/>
      <w:lang w:val="en-US" w:eastAsia="zh-CN" w:bidi="ar-SA"/>
    </w:rPr>
  </w:style>
  <w:style w:type="paragraph" w:customStyle="1" w:styleId="7">
    <w:name w:val="表内"/>
    <w:next w:val="8"/>
    <w:qFormat/>
    <w:uiPriority w:val="0"/>
    <w:pPr>
      <w:ind w:firstLine="2048"/>
      <w:jc w:val="center"/>
    </w:pPr>
    <w:rPr>
      <w:rFonts w:ascii="Times New Roman" w:hAnsi="Times New Roman" w:eastAsia="宋体" w:cs="Times New Roman"/>
      <w:lang w:val="en-US" w:eastAsia="zh-CN" w:bidi="ar-SA"/>
    </w:rPr>
  </w:style>
  <w:style w:type="paragraph" w:customStyle="1" w:styleId="8">
    <w:name w:val="表格内文字"/>
    <w:basedOn w:val="1"/>
    <w:next w:val="9"/>
    <w:qFormat/>
    <w:uiPriority w:val="0"/>
    <w:pPr>
      <w:tabs>
        <w:tab w:val="left" w:pos="3780"/>
      </w:tabs>
      <w:adjustRightInd w:val="0"/>
      <w:spacing w:before="60" w:after="60"/>
      <w:jc w:val="center"/>
      <w:textAlignment w:val="baseline"/>
    </w:pPr>
    <w:rPr>
      <w:rFonts w:ascii="宋体"/>
      <w:snapToGrid w:val="0"/>
      <w:color w:val="000000"/>
      <w:spacing w:val="8"/>
      <w:szCs w:val="20"/>
    </w:rPr>
  </w:style>
  <w:style w:type="paragraph" w:customStyle="1" w:styleId="9">
    <w:name w:val="xl35"/>
    <w:basedOn w:val="1"/>
    <w:next w:val="10"/>
    <w:qFormat/>
    <w:uiPriority w:val="0"/>
    <w:pPr>
      <w:widowControl/>
      <w:pBdr>
        <w:left w:val="single" w:color="auto" w:sz="8" w:space="0"/>
        <w:right w:val="single" w:color="auto" w:sz="8" w:space="0"/>
      </w:pBdr>
      <w:shd w:val="clear" w:color="auto" w:fill="33CCCC"/>
      <w:spacing w:before="100" w:beforeAutospacing="1" w:after="100" w:afterAutospacing="1"/>
      <w:jc w:val="center"/>
      <w:textAlignment w:val="center"/>
    </w:pPr>
    <w:rPr>
      <w:rFonts w:ascii="宋体" w:hAnsi="宋体"/>
      <w:kern w:val="0"/>
      <w:sz w:val="32"/>
      <w:szCs w:val="32"/>
    </w:rPr>
  </w:style>
  <w:style w:type="paragraph" w:customStyle="1" w:styleId="10">
    <w:name w:val="报告正文"/>
    <w:basedOn w:val="1"/>
    <w:next w:val="11"/>
    <w:qFormat/>
    <w:uiPriority w:val="0"/>
    <w:pPr>
      <w:adjustRightInd w:val="0"/>
      <w:snapToGrid w:val="0"/>
      <w:spacing w:line="360" w:lineRule="auto"/>
      <w:ind w:firstLine="200" w:firstLineChars="200"/>
    </w:pPr>
    <w:rPr>
      <w:rFonts w:ascii="宋体"/>
      <w:sz w:val="24"/>
      <w:szCs w:val="20"/>
    </w:rPr>
  </w:style>
  <w:style w:type="paragraph" w:customStyle="1" w:styleId="11">
    <w:name w:val="样式 小四 行距: 1.5 倍行距"/>
    <w:basedOn w:val="1"/>
    <w:next w:val="12"/>
    <w:qFormat/>
    <w:uiPriority w:val="0"/>
    <w:pPr>
      <w:spacing w:line="360" w:lineRule="auto"/>
      <w:ind w:firstLine="200" w:firstLineChars="200"/>
    </w:pPr>
    <w:rPr>
      <w:rFonts w:cs="宋体"/>
      <w:sz w:val="24"/>
    </w:rPr>
  </w:style>
  <w:style w:type="paragraph" w:customStyle="1" w:styleId="12">
    <w:name w:val="标题3"/>
    <w:basedOn w:val="13"/>
    <w:next w:val="14"/>
    <w:qFormat/>
    <w:uiPriority w:val="0"/>
    <w:pPr>
      <w:adjustRightInd w:val="0"/>
      <w:snapToGrid w:val="0"/>
      <w:spacing w:before="200" w:after="280" w:line="240" w:lineRule="auto"/>
      <w:jc w:val="center"/>
      <w:textAlignment w:val="baseline"/>
      <w:outlineLvl w:val="2"/>
    </w:pPr>
    <w:rPr>
      <w:rFonts w:ascii="宋体" w:hAnsi="宋体"/>
      <w:bCs w:val="0"/>
      <w:kern w:val="2"/>
      <w:sz w:val="36"/>
      <w:szCs w:val="36"/>
    </w:rPr>
  </w:style>
  <w:style w:type="paragraph" w:styleId="14">
    <w:name w:val="List Continue 2"/>
    <w:basedOn w:val="1"/>
    <w:next w:val="15"/>
    <w:qFormat/>
    <w:uiPriority w:val="0"/>
    <w:pPr>
      <w:spacing w:after="120"/>
      <w:ind w:left="840" w:leftChars="400"/>
    </w:pPr>
  </w:style>
  <w:style w:type="paragraph" w:styleId="15">
    <w:name w:val="toc 6"/>
    <w:basedOn w:val="1"/>
    <w:next w:val="1"/>
    <w:qFormat/>
    <w:uiPriority w:val="39"/>
    <w:pPr>
      <w:ind w:left="1050"/>
      <w:jc w:val="left"/>
    </w:pPr>
    <w:rPr>
      <w:rFonts w:ascii="Calibri" w:hAnsi="Calibri"/>
      <w:sz w:val="18"/>
      <w:szCs w:val="18"/>
    </w:rPr>
  </w:style>
  <w:style w:type="paragraph" w:styleId="16">
    <w:name w:val="Normal Indent"/>
    <w:basedOn w:val="1"/>
    <w:unhideWhenUsed/>
    <w:qFormat/>
    <w:uiPriority w:val="0"/>
    <w:pPr>
      <w:ind w:firstLine="420" w:firstLineChars="200"/>
    </w:pPr>
  </w:style>
  <w:style w:type="paragraph" w:styleId="17">
    <w:name w:val="Body Text Indent 2"/>
    <w:basedOn w:val="1"/>
    <w:qFormat/>
    <w:uiPriority w:val="0"/>
    <w:pPr>
      <w:spacing w:line="480" w:lineRule="auto"/>
      <w:ind w:left="420" w:leftChars="200"/>
    </w:pPr>
  </w:style>
  <w:style w:type="paragraph" w:styleId="18">
    <w:name w:val="Balloon Text"/>
    <w:basedOn w:val="1"/>
    <w:link w:val="30"/>
    <w:semiHidden/>
    <w:unhideWhenUsed/>
    <w:qFormat/>
    <w:uiPriority w:val="99"/>
    <w:rPr>
      <w:sz w:val="18"/>
      <w:szCs w:val="18"/>
    </w:rPr>
  </w:style>
  <w:style w:type="paragraph" w:styleId="19">
    <w:name w:val="footer"/>
    <w:basedOn w:val="1"/>
    <w:link w:val="27"/>
    <w:unhideWhenUsed/>
    <w:qFormat/>
    <w:uiPriority w:val="99"/>
    <w:pPr>
      <w:tabs>
        <w:tab w:val="center" w:pos="4153"/>
        <w:tab w:val="right" w:pos="8306"/>
      </w:tabs>
      <w:snapToGrid w:val="0"/>
      <w:jc w:val="left"/>
    </w:pPr>
    <w:rPr>
      <w:sz w:val="18"/>
      <w:szCs w:val="18"/>
    </w:rPr>
  </w:style>
  <w:style w:type="paragraph" w:styleId="20">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22"/>
    <w:rPr>
      <w:b/>
      <w:bCs/>
    </w:rPr>
  </w:style>
  <w:style w:type="character" w:customStyle="1" w:styleId="26">
    <w:name w:val="页眉 Char"/>
    <w:basedOn w:val="24"/>
    <w:link w:val="20"/>
    <w:qFormat/>
    <w:uiPriority w:val="99"/>
    <w:rPr>
      <w:kern w:val="2"/>
      <w:sz w:val="18"/>
      <w:szCs w:val="18"/>
    </w:rPr>
  </w:style>
  <w:style w:type="character" w:customStyle="1" w:styleId="27">
    <w:name w:val="页脚 Char"/>
    <w:basedOn w:val="24"/>
    <w:link w:val="19"/>
    <w:qFormat/>
    <w:uiPriority w:val="99"/>
    <w:rPr>
      <w:kern w:val="2"/>
      <w:sz w:val="18"/>
      <w:szCs w:val="18"/>
    </w:rPr>
  </w:style>
  <w:style w:type="paragraph" w:styleId="28">
    <w:name w:val="No Spacing"/>
    <w:link w:val="29"/>
    <w:qFormat/>
    <w:uiPriority w:val="1"/>
    <w:rPr>
      <w:rFonts w:asciiTheme="minorHAnsi" w:hAnsiTheme="minorHAnsi" w:eastAsiaTheme="minorEastAsia" w:cstheme="minorBidi"/>
      <w:sz w:val="22"/>
      <w:szCs w:val="22"/>
      <w:lang w:val="en-US" w:eastAsia="zh-CN" w:bidi="ar-SA"/>
    </w:rPr>
  </w:style>
  <w:style w:type="character" w:customStyle="1" w:styleId="29">
    <w:name w:val="无间隔 Char"/>
    <w:basedOn w:val="24"/>
    <w:link w:val="28"/>
    <w:qFormat/>
    <w:uiPriority w:val="1"/>
    <w:rPr>
      <w:sz w:val="22"/>
      <w:szCs w:val="22"/>
    </w:rPr>
  </w:style>
  <w:style w:type="character" w:customStyle="1" w:styleId="30">
    <w:name w:val="批注框文本 Char"/>
    <w:basedOn w:val="24"/>
    <w:link w:val="18"/>
    <w:semiHidden/>
    <w:qFormat/>
    <w:uiPriority w:val="99"/>
    <w:rPr>
      <w:kern w:val="2"/>
      <w:sz w:val="18"/>
      <w:szCs w:val="18"/>
    </w:rPr>
  </w:style>
  <w:style w:type="paragraph" w:styleId="31">
    <w:name w:val="List Paragraph"/>
    <w:basedOn w:val="1"/>
    <w:unhideWhenUsed/>
    <w:qFormat/>
    <w:uiPriority w:val="99"/>
    <w:pPr>
      <w:ind w:firstLine="420" w:firstLineChars="200"/>
    </w:pPr>
  </w:style>
  <w:style w:type="character" w:customStyle="1" w:styleId="32">
    <w:name w:val="正文首行缩进 2 Char"/>
    <w:basedOn w:val="24"/>
    <w:link w:val="2"/>
    <w:qFormat/>
    <w:uiPriority w:val="0"/>
    <w:rPr>
      <w:kern w:val="2"/>
      <w:sz w:val="21"/>
    </w:rPr>
  </w:style>
  <w:style w:type="character" w:customStyle="1" w:styleId="33">
    <w:name w:val="正文文本缩进 Char"/>
    <w:basedOn w:val="24"/>
    <w:link w:val="3"/>
    <w:semiHidden/>
    <w:qFormat/>
    <w:uiPriority w:val="99"/>
    <w:rPr>
      <w:kern w:val="2"/>
      <w:sz w:val="21"/>
      <w:szCs w:val="22"/>
    </w:rPr>
  </w:style>
  <w:style w:type="character" w:customStyle="1" w:styleId="34">
    <w:name w:val="正文首行缩进 2 Char1"/>
    <w:basedOn w:val="33"/>
    <w:link w:val="2"/>
    <w:semiHidden/>
    <w:qFormat/>
    <w:uiPriority w:val="99"/>
  </w:style>
  <w:style w:type="paragraph" w:customStyle="1" w:styleId="35">
    <w:name w:val="正1"/>
    <w:basedOn w:val="1"/>
    <w:qFormat/>
    <w:uiPriority w:val="0"/>
    <w:pPr>
      <w:spacing w:line="360" w:lineRule="auto"/>
      <w:ind w:firstLine="200" w:firstLineChars="200"/>
      <w:jc w:val="left"/>
    </w:pPr>
    <w:rPr>
      <w:rFonts w:eastAsia="楷体_GB2312"/>
      <w:sz w:val="24"/>
    </w:rPr>
  </w:style>
  <w:style w:type="paragraph" w:customStyle="1" w:styleId="36">
    <w:name w:val="报告"/>
    <w:basedOn w:val="1"/>
    <w:qFormat/>
    <w:uiPriority w:val="0"/>
    <w:pPr>
      <w:spacing w:line="360" w:lineRule="auto"/>
      <w:ind w:firstLine="505"/>
      <w:jc w:val="left"/>
    </w:pPr>
  </w:style>
  <w:style w:type="paragraph" w:customStyle="1" w:styleId="37">
    <w:name w:val="张 正文"/>
    <w:basedOn w:val="1"/>
    <w:qFormat/>
    <w:uiPriority w:val="0"/>
    <w:pPr>
      <w:spacing w:line="360" w:lineRule="auto"/>
      <w:ind w:firstLine="200" w:firstLineChars="200"/>
      <w:textAlignment w:val="baseline"/>
    </w:pPr>
    <w:rPr>
      <w:rFonts w:ascii="Times New Roman" w:hAnsi="Times New Roman"/>
      <w:color w:val="000000"/>
      <w:sz w:val="24"/>
    </w:rPr>
  </w:style>
  <w:style w:type="paragraph" w:customStyle="1" w:styleId="38">
    <w:name w:val="样式 样式 正文 首行缩进:  2 字符 + (中文) 楷体_GB2312 + 首行缩进:  2 字符"/>
    <w:basedOn w:val="1"/>
    <w:unhideWhenUsed/>
    <w:qFormat/>
    <w:uiPriority w:val="0"/>
    <w:pPr>
      <w:adjustRightInd w:val="0"/>
      <w:snapToGrid w:val="0"/>
      <w:spacing w:line="500" w:lineRule="exact"/>
      <w:ind w:firstLine="480" w:firstLineChars="200"/>
    </w:pPr>
    <w:rPr>
      <w:rFonts w:ascii="Times New Roman" w:hAnsi="Times New Roman"/>
      <w:sz w:val="24"/>
      <w:szCs w:val="20"/>
    </w:rPr>
  </w:style>
  <w:style w:type="paragraph" w:customStyle="1" w:styleId="39">
    <w:name w:val="陈光的正文"/>
    <w:basedOn w:val="1"/>
    <w:qFormat/>
    <w:uiPriority w:val="0"/>
    <w:pPr>
      <w:adjustRightInd w:val="0"/>
      <w:snapToGrid w:val="0"/>
      <w:spacing w:beforeLines="10" w:afterLines="10" w:line="360" w:lineRule="auto"/>
      <w:ind w:firstLine="560" w:firstLineChars="200"/>
    </w:pPr>
    <w:rPr>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B75B338-DFBF-4227-AF16-B264C61E1DC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11878</Words>
  <Characters>13284</Characters>
  <Lines>96</Lines>
  <Paragraphs>27</Paragraphs>
  <TotalTime>6</TotalTime>
  <ScaleCrop>false</ScaleCrop>
  <LinksUpToDate>false</LinksUpToDate>
  <CharactersWithSpaces>13383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2018-06-23T08:53:00Z</dcterms:created>
  <dc:creator>微软用户</dc:creator>
  <cp:lastModifiedBy>ちょうていてい</cp:lastModifiedBy>
  <cp:lastPrinted>2022-10-05T09:28:00Z</cp:lastPrinted>
  <dcterms:modified xsi:type="dcterms:W3CDTF">2022-10-10T01:29:02Z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DCE854DB10FD42C6AF4CD30C8618971D</vt:lpwstr>
  </property>
</Properties>
</file>