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eastAsia="宋体"/>
          <w:b/>
          <w:color w:val="auto"/>
          <w:sz w:val="44"/>
          <w:szCs w:val="44"/>
          <w:highlight w:val="none"/>
          <w:lang w:eastAsia="zh-CN"/>
        </w:rPr>
      </w:pPr>
      <w:r>
        <w:rPr>
          <w:rFonts w:hint="eastAsia"/>
          <w:b/>
          <w:color w:val="auto"/>
          <w:sz w:val="44"/>
          <w:szCs w:val="44"/>
          <w:highlight w:val="none"/>
          <w:lang w:eastAsia="zh-CN"/>
        </w:rPr>
        <w:t>国鼎药物研究（济南）有限责任公司国鼎药物研发实验室项目（一期</w:t>
      </w:r>
      <w:bookmarkStart w:id="264" w:name="_GoBack"/>
      <w:bookmarkEnd w:id="264"/>
      <w:r>
        <w:rPr>
          <w:rFonts w:hint="eastAsia"/>
          <w:b/>
          <w:color w:val="auto"/>
          <w:sz w:val="44"/>
          <w:szCs w:val="44"/>
          <w:highlight w:val="none"/>
          <w:lang w:eastAsia="zh-CN"/>
        </w:rPr>
        <w:t>）</w:t>
      </w:r>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pStyle w:val="2"/>
        <w:ind w:firstLine="883"/>
        <w:rPr>
          <w:rFonts w:ascii="Times New Roman" w:hAnsi="Times New Roman"/>
          <w:b/>
          <w:color w:val="auto"/>
          <w:sz w:val="44"/>
          <w:szCs w:val="44"/>
          <w:highlight w:val="none"/>
        </w:rPr>
      </w:pPr>
    </w:p>
    <w:p>
      <w:pPr>
        <w:pStyle w:val="2"/>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rFonts w:hint="eastAsia" w:eastAsia="宋体"/>
          <w:b/>
          <w:bCs/>
          <w:color w:val="auto"/>
          <w:sz w:val="32"/>
          <w:szCs w:val="32"/>
          <w:highlight w:val="none"/>
          <w:lang w:eastAsia="zh-CN"/>
        </w:rPr>
      </w:pPr>
      <w:r>
        <w:rPr>
          <w:b/>
          <w:bCs/>
          <w:color w:val="auto"/>
          <w:sz w:val="32"/>
          <w:szCs w:val="32"/>
          <w:highlight w:val="none"/>
        </w:rPr>
        <w:t>建设单位：</w:t>
      </w:r>
      <w:r>
        <w:rPr>
          <w:rFonts w:hint="eastAsia"/>
          <w:b/>
          <w:bCs/>
          <w:color w:val="auto"/>
          <w:sz w:val="32"/>
          <w:szCs w:val="32"/>
          <w:highlight w:val="none"/>
          <w:lang w:eastAsia="zh-CN"/>
        </w:rPr>
        <w:t>国鼎药物研究（济南）有限责任公司</w:t>
      </w:r>
    </w:p>
    <w:p>
      <w:pPr>
        <w:ind w:firstLine="643"/>
        <w:jc w:val="center"/>
        <w:rPr>
          <w:b/>
          <w:bCs/>
          <w:color w:val="auto"/>
          <w:sz w:val="32"/>
          <w:szCs w:val="32"/>
          <w:highlight w:val="none"/>
        </w:rPr>
      </w:pPr>
      <w:r>
        <w:rPr>
          <w:b/>
          <w:bCs/>
          <w:color w:val="auto"/>
          <w:sz w:val="32"/>
          <w:szCs w:val="32"/>
          <w:highlight w:val="none"/>
        </w:rPr>
        <w:t>202</w:t>
      </w:r>
      <w:r>
        <w:rPr>
          <w:rFonts w:hint="eastAsia"/>
          <w:b/>
          <w:bCs/>
          <w:color w:val="auto"/>
          <w:sz w:val="32"/>
          <w:szCs w:val="32"/>
          <w:highlight w:val="none"/>
        </w:rPr>
        <w:t>2</w:t>
      </w:r>
      <w:r>
        <w:rPr>
          <w:b/>
          <w:bCs/>
          <w:color w:val="auto"/>
          <w:sz w:val="32"/>
          <w:szCs w:val="32"/>
          <w:highlight w:val="none"/>
        </w:rPr>
        <w:t>年</w:t>
      </w:r>
      <w:r>
        <w:rPr>
          <w:rFonts w:hint="eastAsia"/>
          <w:b/>
          <w:bCs/>
          <w:color w:val="auto"/>
          <w:sz w:val="32"/>
          <w:szCs w:val="32"/>
          <w:highlight w:val="none"/>
          <w:lang w:val="en-US" w:eastAsia="zh-CN"/>
        </w:rPr>
        <w:t>9</w:t>
      </w:r>
      <w:r>
        <w:rPr>
          <w:b/>
          <w:bCs/>
          <w:color w:val="auto"/>
          <w:sz w:val="32"/>
          <w:szCs w:val="32"/>
          <w:highlight w:val="none"/>
        </w:rPr>
        <w:t>月</w:t>
      </w:r>
    </w:p>
    <w:p>
      <w:pPr>
        <w:ind w:firstLine="643"/>
        <w:rPr>
          <w:b/>
          <w:bCs/>
          <w:color w:val="auto"/>
          <w:sz w:val="32"/>
          <w:szCs w:val="32"/>
          <w:highlight w:val="none"/>
        </w:rPr>
      </w:pPr>
    </w:p>
    <w:p>
      <w:pPr>
        <w:ind w:firstLine="0" w:firstLineChars="0"/>
        <w:rPr>
          <w:b/>
          <w:bCs/>
          <w:color w:val="auto"/>
          <w:sz w:val="32"/>
          <w:szCs w:val="32"/>
          <w:highlight w:val="none"/>
        </w:rPr>
      </w:pPr>
    </w:p>
    <w:p>
      <w:pPr>
        <w:pStyle w:val="9"/>
        <w:rPr>
          <w:color w:val="auto"/>
          <w:sz w:val="36"/>
          <w:szCs w:val="22"/>
          <w:highlight w:val="none"/>
        </w:rPr>
        <w:sectPr>
          <w:pgSz w:w="11906" w:h="16838"/>
          <w:pgMar w:top="1440" w:right="1800" w:bottom="1440" w:left="1800" w:header="851" w:footer="992" w:gutter="0"/>
          <w:cols w:space="720" w:num="1"/>
          <w:docGrid w:type="lines" w:linePitch="312" w:charSpace="0"/>
        </w:sectPr>
      </w:pPr>
      <w:bookmarkStart w:id="0" w:name="_Toc16879"/>
      <w:bookmarkStart w:id="1" w:name="_Toc21306"/>
      <w:bookmarkStart w:id="2" w:name="_Toc14548"/>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33"/>
        <w:rPr>
          <w:rFonts w:hint="eastAsia" w:cs="Times New Roman"/>
          <w:color w:val="auto"/>
          <w:spacing w:val="0"/>
          <w:kern w:val="21"/>
          <w:sz w:val="24"/>
          <w:szCs w:val="24"/>
          <w:lang w:eastAsia="zh-CN"/>
        </w:rPr>
      </w:pPr>
      <w:r>
        <w:rPr>
          <w:rFonts w:hint="eastAsia" w:cs="Times New Roman"/>
          <w:color w:val="auto"/>
          <w:szCs w:val="24"/>
          <w:lang w:val="en-US" w:eastAsia="zh-CN"/>
        </w:rPr>
        <w:t>国鼎药物研究（济南）有限责任公司</w:t>
      </w:r>
      <w:r>
        <w:rPr>
          <w:rFonts w:hint="default" w:cs="Times New Roman"/>
          <w:color w:val="auto"/>
          <w:szCs w:val="24"/>
          <w:lang w:val="en-US" w:eastAsia="zh-CN"/>
        </w:rPr>
        <w:t>成立于2020年07月10日，注册地位于山东省济南市高新区世纪大道2566号迪亚双创产业园G栋503室，法定代表人为马崇雷。经营范围包括医药、生物、药品、化工领域内的技术开发；生产、批发、零售：化学试剂、医药中间体、原料药、药用辅料、食品添加剂、饲料添加剂、化工产品</w:t>
      </w:r>
      <w:r>
        <w:rPr>
          <w:rFonts w:hint="eastAsia" w:cs="Times New Roman"/>
          <w:color w:val="auto"/>
          <w:szCs w:val="24"/>
          <w:lang w:val="en-US" w:eastAsia="zh-CN"/>
        </w:rPr>
        <w:t>等。</w:t>
      </w:r>
    </w:p>
    <w:p>
      <w:pPr>
        <w:pStyle w:val="33"/>
        <w:rPr>
          <w:rFonts w:hint="eastAsia" w:cs="Times New Roman"/>
          <w:color w:val="auto"/>
          <w:sz w:val="24"/>
          <w:szCs w:val="24"/>
          <w:highlight w:val="none"/>
          <w:lang w:val="en-US" w:eastAsia="zh-CN"/>
        </w:rPr>
      </w:pPr>
      <w:r>
        <w:rPr>
          <w:rFonts w:hint="eastAsia" w:cs="Times New Roman"/>
          <w:color w:val="auto"/>
          <w:spacing w:val="0"/>
          <w:kern w:val="21"/>
          <w:sz w:val="24"/>
          <w:szCs w:val="24"/>
          <w:lang w:eastAsia="zh-CN"/>
        </w:rPr>
        <w:t>国鼎药物研究（济南）有限责任公司国鼎药物研发实验室项目（一期）</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山东省济南市高新区世纪大道2566号迪亚双创产业园7号楼5层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，总建筑面积为1223.56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项目主要包括实验室、办公室、会议室、试剂库（固体库、液体库、易制毒库）、成品库、危废暂存间等。实验室配备各类精密仪器设备，如气相色谱仪、液相色谱仪、水分测定仪等精密仪器设备。项目主要为新药研发化学合成与分析报告、新药样品。规划年产</w:t>
      </w:r>
      <w:r>
        <w:rPr>
          <w:rFonts w:hint="eastAsia" w:cs="Times New Roman"/>
          <w:color w:val="auto"/>
          <w:kern w:val="2"/>
          <w:sz w:val="24"/>
          <w:szCs w:val="24"/>
          <w:highlight w:val="none"/>
          <w:lang w:val="en-US" w:eastAsia="zh-CN" w:bidi="ar-SA"/>
        </w:rPr>
        <w:t>试验报告500份、新药样品100kg。</w:t>
      </w:r>
    </w:p>
    <w:p>
      <w:pPr>
        <w:pStyle w:val="33"/>
        <w:rPr>
          <w:rFonts w:hint="default" w:ascii="Times New Roman" w:hAnsi="Times New Roman" w:eastAsia="宋体" w:cs="Times New Roman"/>
          <w:color w:val="auto"/>
          <w:spacing w:val="8"/>
          <w:sz w:val="24"/>
        </w:rPr>
      </w:pPr>
      <w:r>
        <w:rPr>
          <w:rFonts w:hint="eastAsia" w:cs="Times New Roman"/>
          <w:color w:val="auto"/>
          <w:sz w:val="24"/>
          <w:szCs w:val="24"/>
          <w:highlight w:val="none"/>
          <w:lang w:eastAsia="zh-CN"/>
        </w:rPr>
        <w:t>截至目前，因资质认定和资金不足等问题，项目尚有部分设备未到位（设备设置情况见表2-3），实际</w:t>
      </w:r>
      <w:r>
        <w:rPr>
          <w:rFonts w:hint="eastAsia" w:cs="Times New Roman"/>
          <w:color w:val="auto"/>
          <w:sz w:val="24"/>
          <w:szCs w:val="24"/>
          <w:highlight w:val="none"/>
          <w:lang w:val="en-US" w:eastAsia="zh-CN"/>
        </w:rPr>
        <w:t>年产</w:t>
      </w:r>
      <w:r>
        <w:rPr>
          <w:rFonts w:hint="eastAsia" w:cs="Times New Roman"/>
          <w:color w:val="auto"/>
          <w:kern w:val="2"/>
          <w:sz w:val="24"/>
          <w:szCs w:val="24"/>
          <w:highlight w:val="none"/>
          <w:lang w:val="en-US" w:eastAsia="zh-CN" w:bidi="ar-SA"/>
        </w:rPr>
        <w:t>试验报告450份、新药样品90kg</w:t>
      </w:r>
      <w:r>
        <w:rPr>
          <w:rFonts w:hint="eastAsia" w:cs="Times New Roman"/>
          <w:color w:val="auto"/>
          <w:sz w:val="24"/>
          <w:szCs w:val="24"/>
          <w:highlight w:val="none"/>
          <w:lang w:eastAsia="zh-CN"/>
        </w:rPr>
        <w:t>，故本次按一期验收。</w:t>
      </w:r>
      <w:r>
        <w:rPr>
          <w:rFonts w:hint="eastAsia" w:cs="Times New Roman"/>
          <w:color w:val="auto"/>
          <w:szCs w:val="24"/>
          <w:lang w:val="en-US" w:eastAsia="zh-CN"/>
        </w:rPr>
        <w:t>一期项目</w:t>
      </w:r>
      <w:r>
        <w:rPr>
          <w:rFonts w:hint="default" w:cs="Times New Roman"/>
          <w:color w:val="auto"/>
          <w:szCs w:val="24"/>
          <w:lang w:val="en-US" w:eastAsia="zh-CN"/>
        </w:rPr>
        <w:t>总投资</w:t>
      </w:r>
      <w:r>
        <w:rPr>
          <w:rFonts w:hint="eastAsia" w:cs="Times New Roman"/>
          <w:color w:val="auto"/>
          <w:szCs w:val="24"/>
          <w:lang w:val="en-US" w:eastAsia="zh-CN"/>
        </w:rPr>
        <w:t>450</w:t>
      </w:r>
      <w:r>
        <w:rPr>
          <w:rFonts w:hint="default" w:cs="Times New Roman"/>
          <w:color w:val="auto"/>
          <w:szCs w:val="24"/>
          <w:lang w:val="en-US" w:eastAsia="zh-CN"/>
        </w:rPr>
        <w:t>万元，其中环保投资</w:t>
      </w:r>
      <w:r>
        <w:rPr>
          <w:rFonts w:hint="eastAsia" w:cs="Times New Roman"/>
          <w:color w:val="auto"/>
          <w:szCs w:val="24"/>
          <w:lang w:val="en-US" w:eastAsia="zh-CN"/>
        </w:rPr>
        <w:t>42</w:t>
      </w:r>
      <w:r>
        <w:rPr>
          <w:rFonts w:hint="default" w:cs="Times New Roman"/>
          <w:color w:val="auto"/>
          <w:szCs w:val="24"/>
          <w:lang w:val="en-US" w:eastAsia="zh-CN"/>
        </w:rPr>
        <w:t>万元</w:t>
      </w:r>
      <w:r>
        <w:rPr>
          <w:rFonts w:hint="default" w:cs="Times New Roman"/>
          <w:color w:val="auto"/>
          <w:szCs w:val="24"/>
          <w:lang w:eastAsia="zh-CN"/>
        </w:rPr>
        <w:t>，</w:t>
      </w:r>
      <w:r>
        <w:rPr>
          <w:rFonts w:hint="eastAsia" w:cs="Times New Roman"/>
          <w:color w:val="auto"/>
          <w:szCs w:val="24"/>
          <w:lang w:eastAsia="zh-CN"/>
        </w:rPr>
        <w:t>一期</w:t>
      </w:r>
      <w:r>
        <w:rPr>
          <w:rFonts w:hint="eastAsia" w:cs="Times New Roman"/>
          <w:color w:val="auto"/>
          <w:sz w:val="24"/>
          <w:szCs w:val="24"/>
          <w:lang w:eastAsia="zh-CN"/>
        </w:rPr>
        <w:t>项目职工定员</w:t>
      </w:r>
      <w:r>
        <w:rPr>
          <w:rFonts w:hint="eastAsia" w:cs="Times New Roman"/>
          <w:color w:val="auto"/>
          <w:sz w:val="24"/>
          <w:szCs w:val="24"/>
          <w:lang w:val="en-US" w:eastAsia="zh-CN"/>
        </w:rPr>
        <w:t>40</w:t>
      </w:r>
      <w:r>
        <w:rPr>
          <w:rFonts w:hint="eastAsia" w:cs="Times New Roman"/>
          <w:color w:val="auto"/>
          <w:sz w:val="24"/>
          <w:szCs w:val="24"/>
          <w:lang w:eastAsia="zh-CN"/>
        </w:rPr>
        <w:t>人</w:t>
      </w:r>
      <w:r>
        <w:rPr>
          <w:rFonts w:hint="default" w:ascii="Times New Roman" w:hAnsi="Times New Roman" w:cs="Times New Roman"/>
          <w:color w:val="auto"/>
          <w:sz w:val="24"/>
          <w:szCs w:val="24"/>
        </w:rPr>
        <w:t>，</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eastAsia="zh-CN"/>
        </w:rPr>
        <w:t>约</w:t>
      </w:r>
      <w:r>
        <w:rPr>
          <w:rFonts w:hint="eastAsia" w:cs="Times New Roman"/>
          <w:color w:val="auto"/>
          <w:sz w:val="24"/>
          <w:szCs w:val="24"/>
          <w:lang w:val="en-US" w:eastAsia="zh-CN"/>
        </w:rPr>
        <w:t>300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rFonts w:hint="eastAsia"/>
          <w:color w:val="auto"/>
          <w:highlight w:val="none"/>
          <w:lang w:eastAsia="zh-CN"/>
        </w:rPr>
        <w:t>国鼎药物研究（济南）有限责任公司</w:t>
      </w:r>
      <w:r>
        <w:rPr>
          <w:color w:val="auto"/>
          <w:highlight w:val="none"/>
        </w:rPr>
        <w:t>2021年</w:t>
      </w:r>
      <w:r>
        <w:rPr>
          <w:rFonts w:hint="eastAsia"/>
          <w:color w:val="auto"/>
          <w:highlight w:val="none"/>
          <w:lang w:val="en-US" w:eastAsia="zh-CN"/>
        </w:rPr>
        <w:t>5</w:t>
      </w:r>
      <w:r>
        <w:rPr>
          <w:color w:val="auto"/>
          <w:highlight w:val="none"/>
        </w:rPr>
        <w:t>月委托</w:t>
      </w:r>
      <w:r>
        <w:rPr>
          <w:rFonts w:hint="eastAsia"/>
          <w:color w:val="auto"/>
          <w:highlight w:val="none"/>
          <w:lang w:eastAsia="zh-CN"/>
        </w:rPr>
        <w:t>山东博瑞达环保科技有限公司</w:t>
      </w:r>
      <w:r>
        <w:rPr>
          <w:color w:val="auto"/>
          <w:kern w:val="21"/>
          <w:highlight w:val="none"/>
        </w:rPr>
        <w:t>编制完成了</w:t>
      </w:r>
      <w:r>
        <w:rPr>
          <w:color w:val="auto"/>
          <w:highlight w:val="none"/>
        </w:rPr>
        <w:t>《</w:t>
      </w:r>
      <w:r>
        <w:rPr>
          <w:rFonts w:hint="eastAsia"/>
          <w:color w:val="auto"/>
          <w:highlight w:val="none"/>
          <w:lang w:eastAsia="zh-CN"/>
        </w:rPr>
        <w:t>国鼎药物研究（济南）有限责任公司国鼎药物研发实验室项目环境影响</w:t>
      </w:r>
      <w:r>
        <w:rPr>
          <w:color w:val="auto"/>
          <w:highlight w:val="none"/>
        </w:rPr>
        <w:t>报告表》，并于</w:t>
      </w:r>
      <w:r>
        <w:rPr>
          <w:rFonts w:hint="eastAsia"/>
          <w:color w:val="auto"/>
          <w:highlight w:val="none"/>
          <w:lang w:eastAsia="zh-CN"/>
        </w:rPr>
        <w:t>2021年7月20日</w:t>
      </w:r>
      <w:r>
        <w:rPr>
          <w:color w:val="auto"/>
          <w:highlight w:val="none"/>
        </w:rPr>
        <w:t>经济南市生态环境局审批（</w:t>
      </w:r>
      <w:r>
        <w:rPr>
          <w:rFonts w:hint="eastAsia"/>
          <w:color w:val="auto"/>
          <w:highlight w:val="none"/>
          <w:lang w:eastAsia="zh-CN"/>
        </w:rPr>
        <w:t>济环报告表［2021］G47号</w:t>
      </w:r>
      <w:r>
        <w:rPr>
          <w:color w:val="auto"/>
          <w:highlight w:val="none"/>
        </w:rPr>
        <w:t>）。</w:t>
      </w:r>
    </w:p>
    <w:p>
      <w:pPr>
        <w:pStyle w:val="33"/>
        <w:rPr>
          <w:color w:val="auto"/>
          <w:highlight w:val="none"/>
        </w:rPr>
      </w:pPr>
      <w:r>
        <w:rPr>
          <w:rFonts w:hint="eastAsia" w:cs="Times New Roman"/>
          <w:color w:val="auto"/>
          <w:highlight w:val="none"/>
          <w:lang w:eastAsia="zh-CN"/>
        </w:rPr>
        <w:t>一期项目于2021年7月开工建设，2021年10月建成并进行调试，</w:t>
      </w:r>
      <w:r>
        <w:rPr>
          <w:color w:val="auto"/>
          <w:highlight w:val="none"/>
        </w:rPr>
        <w:t>环</w:t>
      </w:r>
      <w:r>
        <w:rPr>
          <w:rFonts w:hint="eastAsia"/>
          <w:color w:val="auto"/>
          <w:highlight w:val="none"/>
          <w:lang w:eastAsia="zh-CN"/>
        </w:rPr>
        <w:t>保设施同时设计、同时施工并同时进行调试，调试期间运行状况良好</w:t>
      </w:r>
      <w:r>
        <w:rPr>
          <w:color w:val="auto"/>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国鼎药物研究（济南）有限责任公司国鼎药物研发实验室项目（一期）</w:t>
      </w:r>
      <w:r>
        <w:rPr>
          <w:color w:val="auto"/>
          <w:kern w:val="21"/>
          <w:highlight w:val="none"/>
        </w:rPr>
        <w:t>建成后的全部内容。</w:t>
      </w:r>
    </w:p>
    <w:p>
      <w:pPr>
        <w:ind w:firstLine="480"/>
        <w:rPr>
          <w:color w:val="auto"/>
          <w:kern w:val="0"/>
          <w:highlight w:val="none"/>
        </w:rPr>
      </w:pPr>
      <w:r>
        <w:rPr>
          <w:color w:val="auto"/>
          <w:kern w:val="0"/>
          <w:highlight w:val="none"/>
        </w:rPr>
        <w:t>根据</w:t>
      </w:r>
      <w:r>
        <w:rPr>
          <w:color w:val="auto"/>
          <w:highlight w:val="none"/>
        </w:rPr>
        <w:t>生态环境部＜关于发布《建设项目竣工环境保护验收技术指南 污染影响类》的公告＞（公告2018年 第9号）及《建设项目竣工环境保护验收暂行办法》（国环规环评[2017] 4号）</w:t>
      </w:r>
      <w:r>
        <w:rPr>
          <w:color w:val="auto"/>
          <w:kern w:val="0"/>
          <w:highlight w:val="none"/>
        </w:rPr>
        <w:t>要求，需对</w:t>
      </w:r>
      <w:r>
        <w:rPr>
          <w:rFonts w:hint="eastAsia"/>
          <w:color w:val="auto"/>
          <w:highlight w:val="none"/>
          <w:lang w:eastAsia="zh-CN"/>
        </w:rPr>
        <w:t>国鼎药物研究（济南）有限责任公司国鼎药物研发实验室项目（一期）</w:t>
      </w:r>
      <w:r>
        <w:rPr>
          <w:color w:val="auto"/>
          <w:kern w:val="0"/>
          <w:highlight w:val="none"/>
        </w:rPr>
        <w:t>进行竣工环境保护验收。</w:t>
      </w:r>
      <w:r>
        <w:rPr>
          <w:rFonts w:hint="eastAsia"/>
          <w:color w:val="auto"/>
          <w:kern w:val="0"/>
          <w:highlight w:val="none"/>
        </w:rPr>
        <w:t>因不具备检测能力，</w:t>
      </w:r>
      <w:r>
        <w:rPr>
          <w:rFonts w:hint="eastAsia"/>
          <w:color w:val="auto"/>
          <w:highlight w:val="none"/>
          <w:lang w:eastAsia="zh-CN"/>
        </w:rPr>
        <w:t>国鼎药物研究（济南）有限责任公司委托山东华晟环境检测有限公司于</w:t>
      </w:r>
      <w:r>
        <w:rPr>
          <w:rFonts w:hint="eastAsia"/>
          <w:color w:val="auto"/>
          <w:kern w:val="0"/>
          <w:highlight w:val="none"/>
          <w:lang w:eastAsia="zh-CN"/>
        </w:rPr>
        <w:t>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25</w:t>
      </w:r>
      <w:r>
        <w:rPr>
          <w:rFonts w:hint="eastAsia"/>
          <w:color w:val="auto"/>
          <w:kern w:val="0"/>
          <w:highlight w:val="none"/>
          <w:lang w:eastAsia="zh-CN"/>
        </w:rPr>
        <w:t>日~202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26</w:t>
      </w:r>
      <w:r>
        <w:rPr>
          <w:rFonts w:hint="eastAsia"/>
          <w:color w:val="auto"/>
          <w:kern w:val="0"/>
          <w:highlight w:val="none"/>
          <w:lang w:eastAsia="zh-CN"/>
        </w:rPr>
        <w:t>日、2022年8月1日~2022年8月3日</w:t>
      </w:r>
      <w:r>
        <w:rPr>
          <w:rFonts w:hint="eastAsia"/>
          <w:color w:val="auto"/>
          <w:kern w:val="0"/>
          <w:highlight w:val="none"/>
        </w:rPr>
        <w:t>，共计</w:t>
      </w:r>
      <w:r>
        <w:rPr>
          <w:rFonts w:hint="eastAsia"/>
          <w:color w:val="auto"/>
          <w:kern w:val="0"/>
          <w:highlight w:val="none"/>
          <w:lang w:val="en-US" w:eastAsia="zh-CN"/>
        </w:rPr>
        <w:t>5</w:t>
      </w:r>
      <w:r>
        <w:rPr>
          <w:color w:val="auto"/>
          <w:kern w:val="0"/>
          <w:highlight w:val="none"/>
        </w:rPr>
        <w:t>天对本项目</w:t>
      </w:r>
      <w:r>
        <w:rPr>
          <w:rFonts w:hint="eastAsia"/>
          <w:color w:val="auto"/>
          <w:kern w:val="0"/>
          <w:highlight w:val="none"/>
        </w:rPr>
        <w:t>废气、废水、噪声</w:t>
      </w:r>
      <w:r>
        <w:rPr>
          <w:color w:val="auto"/>
          <w:kern w:val="0"/>
          <w:highlight w:val="none"/>
        </w:rPr>
        <w:t>进行了</w:t>
      </w:r>
      <w:r>
        <w:rPr>
          <w:rFonts w:hint="eastAsia"/>
          <w:color w:val="auto"/>
          <w:kern w:val="0"/>
          <w:highlight w:val="none"/>
        </w:rPr>
        <w:t>竣工</w:t>
      </w:r>
      <w:r>
        <w:rPr>
          <w:color w:val="auto"/>
          <w:kern w:val="0"/>
          <w:highlight w:val="none"/>
        </w:rPr>
        <w:t>验收</w:t>
      </w:r>
      <w:r>
        <w:rPr>
          <w:rFonts w:hint="eastAsia"/>
          <w:color w:val="auto"/>
          <w:kern w:val="0"/>
          <w:highlight w:val="none"/>
        </w:rPr>
        <w:t>检测并出具检测报告</w:t>
      </w:r>
      <w:r>
        <w:rPr>
          <w:bCs/>
          <w:caps/>
          <w:color w:val="auto"/>
          <w:kern w:val="0"/>
          <w:highlight w:val="none"/>
        </w:rPr>
        <w:t>。</w:t>
      </w:r>
      <w:r>
        <w:rPr>
          <w:rFonts w:hint="eastAsia"/>
          <w:bCs/>
          <w:caps/>
          <w:color w:val="auto"/>
          <w:kern w:val="0"/>
          <w:highlight w:val="none"/>
        </w:rPr>
        <w:t>根据项目情况及检测报告，</w:t>
      </w:r>
      <w:r>
        <w:rPr>
          <w:rFonts w:hint="eastAsia"/>
          <w:color w:val="auto"/>
          <w:kern w:val="21"/>
          <w:highlight w:val="none"/>
          <w:lang w:eastAsia="zh-CN"/>
        </w:rPr>
        <w:t>国鼎药物研究（济南）有限责任公司</w:t>
      </w:r>
      <w:r>
        <w:rPr>
          <w:rFonts w:hint="eastAsia"/>
          <w:color w:val="auto"/>
          <w:kern w:val="21"/>
          <w:highlight w:val="none"/>
        </w:rPr>
        <w:t>于2022年</w:t>
      </w:r>
      <w:r>
        <w:rPr>
          <w:rFonts w:hint="eastAsia"/>
          <w:color w:val="auto"/>
          <w:kern w:val="21"/>
          <w:highlight w:val="none"/>
          <w:lang w:val="en-US" w:eastAsia="zh-CN"/>
        </w:rPr>
        <w:t>9</w:t>
      </w:r>
      <w:r>
        <w:rPr>
          <w:rFonts w:hint="eastAsia"/>
          <w:color w:val="auto"/>
          <w:kern w:val="21"/>
          <w:highlight w:val="none"/>
        </w:rPr>
        <w:t>月编制完成了《</w:t>
      </w:r>
      <w:r>
        <w:rPr>
          <w:rFonts w:hint="eastAsia"/>
          <w:color w:val="auto"/>
          <w:kern w:val="21"/>
          <w:highlight w:val="none"/>
          <w:lang w:eastAsia="zh-CN"/>
        </w:rPr>
        <w:t>国鼎药物研究（济南）有限责任公司国鼎药物研发实验室项目（一期）</w:t>
      </w:r>
      <w:r>
        <w:rPr>
          <w:rFonts w:hint="eastAsia"/>
          <w:color w:val="auto"/>
          <w:highlight w:val="none"/>
        </w:rPr>
        <w:t>竣工环境保护验收监测报告表</w:t>
      </w:r>
      <w:r>
        <w:rPr>
          <w:rFonts w:hint="eastAsia"/>
          <w:color w:val="auto"/>
          <w:kern w:val="21"/>
          <w:highlight w:val="none"/>
        </w:rPr>
        <w:t>》。</w:t>
      </w:r>
    </w:p>
    <w:p>
      <w:pPr>
        <w:pStyle w:val="33"/>
        <w:rPr>
          <w:rFonts w:cs="Times New Roman"/>
          <w:color w:val="auto"/>
          <w:highlight w:val="none"/>
        </w:rPr>
      </w:pPr>
      <w:r>
        <w:rPr>
          <w:rFonts w:hint="eastAsia" w:cs="Times New Roman"/>
          <w:color w:val="auto"/>
          <w:highlight w:val="none"/>
        </w:rPr>
        <w:t>2022年9月3日，</w:t>
      </w:r>
      <w:r>
        <w:rPr>
          <w:rFonts w:hint="eastAsia" w:cs="Times New Roman"/>
          <w:color w:val="auto"/>
          <w:highlight w:val="none"/>
          <w:lang w:eastAsia="zh-CN"/>
        </w:rPr>
        <w:t>国鼎药物研究（济南）有限责任公司</w:t>
      </w:r>
      <w:r>
        <w:rPr>
          <w:rFonts w:hint="eastAsia" w:cs="Times New Roman"/>
          <w:color w:val="auto"/>
          <w:highlight w:val="none"/>
        </w:rPr>
        <w:t>在济南市</w:t>
      </w:r>
      <w:r>
        <w:rPr>
          <w:rFonts w:hint="eastAsia" w:cs="Times New Roman"/>
          <w:color w:val="auto"/>
          <w:highlight w:val="none"/>
          <w:lang w:eastAsia="zh-CN"/>
        </w:rPr>
        <w:t>高新区</w:t>
      </w:r>
      <w:r>
        <w:rPr>
          <w:rFonts w:hint="eastAsia" w:cs="Times New Roman"/>
          <w:color w:val="auto"/>
          <w:highlight w:val="none"/>
        </w:rPr>
        <w:t>组织了项目竣工环境保护验收会。验收组由建设单位/验收监测报告编制单位</w:t>
      </w:r>
      <w:r>
        <w:rPr>
          <w:rFonts w:hint="eastAsia" w:cs="Times New Roman"/>
          <w:color w:val="auto"/>
          <w:highlight w:val="none"/>
          <w:lang w:eastAsia="zh-CN"/>
        </w:rPr>
        <w:t>国鼎药物研究（济南）有限责任公司</w:t>
      </w:r>
      <w:r>
        <w:rPr>
          <w:rFonts w:hint="eastAsia" w:cs="Times New Roman"/>
          <w:color w:val="auto"/>
          <w:highlight w:val="none"/>
        </w:rPr>
        <w:t>、检测单位山东华晟环境检测有限公司等单位的代表和专业技术专家组成，对</w:t>
      </w:r>
      <w:r>
        <w:rPr>
          <w:rFonts w:hint="eastAsia" w:cs="Times New Roman"/>
          <w:color w:val="auto"/>
          <w:highlight w:val="none"/>
          <w:lang w:eastAsia="zh-CN"/>
        </w:rPr>
        <w:t>国鼎药物研究（济南）有限责任公司国鼎药物研发实验室项目（一期）</w:t>
      </w:r>
      <w:r>
        <w:rPr>
          <w:rFonts w:hint="eastAsia" w:cs="Times New Roman"/>
          <w:color w:val="auto"/>
          <w:highlight w:val="none"/>
        </w:rPr>
        <w:t>开展环保验收工作，验收工作组对现场进行了检查，听取了竣工环保验收监测报告编制单位的工作成果汇报，并进行了技术质询及评议后，验收组同意通过验收，验收合格。</w:t>
      </w:r>
    </w:p>
    <w:p>
      <w:pPr>
        <w:ind w:firstLine="480"/>
        <w:rPr>
          <w:color w:val="auto"/>
          <w:highlight w:val="none"/>
        </w:rPr>
      </w:pPr>
    </w:p>
    <w:p>
      <w:pPr>
        <w:pStyle w:val="2"/>
        <w:ind w:firstLine="560"/>
        <w:rPr>
          <w:rFonts w:ascii="Times New Roman" w:hAnsi="Times New Roman"/>
          <w:color w:val="auto"/>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33"/>
        <w:ind w:firstLine="0" w:firstLineChars="0"/>
        <w:jc w:val="center"/>
        <w:rPr>
          <w:rFonts w:cs="Times New Roman"/>
          <w:b/>
          <w:bCs/>
          <w:color w:val="auto"/>
          <w:sz w:val="36"/>
          <w:szCs w:val="36"/>
          <w:highlight w:val="none"/>
        </w:rPr>
      </w:pPr>
    </w:p>
    <w:p>
      <w:pPr>
        <w:pStyle w:val="25"/>
        <w:tabs>
          <w:tab w:val="right" w:leader="dot" w:pos="8924"/>
          <w:tab w:val="clear" w:pos="8836"/>
        </w:tabs>
        <w:rPr>
          <w:sz w:val="28"/>
          <w:szCs w:val="28"/>
        </w:rPr>
      </w:pP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TOC \o "1-3" \h \u </w:instrText>
      </w:r>
      <w:r>
        <w:rPr>
          <w:rFonts w:ascii="Times New Roman" w:hAnsi="Times New Roman"/>
          <w:color w:val="auto"/>
          <w:sz w:val="30"/>
          <w:szCs w:val="30"/>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_Toc14951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_Toc14951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_Toc8715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_Toc8715 \h </w:instrText>
      </w:r>
      <w:r>
        <w:rPr>
          <w:sz w:val="28"/>
          <w:szCs w:val="28"/>
        </w:rPr>
        <w:fldChar w:fldCharType="separate"/>
      </w:r>
      <w:r>
        <w:rPr>
          <w:sz w:val="28"/>
          <w:szCs w:val="28"/>
        </w:rPr>
        <w:t>5</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_Toc6889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_Toc6889 \h </w:instrText>
      </w:r>
      <w:r>
        <w:rPr>
          <w:sz w:val="28"/>
          <w:szCs w:val="28"/>
        </w:rPr>
        <w:fldChar w:fldCharType="separate"/>
      </w:r>
      <w:r>
        <w:rPr>
          <w:sz w:val="28"/>
          <w:szCs w:val="28"/>
        </w:rPr>
        <w:t>17</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_Toc13343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_Toc13343 \h </w:instrText>
      </w:r>
      <w:r>
        <w:rPr>
          <w:sz w:val="28"/>
          <w:szCs w:val="28"/>
        </w:rPr>
        <w:fldChar w:fldCharType="separate"/>
      </w:r>
      <w:r>
        <w:rPr>
          <w:sz w:val="28"/>
          <w:szCs w:val="28"/>
        </w:rPr>
        <w:t>21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_Toc25472 </w:instrText>
      </w:r>
      <w:r>
        <w:rPr>
          <w:rFonts w:cs="Times New Roman"/>
          <w:sz w:val="28"/>
          <w:szCs w:val="28"/>
          <w:highlight w:val="none"/>
        </w:rPr>
        <w:fldChar w:fldCharType="separate"/>
      </w:r>
      <w:r>
        <w:rPr>
          <w:bCs/>
          <w:sz w:val="28"/>
          <w:szCs w:val="28"/>
          <w:highlight w:val="none"/>
        </w:rPr>
        <w:t>表5  验收监测质量保证及质量控制</w:t>
      </w:r>
      <w:r>
        <w:rPr>
          <w:sz w:val="28"/>
          <w:szCs w:val="28"/>
        </w:rPr>
        <w:tab/>
      </w:r>
      <w:r>
        <w:rPr>
          <w:sz w:val="28"/>
          <w:szCs w:val="28"/>
        </w:rPr>
        <w:fldChar w:fldCharType="begin"/>
      </w:r>
      <w:r>
        <w:rPr>
          <w:sz w:val="28"/>
          <w:szCs w:val="28"/>
        </w:rPr>
        <w:instrText xml:space="preserve"> PAGEREF _Toc25472 \h </w:instrText>
      </w:r>
      <w:r>
        <w:rPr>
          <w:sz w:val="28"/>
          <w:szCs w:val="28"/>
        </w:rPr>
        <w:fldChar w:fldCharType="separate"/>
      </w:r>
      <w:r>
        <w:rPr>
          <w:sz w:val="28"/>
          <w:szCs w:val="28"/>
        </w:rPr>
        <w:t>30</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_Toc4355 </w:instrText>
      </w:r>
      <w:r>
        <w:rPr>
          <w:rFonts w:cs="Times New Roman"/>
          <w:sz w:val="28"/>
          <w:szCs w:val="28"/>
          <w:highlight w:val="none"/>
        </w:rPr>
        <w:fldChar w:fldCharType="separate"/>
      </w:r>
      <w:r>
        <w:rPr>
          <w:bCs/>
          <w:sz w:val="28"/>
          <w:szCs w:val="28"/>
          <w:highlight w:val="none"/>
        </w:rPr>
        <w:t>表6  验收监测内容</w:t>
      </w:r>
      <w:r>
        <w:rPr>
          <w:sz w:val="28"/>
          <w:szCs w:val="28"/>
        </w:rPr>
        <w:tab/>
      </w:r>
      <w:r>
        <w:rPr>
          <w:sz w:val="28"/>
          <w:szCs w:val="28"/>
        </w:rPr>
        <w:fldChar w:fldCharType="begin"/>
      </w:r>
      <w:r>
        <w:rPr>
          <w:sz w:val="28"/>
          <w:szCs w:val="28"/>
        </w:rPr>
        <w:instrText xml:space="preserve"> PAGEREF _Toc4355 \h </w:instrText>
      </w:r>
      <w:r>
        <w:rPr>
          <w:sz w:val="28"/>
          <w:szCs w:val="28"/>
        </w:rPr>
        <w:fldChar w:fldCharType="separate"/>
      </w:r>
      <w:r>
        <w:rPr>
          <w:sz w:val="28"/>
          <w:szCs w:val="28"/>
        </w:rPr>
        <w:t>34</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_Toc3960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_Toc3960 \h </w:instrText>
      </w:r>
      <w:r>
        <w:rPr>
          <w:sz w:val="28"/>
          <w:szCs w:val="28"/>
        </w:rPr>
        <w:fldChar w:fldCharType="separate"/>
      </w:r>
      <w:r>
        <w:rPr>
          <w:sz w:val="28"/>
          <w:szCs w:val="28"/>
        </w:rPr>
        <w:t>38</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_Toc4428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_Toc4428 \h </w:instrText>
      </w:r>
      <w:r>
        <w:rPr>
          <w:sz w:val="28"/>
          <w:szCs w:val="28"/>
        </w:rPr>
        <w:fldChar w:fldCharType="separate"/>
      </w:r>
      <w:r>
        <w:rPr>
          <w:sz w:val="28"/>
          <w:szCs w:val="28"/>
        </w:rPr>
        <w:t>54</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_Toc7589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_Toc7589 \h </w:instrText>
      </w:r>
      <w:r>
        <w:rPr>
          <w:sz w:val="28"/>
          <w:szCs w:val="28"/>
        </w:rPr>
        <w:fldChar w:fldCharType="separate"/>
      </w:r>
      <w:r>
        <w:rPr>
          <w:sz w:val="28"/>
          <w:szCs w:val="28"/>
        </w:rPr>
        <w:t>59</w:t>
      </w:r>
      <w:r>
        <w:rPr>
          <w:sz w:val="28"/>
          <w:szCs w:val="28"/>
        </w:rPr>
        <w:fldChar w:fldCharType="end"/>
      </w:r>
      <w:r>
        <w:rPr>
          <w:rFonts w:cs="Times New Roman"/>
          <w:color w:val="auto"/>
          <w:sz w:val="28"/>
          <w:szCs w:val="28"/>
          <w:highlight w:val="none"/>
        </w:rPr>
        <w:fldChar w:fldCharType="end"/>
      </w:r>
    </w:p>
    <w:p>
      <w:pPr>
        <w:pStyle w:val="33"/>
        <w:ind w:firstLine="0" w:firstLineChars="0"/>
        <w:rPr>
          <w:rFonts w:cs="Times New Roman"/>
          <w:color w:val="auto"/>
          <w:highlight w:val="none"/>
        </w:rPr>
      </w:pPr>
      <w:r>
        <w:rPr>
          <w:rFonts w:cs="Times New Roman"/>
          <w:color w:val="auto"/>
          <w:sz w:val="30"/>
          <w:szCs w:val="30"/>
          <w:highlight w:val="none"/>
        </w:rPr>
        <w:fldChar w:fldCharType="end"/>
      </w:r>
      <w:r>
        <w:rPr>
          <w:rFonts w:cs="Times New Roman"/>
          <w:color w:val="auto"/>
          <w:szCs w:val="24"/>
          <w:highlight w:val="none"/>
        </w:rPr>
        <w:t>附件：</w:t>
      </w:r>
    </w:p>
    <w:p>
      <w:pPr>
        <w:ind w:firstLine="480"/>
        <w:rPr>
          <w:color w:val="auto"/>
          <w:highlight w:val="none"/>
        </w:rPr>
      </w:pPr>
      <w:r>
        <w:rPr>
          <w:color w:val="auto"/>
          <w:highlight w:val="none"/>
        </w:rPr>
        <w:t>附件1  委托书</w:t>
      </w:r>
    </w:p>
    <w:p>
      <w:pPr>
        <w:ind w:firstLine="480"/>
        <w:rPr>
          <w:color w:val="auto"/>
          <w:highlight w:val="none"/>
        </w:rPr>
      </w:pPr>
      <w:r>
        <w:rPr>
          <w:color w:val="auto"/>
          <w:highlight w:val="none"/>
        </w:rPr>
        <w:t>附件2  环评批复</w:t>
      </w:r>
    </w:p>
    <w:p>
      <w:pPr>
        <w:ind w:firstLine="480"/>
        <w:rPr>
          <w:color w:val="auto"/>
          <w:highlight w:val="none"/>
        </w:rPr>
      </w:pPr>
      <w:r>
        <w:rPr>
          <w:color w:val="auto"/>
          <w:highlight w:val="none"/>
        </w:rPr>
        <w:t>附件</w:t>
      </w:r>
      <w:r>
        <w:rPr>
          <w:rFonts w:hint="eastAsia"/>
          <w:color w:val="auto"/>
          <w:highlight w:val="none"/>
        </w:rPr>
        <w:t>3</w:t>
      </w:r>
      <w:r>
        <w:rPr>
          <w:color w:val="auto"/>
          <w:highlight w:val="none"/>
        </w:rPr>
        <w:t xml:space="preserve">  </w:t>
      </w:r>
      <w:r>
        <w:rPr>
          <w:rFonts w:hint="eastAsia"/>
          <w:color w:val="auto"/>
          <w:highlight w:val="none"/>
        </w:rPr>
        <w:t>危废合同</w:t>
      </w:r>
    </w:p>
    <w:p>
      <w:pPr>
        <w:ind w:firstLine="480"/>
        <w:rPr>
          <w:color w:val="auto"/>
          <w:highlight w:val="none"/>
        </w:rPr>
      </w:pPr>
      <w:r>
        <w:rPr>
          <w:color w:val="auto"/>
          <w:highlight w:val="none"/>
        </w:rPr>
        <w:t>附件</w:t>
      </w:r>
      <w:r>
        <w:rPr>
          <w:rFonts w:hint="eastAsia"/>
          <w:color w:val="auto"/>
          <w:highlight w:val="none"/>
        </w:rPr>
        <w:t>4</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rPr>
        <w:t>5</w:t>
      </w:r>
      <w:r>
        <w:rPr>
          <w:color w:val="auto"/>
          <w:highlight w:val="none"/>
        </w:rPr>
        <w:t xml:space="preserve">  工况证明</w:t>
      </w:r>
    </w:p>
    <w:p>
      <w:pPr>
        <w:ind w:firstLine="480"/>
        <w:rPr>
          <w:rFonts w:hint="eastAsia" w:eastAsia="宋体"/>
          <w:color w:val="auto"/>
          <w:highlight w:val="none"/>
          <w:lang w:eastAsia="zh-CN"/>
        </w:rPr>
      </w:pPr>
      <w:r>
        <w:rPr>
          <w:color w:val="auto"/>
          <w:highlight w:val="none"/>
        </w:rPr>
        <w:t>附件</w:t>
      </w:r>
      <w:r>
        <w:rPr>
          <w:rFonts w:hint="eastAsia"/>
          <w:color w:val="auto"/>
          <w:highlight w:val="none"/>
          <w:lang w:val="en-US" w:eastAsia="zh-CN"/>
        </w:rPr>
        <w:t>6</w:t>
      </w:r>
      <w:r>
        <w:rPr>
          <w:color w:val="auto"/>
          <w:highlight w:val="none"/>
        </w:rPr>
        <w:t xml:space="preserve">  </w:t>
      </w:r>
      <w:r>
        <w:rPr>
          <w:rFonts w:hint="eastAsia"/>
          <w:color w:val="auto"/>
          <w:highlight w:val="none"/>
          <w:lang w:eastAsia="zh-CN"/>
        </w:rPr>
        <w:t>检测资质</w:t>
      </w:r>
    </w:p>
    <w:p>
      <w:pPr>
        <w:ind w:firstLine="0" w:firstLineChars="0"/>
        <w:rPr>
          <w:color w:val="auto"/>
          <w:kern w:val="0"/>
          <w:highlight w:val="none"/>
        </w:rPr>
      </w:pPr>
      <w:r>
        <w:rPr>
          <w:color w:val="auto"/>
          <w:kern w:val="0"/>
          <w:highlight w:val="none"/>
        </w:rPr>
        <w:t>附图：</w:t>
      </w:r>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widowControl/>
        <w:ind w:firstLine="480"/>
        <w:rPr>
          <w:rFonts w:hint="eastAsia" w:eastAsia="宋体"/>
          <w:color w:val="auto"/>
          <w:kern w:val="0"/>
          <w:highlight w:val="none"/>
          <w:lang w:eastAsia="zh-CN"/>
        </w:rPr>
      </w:pPr>
      <w:r>
        <w:rPr>
          <w:color w:val="auto"/>
          <w:kern w:val="0"/>
          <w:highlight w:val="none"/>
        </w:rPr>
        <w:t>附图</w:t>
      </w:r>
      <w:r>
        <w:rPr>
          <w:rFonts w:hint="eastAsia"/>
          <w:color w:val="auto"/>
          <w:kern w:val="0"/>
          <w:highlight w:val="none"/>
          <w:lang w:val="en-US" w:eastAsia="zh-CN"/>
        </w:rPr>
        <w:t>4</w:t>
      </w:r>
      <w:r>
        <w:rPr>
          <w:color w:val="auto"/>
          <w:kern w:val="0"/>
          <w:highlight w:val="none"/>
        </w:rPr>
        <w:t xml:space="preserve">  </w:t>
      </w:r>
      <w:r>
        <w:rPr>
          <w:rFonts w:hint="eastAsia"/>
          <w:color w:val="auto"/>
          <w:kern w:val="0"/>
          <w:highlight w:val="none"/>
          <w:lang w:eastAsia="zh-CN"/>
        </w:rPr>
        <w:t>项目</w:t>
      </w:r>
      <w:r>
        <w:rPr>
          <w:rFonts w:hint="eastAsia" w:cs="Times New Roman"/>
          <w:color w:val="auto"/>
          <w:szCs w:val="24"/>
          <w:highlight w:val="none"/>
        </w:rPr>
        <w:t>废气收集排导系统</w:t>
      </w:r>
      <w:r>
        <w:rPr>
          <w:rFonts w:hint="eastAsia" w:cs="Times New Roman"/>
          <w:color w:val="auto"/>
          <w:szCs w:val="24"/>
          <w:highlight w:val="none"/>
          <w:lang w:eastAsia="zh-CN"/>
        </w:rPr>
        <w:t>图</w:t>
      </w:r>
    </w:p>
    <w:p>
      <w:pPr>
        <w:ind w:firstLine="0" w:firstLineChars="0"/>
        <w:rPr>
          <w:color w:val="auto"/>
          <w:kern w:val="0"/>
          <w:highlight w:val="none"/>
        </w:rPr>
      </w:pPr>
      <w:r>
        <w:rPr>
          <w:color w:val="auto"/>
          <w:kern w:val="0"/>
          <w:highlight w:val="none"/>
        </w:rPr>
        <w:t>附表：三同时登记表</w:t>
      </w:r>
    </w:p>
    <w:p>
      <w:pPr>
        <w:pStyle w:val="14"/>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color w:val="auto"/>
          <w:highlight w:val="none"/>
        </w:rPr>
      </w:pPr>
      <w:bookmarkStart w:id="5" w:name="_Toc20976"/>
      <w:bookmarkStart w:id="6" w:name="_Toc17783"/>
      <w:bookmarkStart w:id="7" w:name="_Toc29276"/>
      <w:bookmarkStart w:id="8" w:name="_Toc1720"/>
      <w:bookmarkStart w:id="9" w:name="_Toc3787"/>
      <w:bookmarkStart w:id="10" w:name="_Toc29383"/>
      <w:bookmarkStart w:id="11" w:name="_Toc16517"/>
      <w:bookmarkStart w:id="12" w:name="_Toc22303"/>
      <w:bookmarkStart w:id="13" w:name="_Toc937"/>
      <w:bookmarkStart w:id="14" w:name="_Toc1462"/>
      <w:bookmarkStart w:id="15" w:name="_Toc28133"/>
      <w:bookmarkStart w:id="16" w:name="_Toc27870"/>
      <w:bookmarkStart w:id="17" w:name="_Toc14076"/>
      <w:bookmarkStart w:id="18" w:name="_Toc9427"/>
      <w:bookmarkStart w:id="19" w:name="_Toc5501"/>
      <w:bookmarkStart w:id="20" w:name="_Toc6117"/>
      <w:bookmarkStart w:id="21" w:name="_Toc20840"/>
      <w:bookmarkStart w:id="22" w:name="_Toc24644"/>
      <w:bookmarkStart w:id="23" w:name="_Toc6463"/>
      <w:bookmarkStart w:id="24" w:name="_Toc17633"/>
      <w:bookmarkStart w:id="25" w:name="_Toc17089"/>
      <w:bookmarkStart w:id="26" w:name="_Toc24423"/>
      <w:bookmarkStart w:id="27" w:name="_Toc4904"/>
      <w:bookmarkStart w:id="28" w:name="_Toc12887"/>
      <w:bookmarkStart w:id="29" w:name="_Toc17743"/>
      <w:bookmarkStart w:id="30" w:name="_Toc29725"/>
      <w:bookmarkStart w:id="31" w:name="_Toc12779"/>
      <w:bookmarkStart w:id="32" w:name="_Toc14951"/>
      <w:r>
        <w:rPr>
          <w:b/>
          <w:bCs/>
          <w:color w:val="auto"/>
          <w:sz w:val="30"/>
          <w:szCs w:val="30"/>
          <w:highlight w:val="none"/>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tbl>
      <w:tblPr>
        <w:tblStyle w:val="28"/>
        <w:tblW w:w="514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51"/>
        <w:gridCol w:w="1899"/>
        <w:gridCol w:w="2007"/>
        <w:gridCol w:w="1174"/>
        <w:gridCol w:w="795"/>
        <w:gridCol w:w="128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3886"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国鼎药物研究（济南）有限责任公司国鼎药物研发实验室项目（一期）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3886"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国鼎药物研究（济南）有限责任公司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3886"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3886"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52"/>
            </w:r>
            <w:r>
              <w:rPr>
                <w:color w:val="auto"/>
                <w:highlight w:val="none"/>
              </w:rPr>
              <w:t xml:space="preserve">新建  </w:t>
            </w:r>
            <w:r>
              <w:rPr>
                <w:color w:val="auto"/>
                <w:szCs w:val="21"/>
                <w:highlight w:val="none"/>
              </w:rPr>
              <w:sym w:font="Wingdings 2" w:char="00A3"/>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3886"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山东省济南市高新区世纪大道2566号迪亚双创产业园7号楼5层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tc>
        <w:tc>
          <w:tcPr>
            <w:tcW w:w="3886" w:type="pct"/>
            <w:gridSpan w:val="5"/>
            <w:vAlign w:val="center"/>
          </w:tcPr>
          <w:p>
            <w:pPr>
              <w:adjustRightInd w:val="0"/>
              <w:snapToGrid w:val="0"/>
              <w:spacing w:line="240" w:lineRule="auto"/>
              <w:ind w:firstLine="0" w:firstLineChars="0"/>
              <w:jc w:val="left"/>
              <w:rPr>
                <w:color w:val="auto"/>
                <w:highlight w:val="none"/>
              </w:rPr>
            </w:pPr>
            <w:r>
              <w:rPr>
                <w:rFonts w:hint="default" w:cs="Times New Roman"/>
                <w:color w:val="auto"/>
                <w:kern w:val="2"/>
                <w:sz w:val="24"/>
                <w:szCs w:val="24"/>
                <w:lang w:val="en-US" w:eastAsia="zh-CN" w:bidi="ar-SA"/>
              </w:rPr>
              <w:t>新药研发化学合成与分析报告、新药样品</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rFonts w:ascii="Times New Roman" w:hAnsi="Times New Roman" w:eastAsia="宋体" w:cs="Times New Roman"/>
                <w:color w:val="auto"/>
                <w:kern w:val="2"/>
                <w:sz w:val="24"/>
                <w:szCs w:val="24"/>
                <w:highlight w:val="none"/>
                <w:lang w:val="en-US" w:eastAsia="zh-CN" w:bidi="ar-SA"/>
              </w:rPr>
            </w:pPr>
            <w:r>
              <w:rPr>
                <w:color w:val="auto"/>
                <w:highlight w:val="none"/>
              </w:rPr>
              <w:t>设计生产能力</w:t>
            </w:r>
          </w:p>
        </w:tc>
        <w:tc>
          <w:tcPr>
            <w:tcW w:w="3886" w:type="pct"/>
            <w:gridSpan w:val="5"/>
            <w:vAlign w:val="center"/>
          </w:tcPr>
          <w:p>
            <w:pPr>
              <w:adjustRightInd w:val="0"/>
              <w:snapToGrid w:val="0"/>
              <w:spacing w:line="240" w:lineRule="auto"/>
              <w:ind w:firstLine="0" w:firstLineChars="0"/>
              <w:jc w:val="left"/>
              <w:rPr>
                <w:rFonts w:hint="eastAsia" w:cs="Times New Roman"/>
                <w:color w:val="auto"/>
                <w:sz w:val="24"/>
                <w:szCs w:val="24"/>
                <w:highlight w:val="none"/>
                <w:lang w:eastAsia="zh-CN"/>
              </w:rPr>
            </w:pPr>
            <w:r>
              <w:rPr>
                <w:rFonts w:hint="eastAsia" w:cs="Times New Roman"/>
                <w:color w:val="auto"/>
                <w:kern w:val="2"/>
                <w:sz w:val="24"/>
                <w:szCs w:val="24"/>
                <w:highlight w:val="none"/>
                <w:lang w:val="en-US" w:eastAsia="zh-CN" w:bidi="ar-SA"/>
              </w:rPr>
              <w:t>试验报告500份/年、新药样品100kg/年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rFonts w:ascii="Times New Roman" w:hAnsi="Times New Roman" w:eastAsia="宋体" w:cs="Times New Roman"/>
                <w:color w:val="auto"/>
                <w:kern w:val="2"/>
                <w:sz w:val="24"/>
                <w:szCs w:val="24"/>
                <w:highlight w:val="none"/>
                <w:lang w:val="en-US" w:eastAsia="zh-CN" w:bidi="ar-SA"/>
              </w:rPr>
            </w:pPr>
            <w:r>
              <w:rPr>
                <w:color w:val="auto"/>
                <w:highlight w:val="none"/>
              </w:rPr>
              <w:t>实际生产能力</w:t>
            </w:r>
          </w:p>
        </w:tc>
        <w:tc>
          <w:tcPr>
            <w:tcW w:w="3886" w:type="pct"/>
            <w:gridSpan w:val="5"/>
            <w:vAlign w:val="center"/>
          </w:tcPr>
          <w:p>
            <w:pPr>
              <w:adjustRightInd w:val="0"/>
              <w:snapToGrid w:val="0"/>
              <w:spacing w:line="240" w:lineRule="auto"/>
              <w:ind w:firstLine="0" w:firstLineChars="0"/>
              <w:jc w:val="left"/>
              <w:rPr>
                <w:rFonts w:hint="eastAsia" w:cs="Times New Roman"/>
                <w:color w:val="auto"/>
                <w:sz w:val="24"/>
                <w:szCs w:val="24"/>
                <w:highlight w:val="none"/>
                <w:lang w:eastAsia="zh-CN"/>
              </w:rPr>
            </w:pPr>
            <w:r>
              <w:rPr>
                <w:rFonts w:hint="eastAsia" w:cs="Times New Roman"/>
                <w:color w:val="auto"/>
                <w:kern w:val="2"/>
                <w:sz w:val="24"/>
                <w:szCs w:val="24"/>
                <w:highlight w:val="none"/>
                <w:lang w:val="en-US" w:eastAsia="zh-CN" w:bidi="ar-SA"/>
              </w:rPr>
              <w:t>试验报告450份/年、新药样品90kg/年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建设项目</w:t>
            </w:r>
            <w:r>
              <w:rPr>
                <w:color w:val="auto"/>
                <w:highlight w:val="none"/>
              </w:rPr>
              <w:t>环评时间</w:t>
            </w:r>
          </w:p>
        </w:tc>
        <w:tc>
          <w:tcPr>
            <w:tcW w:w="1030"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2021年7月20日</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开工</w:t>
            </w:r>
            <w:r>
              <w:rPr>
                <w:rFonts w:hint="eastAsia"/>
                <w:color w:val="auto"/>
                <w:highlight w:val="none"/>
                <w:lang w:eastAsia="zh-CN"/>
              </w:rPr>
              <w:t>建设时间</w:t>
            </w:r>
          </w:p>
        </w:tc>
        <w:tc>
          <w:tcPr>
            <w:tcW w:w="1766"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lang w:val="en-US" w:eastAsia="zh-CN"/>
              </w:rPr>
              <w:t>1</w:t>
            </w:r>
            <w:r>
              <w:rPr>
                <w:color w:val="auto"/>
                <w:highlight w:val="none"/>
              </w:rPr>
              <w:t>年</w:t>
            </w:r>
            <w:r>
              <w:rPr>
                <w:rFonts w:hint="eastAsia"/>
                <w:color w:val="auto"/>
                <w:highlight w:val="none"/>
                <w:lang w:val="en-US" w:eastAsia="zh-CN"/>
              </w:rPr>
              <w:t>7</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调试</w:t>
            </w:r>
            <w:r>
              <w:rPr>
                <w:color w:val="auto"/>
                <w:highlight w:val="none"/>
              </w:rPr>
              <w:t>时间</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lang w:val="en-US" w:eastAsia="zh-CN"/>
              </w:rPr>
              <w:t>1</w:t>
            </w:r>
            <w:r>
              <w:rPr>
                <w:color w:val="auto"/>
                <w:highlight w:val="none"/>
              </w:rPr>
              <w:t>年</w:t>
            </w:r>
            <w:r>
              <w:rPr>
                <w:rFonts w:hint="eastAsia"/>
                <w:color w:val="auto"/>
                <w:highlight w:val="none"/>
                <w:lang w:val="en-US" w:eastAsia="zh-CN"/>
              </w:rPr>
              <w:t>10</w:t>
            </w:r>
            <w:r>
              <w:rPr>
                <w:color w:val="auto"/>
                <w:highlight w:val="none"/>
              </w:rPr>
              <w:t>月</w:t>
            </w:r>
          </w:p>
        </w:tc>
        <w:tc>
          <w:tcPr>
            <w:tcW w:w="1089"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验收</w:t>
            </w:r>
            <w:r>
              <w:rPr>
                <w:color w:val="auto"/>
                <w:highlight w:val="none"/>
              </w:rPr>
              <w:t>现场监测时间</w:t>
            </w:r>
          </w:p>
        </w:tc>
        <w:tc>
          <w:tcPr>
            <w:tcW w:w="1766" w:type="pct"/>
            <w:gridSpan w:val="3"/>
            <w:vAlign w:val="center"/>
          </w:tcPr>
          <w:p>
            <w:pPr>
              <w:pStyle w:val="33"/>
              <w:snapToGrid w:val="0"/>
              <w:spacing w:line="240" w:lineRule="auto"/>
              <w:ind w:firstLine="0" w:firstLineChars="0"/>
              <w:textAlignment w:val="auto"/>
              <w:rPr>
                <w:rFonts w:hint="eastAsia" w:eastAsia="宋体" w:cs="Times New Roman"/>
                <w:color w:val="auto"/>
                <w:szCs w:val="24"/>
                <w:highlight w:val="none"/>
                <w:lang w:eastAsia="zh-CN"/>
              </w:rPr>
            </w:pPr>
            <w:r>
              <w:rPr>
                <w:rFonts w:hint="eastAsia"/>
                <w:color w:val="auto"/>
                <w:kern w:val="0"/>
                <w:highlight w:val="none"/>
                <w:lang w:eastAsia="zh-CN"/>
              </w:rPr>
              <w:t>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25</w:t>
            </w:r>
            <w:r>
              <w:rPr>
                <w:rFonts w:hint="eastAsia"/>
                <w:color w:val="auto"/>
                <w:kern w:val="0"/>
                <w:highlight w:val="none"/>
                <w:lang w:eastAsia="zh-CN"/>
              </w:rPr>
              <w:t>日~202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26</w:t>
            </w:r>
            <w:r>
              <w:rPr>
                <w:rFonts w:hint="eastAsia"/>
                <w:color w:val="auto"/>
                <w:kern w:val="0"/>
                <w:highlight w:val="none"/>
                <w:lang w:eastAsia="zh-CN"/>
              </w:rPr>
              <w:t>日、</w:t>
            </w:r>
            <w:r>
              <w:rPr>
                <w:rFonts w:hint="eastAsia" w:cs="Times New Roman"/>
                <w:color w:val="auto"/>
                <w:kern w:val="0"/>
                <w:highlight w:val="none"/>
                <w:lang w:eastAsia="zh-CN"/>
              </w:rPr>
              <w:t>2022年8月1日~2022年8月3日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济南市生态环境局</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766" w:type="pct"/>
            <w:gridSpan w:val="3"/>
            <w:vAlign w:val="center"/>
          </w:tcPr>
          <w:p>
            <w:pPr>
              <w:adjustRightInd w:val="0"/>
              <w:snapToGrid w:val="0"/>
              <w:spacing w:line="240" w:lineRule="auto"/>
              <w:ind w:firstLine="0" w:firstLineChars="0"/>
              <w:rPr>
                <w:rFonts w:hint="eastAsia" w:eastAsia="宋体"/>
                <w:color w:val="auto"/>
                <w:highlight w:val="none"/>
                <w:lang w:eastAsia="zh-CN"/>
              </w:rPr>
            </w:pPr>
            <w:r>
              <w:rPr>
                <w:rFonts w:hint="eastAsia"/>
                <w:color w:val="auto"/>
                <w:highlight w:val="none"/>
                <w:lang w:eastAsia="zh-CN"/>
              </w:rPr>
              <w:t>山东博瑞达环保科技有限公司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30"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766"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3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500</w:t>
            </w:r>
            <w:r>
              <w:rPr>
                <w:color w:val="auto"/>
                <w:highlight w:val="none"/>
              </w:rPr>
              <w:t>万元</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42</w:t>
            </w:r>
            <w:r>
              <w:rPr>
                <w:color w:val="auto"/>
                <w:highlight w:val="none"/>
              </w:rPr>
              <w:t>万元</w:t>
            </w:r>
          </w:p>
        </w:tc>
        <w:tc>
          <w:tcPr>
            <w:tcW w:w="431"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69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8.4</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13"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一期</w:t>
            </w:r>
            <w:r>
              <w:rPr>
                <w:color w:val="auto"/>
                <w:highlight w:val="none"/>
              </w:rPr>
              <w:t>实际总投资</w:t>
            </w:r>
          </w:p>
        </w:tc>
        <w:tc>
          <w:tcPr>
            <w:tcW w:w="1030"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450</w:t>
            </w:r>
            <w:r>
              <w:rPr>
                <w:color w:val="auto"/>
                <w:highlight w:val="none"/>
              </w:rPr>
              <w:t>万元</w:t>
            </w:r>
          </w:p>
        </w:tc>
        <w:tc>
          <w:tcPr>
            <w:tcW w:w="1089"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42</w:t>
            </w:r>
            <w:r>
              <w:rPr>
                <w:color w:val="auto"/>
                <w:highlight w:val="none"/>
              </w:rPr>
              <w:t>万元</w:t>
            </w:r>
          </w:p>
        </w:tc>
        <w:tc>
          <w:tcPr>
            <w:tcW w:w="431"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69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9.3</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13"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3886" w:type="pct"/>
            <w:gridSpan w:val="5"/>
            <w:vAlign w:val="center"/>
          </w:tcPr>
          <w:p>
            <w:pPr>
              <w:adjustRightInd w:val="0"/>
              <w:snapToGrid w:val="0"/>
              <w:ind w:firstLine="0" w:firstLineChars="0"/>
              <w:jc w:val="left"/>
              <w:rPr>
                <w:color w:val="auto"/>
                <w:highlight w:val="none"/>
              </w:rPr>
            </w:pPr>
            <w:r>
              <w:rPr>
                <w:color w:val="auto"/>
                <w:highlight w:val="none"/>
              </w:rPr>
              <w:t>1、中华人民共和国国务院令《建设项目环境保护管理条例》（2017年修订）第682号；</w:t>
            </w:r>
          </w:p>
          <w:p>
            <w:pPr>
              <w:adjustRightInd w:val="0"/>
              <w:snapToGrid w:val="0"/>
              <w:ind w:firstLine="0" w:firstLineChars="0"/>
              <w:jc w:val="left"/>
              <w:rPr>
                <w:color w:val="auto"/>
                <w:highlight w:val="none"/>
              </w:rPr>
            </w:pPr>
            <w:r>
              <w:rPr>
                <w:color w:val="auto"/>
                <w:highlight w:val="none"/>
              </w:rPr>
              <w:t>2、生态环境部＜关于发布《建设项目竣工环境保护验收技术指南 污染影响类》的公告＞（公告2018年 第9号）；</w:t>
            </w:r>
          </w:p>
          <w:p>
            <w:pPr>
              <w:adjustRightInd w:val="0"/>
              <w:snapToGrid w:val="0"/>
              <w:ind w:firstLine="0" w:firstLineChars="0"/>
              <w:jc w:val="left"/>
              <w:rPr>
                <w:color w:val="auto"/>
                <w:highlight w:val="none"/>
              </w:rPr>
            </w:pPr>
            <w:r>
              <w:rPr>
                <w:color w:val="auto"/>
                <w:highlight w:val="none"/>
              </w:rPr>
              <w:t>3、环境保护部办公厅函《建设项目竣工环境保护验收暂行办法》（国环规环评[2017]4号）；</w:t>
            </w:r>
          </w:p>
          <w:p>
            <w:pPr>
              <w:ind w:firstLine="0" w:firstLineChars="0"/>
              <w:rPr>
                <w:color w:val="auto"/>
                <w:highlight w:val="none"/>
              </w:rPr>
            </w:pPr>
            <w:r>
              <w:rPr>
                <w:rFonts w:hint="eastAsia"/>
                <w:color w:val="auto"/>
                <w:highlight w:val="none"/>
              </w:rPr>
              <w:t>4</w:t>
            </w:r>
            <w:r>
              <w:rPr>
                <w:color w:val="auto"/>
                <w:highlight w:val="none"/>
              </w:rPr>
              <w:t>、关于印发《污染影响类建设项目重大变动清单（试行）的通知》（环办环评函[2020]688号）；</w:t>
            </w:r>
          </w:p>
          <w:p>
            <w:pPr>
              <w:adjustRightInd w:val="0"/>
              <w:snapToGrid w:val="0"/>
              <w:ind w:firstLine="0" w:firstLineChars="0"/>
              <w:jc w:val="left"/>
              <w:rPr>
                <w:color w:val="auto"/>
                <w:highlight w:val="none"/>
              </w:rPr>
            </w:pPr>
            <w:r>
              <w:rPr>
                <w:rFonts w:hint="eastAsia"/>
                <w:color w:val="auto"/>
                <w:highlight w:val="none"/>
              </w:rPr>
              <w:t>5</w:t>
            </w:r>
            <w:r>
              <w:rPr>
                <w:color w:val="auto"/>
                <w:highlight w:val="none"/>
              </w:rPr>
              <w:t>、《关于印发建设项目竣工环境保护验收现场检查及审查要点的通知》（环办〔2015〕113号）；</w:t>
            </w:r>
          </w:p>
          <w:p>
            <w:pPr>
              <w:pStyle w:val="33"/>
              <w:ind w:firstLine="0" w:firstLineChars="0"/>
              <w:rPr>
                <w:rFonts w:hint="default" w:ascii="Times New Roman" w:hAnsi="Times New Roman" w:eastAsia="宋体" w:cs="宋体"/>
                <w:color w:val="auto"/>
                <w:highlight w:val="none"/>
              </w:rPr>
            </w:pPr>
            <w:r>
              <w:rPr>
                <w:rFonts w:hint="default" w:ascii="Times New Roman" w:hAnsi="Times New Roman" w:eastAsia="宋体" w:cs="宋体"/>
                <w:color w:val="auto"/>
                <w:highlight w:val="none"/>
                <w:lang w:val="en-US" w:eastAsia="zh-CN"/>
              </w:rPr>
              <w:t>6、</w:t>
            </w:r>
            <w:r>
              <w:rPr>
                <w:rFonts w:hint="default" w:ascii="Times New Roman" w:hAnsi="Times New Roman" w:eastAsia="宋体" w:cs="宋体"/>
                <w:color w:val="auto"/>
                <w:highlight w:val="none"/>
              </w:rPr>
              <w:t>环境保护部办公厅文件《关于印发环评管理中部分行业建设项目重大变动清单的通知》（环办[2015]52号）；</w:t>
            </w:r>
          </w:p>
          <w:p>
            <w:pPr>
              <w:pStyle w:val="33"/>
              <w:snapToGrid w:val="0"/>
              <w:ind w:firstLine="0" w:firstLineChars="0"/>
              <w:rPr>
                <w:rFonts w:hint="default" w:ascii="Times New Roman" w:hAnsi="Times New Roman" w:eastAsia="宋体" w:cs="宋体"/>
                <w:color w:val="auto"/>
                <w:highlight w:val="none"/>
                <w:lang w:val="en-US" w:eastAsia="zh-CN"/>
              </w:rPr>
            </w:pPr>
            <w:r>
              <w:rPr>
                <w:rFonts w:hint="default" w:ascii="Times New Roman" w:hAnsi="Times New Roman" w:eastAsia="宋体" w:cs="宋体"/>
                <w:color w:val="auto"/>
                <w:highlight w:val="none"/>
                <w:lang w:val="en-US" w:eastAsia="zh-CN"/>
              </w:rPr>
              <w:t>7、《</w:t>
            </w:r>
            <w:r>
              <w:rPr>
                <w:rFonts w:ascii="Times New Roman" w:hAnsi="Times New Roman" w:eastAsia="宋体" w:cs="宋体"/>
                <w:color w:val="auto"/>
                <w:sz w:val="24"/>
                <w:szCs w:val="20"/>
                <w:highlight w:val="none"/>
              </w:rPr>
              <w:t>关于进一步加强建设项目固体废物环境管理的通知</w:t>
            </w:r>
            <w:r>
              <w:rPr>
                <w:rFonts w:hint="default" w:ascii="Times New Roman" w:hAnsi="Times New Roman" w:eastAsia="宋体" w:cs="宋体"/>
                <w:color w:val="auto"/>
                <w:highlight w:val="none"/>
                <w:lang w:val="en-US" w:eastAsia="zh-CN"/>
              </w:rPr>
              <w:t>》鲁环办函〔2016〕141号</w:t>
            </w:r>
            <w:r>
              <w:rPr>
                <w:rFonts w:hint="eastAsia" w:ascii="Times New Roman" w:hAnsi="Times New Roman" w:eastAsia="宋体" w:cs="宋体"/>
                <w:color w:val="auto"/>
                <w:highlight w:val="none"/>
                <w:lang w:val="en-US" w:eastAsia="zh-CN"/>
              </w:rPr>
              <w:t>（2016年9月30日）；</w:t>
            </w:r>
          </w:p>
          <w:p>
            <w:pPr>
              <w:pStyle w:val="33"/>
              <w:snapToGrid w:val="0"/>
              <w:ind w:firstLine="0" w:firstLineChars="0"/>
              <w:rPr>
                <w:rFonts w:ascii="Times New Roman" w:hAnsi="Times New Roman" w:eastAsia="宋体" w:cs="宋体"/>
                <w:color w:val="auto"/>
                <w:highlight w:val="none"/>
              </w:rPr>
            </w:pPr>
            <w:r>
              <w:rPr>
                <w:rFonts w:hint="default" w:ascii="Times New Roman" w:hAnsi="Times New Roman" w:eastAsia="宋体" w:cs="宋体"/>
                <w:color w:val="auto"/>
                <w:highlight w:val="none"/>
                <w:lang w:val="en-US" w:eastAsia="zh-CN"/>
              </w:rPr>
              <w:t>8</w:t>
            </w:r>
            <w:r>
              <w:rPr>
                <w:rFonts w:ascii="Times New Roman" w:hAnsi="Times New Roman" w:eastAsia="宋体" w:cs="宋体"/>
                <w:color w:val="auto"/>
                <w:highlight w:val="none"/>
              </w:rPr>
              <w:t>、《中华人民共和国环境保护法》（2015年1月1日实施）；</w:t>
            </w:r>
          </w:p>
          <w:p>
            <w:pPr>
              <w:pStyle w:val="33"/>
              <w:snapToGrid w:val="0"/>
              <w:ind w:firstLine="0" w:firstLineChars="0"/>
              <w:textAlignment w:val="auto"/>
              <w:rPr>
                <w:color w:val="auto"/>
                <w:highlight w:val="none"/>
              </w:rPr>
            </w:pPr>
            <w:r>
              <w:rPr>
                <w:rFonts w:hint="eastAsia"/>
                <w:color w:val="auto"/>
                <w:highlight w:val="none"/>
                <w:lang w:val="en-US" w:eastAsia="zh-CN"/>
              </w:rPr>
              <w:t>9</w:t>
            </w:r>
            <w:r>
              <w:rPr>
                <w:color w:val="auto"/>
                <w:highlight w:val="none"/>
              </w:rPr>
              <w:t>、《中华人民共和国环境影响评价法》（2018年修正，2020年9月29日起实施）；</w:t>
            </w:r>
          </w:p>
          <w:p>
            <w:pPr>
              <w:pStyle w:val="33"/>
              <w:snapToGrid w:val="0"/>
              <w:ind w:firstLine="0" w:firstLineChars="0"/>
              <w:textAlignment w:val="auto"/>
              <w:rPr>
                <w:color w:val="auto"/>
                <w:highlight w:val="none"/>
              </w:rPr>
            </w:pPr>
            <w:r>
              <w:rPr>
                <w:rFonts w:hint="eastAsia"/>
                <w:color w:val="auto"/>
                <w:highlight w:val="none"/>
                <w:lang w:val="en-US" w:eastAsia="zh-CN"/>
              </w:rPr>
              <w:t>10</w:t>
            </w:r>
            <w:r>
              <w:rPr>
                <w:color w:val="auto"/>
                <w:highlight w:val="none"/>
              </w:rPr>
              <w:t>、《中华人民共和国固体废物污染环境防治法》（2020年9月1日起实施）；</w:t>
            </w:r>
          </w:p>
          <w:p>
            <w:pPr>
              <w:pStyle w:val="33"/>
              <w:snapToGrid w:val="0"/>
              <w:ind w:firstLine="0" w:firstLineChars="0"/>
              <w:textAlignment w:val="auto"/>
              <w:rPr>
                <w:color w:val="auto"/>
                <w:highlight w:val="none"/>
              </w:rPr>
            </w:pPr>
            <w:r>
              <w:rPr>
                <w:rFonts w:hint="eastAsia"/>
                <w:color w:val="auto"/>
                <w:highlight w:val="none"/>
                <w:lang w:val="en-US" w:eastAsia="zh-CN"/>
              </w:rPr>
              <w:t>11</w:t>
            </w:r>
            <w:r>
              <w:rPr>
                <w:color w:val="auto"/>
                <w:highlight w:val="none"/>
              </w:rPr>
              <w:t>、《中华人民共和国水污染防治法》（2018年1月1日施行）；</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2</w:t>
            </w:r>
            <w:r>
              <w:rPr>
                <w:color w:val="auto"/>
                <w:highlight w:val="none"/>
              </w:rPr>
              <w:t>、《中华人民共和国噪声污染防治法》</w:t>
            </w:r>
            <w:r>
              <w:rPr>
                <w:rFonts w:hint="eastAsia" w:cs="Times New Roman"/>
                <w:color w:val="auto"/>
                <w:szCs w:val="24"/>
                <w:highlight w:val="none"/>
              </w:rPr>
              <w:t>（</w:t>
            </w:r>
            <w:r>
              <w:rPr>
                <w:rFonts w:cs="Times New Roman"/>
                <w:color w:val="auto"/>
                <w:szCs w:val="24"/>
                <w:highlight w:val="none"/>
              </w:rPr>
              <w:t>2022年6月5日施行</w:t>
            </w:r>
            <w:r>
              <w:rPr>
                <w:rFonts w:hint="eastAsia" w:cs="Times New Roman"/>
                <w:color w:val="auto"/>
                <w:szCs w:val="24"/>
                <w:highlight w:val="none"/>
              </w:rPr>
              <w:t>）</w:t>
            </w:r>
            <w:r>
              <w:rPr>
                <w:color w:val="auto"/>
                <w:highlight w:val="none"/>
              </w:rPr>
              <w:t>；</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3</w:t>
            </w:r>
            <w:r>
              <w:rPr>
                <w:color w:val="auto"/>
                <w:highlight w:val="none"/>
              </w:rPr>
              <w:t>、《中华人民共和国大气污染防治法》（2018年10月）；</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4</w:t>
            </w:r>
            <w:r>
              <w:rPr>
                <w:color w:val="auto"/>
                <w:highlight w:val="none"/>
              </w:rPr>
              <w:t>、《山东省环境保护条例》（2019年1月1日）；</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5</w:t>
            </w:r>
            <w:r>
              <w:rPr>
                <w:color w:val="auto"/>
                <w:highlight w:val="none"/>
              </w:rPr>
              <w:t>、</w:t>
            </w:r>
            <w:r>
              <w:rPr>
                <w:rFonts w:hint="eastAsia"/>
                <w:color w:val="auto"/>
                <w:highlight w:val="none"/>
                <w:lang w:eastAsia="zh-CN"/>
              </w:rPr>
              <w:t>山东博瑞达环保科技有限公司</w:t>
            </w:r>
            <w:r>
              <w:rPr>
                <w:color w:val="auto"/>
                <w:highlight w:val="none"/>
              </w:rPr>
              <w:t>《</w:t>
            </w:r>
            <w:r>
              <w:rPr>
                <w:rFonts w:hint="eastAsia"/>
                <w:color w:val="auto"/>
                <w:highlight w:val="none"/>
                <w:lang w:eastAsia="zh-CN"/>
              </w:rPr>
              <w:t>国鼎药物研究（济南）有限责任公司国鼎药物研发实验室项目环境影响</w:t>
            </w:r>
            <w:r>
              <w:rPr>
                <w:color w:val="auto"/>
                <w:highlight w:val="none"/>
              </w:rPr>
              <w:t>报告表》（2021年</w:t>
            </w:r>
            <w:r>
              <w:rPr>
                <w:rFonts w:hint="eastAsia"/>
                <w:color w:val="auto"/>
                <w:highlight w:val="none"/>
                <w:lang w:val="en-US" w:eastAsia="zh-CN"/>
              </w:rPr>
              <w:t>5</w:t>
            </w:r>
            <w:r>
              <w:rPr>
                <w:color w:val="auto"/>
                <w:highlight w:val="none"/>
              </w:rPr>
              <w:t>月）；</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6</w:t>
            </w:r>
            <w:r>
              <w:rPr>
                <w:rFonts w:hint="eastAsia"/>
                <w:color w:val="auto"/>
                <w:highlight w:val="none"/>
              </w:rPr>
              <w:t>、</w:t>
            </w:r>
            <w:r>
              <w:rPr>
                <w:color w:val="auto"/>
                <w:highlight w:val="none"/>
              </w:rPr>
              <w:t>济南市生态环境局</w:t>
            </w:r>
            <w:r>
              <w:rPr>
                <w:rFonts w:hint="eastAsia"/>
                <w:color w:val="auto"/>
                <w:highlight w:val="none"/>
              </w:rPr>
              <w:t>关于《</w:t>
            </w:r>
            <w:r>
              <w:rPr>
                <w:rFonts w:hint="eastAsia"/>
                <w:color w:val="auto"/>
                <w:highlight w:val="none"/>
                <w:lang w:eastAsia="zh-CN"/>
              </w:rPr>
              <w:t>国鼎药物研究（济南）有限责任公司国鼎药物研发实验室项目环境影响</w:t>
            </w:r>
            <w:r>
              <w:rPr>
                <w:rFonts w:hint="eastAsia"/>
                <w:color w:val="auto"/>
                <w:highlight w:val="none"/>
              </w:rPr>
              <w:t>报告表》的</w:t>
            </w:r>
            <w:r>
              <w:rPr>
                <w:color w:val="auto"/>
                <w:highlight w:val="none"/>
              </w:rPr>
              <w:t>批复</w:t>
            </w:r>
            <w:r>
              <w:rPr>
                <w:rFonts w:hint="eastAsia"/>
                <w:color w:val="auto"/>
                <w:highlight w:val="none"/>
              </w:rPr>
              <w:t>（</w:t>
            </w:r>
            <w:r>
              <w:rPr>
                <w:rFonts w:hint="eastAsia"/>
                <w:color w:val="auto"/>
                <w:highlight w:val="none"/>
                <w:lang w:eastAsia="zh-CN"/>
              </w:rPr>
              <w:t>济环报告表［2021］G47号</w:t>
            </w:r>
            <w:r>
              <w:rPr>
                <w:rFonts w:hint="eastAsia"/>
                <w:color w:val="auto"/>
                <w:highlight w:val="none"/>
              </w:rPr>
              <w:t>，</w:t>
            </w:r>
            <w:r>
              <w:rPr>
                <w:rFonts w:hint="eastAsia"/>
                <w:color w:val="auto"/>
                <w:highlight w:val="none"/>
                <w:lang w:eastAsia="zh-CN"/>
              </w:rPr>
              <w:t>2021年7月20日</w:t>
            </w:r>
            <w:r>
              <w:rPr>
                <w:rFonts w:hint="eastAsia"/>
                <w:color w:val="auto"/>
                <w:highlight w:val="none"/>
              </w:rPr>
              <w:t>）；</w:t>
            </w:r>
          </w:p>
          <w:p>
            <w:pPr>
              <w:pStyle w:val="33"/>
              <w:snapToGrid w:val="0"/>
              <w:ind w:firstLine="0" w:firstLineChars="0"/>
              <w:rPr>
                <w:color w:val="auto"/>
                <w:highlight w:val="none"/>
              </w:rPr>
            </w:pPr>
            <w:r>
              <w:rPr>
                <w:color w:val="auto"/>
                <w:highlight w:val="none"/>
              </w:rPr>
              <w:t>1</w:t>
            </w:r>
            <w:r>
              <w:rPr>
                <w:rFonts w:hint="eastAsia"/>
                <w:color w:val="auto"/>
                <w:highlight w:val="none"/>
                <w:lang w:val="en-US" w:eastAsia="zh-CN"/>
              </w:rPr>
              <w:t>7</w:t>
            </w:r>
            <w:r>
              <w:rPr>
                <w:color w:val="auto"/>
                <w:highlight w:val="none"/>
              </w:rPr>
              <w:t>、</w:t>
            </w:r>
            <w:r>
              <w:rPr>
                <w:rFonts w:hint="eastAsia"/>
                <w:color w:val="auto"/>
                <w:highlight w:val="none"/>
                <w:lang w:eastAsia="zh-CN"/>
              </w:rPr>
              <w:t>国鼎药物研究（济南）有限责任公司国鼎药物研发实验室项目（一期）</w:t>
            </w:r>
            <w:r>
              <w:rPr>
                <w:color w:val="auto"/>
                <w:highlight w:val="none"/>
              </w:rPr>
              <w:t>竣工环境保护验收监测委托书。</w:t>
            </w: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p>
            <w:pPr>
              <w:pStyle w:val="33"/>
              <w:snapToGrid w:val="0"/>
              <w:ind w:firstLine="0" w:firstLineChars="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13" w:type="pct"/>
            <w:vAlign w:val="center"/>
          </w:tcPr>
          <w:p>
            <w:pPr>
              <w:spacing w:line="240" w:lineRule="auto"/>
              <w:ind w:firstLine="0" w:firstLineChars="0"/>
              <w:jc w:val="center"/>
              <w:rPr>
                <w:color w:val="auto"/>
                <w:sz w:val="30"/>
                <w:szCs w:val="30"/>
                <w:highlight w:val="none"/>
              </w:rPr>
            </w:pPr>
            <w:r>
              <w:rPr>
                <w:color w:val="auto"/>
                <w:highlight w:val="none"/>
              </w:rPr>
              <w:t>验收判定标准</w:t>
            </w:r>
          </w:p>
          <w:p>
            <w:pPr>
              <w:spacing w:line="240" w:lineRule="auto"/>
              <w:ind w:firstLine="0" w:firstLineChars="0"/>
              <w:jc w:val="center"/>
              <w:rPr>
                <w:color w:val="auto"/>
                <w:highlight w:val="none"/>
              </w:rPr>
            </w:pPr>
            <w:r>
              <w:rPr>
                <w:color w:val="auto"/>
                <w:highlight w:val="none"/>
              </w:rPr>
              <w:t>标号、级别</w:t>
            </w:r>
          </w:p>
        </w:tc>
        <w:tc>
          <w:tcPr>
            <w:tcW w:w="3886" w:type="pct"/>
            <w:gridSpan w:val="5"/>
            <w:vAlign w:val="center"/>
          </w:tcPr>
          <w:p>
            <w:pPr>
              <w:pStyle w:val="3"/>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adjustRightInd w:val="0"/>
              <w:snapToGrid w:val="0"/>
              <w:spacing w:line="360" w:lineRule="auto"/>
              <w:ind w:firstLine="480" w:firstLineChars="200"/>
              <w:jc w:val="both"/>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t>硫酸雾有组织排放浓度和排放速率执行《大气污染物综合排放标准》(GB 16297-1996)中表</w:t>
            </w:r>
            <w:r>
              <w:rPr>
                <w:rFonts w:hint="eastAsia" w:cs="Times New Roman"/>
                <w:color w:val="auto"/>
                <w:sz w:val="24"/>
                <w:lang w:val="en-US" w:eastAsia="zh-CN"/>
              </w:rPr>
              <w:t>2</w:t>
            </w:r>
            <w:r>
              <w:rPr>
                <w:rFonts w:hint="eastAsia" w:ascii="Times New Roman" w:hAnsi="Times New Roman" w:cs="Times New Roman"/>
                <w:color w:val="auto"/>
                <w:sz w:val="24"/>
                <w:lang w:eastAsia="zh-CN"/>
              </w:rPr>
              <w:t>二级标准的要求；氯化氢有组织排放浓度执行《制药工业大气污染物排放标准》（GB37823-2019）表</w:t>
            </w:r>
            <w:r>
              <w:rPr>
                <w:rFonts w:hint="eastAsia" w:cs="Times New Roman"/>
                <w:color w:val="auto"/>
                <w:sz w:val="24"/>
                <w:lang w:val="en-US" w:eastAsia="zh-CN"/>
              </w:rPr>
              <w:t>2</w:t>
            </w:r>
            <w:r>
              <w:rPr>
                <w:rFonts w:hint="eastAsia" w:ascii="Times New Roman" w:hAnsi="Times New Roman" w:cs="Times New Roman"/>
                <w:color w:val="auto"/>
                <w:sz w:val="24"/>
                <w:lang w:eastAsia="zh-CN"/>
              </w:rPr>
              <w:t>中研发机构工艺废气要求，排放速率执行《大气污染物综合排放标准》(GB16297 - 1996)中表</w:t>
            </w:r>
            <w:r>
              <w:rPr>
                <w:rFonts w:hint="eastAsia" w:cs="Times New Roman"/>
                <w:color w:val="auto"/>
                <w:sz w:val="24"/>
                <w:lang w:val="en-US" w:eastAsia="zh-CN"/>
              </w:rPr>
              <w:t>2</w:t>
            </w:r>
            <w:r>
              <w:rPr>
                <w:rFonts w:hint="eastAsia" w:ascii="Times New Roman" w:hAnsi="Times New Roman" w:cs="Times New Roman"/>
                <w:color w:val="auto"/>
                <w:sz w:val="24"/>
                <w:lang w:eastAsia="zh-CN"/>
              </w:rPr>
              <w:t>二级标准的要求；VOCs 有组织排放浓度执行《挥发性有机物排放标准第 7 部分：其他行业》（DB37/2801.7-2019）表</w:t>
            </w:r>
            <w:r>
              <w:rPr>
                <w:rFonts w:hint="eastAsia" w:cs="Times New Roman"/>
                <w:color w:val="auto"/>
                <w:sz w:val="24"/>
                <w:lang w:val="en-US" w:eastAsia="zh-CN"/>
              </w:rPr>
              <w:t>1</w:t>
            </w:r>
            <w:r>
              <w:rPr>
                <w:rFonts w:hint="eastAsia" w:ascii="Times New Roman" w:hAnsi="Times New Roman" w:cs="Times New Roman"/>
                <w:color w:val="auto"/>
                <w:sz w:val="24"/>
                <w:lang w:eastAsia="zh-CN"/>
              </w:rPr>
              <w:t>中非重点行业II时段排放限值、《制药工业大气污染物排放标准》（GB37823-2019）表</w:t>
            </w:r>
            <w:r>
              <w:rPr>
                <w:rFonts w:hint="eastAsia" w:cs="Times New Roman"/>
                <w:color w:val="auto"/>
                <w:sz w:val="24"/>
                <w:lang w:val="en-US" w:eastAsia="zh-CN"/>
              </w:rPr>
              <w:t>2</w:t>
            </w:r>
            <w:r>
              <w:rPr>
                <w:rFonts w:hint="eastAsia" w:ascii="Times New Roman" w:hAnsi="Times New Roman" w:cs="Times New Roman"/>
                <w:color w:val="auto"/>
                <w:sz w:val="24"/>
                <w:lang w:eastAsia="zh-CN"/>
              </w:rPr>
              <w:t>中研发机构工艺废气要求，排放速率执行《挥发性有机物排放标准第 7 部分：其他行业》（DB37/2801.7-2019）表</w:t>
            </w:r>
            <w:r>
              <w:rPr>
                <w:rFonts w:hint="eastAsia" w:cs="Times New Roman"/>
                <w:color w:val="auto"/>
                <w:sz w:val="24"/>
                <w:lang w:val="en-US" w:eastAsia="zh-CN"/>
              </w:rPr>
              <w:t>1</w:t>
            </w:r>
            <w:r>
              <w:rPr>
                <w:rFonts w:hint="eastAsia" w:ascii="Times New Roman" w:hAnsi="Times New Roman" w:cs="Times New Roman"/>
                <w:color w:val="auto"/>
                <w:sz w:val="24"/>
                <w:lang w:eastAsia="zh-CN"/>
              </w:rPr>
              <w:t xml:space="preserve">中非重点行业II时段排放限值。 </w:t>
            </w:r>
          </w:p>
          <w:p>
            <w:pPr>
              <w:adjustRightInd w:val="0"/>
              <w:snapToGrid w:val="0"/>
              <w:spacing w:line="360" w:lineRule="auto"/>
              <w:ind w:firstLine="480" w:firstLineChars="200"/>
              <w:jc w:val="both"/>
              <w:rPr>
                <w:rFonts w:hint="eastAsia" w:ascii="Times New Roman" w:hAnsi="Times New Roman" w:cs="Times New Roman"/>
                <w:color w:val="auto"/>
                <w:sz w:val="24"/>
                <w:lang w:eastAsia="zh-CN"/>
              </w:rPr>
            </w:pPr>
            <w:r>
              <w:rPr>
                <w:rFonts w:hint="eastAsia" w:ascii="Times New Roman" w:hAnsi="Times New Roman" w:cs="Times New Roman"/>
                <w:color w:val="auto"/>
                <w:sz w:val="24"/>
                <w:lang w:eastAsia="zh-CN"/>
              </w:rPr>
              <w:t>硫酸雾厂界浓度执行《大气污染物综合排放标准》（GB16297-1996）表</w:t>
            </w:r>
            <w:r>
              <w:rPr>
                <w:rFonts w:hint="eastAsia" w:cs="Times New Roman"/>
                <w:color w:val="auto"/>
                <w:sz w:val="24"/>
                <w:lang w:val="en-US" w:eastAsia="zh-CN"/>
              </w:rPr>
              <w:t>2</w:t>
            </w:r>
            <w:r>
              <w:rPr>
                <w:rFonts w:hint="eastAsia" w:ascii="Times New Roman" w:hAnsi="Times New Roman" w:cs="Times New Roman"/>
                <w:color w:val="auto"/>
                <w:sz w:val="24"/>
                <w:lang w:eastAsia="zh-CN"/>
              </w:rPr>
              <w:t>要求。氯化氢厂界浓度</w:t>
            </w:r>
            <w:r>
              <w:rPr>
                <w:rFonts w:hint="eastAsia" w:cs="Times New Roman"/>
                <w:color w:val="auto"/>
                <w:sz w:val="24"/>
                <w:lang w:eastAsia="zh-CN"/>
              </w:rPr>
              <w:t>执行</w:t>
            </w:r>
            <w:r>
              <w:rPr>
                <w:rFonts w:hint="eastAsia" w:ascii="Times New Roman" w:hAnsi="Times New Roman" w:cs="Times New Roman"/>
                <w:color w:val="auto"/>
                <w:sz w:val="24"/>
                <w:lang w:eastAsia="zh-CN"/>
              </w:rPr>
              <w:t>《制药工业大气污染物排放标准》（GB37823-2019）表</w:t>
            </w:r>
            <w:r>
              <w:rPr>
                <w:rFonts w:hint="eastAsia" w:cs="Times New Roman"/>
                <w:color w:val="auto"/>
                <w:sz w:val="24"/>
                <w:lang w:val="en-US" w:eastAsia="zh-CN"/>
              </w:rPr>
              <w:t>4</w:t>
            </w:r>
            <w:r>
              <w:rPr>
                <w:rFonts w:hint="eastAsia" w:ascii="Times New Roman" w:hAnsi="Times New Roman" w:cs="Times New Roman"/>
                <w:color w:val="auto"/>
                <w:sz w:val="24"/>
                <w:lang w:eastAsia="zh-CN"/>
              </w:rPr>
              <w:t>浓度限值及《大气污染物综合排放标准》（GB16297-1996）表</w:t>
            </w:r>
            <w:r>
              <w:rPr>
                <w:rFonts w:hint="eastAsia" w:cs="Times New Roman"/>
                <w:color w:val="auto"/>
                <w:sz w:val="24"/>
                <w:lang w:val="en-US" w:eastAsia="zh-CN"/>
              </w:rPr>
              <w:t>2</w:t>
            </w:r>
            <w:r>
              <w:rPr>
                <w:rFonts w:hint="eastAsia" w:ascii="Times New Roman" w:hAnsi="Times New Roman" w:cs="Times New Roman"/>
                <w:color w:val="auto"/>
                <w:sz w:val="24"/>
                <w:lang w:eastAsia="zh-CN"/>
              </w:rPr>
              <w:t>浓度限值要求。VOCs 厂界浓度</w:t>
            </w:r>
            <w:r>
              <w:rPr>
                <w:rFonts w:hint="eastAsia" w:cs="Times New Roman"/>
                <w:color w:val="auto"/>
                <w:sz w:val="24"/>
                <w:lang w:eastAsia="zh-CN"/>
              </w:rPr>
              <w:t>执行</w:t>
            </w:r>
            <w:r>
              <w:rPr>
                <w:rFonts w:hint="eastAsia" w:ascii="Times New Roman" w:hAnsi="Times New Roman" w:cs="Times New Roman"/>
                <w:color w:val="auto"/>
                <w:sz w:val="24"/>
                <w:lang w:eastAsia="zh-CN"/>
              </w:rPr>
              <w:t>《挥发性有机物排放标准第 7 部分：其他行业》（DB37/2801.7-2019）表</w:t>
            </w:r>
            <w:r>
              <w:rPr>
                <w:rFonts w:hint="eastAsia" w:cs="Times New Roman"/>
                <w:color w:val="auto"/>
                <w:sz w:val="24"/>
                <w:lang w:val="en-US" w:eastAsia="zh-CN"/>
              </w:rPr>
              <w:t>2</w:t>
            </w:r>
            <w:r>
              <w:rPr>
                <w:rFonts w:hint="eastAsia" w:ascii="Times New Roman" w:hAnsi="Times New Roman" w:cs="Times New Roman"/>
                <w:color w:val="auto"/>
                <w:sz w:val="24"/>
                <w:lang w:eastAsia="zh-CN"/>
              </w:rPr>
              <w:t>厂界监控点浓度限值、《制药工业大气污染物排放标准》（GB37823-2019）、《挥发性有机物无组织排放控制标准》（GB37822-2019）要求。</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1-1</w:t>
            </w:r>
            <w:r>
              <w:rPr>
                <w:rFonts w:hint="default" w:ascii="Times New Roman" w:hAnsi="Times New Roman" w:cs="Times New Roman"/>
                <w:b/>
                <w:bCs/>
                <w:color w:val="auto"/>
                <w:sz w:val="24"/>
                <w:lang w:val="en-US" w:eastAsia="zh-CN"/>
              </w:rPr>
              <w:t xml:space="preserve">  大气污染物排放限值</w:t>
            </w:r>
          </w:p>
          <w:tbl>
            <w:tblPr>
              <w:tblStyle w:val="29"/>
              <w:tblW w:w="4997" w:type="pct"/>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037"/>
              <w:gridCol w:w="1546"/>
              <w:gridCol w:w="933"/>
              <w:gridCol w:w="1279"/>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序号</w:t>
                  </w:r>
                </w:p>
              </w:tc>
              <w:tc>
                <w:tcPr>
                  <w:tcW w:w="727" w:type="pct"/>
                  <w:vMerge w:val="restar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污染物</w:t>
                  </w:r>
                </w:p>
              </w:tc>
              <w:tc>
                <w:tcPr>
                  <w:tcW w:w="2635" w:type="pct"/>
                  <w:gridSpan w:val="3"/>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有组织排放</w:t>
                  </w:r>
                </w:p>
              </w:tc>
              <w:tc>
                <w:tcPr>
                  <w:tcW w:w="1185"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bCs/>
                      <w:color w:val="auto"/>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727" w:type="pct"/>
                  <w:vMerge w:val="continue"/>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p>
              </w:tc>
              <w:tc>
                <w:tcPr>
                  <w:tcW w:w="1084"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eastAsia" w:cs="Times New Roman"/>
                      <w:b/>
                      <w:bCs/>
                      <w:color w:val="auto"/>
                      <w:szCs w:val="21"/>
                      <w:lang w:val="en-US" w:eastAsia="zh-CN"/>
                    </w:rPr>
                    <w:t>最高允许</w:t>
                  </w:r>
                  <w:r>
                    <w:rPr>
                      <w:rFonts w:hint="default" w:ascii="Times New Roman" w:hAnsi="Times New Roman" w:eastAsia="宋体" w:cs="Times New Roman"/>
                      <w:b/>
                      <w:bCs/>
                      <w:color w:val="auto"/>
                      <w:szCs w:val="21"/>
                      <w:lang w:val="en-US" w:eastAsia="zh-CN"/>
                    </w:rPr>
                    <w:t>排放浓度mg/</w:t>
                  </w:r>
                  <w:r>
                    <w:rPr>
                      <w:rFonts w:hint="eastAsia" w:cs="Times New Roman"/>
                      <w:b/>
                      <w:bCs/>
                      <w:color w:val="auto"/>
                      <w:szCs w:val="21"/>
                      <w:vertAlign w:val="baseline"/>
                      <w:lang w:val="en-US" w:eastAsia="zh-CN"/>
                    </w:rPr>
                    <w:t>m</w:t>
                  </w:r>
                  <w:r>
                    <w:rPr>
                      <w:rFonts w:hint="eastAsia" w:cs="Times New Roman"/>
                      <w:b/>
                      <w:bCs/>
                      <w:color w:val="auto"/>
                      <w:szCs w:val="21"/>
                      <w:vertAlign w:val="superscript"/>
                      <w:lang w:val="en-US" w:eastAsia="zh-CN"/>
                    </w:rPr>
                    <w:t>3</w:t>
                  </w:r>
                </w:p>
              </w:tc>
              <w:tc>
                <w:tcPr>
                  <w:tcW w:w="654"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排气筒高度m</w:t>
                  </w:r>
                </w:p>
              </w:tc>
              <w:tc>
                <w:tcPr>
                  <w:tcW w:w="897"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最高允许</w:t>
                  </w:r>
                  <w:r>
                    <w:rPr>
                      <w:rFonts w:hint="default" w:ascii="Times New Roman" w:hAnsi="Times New Roman" w:eastAsia="宋体" w:cs="Times New Roman"/>
                      <w:b/>
                      <w:bCs/>
                      <w:color w:val="auto"/>
                      <w:szCs w:val="21"/>
                      <w:lang w:val="en-US" w:eastAsia="zh-CN"/>
                    </w:rPr>
                    <w:t>排放速率kg/h</w:t>
                  </w:r>
                </w:p>
              </w:tc>
              <w:tc>
                <w:tcPr>
                  <w:tcW w:w="1185"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color w:val="auto"/>
                      <w:szCs w:val="21"/>
                      <w:lang w:val="en-US" w:eastAsia="zh-CN"/>
                    </w:rPr>
                  </w:pPr>
                  <w:r>
                    <w:rPr>
                      <w:rFonts w:hint="eastAsia" w:cs="Times New Roman"/>
                      <w:b/>
                      <w:bCs/>
                      <w:color w:val="auto"/>
                      <w:szCs w:val="21"/>
                      <w:lang w:val="en-US" w:eastAsia="zh-CN"/>
                    </w:rPr>
                    <w:t>周界外浓度最高点限值</w:t>
                  </w:r>
                  <w:r>
                    <w:rPr>
                      <w:rFonts w:hint="default" w:ascii="Times New Roman" w:hAnsi="Times New Roman" w:eastAsia="宋体" w:cs="Times New Roman"/>
                      <w:b/>
                      <w:bCs/>
                      <w:color w:val="auto"/>
                      <w:szCs w:val="21"/>
                      <w:lang w:val="en-US" w:eastAsia="zh-CN"/>
                    </w:rPr>
                    <w:t>mg/</w:t>
                  </w:r>
                  <w:r>
                    <w:rPr>
                      <w:rFonts w:hint="eastAsia" w:cs="Times New Roman"/>
                      <w:b/>
                      <w:bCs/>
                      <w:color w:val="auto"/>
                      <w:szCs w:val="21"/>
                      <w:vertAlign w:val="baseline"/>
                      <w:lang w:val="en-US" w:eastAsia="zh-CN"/>
                    </w:rPr>
                    <w:t>m</w:t>
                  </w:r>
                  <w:r>
                    <w:rPr>
                      <w:rFonts w:hint="eastAsia" w:cs="Times New Roman"/>
                      <w:b/>
                      <w:bCs/>
                      <w:color w:val="auto"/>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w:t>
                  </w:r>
                </w:p>
              </w:tc>
              <w:tc>
                <w:tcPr>
                  <w:tcW w:w="72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氯化氢</w:t>
                  </w:r>
                </w:p>
              </w:tc>
              <w:tc>
                <w:tcPr>
                  <w:tcW w:w="108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30</w:t>
                  </w:r>
                </w:p>
              </w:tc>
              <w:tc>
                <w:tcPr>
                  <w:tcW w:w="654"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25</w:t>
                  </w:r>
                </w:p>
              </w:tc>
              <w:tc>
                <w:tcPr>
                  <w:tcW w:w="8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0.43</w:t>
                  </w:r>
                </w:p>
              </w:tc>
              <w:tc>
                <w:tcPr>
                  <w:tcW w:w="118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w:t>
                  </w:r>
                </w:p>
              </w:tc>
              <w:tc>
                <w:tcPr>
                  <w:tcW w:w="72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eastAsia="zh-CN"/>
                    </w:rPr>
                    <w:t>硫酸雾</w:t>
                  </w:r>
                </w:p>
              </w:tc>
              <w:tc>
                <w:tcPr>
                  <w:tcW w:w="108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45</w:t>
                  </w:r>
                </w:p>
              </w:tc>
              <w:tc>
                <w:tcPr>
                  <w:tcW w:w="65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8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2.6</w:t>
                  </w:r>
                </w:p>
              </w:tc>
              <w:tc>
                <w:tcPr>
                  <w:tcW w:w="118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3</w:t>
                  </w:r>
                </w:p>
              </w:tc>
              <w:tc>
                <w:tcPr>
                  <w:tcW w:w="72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VOCs</w:t>
                  </w:r>
                </w:p>
              </w:tc>
              <w:tc>
                <w:tcPr>
                  <w:tcW w:w="108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60</w:t>
                  </w:r>
                </w:p>
              </w:tc>
              <w:tc>
                <w:tcPr>
                  <w:tcW w:w="65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p>
              </w:tc>
              <w:tc>
                <w:tcPr>
                  <w:tcW w:w="8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6</w:t>
                  </w:r>
                </w:p>
              </w:tc>
              <w:tc>
                <w:tcPr>
                  <w:tcW w:w="118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noWrap w:val="0"/>
                  <w:vAlign w:val="center"/>
                </w:tcPr>
                <w:p>
                  <w:pPr>
                    <w:pStyle w:val="43"/>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w:t>
                  </w:r>
                </w:p>
              </w:tc>
              <w:tc>
                <w:tcPr>
                  <w:tcW w:w="72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NMHC</w:t>
                  </w:r>
                </w:p>
              </w:tc>
              <w:tc>
                <w:tcPr>
                  <w:tcW w:w="108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65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118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r>
          </w:tbl>
          <w:p>
            <w:pPr>
              <w:pStyle w:val="3"/>
              <w:numPr>
                <w:ilvl w:val="-1"/>
                <w:numId w:val="0"/>
              </w:numPr>
              <w:adjustRightInd w:val="0"/>
              <w:snapToGrid w:val="0"/>
              <w:ind w:left="0" w:leftChars="0" w:firstLine="480"/>
              <w:rPr>
                <w:rFonts w:hint="eastAsia" w:ascii="Times New Roman" w:hAnsi="Times New Roman" w:cs="Times New Roman"/>
                <w:color w:val="auto"/>
                <w:sz w:val="24"/>
                <w:szCs w:val="24"/>
                <w:lang w:val="en-US" w:eastAsia="zh-CN"/>
              </w:rPr>
            </w:pPr>
          </w:p>
          <w:p>
            <w:pPr>
              <w:pStyle w:val="3"/>
              <w:numPr>
                <w:ilvl w:val="-1"/>
                <w:numId w:val="0"/>
              </w:numPr>
              <w:adjustRightInd w:val="0"/>
              <w:snapToGrid w:val="0"/>
              <w:ind w:left="0" w:leftChars="0" w:firstLine="480"/>
              <w:rPr>
                <w:rFonts w:hint="eastAsia" w:ascii="Times New Roman" w:hAnsi="Times New Roman" w:cs="Times New Roman"/>
                <w:color w:val="auto"/>
                <w:sz w:val="24"/>
                <w:szCs w:val="24"/>
                <w:lang w:val="en-US" w:eastAsia="zh-CN"/>
              </w:rPr>
            </w:pPr>
          </w:p>
          <w:p>
            <w:pPr>
              <w:pStyle w:val="3"/>
              <w:numPr>
                <w:ilvl w:val="-1"/>
                <w:numId w:val="0"/>
              </w:numPr>
              <w:adjustRightInd w:val="0"/>
              <w:snapToGrid w:val="0"/>
              <w:ind w:left="0" w:leftChars="0" w:firstLine="480"/>
              <w:rPr>
                <w:rFonts w:hint="eastAsia" w:ascii="Times New Roman" w:hAnsi="Times New Roman" w:cs="Times New Roman"/>
                <w:color w:val="auto"/>
                <w:sz w:val="24"/>
                <w:szCs w:val="24"/>
                <w:lang w:val="en-US" w:eastAsia="zh-CN"/>
              </w:rPr>
            </w:pPr>
          </w:p>
          <w:p>
            <w:pPr>
              <w:pStyle w:val="3"/>
              <w:numPr>
                <w:ilvl w:val="-1"/>
                <w:numId w:val="0"/>
              </w:numPr>
              <w:adjustRightInd w:val="0"/>
              <w:snapToGrid w:val="0"/>
              <w:ind w:left="0" w:leftChars="0" w:firstLine="480"/>
              <w:rPr>
                <w:rFonts w:hint="eastAsia" w:ascii="Times New Roman" w:hAnsi="Times New Roman" w:cs="Times New Roman"/>
                <w:color w:val="auto"/>
                <w:sz w:val="24"/>
                <w:szCs w:val="24"/>
                <w:lang w:val="en-US" w:eastAsia="zh-CN"/>
              </w:rPr>
            </w:pPr>
          </w:p>
          <w:p>
            <w:pPr>
              <w:pStyle w:val="3"/>
              <w:numPr>
                <w:ilvl w:val="-1"/>
                <w:numId w:val="0"/>
              </w:numPr>
              <w:adjustRightInd w:val="0"/>
              <w:snapToGrid w:val="0"/>
              <w:ind w:left="0" w:leftChars="0" w:firstLine="480"/>
              <w:rPr>
                <w:rFonts w:hint="default" w:ascii="Times New Roman" w:hAnsi="Times New Roman" w:cs="Times New Roman"/>
                <w:b w:val="0"/>
                <w:bCs w:val="0"/>
                <w:color w:val="auto"/>
                <w:sz w:val="24"/>
                <w:lang w:eastAsia="zh-CN"/>
              </w:rPr>
            </w:pPr>
            <w:r>
              <w:rPr>
                <w:rFonts w:hint="eastAsia" w:ascii="Times New Roman" w:hAnsi="Times New Roman"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废水：</w:t>
            </w:r>
            <w:r>
              <w:rPr>
                <w:rFonts w:hint="default" w:ascii="Times New Roman" w:hAnsi="Times New Roman" w:cs="Times New Roman"/>
                <w:b w:val="0"/>
                <w:bCs w:val="0"/>
                <w:color w:val="auto"/>
                <w:sz w:val="24"/>
                <w:lang w:eastAsia="zh-CN"/>
              </w:rPr>
              <w:t>执行《污水排入城镇下水道水质标准》（GB/T 31962-2015）</w:t>
            </w:r>
            <w:r>
              <w:rPr>
                <w:rFonts w:hint="eastAsia" w:ascii="Times New Roman" w:hAnsi="Times New Roman" w:cs="Times New Roman"/>
                <w:b w:val="0"/>
                <w:bCs w:val="0"/>
                <w:color w:val="auto"/>
                <w:sz w:val="24"/>
                <w:lang w:val="en-US" w:eastAsia="zh-CN"/>
              </w:rPr>
              <w:t>A</w:t>
            </w:r>
            <w:r>
              <w:rPr>
                <w:rFonts w:hint="default" w:ascii="Times New Roman" w:hAnsi="Times New Roman" w:cs="Times New Roman"/>
                <w:b w:val="0"/>
                <w:bCs w:val="0"/>
                <w:color w:val="auto"/>
                <w:sz w:val="24"/>
                <w:lang w:eastAsia="zh-CN"/>
              </w:rPr>
              <w:t xml:space="preserve"> 级标准，同时应满足产业园污水处理站进水水质要求。</w:t>
            </w:r>
          </w:p>
          <w:p>
            <w:pPr>
              <w:ind w:firstLine="482"/>
              <w:jc w:val="center"/>
              <w:rPr>
                <w:b/>
                <w:bCs/>
                <w:color w:val="auto"/>
                <w:highlight w:val="none"/>
              </w:rPr>
            </w:pPr>
            <w:r>
              <w:rPr>
                <w:b/>
                <w:bCs/>
                <w:color w:val="auto"/>
                <w:highlight w:val="none"/>
              </w:rPr>
              <w:t>表</w:t>
            </w:r>
            <w:r>
              <w:rPr>
                <w:rFonts w:hint="eastAsia"/>
                <w:b/>
                <w:bCs/>
                <w:color w:val="auto"/>
                <w:highlight w:val="none"/>
                <w:lang w:val="en-US" w:eastAsia="zh-CN"/>
              </w:rPr>
              <w:t>1-2</w:t>
            </w:r>
            <w:r>
              <w:rPr>
                <w:rFonts w:hint="eastAsia"/>
                <w:b/>
                <w:bCs/>
                <w:color w:val="auto"/>
                <w:highlight w:val="none"/>
              </w:rPr>
              <w:t xml:space="preserve"> </w:t>
            </w:r>
            <w:r>
              <w:rPr>
                <w:b/>
                <w:bCs/>
                <w:color w:val="auto"/>
                <w:highlight w:val="none"/>
              </w:rPr>
              <w:t xml:space="preserve"> 废水排放标准</w:t>
            </w:r>
          </w:p>
          <w:tbl>
            <w:tblPr>
              <w:tblStyle w:val="28"/>
              <w:tblW w:w="4997" w:type="pct"/>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1720"/>
              <w:gridCol w:w="1084"/>
              <w:gridCol w:w="1390"/>
              <w:gridCol w:w="2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06" w:type="pct"/>
                  <w:vMerge w:val="restart"/>
                  <w:vAlign w:val="center"/>
                </w:tcPr>
                <w:p>
                  <w:pPr>
                    <w:widowControl/>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b/>
                      <w:color w:val="auto"/>
                      <w:sz w:val="21"/>
                      <w:szCs w:val="21"/>
                      <w:highlight w:val="none"/>
                      <w:lang w:eastAsia="zh-CN"/>
                    </w:rPr>
                    <w:t>控制项目名称</w:t>
                  </w:r>
                </w:p>
              </w:tc>
              <w:tc>
                <w:tcPr>
                  <w:tcW w:w="760"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2565" w:type="pct"/>
                  <w:gridSpan w:val="2"/>
                  <w:vAlign w:val="center"/>
                </w:tcPr>
                <w:p>
                  <w:pPr>
                    <w:widowControl/>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b/>
                      <w:color w:val="auto"/>
                      <w:sz w:val="21"/>
                      <w:szCs w:val="21"/>
                      <w:highlight w:val="none"/>
                      <w:lang w:eastAsia="zh-CN"/>
                    </w:rPr>
                    <w:t>控制项目限值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0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760"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975" w:type="pct"/>
                  <w:vAlign w:val="center"/>
                </w:tcPr>
                <w:p>
                  <w:pPr>
                    <w:widowControl/>
                    <w:adjustRightInd w:val="0"/>
                    <w:snapToGrid w:val="0"/>
                    <w:spacing w:line="240" w:lineRule="auto"/>
                    <w:ind w:firstLine="0" w:firstLineChars="0"/>
                    <w:jc w:val="center"/>
                    <w:rPr>
                      <w:b/>
                      <w:bCs/>
                      <w:color w:val="auto"/>
                      <w:sz w:val="21"/>
                      <w:szCs w:val="21"/>
                      <w:highlight w:val="none"/>
                    </w:rPr>
                  </w:pPr>
                  <w:r>
                    <w:rPr>
                      <w:rFonts w:hint="eastAsia"/>
                      <w:b/>
                      <w:bCs/>
                      <w:color w:val="auto"/>
                      <w:sz w:val="21"/>
                      <w:szCs w:val="21"/>
                      <w:highlight w:val="none"/>
                    </w:rPr>
                    <w:t>产业园污水处理站进水水质要求</w:t>
                  </w:r>
                </w:p>
              </w:tc>
              <w:tc>
                <w:tcPr>
                  <w:tcW w:w="1590" w:type="pct"/>
                  <w:vAlign w:val="center"/>
                </w:tcPr>
                <w:p>
                  <w:pPr>
                    <w:widowControl/>
                    <w:adjustRightInd w:val="0"/>
                    <w:snapToGrid w:val="0"/>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b/>
                      <w:bCs/>
                      <w:color w:val="auto"/>
                      <w:sz w:val="21"/>
                      <w:szCs w:val="21"/>
                      <w:highlight w:val="none"/>
                    </w:rPr>
                    <w:t>《污水排入城镇下水道水质标准》（GB/T 31962-2015）</w:t>
                  </w:r>
                  <w:r>
                    <w:rPr>
                      <w:rFonts w:hint="eastAsia"/>
                      <w:b/>
                      <w:bCs/>
                      <w:color w:val="auto"/>
                      <w:sz w:val="21"/>
                      <w:szCs w:val="21"/>
                      <w:highlight w:val="none"/>
                      <w:lang w:val="en-US" w:eastAsia="zh-CN"/>
                    </w:rPr>
                    <w:t>A</w:t>
                  </w:r>
                  <w:r>
                    <w:rPr>
                      <w:b/>
                      <w:bCs/>
                      <w:color w:val="auto"/>
                      <w:sz w:val="21"/>
                      <w:szCs w:val="21"/>
                      <w:highlight w:val="none"/>
                    </w:rPr>
                    <w:t>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1</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pH值</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w:t>
                  </w:r>
                </w:p>
              </w:tc>
              <w:tc>
                <w:tcPr>
                  <w:tcW w:w="97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化学需氧量</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5000</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3</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氨氮</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45</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4</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lang w:eastAsia="zh-CN"/>
                    </w:rPr>
                    <w:t>五日</w:t>
                  </w:r>
                  <w:r>
                    <w:rPr>
                      <w:color w:val="auto"/>
                      <w:sz w:val="21"/>
                      <w:szCs w:val="21"/>
                      <w:highlight w:val="none"/>
                    </w:rPr>
                    <w:t>生化需氧量</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5</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悬浮物</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总磷</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0" w:type="pct"/>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7"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snapToGrid w:val="0"/>
                      <w:color w:val="auto"/>
                      <w:kern w:val="0"/>
                      <w:sz w:val="21"/>
                      <w:szCs w:val="21"/>
                      <w:highlight w:val="none"/>
                      <w:lang w:val="en-US" w:eastAsia="zh-CN"/>
                    </w:rPr>
                    <w:t>7</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溶解性总固体</w:t>
                  </w:r>
                </w:p>
              </w:tc>
              <w:tc>
                <w:tcPr>
                  <w:tcW w:w="76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97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0" w:type="pct"/>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snapToGrid w:val="0"/>
                      <w:color w:val="auto"/>
                      <w:kern w:val="0"/>
                      <w:sz w:val="21"/>
                      <w:szCs w:val="21"/>
                      <w:highlight w:val="none"/>
                      <w:lang w:val="en-US" w:eastAsia="zh-CN"/>
                    </w:rPr>
                    <w:t>1500</w:t>
                  </w:r>
                </w:p>
              </w:tc>
            </w:tr>
          </w:tbl>
          <w:p>
            <w:pPr>
              <w:pStyle w:val="3"/>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3、噪声：执行《工业企业厂界环境噪声排放标准》（GB12348-2008）中2类标准。</w:t>
            </w:r>
          </w:p>
          <w:p>
            <w:pPr>
              <w:ind w:firstLine="482"/>
              <w:jc w:val="center"/>
              <w:rPr>
                <w:b/>
                <w:bCs/>
                <w:color w:val="auto"/>
                <w:highlight w:val="none"/>
              </w:rPr>
            </w:pPr>
            <w:r>
              <w:rPr>
                <w:b/>
                <w:bCs/>
                <w:color w:val="auto"/>
                <w:highlight w:val="none"/>
              </w:rPr>
              <w:t>表</w:t>
            </w:r>
            <w:r>
              <w:rPr>
                <w:rFonts w:hint="eastAsia"/>
                <w:b/>
                <w:bCs/>
                <w:color w:val="auto"/>
                <w:highlight w:val="none"/>
                <w:lang w:val="en-US" w:eastAsia="zh-CN"/>
              </w:rPr>
              <w:t>1-3</w:t>
            </w:r>
            <w:r>
              <w:rPr>
                <w:rFonts w:hint="eastAsia"/>
                <w:b/>
                <w:bCs/>
                <w:color w:val="auto"/>
                <w:highlight w:val="none"/>
              </w:rPr>
              <w:t xml:space="preserve"> </w:t>
            </w:r>
            <w:r>
              <w:rPr>
                <w:b/>
                <w:bCs/>
                <w:color w:val="auto"/>
                <w:highlight w:val="none"/>
              </w:rPr>
              <w:t xml:space="preserve"> </w:t>
            </w:r>
            <w:r>
              <w:rPr>
                <w:rFonts w:hint="eastAsia"/>
                <w:b/>
                <w:bCs/>
                <w:color w:val="auto"/>
                <w:highlight w:val="none"/>
                <w:lang w:eastAsia="zh-CN"/>
              </w:rPr>
              <w:t>噪声</w:t>
            </w:r>
            <w:r>
              <w:rPr>
                <w:b/>
                <w:bCs/>
                <w:color w:val="auto"/>
                <w:highlight w:val="none"/>
              </w:rPr>
              <w:t>排放标准</w:t>
            </w:r>
          </w:p>
          <w:tbl>
            <w:tblPr>
              <w:tblStyle w:val="28"/>
              <w:tblW w:w="4998"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2350"/>
              <w:gridCol w:w="1480"/>
              <w:gridCol w:w="2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4"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648" w:type="pct"/>
                  <w:vMerge w:val="restart"/>
                  <w:vAlign w:val="center"/>
                </w:tcPr>
                <w:p>
                  <w:pPr>
                    <w:widowControl/>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b/>
                      <w:color w:val="auto"/>
                      <w:sz w:val="21"/>
                      <w:szCs w:val="21"/>
                      <w:highlight w:val="none"/>
                      <w:lang w:eastAsia="zh-CN"/>
                    </w:rPr>
                    <w:t>厂界外声环境功能区类别</w:t>
                  </w:r>
                </w:p>
              </w:tc>
              <w:tc>
                <w:tcPr>
                  <w:tcW w:w="1038"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1678" w:type="pct"/>
                  <w:vAlign w:val="center"/>
                </w:tcPr>
                <w:p>
                  <w:pPr>
                    <w:widowControl/>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4"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648"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038"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678" w:type="pct"/>
                  <w:vAlign w:val="center"/>
                </w:tcPr>
                <w:p>
                  <w:pPr>
                    <w:widowControl/>
                    <w:adjustRightInd w:val="0"/>
                    <w:snapToGrid w:val="0"/>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4"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1</w:t>
                  </w:r>
                </w:p>
              </w:tc>
              <w:tc>
                <w:tcPr>
                  <w:tcW w:w="1648"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038" w:type="pct"/>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dB(A)</w:t>
                  </w:r>
                </w:p>
              </w:tc>
              <w:tc>
                <w:tcPr>
                  <w:tcW w:w="1678" w:type="pct"/>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60</w:t>
                  </w:r>
                </w:p>
              </w:tc>
            </w:tr>
          </w:tbl>
          <w:p>
            <w:pPr>
              <w:pStyle w:val="4"/>
              <w:jc w:val="left"/>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rPr>
                <w:rFonts w:hint="default"/>
                <w:lang w:val="en-US" w:eastAsia="zh-CN"/>
              </w:rPr>
            </w:pPr>
          </w:p>
          <w:p>
            <w:pPr>
              <w:pStyle w:val="22"/>
              <w:rPr>
                <w:rFonts w:hint="default"/>
                <w:lang w:val="en-US" w:eastAsia="zh-CN"/>
              </w:rPr>
            </w:pPr>
          </w:p>
          <w:p>
            <w:pPr>
              <w:pStyle w:val="24"/>
              <w:rPr>
                <w:rFonts w:hint="default"/>
                <w:lang w:val="en-US" w:eastAsia="zh-CN"/>
              </w:rPr>
            </w:pPr>
          </w:p>
          <w:p>
            <w:pPr>
              <w:rPr>
                <w:rFonts w:hint="default"/>
                <w:lang w:val="en-US" w:eastAsia="zh-CN"/>
              </w:rPr>
            </w:pPr>
          </w:p>
          <w:p>
            <w:pPr>
              <w:pStyle w:val="22"/>
              <w:rPr>
                <w:rFonts w:hint="default"/>
                <w:lang w:val="en-US" w:eastAsia="zh-CN"/>
              </w:rPr>
            </w:pPr>
          </w:p>
          <w:p>
            <w:pPr>
              <w:pStyle w:val="24"/>
              <w:rPr>
                <w:rFonts w:hint="default"/>
                <w:lang w:val="en-US" w:eastAsia="zh-CN"/>
              </w:rPr>
            </w:pPr>
          </w:p>
          <w:p>
            <w:pPr>
              <w:rPr>
                <w:rFonts w:hint="default"/>
                <w:lang w:val="en-US" w:eastAsia="zh-CN"/>
              </w:rPr>
            </w:pPr>
          </w:p>
          <w:p>
            <w:pPr>
              <w:pStyle w:val="22"/>
              <w:rPr>
                <w:rFonts w:hint="default"/>
                <w:lang w:val="en-US" w:eastAsia="zh-CN"/>
              </w:rPr>
            </w:pPr>
          </w:p>
          <w:p>
            <w:pPr>
              <w:pStyle w:val="3"/>
              <w:snapToGrid w:val="0"/>
              <w:ind w:firstLine="480"/>
              <w:rPr>
                <w:rFonts w:ascii="Times New Roman" w:hAnsi="Times New Roman"/>
                <w:color w:val="auto"/>
                <w:sz w:val="24"/>
                <w:highlight w:val="none"/>
              </w:rPr>
            </w:pPr>
          </w:p>
        </w:tc>
      </w:tr>
    </w:tbl>
    <w:p>
      <w:pPr>
        <w:ind w:firstLine="0" w:firstLineChars="0"/>
        <w:outlineLvl w:val="0"/>
        <w:rPr>
          <w:b/>
          <w:bCs/>
          <w:color w:val="auto"/>
          <w:sz w:val="30"/>
          <w:szCs w:val="30"/>
          <w:highlight w:val="none"/>
        </w:rPr>
      </w:pPr>
      <w:r>
        <w:rPr>
          <w:b/>
          <w:bCs/>
          <w:color w:val="auto"/>
          <w:sz w:val="30"/>
          <w:szCs w:val="30"/>
          <w:highlight w:val="none"/>
        </w:rPr>
        <w:br w:type="page"/>
      </w:r>
      <w:bookmarkStart w:id="33" w:name="_Toc8085"/>
      <w:bookmarkStart w:id="34" w:name="_Toc3455"/>
      <w:bookmarkStart w:id="35" w:name="_Toc24192"/>
      <w:bookmarkStart w:id="36" w:name="_Toc26940"/>
      <w:bookmarkStart w:id="37" w:name="_Toc17313"/>
      <w:bookmarkStart w:id="38" w:name="_Toc8533"/>
      <w:bookmarkStart w:id="39" w:name="_Toc4548"/>
      <w:bookmarkStart w:id="40" w:name="_Toc25891"/>
      <w:bookmarkStart w:id="41" w:name="_Toc11264"/>
      <w:bookmarkStart w:id="42" w:name="_Toc32647"/>
      <w:bookmarkStart w:id="43" w:name="_Toc19070"/>
      <w:bookmarkStart w:id="44" w:name="_Toc29904"/>
      <w:bookmarkStart w:id="45" w:name="_Toc14742"/>
      <w:bookmarkStart w:id="46" w:name="_Toc2469"/>
      <w:bookmarkStart w:id="47" w:name="_Toc19780"/>
      <w:bookmarkStart w:id="48" w:name="_Toc25486"/>
      <w:bookmarkStart w:id="49" w:name="_Toc16985"/>
      <w:bookmarkStart w:id="50" w:name="_Toc19446"/>
      <w:bookmarkStart w:id="51" w:name="_Toc12110"/>
      <w:bookmarkStart w:id="52" w:name="_Toc23544"/>
      <w:bookmarkStart w:id="53" w:name="_Toc24508"/>
      <w:bookmarkStart w:id="54" w:name="_Toc30894"/>
      <w:bookmarkStart w:id="55" w:name="_Toc23043"/>
      <w:bookmarkStart w:id="56" w:name="_Toc15160"/>
      <w:bookmarkStart w:id="57" w:name="_Toc3294"/>
      <w:bookmarkStart w:id="58" w:name="_Toc15252"/>
      <w:bookmarkStart w:id="59" w:name="_Toc7621"/>
      <w:bookmarkStart w:id="60" w:name="_Toc507"/>
      <w:bookmarkStart w:id="61" w:name="_Toc8715"/>
      <w:r>
        <w:rPr>
          <w:b/>
          <w:bCs/>
          <w:color w:val="auto"/>
          <w:sz w:val="30"/>
          <w:szCs w:val="30"/>
          <w:highlight w:val="none"/>
        </w:rPr>
        <w:t>表2  建设项目概况及工艺流程</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3"/>
              <w:ind w:firstLine="482"/>
              <w:rPr>
                <w:rFonts w:cs="Times New Roman"/>
                <w:b/>
                <w:bCs/>
                <w:color w:val="auto"/>
                <w:kern w:val="0"/>
                <w:highlight w:val="none"/>
              </w:rPr>
            </w:pPr>
            <w:r>
              <w:rPr>
                <w:rFonts w:cs="Times New Roman"/>
                <w:b/>
                <w:bCs/>
                <w:color w:val="auto"/>
                <w:kern w:val="0"/>
                <w:highlight w:val="none"/>
              </w:rPr>
              <w:t>一、公司概况</w:t>
            </w:r>
          </w:p>
          <w:p>
            <w:pPr>
              <w:pStyle w:val="33"/>
              <w:rPr>
                <w:rFonts w:hint="eastAsia" w:cs="Times New Roman"/>
                <w:color w:val="auto"/>
                <w:spacing w:val="0"/>
                <w:kern w:val="21"/>
                <w:sz w:val="24"/>
                <w:szCs w:val="24"/>
                <w:lang w:eastAsia="zh-CN"/>
              </w:rPr>
            </w:pPr>
            <w:r>
              <w:rPr>
                <w:rFonts w:hint="eastAsia" w:cs="Times New Roman"/>
                <w:color w:val="auto"/>
                <w:szCs w:val="24"/>
                <w:lang w:val="en-US" w:eastAsia="zh-CN"/>
              </w:rPr>
              <w:t>国鼎药物研究（济南）有限责任公司</w:t>
            </w:r>
            <w:r>
              <w:rPr>
                <w:rFonts w:hint="default" w:cs="Times New Roman"/>
                <w:color w:val="auto"/>
                <w:szCs w:val="24"/>
                <w:lang w:val="en-US" w:eastAsia="zh-CN"/>
              </w:rPr>
              <w:t>成立于2020年07月10日，注册地位于山东省济南市高新区世纪大道2566号迪亚双创产业园G栋503室，法定代表人为马崇雷。经营范围包括医药、生物、药品、化工领域内的技术开发；生产、批发、零售：化学试剂、医药中间体、原料药、药用辅料、食品添加剂、饲料添加剂、化工产品</w:t>
            </w:r>
            <w:r>
              <w:rPr>
                <w:rFonts w:hint="eastAsia" w:cs="Times New Roman"/>
                <w:color w:val="auto"/>
                <w:szCs w:val="24"/>
                <w:lang w:val="en-US" w:eastAsia="zh-CN"/>
              </w:rPr>
              <w:t>等。</w:t>
            </w:r>
          </w:p>
          <w:p>
            <w:pPr>
              <w:ind w:firstLine="482"/>
              <w:jc w:val="left"/>
              <w:rPr>
                <w:b/>
                <w:bCs/>
                <w:color w:val="auto"/>
                <w:highlight w:val="none"/>
              </w:rPr>
            </w:pPr>
            <w:r>
              <w:rPr>
                <w:b/>
                <w:bCs/>
                <w:color w:val="auto"/>
                <w:highlight w:val="none"/>
              </w:rPr>
              <w:t>二、本项目概况</w:t>
            </w:r>
          </w:p>
          <w:p>
            <w:pPr>
              <w:pStyle w:val="33"/>
              <w:rPr>
                <w:rFonts w:hint="eastAsia" w:cs="Times New Roman"/>
                <w:color w:val="auto"/>
                <w:sz w:val="24"/>
                <w:szCs w:val="24"/>
                <w:highlight w:val="none"/>
                <w:lang w:val="en-US" w:eastAsia="zh-CN"/>
              </w:rPr>
            </w:pPr>
            <w:r>
              <w:rPr>
                <w:rFonts w:hint="eastAsia" w:cs="Times New Roman"/>
                <w:color w:val="auto"/>
                <w:spacing w:val="0"/>
                <w:kern w:val="21"/>
                <w:sz w:val="24"/>
                <w:szCs w:val="24"/>
                <w:lang w:eastAsia="zh-CN"/>
              </w:rPr>
              <w:t>国鼎药物研究（济南）有限责任公司国鼎药物研发实验室项目（一期）</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山东省济南市高新区世纪大道2566号迪亚双创产业园7号楼5层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，总建筑面积为1223.56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项目主要包括实验室、办公室、会议室、试剂库（固体库、液体库、易制毒库）、成品库、危废暂存间等。实验室配备各类精密仪器设备，如气相色谱仪、液相色谱仪、水分测定仪等精密仪器设备。项目主要为新药研发化学合成与分析报告、新药样品。规划年产</w:t>
            </w:r>
            <w:r>
              <w:rPr>
                <w:rFonts w:hint="eastAsia" w:cs="Times New Roman"/>
                <w:color w:val="auto"/>
                <w:kern w:val="2"/>
                <w:sz w:val="24"/>
                <w:szCs w:val="24"/>
                <w:highlight w:val="none"/>
                <w:lang w:val="en-US" w:eastAsia="zh-CN" w:bidi="ar-SA"/>
              </w:rPr>
              <w:t>试验报告500份、新药样品100kg。</w:t>
            </w:r>
          </w:p>
          <w:p>
            <w:pPr>
              <w:pStyle w:val="33"/>
              <w:rPr>
                <w:rFonts w:hint="default" w:ascii="Times New Roman" w:hAnsi="Times New Roman" w:eastAsia="宋体" w:cs="Times New Roman"/>
                <w:color w:val="auto"/>
                <w:spacing w:val="8"/>
                <w:sz w:val="24"/>
              </w:rPr>
            </w:pPr>
            <w:r>
              <w:rPr>
                <w:rFonts w:hint="eastAsia" w:cs="Times New Roman"/>
                <w:color w:val="auto"/>
                <w:sz w:val="24"/>
                <w:szCs w:val="24"/>
                <w:highlight w:val="none"/>
                <w:lang w:eastAsia="zh-CN"/>
              </w:rPr>
              <w:t>截至目前，因资质认定和资金不足等问题，项目尚有部分设备未到位（设备设置情况见表2-3），实际</w:t>
            </w:r>
            <w:r>
              <w:rPr>
                <w:rFonts w:hint="eastAsia" w:cs="Times New Roman"/>
                <w:color w:val="auto"/>
                <w:sz w:val="24"/>
                <w:szCs w:val="24"/>
                <w:highlight w:val="none"/>
                <w:lang w:val="en-US" w:eastAsia="zh-CN"/>
              </w:rPr>
              <w:t>年产</w:t>
            </w:r>
            <w:r>
              <w:rPr>
                <w:rFonts w:hint="eastAsia" w:cs="Times New Roman"/>
                <w:color w:val="auto"/>
                <w:kern w:val="2"/>
                <w:sz w:val="24"/>
                <w:szCs w:val="24"/>
                <w:highlight w:val="none"/>
                <w:lang w:val="en-US" w:eastAsia="zh-CN" w:bidi="ar-SA"/>
              </w:rPr>
              <w:t>试验报告450份、新药样品90kg</w:t>
            </w:r>
            <w:r>
              <w:rPr>
                <w:rFonts w:hint="eastAsia" w:cs="Times New Roman"/>
                <w:color w:val="auto"/>
                <w:sz w:val="24"/>
                <w:szCs w:val="24"/>
                <w:highlight w:val="none"/>
                <w:lang w:eastAsia="zh-CN"/>
              </w:rPr>
              <w:t>，故本次按一期验收。</w:t>
            </w:r>
            <w:r>
              <w:rPr>
                <w:rFonts w:hint="eastAsia" w:cs="Times New Roman"/>
                <w:color w:val="auto"/>
                <w:szCs w:val="24"/>
                <w:lang w:val="en-US" w:eastAsia="zh-CN"/>
              </w:rPr>
              <w:t>一期项目</w:t>
            </w:r>
            <w:r>
              <w:rPr>
                <w:rFonts w:hint="default" w:cs="Times New Roman"/>
                <w:color w:val="auto"/>
                <w:szCs w:val="24"/>
                <w:lang w:val="en-US" w:eastAsia="zh-CN"/>
              </w:rPr>
              <w:t>总投资</w:t>
            </w:r>
            <w:r>
              <w:rPr>
                <w:rFonts w:hint="eastAsia" w:cs="Times New Roman"/>
                <w:color w:val="auto"/>
                <w:szCs w:val="24"/>
                <w:lang w:val="en-US" w:eastAsia="zh-CN"/>
              </w:rPr>
              <w:t>450</w:t>
            </w:r>
            <w:r>
              <w:rPr>
                <w:rFonts w:hint="default" w:cs="Times New Roman"/>
                <w:color w:val="auto"/>
                <w:szCs w:val="24"/>
                <w:lang w:val="en-US" w:eastAsia="zh-CN"/>
              </w:rPr>
              <w:t>万元，其中环保投资</w:t>
            </w:r>
            <w:r>
              <w:rPr>
                <w:rFonts w:hint="eastAsia" w:cs="Times New Roman"/>
                <w:color w:val="auto"/>
                <w:szCs w:val="24"/>
                <w:lang w:val="en-US" w:eastAsia="zh-CN"/>
              </w:rPr>
              <w:t>42</w:t>
            </w:r>
            <w:r>
              <w:rPr>
                <w:rFonts w:hint="default" w:cs="Times New Roman"/>
                <w:color w:val="auto"/>
                <w:szCs w:val="24"/>
                <w:lang w:val="en-US" w:eastAsia="zh-CN"/>
              </w:rPr>
              <w:t>万元</w:t>
            </w:r>
            <w:r>
              <w:rPr>
                <w:rFonts w:hint="default" w:cs="Times New Roman"/>
                <w:color w:val="auto"/>
                <w:szCs w:val="24"/>
                <w:lang w:eastAsia="zh-CN"/>
              </w:rPr>
              <w:t>，</w:t>
            </w:r>
            <w:r>
              <w:rPr>
                <w:rFonts w:hint="eastAsia" w:cs="Times New Roman"/>
                <w:color w:val="auto"/>
                <w:szCs w:val="24"/>
                <w:lang w:eastAsia="zh-CN"/>
              </w:rPr>
              <w:t>一期</w:t>
            </w:r>
            <w:r>
              <w:rPr>
                <w:rFonts w:hint="eastAsia" w:cs="Times New Roman"/>
                <w:color w:val="auto"/>
                <w:sz w:val="24"/>
                <w:szCs w:val="24"/>
                <w:lang w:eastAsia="zh-CN"/>
              </w:rPr>
              <w:t>项目职工定员</w:t>
            </w:r>
            <w:r>
              <w:rPr>
                <w:rFonts w:hint="eastAsia" w:cs="Times New Roman"/>
                <w:color w:val="auto"/>
                <w:sz w:val="24"/>
                <w:szCs w:val="24"/>
                <w:lang w:val="en-US" w:eastAsia="zh-CN"/>
              </w:rPr>
              <w:t>40</w:t>
            </w:r>
            <w:r>
              <w:rPr>
                <w:rFonts w:hint="eastAsia" w:cs="Times New Roman"/>
                <w:color w:val="auto"/>
                <w:sz w:val="24"/>
                <w:szCs w:val="24"/>
                <w:lang w:eastAsia="zh-CN"/>
              </w:rPr>
              <w:t>人</w:t>
            </w:r>
            <w:r>
              <w:rPr>
                <w:rFonts w:hint="default" w:ascii="Times New Roman" w:hAnsi="Times New Roman" w:cs="Times New Roman"/>
                <w:color w:val="auto"/>
                <w:sz w:val="24"/>
                <w:szCs w:val="24"/>
              </w:rPr>
              <w:t>，</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eastAsia="zh-CN"/>
              </w:rPr>
              <w:t>约</w:t>
            </w:r>
            <w:r>
              <w:rPr>
                <w:rFonts w:hint="eastAsia" w:cs="Times New Roman"/>
                <w:color w:val="auto"/>
                <w:sz w:val="24"/>
                <w:szCs w:val="24"/>
                <w:lang w:val="en-US" w:eastAsia="zh-CN"/>
              </w:rPr>
              <w:t>300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rFonts w:hint="eastAsia"/>
                <w:color w:val="auto"/>
                <w:highlight w:val="none"/>
                <w:lang w:eastAsia="zh-CN"/>
              </w:rPr>
              <w:t>国鼎药物研究（济南）有限责任公司</w:t>
            </w:r>
            <w:r>
              <w:rPr>
                <w:color w:val="auto"/>
                <w:highlight w:val="none"/>
              </w:rPr>
              <w:t>2021年</w:t>
            </w:r>
            <w:r>
              <w:rPr>
                <w:rFonts w:hint="eastAsia"/>
                <w:color w:val="auto"/>
                <w:highlight w:val="none"/>
                <w:lang w:val="en-US" w:eastAsia="zh-CN"/>
              </w:rPr>
              <w:t>5</w:t>
            </w:r>
            <w:r>
              <w:rPr>
                <w:color w:val="auto"/>
                <w:highlight w:val="none"/>
              </w:rPr>
              <w:t>月委托</w:t>
            </w:r>
            <w:r>
              <w:rPr>
                <w:rFonts w:hint="eastAsia"/>
                <w:color w:val="auto"/>
                <w:highlight w:val="none"/>
                <w:lang w:eastAsia="zh-CN"/>
              </w:rPr>
              <w:t>山东博瑞达环保科技有限公司</w:t>
            </w:r>
            <w:r>
              <w:rPr>
                <w:color w:val="auto"/>
                <w:kern w:val="21"/>
                <w:highlight w:val="none"/>
              </w:rPr>
              <w:t>编制完成了</w:t>
            </w:r>
            <w:r>
              <w:rPr>
                <w:color w:val="auto"/>
                <w:highlight w:val="none"/>
              </w:rPr>
              <w:t>《</w:t>
            </w:r>
            <w:r>
              <w:rPr>
                <w:rFonts w:hint="eastAsia"/>
                <w:color w:val="auto"/>
                <w:highlight w:val="none"/>
                <w:lang w:eastAsia="zh-CN"/>
              </w:rPr>
              <w:t>国鼎药物研究（济南）有限责任公司国鼎药物研发实验室项目环境影响</w:t>
            </w:r>
            <w:r>
              <w:rPr>
                <w:color w:val="auto"/>
                <w:highlight w:val="none"/>
              </w:rPr>
              <w:t>报告表》，并于</w:t>
            </w:r>
            <w:r>
              <w:rPr>
                <w:rFonts w:hint="eastAsia"/>
                <w:color w:val="auto"/>
                <w:highlight w:val="none"/>
                <w:lang w:eastAsia="zh-CN"/>
              </w:rPr>
              <w:t>2021年7月20日</w:t>
            </w:r>
            <w:r>
              <w:rPr>
                <w:color w:val="auto"/>
                <w:highlight w:val="none"/>
              </w:rPr>
              <w:t>经济南市生态环境局审批（</w:t>
            </w:r>
            <w:r>
              <w:rPr>
                <w:rFonts w:hint="eastAsia"/>
                <w:color w:val="auto"/>
                <w:highlight w:val="none"/>
                <w:lang w:eastAsia="zh-CN"/>
              </w:rPr>
              <w:t>济环报告表［2021］G47号</w:t>
            </w:r>
            <w:r>
              <w:rPr>
                <w:color w:val="auto"/>
                <w:highlight w:val="none"/>
              </w:rPr>
              <w:t>）。</w:t>
            </w:r>
          </w:p>
          <w:p>
            <w:pPr>
              <w:pStyle w:val="33"/>
              <w:rPr>
                <w:color w:val="auto"/>
                <w:highlight w:val="none"/>
              </w:rPr>
            </w:pPr>
            <w:r>
              <w:rPr>
                <w:rFonts w:hint="eastAsia" w:cs="Times New Roman"/>
                <w:color w:val="auto"/>
                <w:highlight w:val="none"/>
                <w:lang w:eastAsia="zh-CN"/>
              </w:rPr>
              <w:t>一期项目于2021年7月开工建设，2021年10月建成并进行调试，</w:t>
            </w:r>
            <w:r>
              <w:rPr>
                <w:color w:val="auto"/>
                <w:highlight w:val="none"/>
              </w:rPr>
              <w:t>环</w:t>
            </w:r>
            <w:r>
              <w:rPr>
                <w:rFonts w:hint="eastAsia"/>
                <w:color w:val="auto"/>
                <w:highlight w:val="none"/>
                <w:lang w:eastAsia="zh-CN"/>
              </w:rPr>
              <w:t>保设施同时设计、同时施工并同时进行调试，调试期间运行状况良好</w:t>
            </w:r>
            <w:r>
              <w:rPr>
                <w:color w:val="auto"/>
                <w:highlight w:val="none"/>
              </w:rPr>
              <w:t>，具备竣工验收条件。</w:t>
            </w:r>
          </w:p>
          <w:p>
            <w:pPr>
              <w:pStyle w:val="33"/>
              <w:ind w:firstLine="482"/>
              <w:rPr>
                <w:rFonts w:cs="Times New Roman"/>
                <w:b/>
                <w:bCs/>
                <w:color w:val="auto"/>
                <w:highlight w:val="none"/>
              </w:rPr>
            </w:pPr>
            <w:r>
              <w:rPr>
                <w:rFonts w:cs="Times New Roman"/>
                <w:b/>
                <w:bCs/>
                <w:color w:val="auto"/>
                <w:highlight w:val="none"/>
              </w:rPr>
              <w:t>1、建设内容</w:t>
            </w:r>
          </w:p>
          <w:p>
            <w:pPr>
              <w:pStyle w:val="3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eastAsia="zh-CN"/>
              </w:rPr>
              <w:t>本</w:t>
            </w:r>
            <w:r>
              <w:rPr>
                <w:rFonts w:hint="default" w:ascii="Times New Roman" w:hAnsi="Times New Roman" w:eastAsia="宋体" w:cs="Times New Roman"/>
                <w:color w:val="auto"/>
                <w:sz w:val="24"/>
                <w:szCs w:val="24"/>
                <w:highlight w:val="none"/>
              </w:rPr>
              <w:t>项目工程主要组成见表2-1，</w:t>
            </w:r>
            <w:r>
              <w:rPr>
                <w:rFonts w:hint="default" w:ascii="Times New Roman" w:hAnsi="Times New Roman" w:eastAsia="宋体" w:cs="Times New Roman"/>
                <w:color w:val="auto"/>
                <w:sz w:val="24"/>
                <w:szCs w:val="24"/>
                <w:highlight w:val="none"/>
                <w:lang w:val="en-US" w:eastAsia="zh-CN"/>
              </w:rPr>
              <w:t>主要产品情况见表2-2，</w:t>
            </w:r>
            <w:r>
              <w:rPr>
                <w:rFonts w:hint="default" w:ascii="Times New Roman" w:hAnsi="Times New Roman" w:eastAsia="宋体" w:cs="Times New Roman"/>
                <w:color w:val="auto"/>
                <w:sz w:val="24"/>
                <w:szCs w:val="24"/>
                <w:highlight w:val="none"/>
              </w:rPr>
              <w:t>主要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，原辅料及能源使用情况见表2-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w:t>
            </w:r>
          </w:p>
          <w:p>
            <w:pPr>
              <w:ind w:firstLine="482"/>
              <w:jc w:val="center"/>
              <w:rPr>
                <w:b/>
                <w:bCs/>
                <w:color w:val="auto"/>
                <w:highlight w:val="none"/>
              </w:rPr>
            </w:pPr>
          </w:p>
          <w:p>
            <w:pPr>
              <w:ind w:firstLine="482"/>
              <w:jc w:val="center"/>
              <w:rPr>
                <w:b/>
                <w:bCs/>
                <w:color w:val="auto"/>
                <w:highlight w:val="none"/>
              </w:rPr>
            </w:pPr>
          </w:p>
          <w:p>
            <w:pPr>
              <w:ind w:firstLine="482"/>
              <w:jc w:val="center"/>
              <w:rPr>
                <w:b/>
                <w:bCs/>
                <w:color w:val="auto"/>
                <w:highlight w:val="none"/>
              </w:rPr>
            </w:pPr>
          </w:p>
          <w:p>
            <w:pPr>
              <w:ind w:firstLine="482"/>
              <w:jc w:val="center"/>
              <w:rPr>
                <w:b/>
                <w:bCs/>
                <w:color w:val="auto"/>
                <w:highlight w:val="none"/>
              </w:rPr>
            </w:pPr>
            <w:r>
              <w:rPr>
                <w:b/>
                <w:bCs/>
                <w:color w:val="auto"/>
                <w:highlight w:val="none"/>
              </w:rPr>
              <w:t>表2-1  本项目工程主要组成一览表</w:t>
            </w:r>
          </w:p>
          <w:tbl>
            <w:tblPr>
              <w:tblStyle w:val="28"/>
              <w:tblpPr w:leftFromText="180" w:rightFromText="180" w:vertAnchor="text" w:tblpXSpec="center" w:tblpY="1"/>
              <w:tblOverlap w:val="never"/>
              <w:tblW w:w="8909"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5"/>
              <w:gridCol w:w="779"/>
              <w:gridCol w:w="3038"/>
              <w:gridCol w:w="3225"/>
              <w:gridCol w:w="125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trPr>
              <w:tc>
                <w:tcPr>
                  <w:tcW w:w="345"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名称</w:t>
                  </w:r>
                </w:p>
              </w:tc>
              <w:tc>
                <w:tcPr>
                  <w:tcW w:w="1704"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eastAsia" w:cs="Times New Roman"/>
                      <w:b/>
                      <w:color w:val="auto"/>
                      <w:sz w:val="21"/>
                      <w:szCs w:val="21"/>
                      <w:lang w:eastAsia="zh-CN"/>
                    </w:rPr>
                    <w:t>环评及批复</w:t>
                  </w:r>
                  <w:r>
                    <w:rPr>
                      <w:rFonts w:hint="default" w:ascii="Times New Roman" w:hAnsi="Times New Roman" w:eastAsia="宋体" w:cs="Times New Roman"/>
                      <w:b/>
                      <w:color w:val="auto"/>
                      <w:sz w:val="21"/>
                      <w:szCs w:val="21"/>
                    </w:rPr>
                    <w:t>主要建设内容及规模</w:t>
                  </w:r>
                </w:p>
              </w:tc>
              <w:tc>
                <w:tcPr>
                  <w:tcW w:w="1809"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color w:val="auto"/>
                      <w:sz w:val="21"/>
                      <w:szCs w:val="21"/>
                      <w:lang w:eastAsia="zh-CN"/>
                    </w:rPr>
                  </w:pPr>
                  <w:r>
                    <w:rPr>
                      <w:rFonts w:hint="eastAsia" w:cs="Times New Roman"/>
                      <w:b/>
                      <w:color w:val="auto"/>
                      <w:sz w:val="21"/>
                      <w:szCs w:val="21"/>
                      <w:lang w:eastAsia="zh-CN"/>
                    </w:rPr>
                    <w:t>一期</w:t>
                  </w:r>
                  <w:r>
                    <w:rPr>
                      <w:rFonts w:hint="eastAsia" w:ascii="Times New Roman" w:hAnsi="Times New Roman" w:eastAsia="宋体" w:cs="Times New Roman"/>
                      <w:b/>
                      <w:color w:val="auto"/>
                      <w:sz w:val="21"/>
                      <w:szCs w:val="21"/>
                      <w:lang w:eastAsia="zh-CN"/>
                    </w:rPr>
                    <w:t>实际</w:t>
                  </w:r>
                  <w:r>
                    <w:rPr>
                      <w:rFonts w:hint="default" w:ascii="Times New Roman" w:hAnsi="Times New Roman" w:eastAsia="宋体" w:cs="Times New Roman"/>
                      <w:b/>
                      <w:color w:val="auto"/>
                      <w:sz w:val="21"/>
                      <w:szCs w:val="21"/>
                    </w:rPr>
                    <w:t>主要建设内容及规模</w:t>
                  </w:r>
                </w:p>
              </w:tc>
              <w:tc>
                <w:tcPr>
                  <w:tcW w:w="702"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sz w:val="21"/>
                      <w:szCs w:val="21"/>
                      <w:lang w:eastAsia="zh-CN"/>
                    </w:rPr>
                  </w:pPr>
                  <w:r>
                    <w:rPr>
                      <w:rFonts w:hint="eastAsia" w:cs="Times New Roman"/>
                      <w:color w:val="auto"/>
                      <w:szCs w:val="21"/>
                      <w:lang w:eastAsia="zh-CN"/>
                    </w:rPr>
                    <w:t>实验室</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4间，包括</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间合成实验室（含</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间干燥室）、2间分析实验室，用于合成试验、分析试验、干燥等</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4间，包括</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间合成实验室（含</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间干燥室）、2间分析实验室，用于合成试验、分析试验、干燥等</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办公室</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1间，用于员工日常办公 </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both"/>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1间，用于员工日常办公 </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会议室</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2间，用于办公会议、接待客户等 </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2间，用于办公会议、接待客户等</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给水</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 w:val="21"/>
                      <w:szCs w:val="21"/>
                      <w:lang w:val="en-US" w:eastAsia="zh-CN" w:bidi="ar"/>
                    </w:rPr>
                    <w:t>依托园区现有市政供水管网，园区内已有完善的供水设施</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依托园区现有市政供水管网，园区内已有完善的供水设施</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eastAsia="zh-CN"/>
                    </w:rPr>
                  </w:pPr>
                  <w:r>
                    <w:rPr>
                      <w:rFonts w:hint="eastAsia" w:cs="Times New Roman"/>
                      <w:color w:val="auto"/>
                      <w:sz w:val="21"/>
                      <w:szCs w:val="21"/>
                      <w:lang w:eastAsia="zh-CN"/>
                    </w:rPr>
                    <w:t>排水</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 w:val="21"/>
                      <w:szCs w:val="21"/>
                      <w:lang w:val="en-US" w:eastAsia="zh-CN" w:bidi="ar"/>
                    </w:rPr>
                    <w:t xml:space="preserve">地面清洁废水、实验器皿清洗废水（第三、四次）和生活污水，由产业园污水处理站处理后进入林业示范园水质净化厂处理 </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地面清洁废水、实验器皿清洗废水（第三、四次）和生活污水，由产业园污水处理站处理后进入林业示范园水质净化厂处理 </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eastAsia="zh-CN"/>
                    </w:rPr>
                  </w:pPr>
                  <w:r>
                    <w:rPr>
                      <w:rFonts w:hint="eastAsia" w:cs="Times New Roman"/>
                      <w:color w:val="auto"/>
                      <w:sz w:val="21"/>
                      <w:szCs w:val="21"/>
                      <w:lang w:eastAsia="zh-CN"/>
                    </w:rPr>
                    <w:t>供电</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依托产业园现有市政供电设施</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both"/>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依托产业园现有市政供电设施</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供气</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氢气、氮气均为钢瓶装，为实验仪器用气，由供货商定期供应</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氢气、氮气均为钢瓶装，为实验仪器用气，由供货商定期供应</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val="en-US" w:eastAsia="zh-CN"/>
                    </w:rPr>
                  </w:pPr>
                  <w:r>
                    <w:rPr>
                      <w:rFonts w:hint="eastAsia" w:cs="Times New Roman"/>
                      <w:color w:val="auto"/>
                      <w:sz w:val="21"/>
                      <w:szCs w:val="21"/>
                      <w:lang w:eastAsia="zh-CN"/>
                    </w:rPr>
                    <w:t>通风</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实验室内通风为中央空调送风、排风，实验过程在通风橱内进行，由通风橱排风系统排风</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实验室内通风为中央空调送风、排风，实验过程在通风橱内进行，由通风橱排风系统排风</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bottom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供热制冷</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项目实验设备加热均使用电能，冬季采暖使用中央空调，样品采用冰柜低温保存</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项目实验设备加热均使用电能，冬季采暖使用中央空调，样品采用冰柜低温保存</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restart"/>
                  <w:tcBorders>
                    <w:top w:val="single" w:color="auto" w:sz="4"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b/>
                      <w:bCs/>
                      <w:color w:val="auto"/>
                      <w:sz w:val="21"/>
                      <w:szCs w:val="21"/>
                      <w:lang w:eastAsia="zh-CN"/>
                    </w:rPr>
                  </w:pPr>
                  <w:r>
                    <w:rPr>
                      <w:rFonts w:hint="eastAsia" w:cs="Times New Roman"/>
                      <w:b/>
                      <w:bCs/>
                      <w:color w:val="auto"/>
                      <w:sz w:val="21"/>
                      <w:szCs w:val="21"/>
                      <w:lang w:eastAsia="zh-CN"/>
                    </w:rPr>
                    <w:t>储运工程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试剂库</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3间，液体、固体试剂分别储存，危险试剂单独储存 </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3间，液体、固体试剂分别储存，危险试剂单独储存 </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eastAsia="zh-CN"/>
                    </w:rPr>
                  </w:pPr>
                  <w:r>
                    <w:rPr>
                      <w:rFonts w:hint="eastAsia" w:cs="Times New Roman"/>
                      <w:color w:val="auto"/>
                      <w:sz w:val="21"/>
                      <w:szCs w:val="21"/>
                      <w:lang w:eastAsia="zh-CN"/>
                    </w:rPr>
                    <w:t>成品库</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ind w:firstLine="0" w:firstLineChars="0"/>
                    <w:jc w:val="left"/>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1间，保存制成的样品 </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 xml:space="preserve">1间，保存制成的样品 </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eastAsia="zh-CN"/>
                    </w:rPr>
                  </w:pPr>
                  <w:r>
                    <w:rPr>
                      <w:rFonts w:hint="eastAsia" w:cs="Times New Roman"/>
                      <w:color w:val="auto"/>
                      <w:sz w:val="21"/>
                      <w:szCs w:val="21"/>
                      <w:lang w:eastAsia="zh-CN"/>
                    </w:rPr>
                    <w:t>储藏室</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ind w:firstLine="0" w:firstLineChars="0"/>
                    <w:jc w:val="left"/>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1间，储存备品备件、实验耗材等</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both"/>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1间，储存备品备件、实验耗材等</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eastAsia" w:cs="Times New Roman"/>
                      <w:color w:val="auto"/>
                      <w:sz w:val="21"/>
                      <w:szCs w:val="21"/>
                      <w:lang w:eastAsia="zh-CN"/>
                    </w:rPr>
                  </w:pPr>
                  <w:r>
                    <w:rPr>
                      <w:rFonts w:hint="eastAsia" w:cs="Times New Roman"/>
                      <w:color w:val="auto"/>
                      <w:sz w:val="21"/>
                      <w:szCs w:val="21"/>
                      <w:lang w:eastAsia="zh-CN"/>
                    </w:rPr>
                    <w:t>运输</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ind w:firstLine="0" w:firstLineChars="0"/>
                    <w:jc w:val="left"/>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原料和产品运输委托第三方</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both"/>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
                    </w:rPr>
                    <w:t>原料和产品运输委托第三方</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GB"/>
                    </w:rPr>
                    <w:t>废气</w:t>
                  </w:r>
                </w:p>
              </w:tc>
              <w:tc>
                <w:tcPr>
                  <w:tcW w:w="1704"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3"/>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实验操作过程均在通风橱内进行，挥发出的废气经通风橱收集；分析仪器配备专用吸风罩收集废气；试剂库、样品库、危废间均设置吸风口；实验废气经通风橱和吸风口收集，</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套活性炭吸附装置处理达标后，通过</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根</w:t>
                  </w:r>
                  <w:r>
                    <w:rPr>
                      <w:rFonts w:hint="eastAsia" w:cs="Times New Roman"/>
                      <w:color w:val="auto"/>
                      <w:kern w:val="2"/>
                      <w:sz w:val="21"/>
                      <w:szCs w:val="21"/>
                      <w:lang w:val="en-US" w:eastAsia="zh-CN" w:bidi="ar-SA"/>
                    </w:rPr>
                    <w:t>25m</w:t>
                  </w:r>
                  <w:r>
                    <w:rPr>
                      <w:rFonts w:hint="default" w:ascii="Times New Roman" w:hAnsi="Times New Roman" w:eastAsia="宋体" w:cs="Times New Roman"/>
                      <w:color w:val="auto"/>
                      <w:kern w:val="2"/>
                      <w:sz w:val="21"/>
                      <w:szCs w:val="21"/>
                      <w:lang w:val="en-US" w:eastAsia="zh-CN" w:bidi="ar-SA"/>
                    </w:rPr>
                    <w:t>的排气筒（P1~P4）排放。</w:t>
                  </w:r>
                </w:p>
              </w:tc>
              <w:tc>
                <w:tcPr>
                  <w:tcW w:w="1809"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实验操作过程均在通风橱内进行，挥发出的废气经通风橱收集；分析仪器配备专用吸风罩收集废气；试剂库、样品库、危废间均设置吸风口；实验废气经通风橱和吸风口收集，</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套活性炭吸附装置处理达标后，通过</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根</w:t>
                  </w:r>
                  <w:r>
                    <w:rPr>
                      <w:rFonts w:hint="eastAsia" w:cs="Times New Roman"/>
                      <w:color w:val="auto"/>
                      <w:kern w:val="2"/>
                      <w:sz w:val="21"/>
                      <w:szCs w:val="21"/>
                      <w:lang w:val="en-US" w:eastAsia="zh-CN" w:bidi="ar-SA"/>
                    </w:rPr>
                    <w:t>25m</w:t>
                  </w:r>
                  <w:r>
                    <w:rPr>
                      <w:rFonts w:hint="default" w:ascii="Times New Roman" w:hAnsi="Times New Roman" w:eastAsia="宋体" w:cs="Times New Roman"/>
                      <w:color w:val="auto"/>
                      <w:kern w:val="2"/>
                      <w:sz w:val="21"/>
                      <w:szCs w:val="21"/>
                      <w:lang w:val="en-US" w:eastAsia="zh-CN" w:bidi="ar-SA"/>
                    </w:rPr>
                    <w:t>的排气筒（</w:t>
                  </w:r>
                  <w:r>
                    <w:rPr>
                      <w:rFonts w:hint="eastAsia" w:cs="Times New Roman"/>
                      <w:color w:val="auto"/>
                      <w:kern w:val="2"/>
                      <w:sz w:val="21"/>
                      <w:szCs w:val="21"/>
                      <w:lang w:val="en-US" w:eastAsia="zh-CN" w:bidi="ar-SA"/>
                    </w:rPr>
                    <w:t>DA001-DA004</w:t>
                  </w:r>
                  <w:r>
                    <w:rPr>
                      <w:rFonts w:hint="default" w:ascii="Times New Roman" w:hAnsi="Times New Roman" w:eastAsia="宋体" w:cs="Times New Roman"/>
                      <w:color w:val="auto"/>
                      <w:kern w:val="2"/>
                      <w:sz w:val="21"/>
                      <w:szCs w:val="21"/>
                      <w:lang w:val="en-US" w:eastAsia="zh-CN" w:bidi="ar-SA"/>
                    </w:rPr>
                    <w:t>）排放。</w:t>
                  </w:r>
                </w:p>
              </w:tc>
              <w:tc>
                <w:tcPr>
                  <w:tcW w:w="702"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废水</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地面清洁废水、实验器皿清洗废水（第三、四次）和生活污水由</w:t>
                  </w:r>
                  <w:r>
                    <w:rPr>
                      <w:rFonts w:hint="eastAsia" w:cs="Times New Roman"/>
                      <w:color w:val="auto"/>
                      <w:kern w:val="2"/>
                      <w:sz w:val="21"/>
                      <w:szCs w:val="21"/>
                      <w:lang w:val="en-US" w:eastAsia="zh-CN" w:bidi="ar-SA"/>
                    </w:rPr>
                    <w:t>产业园污水处理站</w:t>
                  </w:r>
                  <w:r>
                    <w:rPr>
                      <w:rFonts w:hint="default" w:ascii="Times New Roman" w:hAnsi="Times New Roman" w:eastAsia="宋体" w:cs="Times New Roman"/>
                      <w:color w:val="auto"/>
                      <w:kern w:val="2"/>
                      <w:sz w:val="21"/>
                      <w:szCs w:val="21"/>
                      <w:lang w:val="en-US" w:eastAsia="zh-CN" w:bidi="ar-SA"/>
                    </w:rPr>
                    <w:t>后排入林业示范园水质净化厂，最终排放至东巨野河支流，汇入小清河</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地面清洁废水、实验器皿清洗废水（第三、四次）和生活污水由</w:t>
                  </w:r>
                  <w:r>
                    <w:rPr>
                      <w:rFonts w:hint="eastAsia" w:cs="Times New Roman"/>
                      <w:color w:val="auto"/>
                      <w:kern w:val="2"/>
                      <w:sz w:val="21"/>
                      <w:szCs w:val="21"/>
                      <w:lang w:val="en-US" w:eastAsia="zh-CN" w:bidi="ar-SA"/>
                    </w:rPr>
                    <w:t>产业园污水处理站</w:t>
                  </w:r>
                  <w:r>
                    <w:rPr>
                      <w:rFonts w:hint="default" w:ascii="Times New Roman" w:hAnsi="Times New Roman" w:eastAsia="宋体" w:cs="Times New Roman"/>
                      <w:color w:val="auto"/>
                      <w:kern w:val="2"/>
                      <w:sz w:val="21"/>
                      <w:szCs w:val="21"/>
                      <w:lang w:val="en-US" w:eastAsia="zh-CN" w:bidi="ar-SA"/>
                    </w:rPr>
                    <w:t>后排入林业示范园水质净化厂，最终排放至东巨野河支流，汇入小清河</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噪声</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小型实验设备噪声低，均置于室内，减振安装，门窗、墙体隔声</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小型实验设备噪声低，均置于室内，减振安装，门窗、墙体隔声</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90" w:hRule="atLeast"/>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固体废物</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危险废物：设置</w:t>
                  </w:r>
                  <w:r>
                    <w:rPr>
                      <w:rFonts w:hint="eastAsia" w:cs="Times New Roman"/>
                      <w:color w:val="auto"/>
                      <w:kern w:val="2"/>
                      <w:sz w:val="21"/>
                      <w:szCs w:val="21"/>
                      <w:lang w:val="en-US" w:eastAsia="zh-CN" w:bidi="ar-SA"/>
                    </w:rPr>
                    <w:t>1</w:t>
                  </w:r>
                  <w:r>
                    <w:rPr>
                      <w:rFonts w:hint="default" w:ascii="Times New Roman" w:hAnsi="Times New Roman" w:eastAsia="宋体" w:cs="Times New Roman"/>
                      <w:color w:val="auto"/>
                      <w:kern w:val="2"/>
                      <w:sz w:val="21"/>
                      <w:szCs w:val="21"/>
                      <w:lang w:val="en-US" w:eastAsia="zh-CN" w:bidi="ar-SA"/>
                    </w:rPr>
                    <w:t>间危废暂存间，实验废物（称量废物、配制试剂废液、实验过程废液、分析实验废渣、实验器皿首次和二次清洗废液、废试剂瓶、废实验耗材等）、废活性炭委托有资质的单位进行处置；</w:t>
                  </w:r>
                </w:p>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一般固废：废包装材料（未沾染试剂的废纸箱、废纸盒等）外售至资源回收单位；生活垃圾由当地环卫部门定期清运</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危险废物：设置</w:t>
                  </w:r>
                  <w:r>
                    <w:rPr>
                      <w:rFonts w:hint="eastAsia" w:cs="Times New Roman"/>
                      <w:color w:val="auto"/>
                      <w:kern w:val="2"/>
                      <w:sz w:val="21"/>
                      <w:szCs w:val="21"/>
                      <w:lang w:val="en-US" w:eastAsia="zh-CN" w:bidi="ar-SA"/>
                    </w:rPr>
                    <w:t>1</w:t>
                  </w:r>
                  <w:r>
                    <w:rPr>
                      <w:rFonts w:hint="default" w:ascii="Times New Roman" w:hAnsi="Times New Roman" w:eastAsia="宋体" w:cs="Times New Roman"/>
                      <w:color w:val="auto"/>
                      <w:kern w:val="2"/>
                      <w:sz w:val="21"/>
                      <w:szCs w:val="21"/>
                      <w:lang w:val="en-US" w:eastAsia="zh-CN" w:bidi="ar-SA"/>
                    </w:rPr>
                    <w:t>间危废暂存间，实验废物（称量废物、配制试剂废液、实验过程废液、分析实验废渣、实验器皿首次和二次清洗废液、废试剂瓶、废实验耗材等）、废活性炭委托山东敬诚环保科技有限公司处置；</w:t>
                  </w:r>
                </w:p>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一般固废：废包装材料（未沾染试剂的废纸箱、废纸盒等）外售至资源回收单位；生活垃圾由当地环卫部门定期清运</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rPr>
              <w:tc>
                <w:tcPr>
                  <w:tcW w:w="782" w:type="pct"/>
                  <w:gridSpan w:val="2"/>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3"/>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依托工程</w:t>
                  </w:r>
                </w:p>
              </w:tc>
              <w:tc>
                <w:tcPr>
                  <w:tcW w:w="170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建设地点租赁济南迪亚双创产业园现有空闲楼层，给水、排水依托现有管网，用电依托现有供电设施，废水处理依托产业园污水处理站</w:t>
                  </w:r>
                </w:p>
              </w:tc>
              <w:tc>
                <w:tcPr>
                  <w:tcW w:w="180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3"/>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建设地点租赁济南迪亚双创产业园现有空闲楼层，给水、排水依托现有管网，用电依托现有供电设施，废水处理依托产业园污水处理站</w:t>
                  </w:r>
                </w:p>
              </w:tc>
              <w:tc>
                <w:tcPr>
                  <w:tcW w:w="70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bl>
          <w:p>
            <w:pPr>
              <w:pStyle w:val="33"/>
              <w:ind w:left="0" w:leftChars="0" w:firstLine="0" w:firstLineChars="0"/>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szCs w:val="24"/>
              </w:rPr>
              <w:t>表2-</w:t>
            </w:r>
            <w:r>
              <w:rPr>
                <w:rFonts w:hint="default" w:ascii="Times New Roman" w:hAnsi="Times New Roman" w:eastAsia="宋体" w:cs="Times New Roman"/>
                <w:b/>
                <w:bCs/>
                <w:color w:val="auto"/>
                <w:sz w:val="24"/>
                <w:szCs w:val="24"/>
                <w:lang w:val="en-US" w:eastAsia="zh-CN"/>
              </w:rPr>
              <w:t xml:space="preserve">2 </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eastAsia="zh-CN"/>
              </w:rPr>
              <w:t>本</w:t>
            </w:r>
            <w:r>
              <w:rPr>
                <w:rFonts w:hint="default" w:ascii="Times New Roman" w:hAnsi="Times New Roman" w:eastAsia="宋体" w:cs="Times New Roman"/>
                <w:b/>
                <w:bCs/>
                <w:color w:val="auto"/>
                <w:sz w:val="24"/>
                <w:szCs w:val="24"/>
              </w:rPr>
              <w:t>项目主要</w:t>
            </w:r>
            <w:r>
              <w:rPr>
                <w:rFonts w:hint="default" w:ascii="Times New Roman" w:hAnsi="Times New Roman" w:eastAsia="宋体" w:cs="Times New Roman"/>
                <w:b/>
                <w:bCs/>
                <w:color w:val="auto"/>
                <w:sz w:val="24"/>
                <w:szCs w:val="24"/>
                <w:lang w:eastAsia="zh-CN"/>
              </w:rPr>
              <w:t>产品情况</w:t>
            </w:r>
          </w:p>
          <w:tbl>
            <w:tblPr>
              <w:tblStyle w:val="29"/>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1470"/>
              <w:gridCol w:w="1711"/>
              <w:gridCol w:w="809"/>
              <w:gridCol w:w="1425"/>
              <w:gridCol w:w="1425"/>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4" w:type="pct"/>
                  <w:noWrap w:val="0"/>
                  <w:vAlign w:val="center"/>
                </w:tcPr>
                <w:p>
                  <w:pPr>
                    <w:pStyle w:val="43"/>
                    <w:ind w:firstLine="0" w:firstLineChars="0"/>
                    <w:rPr>
                      <w:rFonts w:hint="eastAsia" w:ascii="Times New Roman" w:hAnsi="Times New Roman" w:eastAsia="宋体" w:cs="Times New Roman"/>
                      <w:b/>
                      <w:bCs/>
                      <w:color w:val="auto"/>
                      <w:kern w:val="2"/>
                      <w:sz w:val="21"/>
                      <w:szCs w:val="21"/>
                      <w:lang w:val="zh-CN" w:eastAsia="zh-CN" w:bidi="ar-SA"/>
                    </w:rPr>
                  </w:pPr>
                  <w:r>
                    <w:rPr>
                      <w:rFonts w:hint="default" w:ascii="Times New Roman" w:hAnsi="Times New Roman" w:eastAsia="宋体" w:cs="Times New Roman"/>
                      <w:b/>
                      <w:bCs/>
                      <w:color w:val="auto"/>
                      <w:sz w:val="21"/>
                      <w:szCs w:val="21"/>
                    </w:rPr>
                    <w:t>序号</w:t>
                  </w:r>
                </w:p>
              </w:tc>
              <w:tc>
                <w:tcPr>
                  <w:tcW w:w="823" w:type="pct"/>
                  <w:noWrap w:val="0"/>
                  <w:vAlign w:val="center"/>
                </w:tcPr>
                <w:p>
                  <w:pPr>
                    <w:pStyle w:val="43"/>
                    <w:ind w:firstLine="0" w:firstLineChars="0"/>
                    <w:rPr>
                      <w:rFonts w:hint="eastAsia" w:ascii="Times New Roman" w:hAnsi="Times New Roman" w:eastAsia="宋体" w:cs="Times New Roman"/>
                      <w:b/>
                      <w:bCs/>
                      <w:color w:val="auto"/>
                      <w:kern w:val="2"/>
                      <w:sz w:val="21"/>
                      <w:szCs w:val="21"/>
                      <w:lang w:val="zh-CN" w:eastAsia="zh-CN" w:bidi="ar-SA"/>
                    </w:rPr>
                  </w:pPr>
                  <w:r>
                    <w:rPr>
                      <w:rFonts w:hint="default" w:ascii="Times New Roman" w:hAnsi="Times New Roman" w:eastAsia="宋体" w:cs="Times New Roman"/>
                      <w:b/>
                      <w:bCs/>
                      <w:color w:val="auto"/>
                      <w:sz w:val="21"/>
                      <w:szCs w:val="21"/>
                    </w:rPr>
                    <w:t>名称</w:t>
                  </w:r>
                </w:p>
              </w:tc>
              <w:tc>
                <w:tcPr>
                  <w:tcW w:w="958" w:type="pct"/>
                  <w:noWrap w:val="0"/>
                  <w:vAlign w:val="center"/>
                </w:tcPr>
                <w:p>
                  <w:pPr>
                    <w:pStyle w:val="43"/>
                    <w:ind w:firstLine="0" w:firstLineChars="0"/>
                    <w:rPr>
                      <w:rFonts w:hint="eastAsia" w:ascii="Times New Roman" w:hAnsi="Times New Roman" w:eastAsia="宋体" w:cs="Times New Roman"/>
                      <w:b/>
                      <w:bCs/>
                      <w:color w:val="auto"/>
                      <w:kern w:val="2"/>
                      <w:sz w:val="21"/>
                      <w:szCs w:val="21"/>
                      <w:lang w:val="zh-CN" w:eastAsia="zh-CN" w:bidi="ar-SA"/>
                    </w:rPr>
                  </w:pPr>
                  <w:r>
                    <w:rPr>
                      <w:rFonts w:hint="eastAsia" w:cs="Times New Roman"/>
                      <w:b/>
                      <w:bCs/>
                      <w:color w:val="auto"/>
                      <w:sz w:val="21"/>
                      <w:szCs w:val="21"/>
                      <w:lang w:eastAsia="zh-CN"/>
                    </w:rPr>
                    <w:t>型号</w:t>
                  </w:r>
                </w:p>
              </w:tc>
              <w:tc>
                <w:tcPr>
                  <w:tcW w:w="453" w:type="pct"/>
                  <w:noWrap w:val="0"/>
                  <w:vAlign w:val="center"/>
                </w:tcPr>
                <w:p>
                  <w:pPr>
                    <w:pStyle w:val="43"/>
                    <w:ind w:firstLine="0" w:firstLineChars="0"/>
                    <w:rPr>
                      <w:rFonts w:hint="eastAsia" w:ascii="Times New Roman" w:hAnsi="Times New Roman" w:eastAsia="宋体" w:cs="Times New Roman"/>
                      <w:b/>
                      <w:bCs/>
                      <w:color w:val="auto"/>
                      <w:kern w:val="2"/>
                      <w:sz w:val="21"/>
                      <w:szCs w:val="21"/>
                      <w:lang w:val="zh-CN" w:eastAsia="en-US" w:bidi="ar-SA"/>
                    </w:rPr>
                  </w:pPr>
                  <w:r>
                    <w:rPr>
                      <w:rFonts w:hint="eastAsia" w:eastAsia="宋体" w:cs="Times New Roman"/>
                      <w:b/>
                      <w:bCs/>
                      <w:color w:val="auto"/>
                      <w:sz w:val="21"/>
                      <w:szCs w:val="21"/>
                      <w:lang w:eastAsia="zh-CN"/>
                    </w:rPr>
                    <w:t>单位</w:t>
                  </w:r>
                </w:p>
              </w:tc>
              <w:tc>
                <w:tcPr>
                  <w:tcW w:w="798" w:type="pct"/>
                  <w:noWrap w:val="0"/>
                  <w:vAlign w:val="center"/>
                </w:tcPr>
                <w:p>
                  <w:pPr>
                    <w:pStyle w:val="43"/>
                    <w:ind w:firstLine="0" w:firstLineChars="0"/>
                    <w:rPr>
                      <w:rFonts w:hint="eastAsia" w:ascii="Times New Roman" w:hAnsi="Times New Roman" w:eastAsia="宋体" w:cs="Times New Roman"/>
                      <w:b/>
                      <w:bCs/>
                      <w:color w:val="auto"/>
                      <w:kern w:val="2"/>
                      <w:sz w:val="21"/>
                      <w:szCs w:val="21"/>
                      <w:lang w:val="zh-CN" w:eastAsia="zh-TW" w:bidi="ar-SA"/>
                    </w:rPr>
                  </w:pPr>
                  <w:r>
                    <w:rPr>
                      <w:rFonts w:hint="default" w:ascii="Times New Roman" w:hAnsi="Times New Roman" w:eastAsia="宋体" w:cs="Times New Roman"/>
                      <w:b/>
                      <w:bCs/>
                      <w:color w:val="auto"/>
                      <w:sz w:val="21"/>
                      <w:szCs w:val="21"/>
                      <w:lang w:eastAsia="zh-CN"/>
                    </w:rPr>
                    <w:t>环评年</w:t>
                  </w:r>
                  <w:r>
                    <w:rPr>
                      <w:rFonts w:hint="default" w:ascii="Times New Roman" w:hAnsi="Times New Roman" w:eastAsia="宋体" w:cs="Times New Roman"/>
                      <w:b/>
                      <w:bCs/>
                      <w:color w:val="auto"/>
                      <w:sz w:val="21"/>
                      <w:szCs w:val="21"/>
                    </w:rPr>
                    <w:t>产量</w:t>
                  </w:r>
                </w:p>
              </w:tc>
              <w:tc>
                <w:tcPr>
                  <w:tcW w:w="798" w:type="pct"/>
                  <w:noWrap w:val="0"/>
                  <w:vAlign w:val="center"/>
                </w:tcPr>
                <w:p>
                  <w:pPr>
                    <w:pStyle w:val="43"/>
                    <w:ind w:firstLine="0" w:firstLineChars="0"/>
                    <w:rPr>
                      <w:rFonts w:hint="eastAsia" w:cs="Times New Roman"/>
                      <w:b/>
                      <w:bCs/>
                      <w:color w:val="auto"/>
                      <w:sz w:val="21"/>
                      <w:szCs w:val="21"/>
                      <w:lang w:eastAsia="zh-CN"/>
                    </w:rPr>
                  </w:pPr>
                  <w:r>
                    <w:rPr>
                      <w:rFonts w:hint="eastAsia" w:cs="Times New Roman"/>
                      <w:b/>
                      <w:bCs/>
                      <w:color w:val="auto"/>
                      <w:sz w:val="21"/>
                      <w:szCs w:val="21"/>
                      <w:lang w:eastAsia="zh-CN"/>
                    </w:rPr>
                    <w:t>一期</w:t>
                  </w:r>
                </w:p>
                <w:p>
                  <w:pPr>
                    <w:pStyle w:val="43"/>
                    <w:ind w:firstLine="0" w:firstLineChars="0"/>
                    <w:rPr>
                      <w:rFonts w:hint="eastAsia" w:ascii="Times New Roman" w:hAnsi="Times New Roman" w:eastAsia="宋体" w:cs="Times New Roman"/>
                      <w:b/>
                      <w:bCs/>
                      <w:color w:val="auto"/>
                      <w:kern w:val="2"/>
                      <w:sz w:val="21"/>
                      <w:szCs w:val="21"/>
                      <w:lang w:val="zh-CN" w:eastAsia="zh-CN" w:bidi="ar-SA"/>
                    </w:rPr>
                  </w:pPr>
                  <w:r>
                    <w:rPr>
                      <w:rFonts w:hint="default" w:ascii="Times New Roman" w:hAnsi="Times New Roman" w:eastAsia="宋体" w:cs="Times New Roman"/>
                      <w:b/>
                      <w:bCs/>
                      <w:color w:val="auto"/>
                      <w:sz w:val="21"/>
                      <w:szCs w:val="21"/>
                      <w:lang w:eastAsia="zh-CN"/>
                    </w:rPr>
                    <w:t>实际年</w:t>
                  </w:r>
                  <w:r>
                    <w:rPr>
                      <w:rFonts w:hint="default" w:ascii="Times New Roman" w:hAnsi="Times New Roman" w:eastAsia="宋体" w:cs="Times New Roman"/>
                      <w:b/>
                      <w:bCs/>
                      <w:color w:val="auto"/>
                      <w:sz w:val="21"/>
                      <w:szCs w:val="21"/>
                    </w:rPr>
                    <w:t>产量</w:t>
                  </w:r>
                </w:p>
              </w:tc>
              <w:tc>
                <w:tcPr>
                  <w:tcW w:w="732" w:type="pct"/>
                  <w:noWrap w:val="0"/>
                  <w:vAlign w:val="center"/>
                </w:tcPr>
                <w:p>
                  <w:pPr>
                    <w:pStyle w:val="43"/>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4" w:type="pct"/>
                  <w:noWrap w:val="0"/>
                  <w:vAlign w:val="center"/>
                </w:tcPr>
                <w:p>
                  <w:pPr>
                    <w:pStyle w:val="43"/>
                    <w:ind w:firstLine="0" w:firstLineChars="0"/>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1</w:t>
                  </w:r>
                </w:p>
              </w:tc>
              <w:tc>
                <w:tcPr>
                  <w:tcW w:w="823" w:type="pct"/>
                  <w:noWrap w:val="0"/>
                  <w:vAlign w:val="center"/>
                </w:tcPr>
                <w:p>
                  <w:pPr>
                    <w:pStyle w:val="43"/>
                    <w:ind w:firstLine="0" w:firstLineChars="0"/>
                    <w:rPr>
                      <w:rFonts w:hint="eastAsia"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lang w:eastAsia="zh-CN"/>
                    </w:rPr>
                    <w:t>试验报告</w:t>
                  </w:r>
                </w:p>
              </w:tc>
              <w:tc>
                <w:tcPr>
                  <w:tcW w:w="958" w:type="pct"/>
                  <w:noWrap w:val="0"/>
                  <w:vAlign w:val="center"/>
                </w:tcPr>
                <w:p>
                  <w:pPr>
                    <w:pStyle w:val="43"/>
                    <w:ind w:firstLine="0" w:firstLineChars="0"/>
                    <w:rPr>
                      <w:rFonts w:hint="default" w:cs="Times New Roman"/>
                      <w:b w:val="0"/>
                      <w:bCs w:val="0"/>
                      <w:color w:val="auto"/>
                      <w:sz w:val="21"/>
                      <w:szCs w:val="21"/>
                      <w:lang w:eastAsia="zh-CN"/>
                    </w:rPr>
                  </w:pPr>
                  <w:r>
                    <w:rPr>
                      <w:rFonts w:hint="eastAsia" w:cs="Times New Roman"/>
                      <w:b w:val="0"/>
                      <w:bCs w:val="0"/>
                      <w:color w:val="auto"/>
                      <w:sz w:val="21"/>
                      <w:szCs w:val="21"/>
                      <w:lang w:val="en-US" w:eastAsia="zh-CN"/>
                    </w:rPr>
                    <w:t>/</w:t>
                  </w:r>
                </w:p>
              </w:tc>
              <w:tc>
                <w:tcPr>
                  <w:tcW w:w="453" w:type="pct"/>
                  <w:noWrap w:val="0"/>
                  <w:vAlign w:val="center"/>
                </w:tcPr>
                <w:p>
                  <w:pPr>
                    <w:pStyle w:val="43"/>
                    <w:ind w:firstLine="0" w:firstLineChars="0"/>
                    <w:rPr>
                      <w:rFonts w:hint="eastAsia" w:eastAsia="宋体" w:cs="Times New Roman"/>
                      <w:b w:val="0"/>
                      <w:bCs w:val="0"/>
                      <w:color w:val="auto"/>
                      <w:sz w:val="21"/>
                      <w:szCs w:val="21"/>
                      <w:lang w:eastAsia="zh-CN"/>
                    </w:rPr>
                  </w:pPr>
                  <w:r>
                    <w:rPr>
                      <w:rFonts w:hint="eastAsia" w:eastAsia="宋体" w:cs="Times New Roman"/>
                      <w:b w:val="0"/>
                      <w:bCs w:val="0"/>
                      <w:color w:val="auto"/>
                      <w:sz w:val="21"/>
                      <w:szCs w:val="21"/>
                      <w:lang w:eastAsia="zh-CN"/>
                    </w:rPr>
                    <w:t>份</w:t>
                  </w:r>
                </w:p>
              </w:tc>
              <w:tc>
                <w:tcPr>
                  <w:tcW w:w="7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val="en-US" w:eastAsia="zh-CN"/>
                    </w:rPr>
                    <w:t>500</w:t>
                  </w:r>
                </w:p>
              </w:tc>
              <w:tc>
                <w:tcPr>
                  <w:tcW w:w="7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450</w:t>
                  </w:r>
                </w:p>
              </w:tc>
              <w:tc>
                <w:tcPr>
                  <w:tcW w:w="732" w:type="pct"/>
                  <w:noWrap w:val="0"/>
                  <w:vAlign w:val="center"/>
                </w:tcPr>
                <w:p>
                  <w:pPr>
                    <w:pStyle w:val="43"/>
                    <w:rPr>
                      <w:rFonts w:hint="default" w:ascii="Times New Roman" w:hAnsi="Times New Roman" w:eastAsia="宋体" w:cs="Times New Roman"/>
                      <w:b w:val="0"/>
                      <w:bCs w:val="0"/>
                      <w:color w:val="auto"/>
                      <w:sz w:val="21"/>
                      <w:szCs w:val="21"/>
                      <w:lang w:eastAsia="zh-CN"/>
                    </w:rPr>
                  </w:pPr>
                  <w:r>
                    <w:rPr>
                      <w:rFonts w:hint="eastAsia" w:cs="Times New Roman"/>
                      <w:b w:val="0"/>
                      <w:bCs w:val="0"/>
                      <w:color w:val="auto"/>
                      <w:sz w:val="21"/>
                      <w:szCs w:val="21"/>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4" w:type="pct"/>
                  <w:noWrap w:val="0"/>
                  <w:vAlign w:val="center"/>
                </w:tcPr>
                <w:p>
                  <w:pPr>
                    <w:pStyle w:val="43"/>
                    <w:ind w:firstLine="0" w:firstLineChars="0"/>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2</w:t>
                  </w:r>
                </w:p>
              </w:tc>
              <w:tc>
                <w:tcPr>
                  <w:tcW w:w="823" w:type="pct"/>
                  <w:noWrap w:val="0"/>
                  <w:vAlign w:val="center"/>
                </w:tcPr>
                <w:p>
                  <w:pPr>
                    <w:pStyle w:val="43"/>
                    <w:ind w:firstLine="0" w:firstLineChars="0"/>
                    <w:rPr>
                      <w:rFonts w:hint="eastAsia"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lang w:eastAsia="zh-CN"/>
                    </w:rPr>
                    <w:t>新药报告</w:t>
                  </w:r>
                </w:p>
              </w:tc>
              <w:tc>
                <w:tcPr>
                  <w:tcW w:w="958" w:type="pct"/>
                  <w:noWrap w:val="0"/>
                  <w:vAlign w:val="center"/>
                </w:tcPr>
                <w:p>
                  <w:pPr>
                    <w:pStyle w:val="43"/>
                    <w:ind w:firstLine="0" w:firstLineChars="0"/>
                    <w:rPr>
                      <w:rFonts w:hint="default" w:cs="Times New Roman"/>
                      <w:b w:val="0"/>
                      <w:bCs w:val="0"/>
                      <w:color w:val="auto"/>
                      <w:sz w:val="21"/>
                      <w:szCs w:val="21"/>
                      <w:lang w:eastAsia="zh-CN"/>
                    </w:rPr>
                  </w:pPr>
                  <w:r>
                    <w:rPr>
                      <w:rFonts w:hint="eastAsia" w:cs="Times New Roman"/>
                      <w:b w:val="0"/>
                      <w:bCs w:val="0"/>
                      <w:color w:val="auto"/>
                      <w:sz w:val="21"/>
                      <w:szCs w:val="21"/>
                      <w:lang w:eastAsia="zh-CN"/>
                    </w:rPr>
                    <w:t>克级、毫克级，约</w:t>
                  </w:r>
                  <w:r>
                    <w:rPr>
                      <w:rFonts w:hint="eastAsia" w:cs="Times New Roman"/>
                      <w:b w:val="0"/>
                      <w:bCs w:val="0"/>
                      <w:color w:val="auto"/>
                      <w:sz w:val="21"/>
                      <w:szCs w:val="21"/>
                      <w:lang w:val="en-US" w:eastAsia="zh-CN"/>
                    </w:rPr>
                    <w:t>100种</w:t>
                  </w:r>
                </w:p>
              </w:tc>
              <w:tc>
                <w:tcPr>
                  <w:tcW w:w="453" w:type="pct"/>
                  <w:noWrap w:val="0"/>
                  <w:vAlign w:val="center"/>
                </w:tcPr>
                <w:p>
                  <w:pPr>
                    <w:pStyle w:val="43"/>
                    <w:ind w:firstLine="0" w:firstLineChars="0"/>
                    <w:rPr>
                      <w:rFonts w:hint="default" w:eastAsia="宋体" w:cs="Times New Roman"/>
                      <w:b w:val="0"/>
                      <w:bCs w:val="0"/>
                      <w:color w:val="auto"/>
                      <w:sz w:val="21"/>
                      <w:szCs w:val="21"/>
                      <w:lang w:eastAsia="zh-CN"/>
                    </w:rPr>
                  </w:pPr>
                  <w:r>
                    <w:rPr>
                      <w:rFonts w:hint="eastAsia" w:eastAsia="宋体" w:cs="Times New Roman"/>
                      <w:b w:val="0"/>
                      <w:bCs w:val="0"/>
                      <w:color w:val="auto"/>
                      <w:sz w:val="21"/>
                      <w:szCs w:val="21"/>
                      <w:lang w:val="en-US" w:eastAsia="zh-CN"/>
                    </w:rPr>
                    <w:t>kg</w:t>
                  </w:r>
                </w:p>
              </w:tc>
              <w:tc>
                <w:tcPr>
                  <w:tcW w:w="7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val="en-US" w:eastAsia="zh-CN"/>
                    </w:rPr>
                    <w:t>100</w:t>
                  </w:r>
                </w:p>
              </w:tc>
              <w:tc>
                <w:tcPr>
                  <w:tcW w:w="7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90</w:t>
                  </w:r>
                </w:p>
              </w:tc>
              <w:tc>
                <w:tcPr>
                  <w:tcW w:w="732" w:type="pct"/>
                  <w:noWrap w:val="0"/>
                  <w:vAlign w:val="center"/>
                </w:tcPr>
                <w:p>
                  <w:pPr>
                    <w:pStyle w:val="43"/>
                    <w:rPr>
                      <w:rFonts w:hint="default" w:ascii="Times New Roman" w:hAnsi="Times New Roman" w:eastAsia="宋体" w:cs="Times New Roman"/>
                      <w:b w:val="0"/>
                      <w:bCs w:val="0"/>
                      <w:color w:val="auto"/>
                      <w:sz w:val="21"/>
                      <w:szCs w:val="21"/>
                      <w:lang w:eastAsia="zh-CN"/>
                    </w:rPr>
                  </w:pPr>
                  <w:r>
                    <w:rPr>
                      <w:rFonts w:hint="eastAsia" w:cs="Times New Roman"/>
                      <w:b w:val="0"/>
                      <w:bCs w:val="0"/>
                      <w:color w:val="auto"/>
                      <w:sz w:val="21"/>
                      <w:szCs w:val="21"/>
                      <w:lang w:eastAsia="zh-CN"/>
                    </w:rPr>
                    <w:t>分期建设</w:t>
                  </w:r>
                </w:p>
              </w:tc>
            </w:tr>
          </w:tbl>
          <w:p>
            <w:pPr>
              <w:ind w:firstLine="482"/>
              <w:jc w:val="center"/>
              <w:rPr>
                <w:b/>
                <w:bCs/>
                <w:color w:val="auto"/>
                <w:highlight w:val="none"/>
              </w:rPr>
            </w:pPr>
            <w:r>
              <w:rPr>
                <w:b/>
                <w:bCs/>
                <w:color w:val="auto"/>
                <w:highlight w:val="none"/>
              </w:rPr>
              <w:t>表2-</w:t>
            </w:r>
            <w:r>
              <w:rPr>
                <w:rFonts w:hint="eastAsia"/>
                <w:b/>
                <w:bCs/>
                <w:color w:val="auto"/>
                <w:highlight w:val="none"/>
                <w:lang w:val="en-US" w:eastAsia="zh-CN"/>
              </w:rPr>
              <w:t>3</w:t>
            </w:r>
            <w:r>
              <w:rPr>
                <w:b/>
                <w:bCs/>
                <w:color w:val="auto"/>
                <w:highlight w:val="none"/>
              </w:rPr>
              <w:t xml:space="preserve">  本项目主要生产设备一览表</w:t>
            </w:r>
          </w:p>
          <w:tbl>
            <w:tblPr>
              <w:tblStyle w:val="28"/>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
              <w:gridCol w:w="1626"/>
              <w:gridCol w:w="1453"/>
              <w:gridCol w:w="812"/>
              <w:gridCol w:w="1195"/>
              <w:gridCol w:w="1492"/>
              <w:gridCol w:w="1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506"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b/>
                      <w:bCs/>
                      <w:color w:val="auto"/>
                      <w:szCs w:val="21"/>
                      <w:highlight w:val="none"/>
                    </w:rPr>
                    <w:t>序号</w:t>
                  </w:r>
                </w:p>
              </w:tc>
              <w:tc>
                <w:tcPr>
                  <w:tcW w:w="1626"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b/>
                      <w:bCs/>
                      <w:color w:val="auto"/>
                      <w:szCs w:val="21"/>
                      <w:highlight w:val="none"/>
                    </w:rPr>
                    <w:t>设备名称</w:t>
                  </w:r>
                </w:p>
              </w:tc>
              <w:tc>
                <w:tcPr>
                  <w:tcW w:w="1453"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b/>
                      <w:bCs/>
                      <w:color w:val="auto"/>
                      <w:szCs w:val="21"/>
                      <w:highlight w:val="none"/>
                    </w:rPr>
                    <w:t>规格型号</w:t>
                  </w:r>
                </w:p>
              </w:tc>
              <w:tc>
                <w:tcPr>
                  <w:tcW w:w="812"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rFonts w:hint="eastAsia"/>
                      <w:b/>
                      <w:bCs/>
                      <w:color w:val="auto"/>
                      <w:szCs w:val="21"/>
                      <w:highlight w:val="none"/>
                    </w:rPr>
                    <w:t>单位</w:t>
                  </w:r>
                </w:p>
              </w:tc>
              <w:tc>
                <w:tcPr>
                  <w:tcW w:w="1195"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b/>
                      <w:bCs/>
                      <w:color w:val="auto"/>
                      <w:szCs w:val="21"/>
                      <w:highlight w:val="none"/>
                    </w:rPr>
                    <w:t>环评</w:t>
                  </w:r>
                  <w:r>
                    <w:rPr>
                      <w:rFonts w:hint="eastAsia"/>
                      <w:b/>
                      <w:bCs/>
                      <w:color w:val="auto"/>
                      <w:szCs w:val="21"/>
                      <w:highlight w:val="none"/>
                    </w:rPr>
                    <w:t>数量</w:t>
                  </w:r>
                </w:p>
              </w:tc>
              <w:tc>
                <w:tcPr>
                  <w:tcW w:w="1492" w:type="dxa"/>
                  <w:tcBorders>
                    <w:top w:val="single" w:color="auto" w:sz="4" w:space="0"/>
                    <w:left w:val="single" w:color="auto" w:sz="4" w:space="0"/>
                    <w:right w:val="single" w:color="auto" w:sz="4" w:space="0"/>
                  </w:tcBorders>
                  <w:vAlign w:val="center"/>
                </w:tcPr>
                <w:p>
                  <w:pPr>
                    <w:pStyle w:val="43"/>
                    <w:rPr>
                      <w:b/>
                      <w:bCs/>
                      <w:color w:val="auto"/>
                      <w:szCs w:val="21"/>
                      <w:highlight w:val="none"/>
                    </w:rPr>
                  </w:pPr>
                  <w:r>
                    <w:rPr>
                      <w:rFonts w:hint="eastAsia"/>
                      <w:b/>
                      <w:bCs/>
                      <w:color w:val="auto"/>
                      <w:szCs w:val="21"/>
                      <w:highlight w:val="none"/>
                      <w:lang w:eastAsia="zh-CN"/>
                    </w:rPr>
                    <w:t>一期</w:t>
                  </w:r>
                  <w:r>
                    <w:rPr>
                      <w:b/>
                      <w:bCs/>
                      <w:color w:val="auto"/>
                      <w:szCs w:val="21"/>
                      <w:highlight w:val="none"/>
                    </w:rPr>
                    <w:t>实际</w:t>
                  </w:r>
                  <w:r>
                    <w:rPr>
                      <w:rFonts w:hint="eastAsia"/>
                      <w:b/>
                      <w:bCs/>
                      <w:color w:val="auto"/>
                      <w:szCs w:val="21"/>
                      <w:highlight w:val="none"/>
                    </w:rPr>
                    <w:t>数量</w:t>
                  </w:r>
                </w:p>
              </w:tc>
              <w:tc>
                <w:tcPr>
                  <w:tcW w:w="1832" w:type="dxa"/>
                  <w:tcBorders>
                    <w:top w:val="single" w:color="auto" w:sz="4" w:space="0"/>
                    <w:left w:val="single" w:color="auto" w:sz="4" w:space="0"/>
                    <w:bottom w:val="single" w:color="auto" w:sz="4" w:space="0"/>
                    <w:right w:val="single" w:color="auto" w:sz="4" w:space="0"/>
                  </w:tcBorders>
                  <w:vAlign w:val="center"/>
                </w:tcPr>
                <w:p>
                  <w:pPr>
                    <w:pStyle w:val="43"/>
                    <w:rPr>
                      <w:b/>
                      <w:bCs/>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1</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玻璃三口烧瓶</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10L</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10</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2</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集热式恒温加热磁力搅拌器</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30</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30</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3</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搅拌器</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JJ-1</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台</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40</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4</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冰柜</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
                    </w:rPr>
                  </w:pPr>
                  <w:r>
                    <w:rPr>
                      <w:rFonts w:hint="eastAsia" w:cs="Times New Roman"/>
                      <w:color w:val="auto"/>
                      <w:kern w:val="2"/>
                      <w:szCs w:val="21"/>
                      <w:lang w:eastAsia="zh-CN" w:bidi="ar"/>
                    </w:rPr>
                    <w:t>台</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w:t>
                  </w:r>
                </w:p>
              </w:tc>
              <w:tc>
                <w:tcPr>
                  <w:tcW w:w="1492" w:type="dxa"/>
                  <w:tcBorders>
                    <w:left w:val="single" w:color="auto" w:sz="4" w:space="0"/>
                    <w:right w:val="single" w:color="auto" w:sz="4" w:space="0"/>
                  </w:tcBorders>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2</w:t>
                  </w:r>
                </w:p>
              </w:tc>
              <w:tc>
                <w:tcPr>
                  <w:tcW w:w="1832" w:type="dxa"/>
                  <w:tcBorders>
                    <w:left w:val="single" w:color="auto" w:sz="4" w:space="0"/>
                    <w:right w:val="single" w:color="auto" w:sz="4" w:space="0"/>
                  </w:tcBorders>
                  <w:vAlign w:val="center"/>
                </w:tcPr>
                <w:p>
                  <w:pPr>
                    <w:pStyle w:val="43"/>
                    <w:rPr>
                      <w:rFonts w:hint="eastAsia" w:eastAsia="宋体"/>
                      <w:color w:val="auto"/>
                      <w:szCs w:val="21"/>
                      <w:highlight w:val="none"/>
                      <w:lang w:eastAsia="zh-CN"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5</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液相分析仪</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套</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w:t>
                  </w:r>
                </w:p>
              </w:tc>
              <w:tc>
                <w:tcPr>
                  <w:tcW w:w="1492" w:type="dxa"/>
                  <w:tcBorders>
                    <w:left w:val="single" w:color="auto" w:sz="4" w:space="0"/>
                    <w:right w:val="single" w:color="auto" w:sz="4" w:space="0"/>
                  </w:tcBorders>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4</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6</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气相分析仪</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台</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492" w:type="dxa"/>
                  <w:tcBorders>
                    <w:left w:val="single" w:color="auto" w:sz="4" w:space="0"/>
                    <w:right w:val="single" w:color="auto" w:sz="4" w:space="0"/>
                  </w:tcBorders>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1</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7</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真空泵</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eastAsia" w:ascii="Times New Roman" w:hAnsi="Times New Roman" w:eastAsia="宋体" w:cs="Times New Roman"/>
                      <w:color w:val="auto"/>
                      <w:kern w:val="2"/>
                      <w:sz w:val="21"/>
                      <w:szCs w:val="21"/>
                      <w:lang w:val="en-US" w:eastAsia="zh-CN" w:bidi="ar"/>
                    </w:rPr>
                  </w:pPr>
                  <w:r>
                    <w:rPr>
                      <w:rFonts w:hint="eastAsia" w:cs="Times New Roman"/>
                      <w:color w:val="auto"/>
                      <w:kern w:val="2"/>
                      <w:szCs w:val="21"/>
                      <w:lang w:eastAsia="zh-CN" w:bidi="ar"/>
                    </w:rPr>
                    <w:t>台</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12</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8</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玻璃烧瓶</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50L</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ascii="Times New Roman" w:hAnsi="Times New Roman" w:eastAsia="宋体" w:cs="Times New Roman"/>
                      <w:color w:val="auto"/>
                      <w:kern w:val="2"/>
                      <w:sz w:val="21"/>
                      <w:szCs w:val="21"/>
                      <w:lang w:val="en-US" w:eastAsia="zh-CN" w:bidi="ar"/>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24</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9</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玻璃三口烧瓶</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5L</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ascii="Times New Roman" w:hAnsi="Times New Roman" w:eastAsia="宋体" w:cs="Times New Roman"/>
                      <w:color w:val="auto"/>
                      <w:kern w:val="2"/>
                      <w:sz w:val="21"/>
                      <w:szCs w:val="21"/>
                      <w:lang w:val="en-US" w:eastAsia="zh-CN" w:bidi="ar"/>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1492" w:type="dxa"/>
                  <w:tcBorders>
                    <w:left w:val="single" w:color="auto" w:sz="4" w:space="0"/>
                    <w:right w:val="single" w:color="auto" w:sz="4" w:space="0"/>
                  </w:tcBorders>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10</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10</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烘箱</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492" w:type="dxa"/>
                  <w:tcBorders>
                    <w:left w:val="single" w:color="auto" w:sz="4" w:space="0"/>
                    <w:right w:val="single" w:color="auto" w:sz="4" w:space="0"/>
                  </w:tcBorders>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6</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pPr>
                    <w:pStyle w:val="43"/>
                    <w:rPr>
                      <w:color w:val="auto"/>
                      <w:szCs w:val="21"/>
                      <w:highlight w:val="none"/>
                    </w:rPr>
                  </w:pPr>
                  <w:r>
                    <w:rPr>
                      <w:color w:val="auto"/>
                      <w:szCs w:val="21"/>
                      <w:highlight w:val="none"/>
                    </w:rPr>
                    <w:t>11</w:t>
                  </w:r>
                </w:p>
              </w:tc>
              <w:tc>
                <w:tcPr>
                  <w:tcW w:w="1626"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高低温泵</w:t>
                  </w:r>
                </w:p>
              </w:tc>
              <w:tc>
                <w:tcPr>
                  <w:tcW w:w="1453"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个</w:t>
                  </w:r>
                </w:p>
              </w:tc>
              <w:tc>
                <w:tcPr>
                  <w:tcW w:w="1195"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12</w:t>
                  </w:r>
                </w:p>
              </w:tc>
              <w:tc>
                <w:tcPr>
                  <w:tcW w:w="1492" w:type="dxa"/>
                  <w:tcBorders>
                    <w:left w:val="single" w:color="auto" w:sz="4" w:space="0"/>
                    <w:right w:val="single" w:color="auto" w:sz="4" w:space="0"/>
                  </w:tcBorders>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6</w:t>
                  </w:r>
                </w:p>
              </w:tc>
              <w:tc>
                <w:tcPr>
                  <w:tcW w:w="1832" w:type="dxa"/>
                  <w:tcBorders>
                    <w:left w:val="single" w:color="auto" w:sz="4" w:space="0"/>
                    <w:right w:val="single" w:color="auto" w:sz="4" w:space="0"/>
                  </w:tcBorders>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12</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卡尔费休水分测定仪</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color w:val="auto"/>
                      <w:szCs w:val="21"/>
                    </w:rPr>
                    <w:t>AKF-1B</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台</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1492" w:type="dxa"/>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1</w:t>
                  </w:r>
                </w:p>
              </w:tc>
              <w:tc>
                <w:tcPr>
                  <w:tcW w:w="1832" w:type="dxa"/>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13</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离心机</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台</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w:t>
                  </w:r>
                </w:p>
              </w:tc>
              <w:tc>
                <w:tcPr>
                  <w:tcW w:w="1492" w:type="dxa"/>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1</w:t>
                  </w:r>
                </w:p>
              </w:tc>
              <w:tc>
                <w:tcPr>
                  <w:tcW w:w="1832" w:type="dxa"/>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14</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抽滤瓶</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10L</w:t>
                  </w:r>
                </w:p>
              </w:tc>
              <w:tc>
                <w:tcPr>
                  <w:tcW w:w="812"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个</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492" w:type="dxa"/>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8</w:t>
                  </w:r>
                </w:p>
              </w:tc>
              <w:tc>
                <w:tcPr>
                  <w:tcW w:w="1832" w:type="dxa"/>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15</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通风橱</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套</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69</w:t>
                  </w:r>
                </w:p>
              </w:tc>
              <w:tc>
                <w:tcPr>
                  <w:tcW w:w="1492" w:type="dxa"/>
                  <w:vAlign w:val="center"/>
                </w:tcPr>
                <w:p>
                  <w:pPr>
                    <w:pStyle w:val="43"/>
                    <w:rPr>
                      <w:rFonts w:hint="default" w:eastAsia="宋体"/>
                      <w:color w:val="auto"/>
                      <w:szCs w:val="21"/>
                      <w:highlight w:val="none"/>
                      <w:lang w:val="en-US" w:eastAsia="zh-CN" w:bidi="ar"/>
                    </w:rPr>
                  </w:pPr>
                  <w:r>
                    <w:rPr>
                      <w:rFonts w:hint="eastAsia"/>
                      <w:color w:val="auto"/>
                      <w:szCs w:val="21"/>
                      <w:highlight w:val="none"/>
                      <w:lang w:val="en-US" w:eastAsia="zh-CN" w:bidi="ar"/>
                    </w:rPr>
                    <w:t>57</w:t>
                  </w:r>
                </w:p>
              </w:tc>
              <w:tc>
                <w:tcPr>
                  <w:tcW w:w="1832" w:type="dxa"/>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16</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低温恒温搅拌反应浴</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台</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492" w:type="dxa"/>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8</w:t>
                  </w:r>
                </w:p>
              </w:tc>
              <w:tc>
                <w:tcPr>
                  <w:tcW w:w="1832" w:type="dxa"/>
                  <w:vAlign w:val="center"/>
                </w:tcPr>
                <w:p>
                  <w:pPr>
                    <w:pStyle w:val="43"/>
                    <w:rPr>
                      <w:color w:val="auto"/>
                      <w:szCs w:val="21"/>
                      <w:highlight w:val="none"/>
                      <w:lang w:bidi="ar"/>
                    </w:rPr>
                  </w:pPr>
                  <w:r>
                    <w:rPr>
                      <w:rFonts w:hint="eastAsia"/>
                      <w:color w:val="auto"/>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color w:val="auto"/>
                      <w:szCs w:val="21"/>
                      <w:highlight w:val="none"/>
                    </w:rPr>
                  </w:pPr>
                  <w:r>
                    <w:rPr>
                      <w:color w:val="auto"/>
                      <w:szCs w:val="21"/>
                      <w:highlight w:val="none"/>
                    </w:rPr>
                    <w:t>17</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旋转蒸发仪</w:t>
                  </w:r>
                </w:p>
              </w:tc>
              <w:tc>
                <w:tcPr>
                  <w:tcW w:w="1453"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Cs w:val="21"/>
                      <w:lang w:eastAsia="zh-CN"/>
                    </w:rPr>
                    <w:t>台</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1492" w:type="dxa"/>
                  <w:vAlign w:val="center"/>
                </w:tcPr>
                <w:p>
                  <w:pPr>
                    <w:pStyle w:val="43"/>
                    <w:rPr>
                      <w:rFonts w:hint="eastAsia" w:eastAsia="宋体"/>
                      <w:color w:val="auto"/>
                      <w:szCs w:val="21"/>
                      <w:highlight w:val="none"/>
                      <w:lang w:val="en-US" w:eastAsia="zh-CN" w:bidi="ar"/>
                    </w:rPr>
                  </w:pPr>
                  <w:r>
                    <w:rPr>
                      <w:rFonts w:hint="eastAsia"/>
                      <w:color w:val="auto"/>
                      <w:szCs w:val="21"/>
                      <w:highlight w:val="none"/>
                      <w:lang w:val="en-US" w:eastAsia="zh-CN" w:bidi="ar"/>
                    </w:rPr>
                    <w:t>5</w:t>
                  </w:r>
                </w:p>
              </w:tc>
              <w:tc>
                <w:tcPr>
                  <w:tcW w:w="1832" w:type="dxa"/>
                  <w:vAlign w:val="center"/>
                </w:tcPr>
                <w:p>
                  <w:pPr>
                    <w:pStyle w:val="43"/>
                    <w:rPr>
                      <w:color w:val="auto"/>
                      <w:szCs w:val="21"/>
                      <w:highlight w:val="none"/>
                      <w:lang w:bidi="ar"/>
                    </w:rPr>
                  </w:pPr>
                  <w:r>
                    <w:rPr>
                      <w:rFonts w:hint="default"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18</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多功能全自动滴定仪</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C</w:t>
                  </w:r>
                  <w:r>
                    <w:rPr>
                      <w:color w:val="auto"/>
                      <w:szCs w:val="21"/>
                    </w:rPr>
                    <w:t>T-1 P</w:t>
                  </w:r>
                  <w:r>
                    <w:rPr>
                      <w:rFonts w:hint="eastAsia"/>
                      <w:color w:val="auto"/>
                      <w:szCs w:val="21"/>
                    </w:rPr>
                    <w:t>lus</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rPr>
                      <w:rFonts w:hint="default"/>
                      <w:color w:val="auto"/>
                      <w:szCs w:val="21"/>
                      <w:highlight w:val="none"/>
                      <w:lang w:val="en-US" w:eastAsia="zh-CN" w:bidi="ar"/>
                    </w:rPr>
                  </w:pPr>
                  <w:r>
                    <w:rPr>
                      <w:rFonts w:hint="eastAsia"/>
                      <w:color w:val="auto"/>
                      <w:szCs w:val="21"/>
                      <w:highlight w:val="none"/>
                      <w:lang w:val="en-US" w:eastAsia="zh-CN" w:bidi="ar"/>
                    </w:rPr>
                    <w:t>1</w:t>
                  </w:r>
                </w:p>
              </w:tc>
              <w:tc>
                <w:tcPr>
                  <w:tcW w:w="1832" w:type="dxa"/>
                  <w:vMerge w:val="restart"/>
                  <w:vAlign w:val="center"/>
                </w:tcPr>
                <w:p>
                  <w:pPr>
                    <w:pStyle w:val="43"/>
                    <w:rPr>
                      <w:color w:val="auto"/>
                      <w:szCs w:val="21"/>
                      <w:highlight w:val="none"/>
                      <w:lang w:bidi="ar"/>
                    </w:rPr>
                  </w:pPr>
                  <w:r>
                    <w:rPr>
                      <w:rFonts w:hint="eastAsia" w:cs="Times New Roman"/>
                      <w:b w:val="0"/>
                      <w:bCs w:val="0"/>
                      <w:color w:val="auto"/>
                      <w:sz w:val="21"/>
                      <w:szCs w:val="21"/>
                      <w:vertAlign w:val="baseline"/>
                      <w:lang w:val="en-US" w:eastAsia="zh-CN"/>
                    </w:rPr>
                    <w:t>根据实际工作需要，配置的设备较环评阶段有适当调整，原辅料种类基本一致，使用量减少，未增加排污，项目性质不变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19</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药品稳定性试验箱</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Y</w:t>
                  </w:r>
                  <w:r>
                    <w:rPr>
                      <w:color w:val="auto"/>
                      <w:szCs w:val="21"/>
                    </w:rPr>
                    <w:t>P-SD400T</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rPr>
                      <w:rFonts w:hint="default"/>
                      <w:color w:val="auto"/>
                      <w:szCs w:val="21"/>
                      <w:highlight w:val="none"/>
                      <w:lang w:val="en-US" w:eastAsia="zh-CN" w:bidi="ar"/>
                    </w:rPr>
                  </w:pPr>
                  <w:r>
                    <w:rPr>
                      <w:rFonts w:hint="eastAsia"/>
                      <w:color w:val="auto"/>
                      <w:szCs w:val="21"/>
                      <w:highlight w:val="none"/>
                      <w:lang w:val="en-US" w:eastAsia="zh-CN" w:bidi="ar"/>
                    </w:rPr>
                    <w:t>1</w:t>
                  </w:r>
                </w:p>
              </w:tc>
              <w:tc>
                <w:tcPr>
                  <w:tcW w:w="1832" w:type="dxa"/>
                  <w:vMerge w:val="continue"/>
                  <w:vAlign w:val="center"/>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20</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水分测定仪</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T</w:t>
                  </w:r>
                  <w:r>
                    <w:rPr>
                      <w:color w:val="auto"/>
                      <w:szCs w:val="21"/>
                    </w:rPr>
                    <w:t>SF-50A-1</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rPr>
                      <w:rFonts w:hint="default"/>
                      <w:color w:val="auto"/>
                      <w:szCs w:val="21"/>
                      <w:highlight w:val="none"/>
                      <w:lang w:val="en-US" w:eastAsia="zh-CN" w:bidi="ar"/>
                    </w:rPr>
                  </w:pPr>
                  <w:r>
                    <w:rPr>
                      <w:rFonts w:hint="eastAsia"/>
                      <w:color w:val="auto"/>
                      <w:szCs w:val="21"/>
                      <w:highlight w:val="none"/>
                      <w:lang w:val="en-US" w:eastAsia="zh-CN" w:bidi="ar"/>
                    </w:rPr>
                    <w:t>1</w:t>
                  </w:r>
                </w:p>
              </w:tc>
              <w:tc>
                <w:tcPr>
                  <w:tcW w:w="1832" w:type="dxa"/>
                  <w:vMerge w:val="continue"/>
                  <w:vAlign w:val="center"/>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21</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熔点测试仪</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R</w:t>
                  </w:r>
                  <w:r>
                    <w:rPr>
                      <w:color w:val="auto"/>
                      <w:szCs w:val="21"/>
                    </w:rPr>
                    <w:t>4-2</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rPr>
                      <w:rFonts w:hint="default"/>
                      <w:color w:val="auto"/>
                      <w:szCs w:val="21"/>
                      <w:highlight w:val="none"/>
                      <w:lang w:val="en-US" w:eastAsia="zh-CN" w:bidi="ar"/>
                    </w:rPr>
                  </w:pPr>
                  <w:r>
                    <w:rPr>
                      <w:rFonts w:hint="eastAsia"/>
                      <w:color w:val="auto"/>
                      <w:szCs w:val="21"/>
                      <w:highlight w:val="none"/>
                      <w:lang w:val="en-US" w:eastAsia="zh-CN" w:bidi="ar"/>
                    </w:rPr>
                    <w:t>1</w:t>
                  </w:r>
                </w:p>
              </w:tc>
              <w:tc>
                <w:tcPr>
                  <w:tcW w:w="1832" w:type="dxa"/>
                  <w:vMerge w:val="continue"/>
                  <w:vAlign w:val="center"/>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22</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分析天平</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B</w:t>
                  </w:r>
                  <w:r>
                    <w:rPr>
                      <w:color w:val="auto"/>
                      <w:szCs w:val="21"/>
                    </w:rPr>
                    <w:t>SA-120.4</w:t>
                  </w: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rPr>
                      <w:rFonts w:hint="default"/>
                      <w:color w:val="auto"/>
                      <w:szCs w:val="21"/>
                      <w:highlight w:val="none"/>
                      <w:lang w:val="en-US" w:eastAsia="zh-CN" w:bidi="ar"/>
                    </w:rPr>
                  </w:pPr>
                  <w:r>
                    <w:rPr>
                      <w:rFonts w:hint="eastAsia"/>
                      <w:color w:val="auto"/>
                      <w:szCs w:val="21"/>
                      <w:highlight w:val="none"/>
                      <w:lang w:val="en-US" w:eastAsia="zh-CN" w:bidi="ar"/>
                    </w:rPr>
                    <w:t>1</w:t>
                  </w:r>
                </w:p>
              </w:tc>
              <w:tc>
                <w:tcPr>
                  <w:tcW w:w="1832" w:type="dxa"/>
                  <w:vMerge w:val="continue"/>
                  <w:vAlign w:val="center"/>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6" w:type="dxa"/>
                  <w:vAlign w:val="center"/>
                </w:tcPr>
                <w:p>
                  <w:pPr>
                    <w:pStyle w:val="43"/>
                    <w:rPr>
                      <w:rFonts w:hint="default" w:eastAsia="宋体"/>
                      <w:color w:val="auto"/>
                      <w:szCs w:val="21"/>
                      <w:highlight w:val="none"/>
                      <w:lang w:val="en-US" w:eastAsia="zh-CN"/>
                    </w:rPr>
                  </w:pPr>
                  <w:r>
                    <w:rPr>
                      <w:rFonts w:hint="eastAsia"/>
                      <w:color w:val="auto"/>
                      <w:szCs w:val="21"/>
                      <w:highlight w:val="none"/>
                      <w:lang w:val="en-US" w:eastAsia="zh-CN"/>
                    </w:rPr>
                    <w:t>23</w:t>
                  </w:r>
                </w:p>
              </w:tc>
              <w:tc>
                <w:tcPr>
                  <w:tcW w:w="1626"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液质联用分析仪</w:t>
                  </w:r>
                </w:p>
              </w:tc>
              <w:tc>
                <w:tcPr>
                  <w:tcW w:w="1453"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p>
              </w:tc>
              <w:tc>
                <w:tcPr>
                  <w:tcW w:w="81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台</w:t>
                  </w:r>
                </w:p>
              </w:tc>
              <w:tc>
                <w:tcPr>
                  <w:tcW w:w="1195" w:type="dxa"/>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1492" w:type="dxa"/>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1</w:t>
                  </w:r>
                </w:p>
              </w:tc>
              <w:tc>
                <w:tcPr>
                  <w:tcW w:w="1832" w:type="dxa"/>
                  <w:vMerge w:val="continue"/>
                  <w:vAlign w:val="center"/>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3"/>
                    <w:rPr>
                      <w:rFonts w:hint="default" w:eastAsia="宋体"/>
                      <w:color w:val="auto"/>
                      <w:szCs w:val="21"/>
                      <w:highlight w:val="none"/>
                      <w:lang w:val="en-US" w:eastAsia="zh-CN"/>
                    </w:rPr>
                  </w:pPr>
                  <w:r>
                    <w:rPr>
                      <w:rFonts w:hint="eastAsia"/>
                      <w:color w:val="auto"/>
                      <w:szCs w:val="21"/>
                      <w:highlight w:val="none"/>
                      <w:lang w:val="en-US" w:eastAsia="zh-CN"/>
                    </w:rPr>
                    <w:t>24</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玻璃三口烧瓶</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250m</w:t>
                  </w:r>
                  <w:r>
                    <w:rPr>
                      <w:rFonts w:hint="eastAsia"/>
                      <w:color w:val="auto"/>
                      <w:szCs w:val="21"/>
                    </w:rPr>
                    <w:t>l</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个</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10</w:t>
                  </w:r>
                </w:p>
              </w:tc>
              <w:tc>
                <w:tcPr>
                  <w:tcW w:w="1832" w:type="dxa"/>
                  <w:vMerge w:val="continue"/>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3"/>
                    <w:rPr>
                      <w:rFonts w:hint="default" w:eastAsia="宋体"/>
                      <w:color w:val="auto"/>
                      <w:szCs w:val="21"/>
                      <w:highlight w:val="none"/>
                      <w:lang w:val="en-US" w:eastAsia="zh-CN"/>
                    </w:rPr>
                  </w:pPr>
                  <w:r>
                    <w:rPr>
                      <w:rFonts w:hint="eastAsia"/>
                      <w:color w:val="auto"/>
                      <w:szCs w:val="21"/>
                      <w:highlight w:val="none"/>
                      <w:lang w:val="en-US" w:eastAsia="zh-CN"/>
                    </w:rPr>
                    <w:t>25</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玻璃三口烧瓶</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500m</w:t>
                  </w:r>
                  <w:r>
                    <w:rPr>
                      <w:rFonts w:hint="eastAsia"/>
                      <w:color w:val="auto"/>
                      <w:szCs w:val="21"/>
                    </w:rPr>
                    <w:t>l</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个</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10</w:t>
                  </w:r>
                </w:p>
              </w:tc>
              <w:tc>
                <w:tcPr>
                  <w:tcW w:w="1832" w:type="dxa"/>
                  <w:vMerge w:val="continue"/>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3"/>
                    <w:rPr>
                      <w:rFonts w:hint="default" w:eastAsia="宋体"/>
                      <w:color w:val="auto"/>
                      <w:szCs w:val="21"/>
                      <w:highlight w:val="none"/>
                      <w:lang w:val="en-US" w:eastAsia="zh-CN"/>
                    </w:rPr>
                  </w:pPr>
                  <w:r>
                    <w:rPr>
                      <w:rFonts w:hint="eastAsia"/>
                      <w:color w:val="auto"/>
                      <w:szCs w:val="21"/>
                      <w:highlight w:val="none"/>
                      <w:lang w:val="en-US" w:eastAsia="zh-CN"/>
                    </w:rPr>
                    <w:t>26</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玻璃三口烧瓶</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L</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个</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10</w:t>
                  </w:r>
                </w:p>
              </w:tc>
              <w:tc>
                <w:tcPr>
                  <w:tcW w:w="1832" w:type="dxa"/>
                  <w:vMerge w:val="continue"/>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3"/>
                    <w:rPr>
                      <w:rFonts w:hint="default" w:eastAsia="宋体"/>
                      <w:color w:val="auto"/>
                      <w:szCs w:val="21"/>
                      <w:highlight w:val="none"/>
                      <w:lang w:val="en-US" w:eastAsia="zh-CN"/>
                    </w:rPr>
                  </w:pPr>
                  <w:r>
                    <w:rPr>
                      <w:rFonts w:hint="eastAsia"/>
                      <w:color w:val="auto"/>
                      <w:szCs w:val="21"/>
                      <w:highlight w:val="none"/>
                      <w:lang w:val="en-US" w:eastAsia="zh-CN"/>
                    </w:rPr>
                    <w:t>27</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单口烧瓶</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2</w:t>
                  </w:r>
                  <w:r>
                    <w:rPr>
                      <w:color w:val="auto"/>
                      <w:szCs w:val="21"/>
                    </w:rPr>
                    <w:t>50</w:t>
                  </w:r>
                  <w:r>
                    <w:rPr>
                      <w:rFonts w:hint="eastAsia"/>
                      <w:color w:val="auto"/>
                      <w:szCs w:val="21"/>
                    </w:rPr>
                    <w:t>ml</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个</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0</w:t>
                  </w:r>
                </w:p>
              </w:tc>
              <w:tc>
                <w:tcPr>
                  <w:tcW w:w="1832" w:type="dxa"/>
                  <w:vMerge w:val="continue"/>
                </w:tcPr>
                <w:p>
                  <w:pPr>
                    <w:pStyle w:val="43"/>
                    <w:rPr>
                      <w:color w:val="auto"/>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Pr>
                <w:p>
                  <w:pPr>
                    <w:pStyle w:val="43"/>
                    <w:rPr>
                      <w:rFonts w:hint="default" w:eastAsia="宋体"/>
                      <w:color w:val="auto"/>
                      <w:szCs w:val="21"/>
                      <w:highlight w:val="none"/>
                      <w:lang w:val="en-US" w:eastAsia="zh-CN"/>
                    </w:rPr>
                  </w:pPr>
                  <w:r>
                    <w:rPr>
                      <w:rFonts w:hint="eastAsia"/>
                      <w:color w:val="auto"/>
                      <w:szCs w:val="21"/>
                      <w:highlight w:val="none"/>
                      <w:lang w:val="en-US" w:eastAsia="zh-CN"/>
                    </w:rPr>
                    <w:t>28</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olor w:val="auto"/>
                      <w:szCs w:val="21"/>
                    </w:rPr>
                    <w:t>单口烧瓶</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color w:val="auto"/>
                      <w:szCs w:val="21"/>
                    </w:rPr>
                    <w:t>500</w:t>
                  </w:r>
                  <w:r>
                    <w:rPr>
                      <w:rFonts w:hint="eastAsia"/>
                      <w:color w:val="auto"/>
                      <w:szCs w:val="21"/>
                    </w:rPr>
                    <w:t>ml</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个</w:t>
                  </w:r>
                </w:p>
              </w:tc>
              <w:tc>
                <w:tcPr>
                  <w:tcW w:w="0" w:type="auto"/>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c>
                <w:tcPr>
                  <w:tcW w:w="0" w:type="auto"/>
                  <w:vAlign w:val="center"/>
                </w:tcPr>
                <w:p>
                  <w:pPr>
                    <w:pStyle w:val="43"/>
                    <w:ind w:firstLine="0" w:firstLineChars="0"/>
                    <w:rPr>
                      <w:rFonts w:hint="eastAsia"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0</w:t>
                  </w:r>
                </w:p>
              </w:tc>
              <w:tc>
                <w:tcPr>
                  <w:tcW w:w="1832" w:type="dxa"/>
                  <w:vMerge w:val="continue"/>
                </w:tcPr>
                <w:p>
                  <w:pPr>
                    <w:pStyle w:val="43"/>
                    <w:rPr>
                      <w:color w:val="auto"/>
                      <w:szCs w:val="21"/>
                      <w:highlight w:val="none"/>
                      <w:lang w:bidi="ar"/>
                    </w:rPr>
                  </w:pPr>
                </w:p>
              </w:tc>
            </w:tr>
          </w:tbl>
          <w:p>
            <w:pPr>
              <w:ind w:firstLine="482"/>
              <w:jc w:val="center"/>
              <w:rPr>
                <w:b/>
                <w:bCs/>
                <w:color w:val="auto"/>
                <w:highlight w:val="none"/>
              </w:rPr>
            </w:pPr>
            <w:r>
              <w:rPr>
                <w:b/>
                <w:bCs/>
                <w:color w:val="auto"/>
                <w:highlight w:val="none"/>
              </w:rPr>
              <w:t>表2-</w:t>
            </w:r>
            <w:r>
              <w:rPr>
                <w:rFonts w:hint="eastAsia"/>
                <w:b/>
                <w:bCs/>
                <w:color w:val="auto"/>
                <w:highlight w:val="none"/>
                <w:lang w:val="en-US" w:eastAsia="zh-CN"/>
              </w:rPr>
              <w:t>4</w:t>
            </w:r>
            <w:r>
              <w:rPr>
                <w:b/>
                <w:bCs/>
                <w:color w:val="auto"/>
                <w:highlight w:val="none"/>
              </w:rPr>
              <w:t xml:space="preserve">  本项目原辅材料使用一览表</w:t>
            </w:r>
          </w:p>
          <w:tbl>
            <w:tblPr>
              <w:tblStyle w:val="28"/>
              <w:tblW w:w="499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46"/>
              <w:gridCol w:w="1593"/>
              <w:gridCol w:w="1926"/>
              <w:gridCol w:w="990"/>
              <w:gridCol w:w="1021"/>
              <w:gridCol w:w="1144"/>
              <w:gridCol w:w="147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序号</w:t>
                  </w:r>
                </w:p>
              </w:tc>
              <w:tc>
                <w:tcPr>
                  <w:tcW w:w="937" w:type="pct"/>
                  <w:tcBorders>
                    <w:right w:val="single" w:color="auto" w:sz="4" w:space="0"/>
                  </w:tcBorders>
                  <w:noWrap w:val="0"/>
                  <w:vAlign w:val="center"/>
                </w:tcPr>
                <w:p>
                  <w:pPr>
                    <w:pStyle w:val="43"/>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名称</w:t>
                  </w:r>
                </w:p>
              </w:tc>
              <w:tc>
                <w:tcPr>
                  <w:tcW w:w="834" w:type="pct"/>
                  <w:tcBorders>
                    <w:left w:val="single" w:color="auto" w:sz="4" w:space="0"/>
                  </w:tcBorders>
                  <w:noWrap w:val="0"/>
                  <w:vAlign w:val="center"/>
                </w:tcPr>
                <w:p>
                  <w:pPr>
                    <w:pStyle w:val="43"/>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类别</w:t>
                  </w:r>
                </w:p>
              </w:tc>
              <w:tc>
                <w:tcPr>
                  <w:tcW w:w="598" w:type="pct"/>
                  <w:noWrap w:val="0"/>
                  <w:vAlign w:val="center"/>
                </w:tcPr>
                <w:p>
                  <w:pPr>
                    <w:pStyle w:val="43"/>
                    <w:rPr>
                      <w:rFonts w:hint="default" w:eastAsia="宋体"/>
                      <w:b/>
                      <w:bCs/>
                      <w:color w:val="auto"/>
                      <w:sz w:val="21"/>
                      <w:szCs w:val="21"/>
                      <w:lang w:val="en-US" w:eastAsia="zh-CN"/>
                    </w:rPr>
                  </w:pPr>
                  <w:r>
                    <w:rPr>
                      <w:rFonts w:eastAsia="宋体"/>
                      <w:b/>
                      <w:bCs/>
                      <w:color w:val="auto"/>
                      <w:spacing w:val="0"/>
                      <w:w w:val="100"/>
                      <w:position w:val="0"/>
                      <w:sz w:val="21"/>
                      <w:szCs w:val="21"/>
                    </w:rPr>
                    <w:t>单位</w:t>
                  </w:r>
                </w:p>
              </w:tc>
              <w:tc>
                <w:tcPr>
                  <w:tcW w:w="615" w:type="pct"/>
                  <w:tcBorders>
                    <w:right w:val="single" w:color="auto" w:sz="4" w:space="0"/>
                  </w:tcBorders>
                  <w:noWrap w:val="0"/>
                  <w:vAlign w:val="center"/>
                </w:tcPr>
                <w:p>
                  <w:pPr>
                    <w:pStyle w:val="43"/>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环评</w:t>
                  </w:r>
                </w:p>
                <w:p>
                  <w:pPr>
                    <w:pStyle w:val="43"/>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年用量</w:t>
                  </w:r>
                </w:p>
              </w:tc>
              <w:tc>
                <w:tcPr>
                  <w:tcW w:w="684" w:type="pct"/>
                  <w:tcBorders>
                    <w:left w:val="single" w:color="auto" w:sz="4" w:space="0"/>
                  </w:tcBorders>
                  <w:noWrap w:val="0"/>
                  <w:vAlign w:val="center"/>
                </w:tcPr>
                <w:p>
                  <w:pPr>
                    <w:pStyle w:val="43"/>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一期</w:t>
                  </w:r>
                  <w:r>
                    <w:rPr>
                      <w:rFonts w:hint="default"/>
                      <w:b/>
                      <w:bCs/>
                      <w:color w:val="auto"/>
                      <w:sz w:val="21"/>
                      <w:szCs w:val="21"/>
                      <w:lang w:val="en-US" w:eastAsia="zh-CN"/>
                    </w:rPr>
                    <w:t>实际</w:t>
                  </w:r>
                </w:p>
                <w:p>
                  <w:pPr>
                    <w:pStyle w:val="43"/>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年</w:t>
                  </w:r>
                  <w:r>
                    <w:rPr>
                      <w:rFonts w:hint="default"/>
                      <w:b/>
                      <w:bCs/>
                      <w:color w:val="auto"/>
                      <w:sz w:val="21"/>
                      <w:szCs w:val="21"/>
                      <w:lang w:val="en-US" w:eastAsia="zh-CN"/>
                    </w:rPr>
                    <w:t>用量</w:t>
                  </w:r>
                </w:p>
              </w:tc>
              <w:tc>
                <w:tcPr>
                  <w:tcW w:w="868" w:type="pct"/>
                  <w:noWrap w:val="0"/>
                  <w:vAlign w:val="center"/>
                </w:tcPr>
                <w:p>
                  <w:pPr>
                    <w:pStyle w:val="43"/>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7"/>
                  <w:noWrap w:val="0"/>
                  <w:vAlign w:val="center"/>
                </w:tcPr>
                <w:p>
                  <w:pPr>
                    <w:pStyle w:val="43"/>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主要固体试剂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磷酸二氢钾</w:t>
                  </w:r>
                </w:p>
              </w:tc>
              <w:tc>
                <w:tcPr>
                  <w:tcW w:w="834" w:type="pct"/>
                  <w:tcBorders>
                    <w:left w:val="single" w:color="auto" w:sz="4" w:space="0"/>
                  </w:tcBorders>
                  <w:noWrap w:val="0"/>
                  <w:vAlign w:val="center"/>
                </w:tcPr>
                <w:p>
                  <w:pPr>
                    <w:pStyle w:val="43"/>
                    <w:rPr>
                      <w:rFonts w:hint="eastAsia" w:ascii="Times New Roman" w:hAnsi="Times New Roman" w:eastAsia="宋体" w:cs="Times New Roman"/>
                      <w:color w:val="auto"/>
                      <w:szCs w:val="21"/>
                      <w:lang w:eastAsia="zh-CN"/>
                    </w:rPr>
                  </w:pPr>
                  <w:r>
                    <w:rPr>
                      <w:rFonts w:hint="eastAsia" w:cs="Times New Roman"/>
                      <w:color w:val="auto"/>
                      <w:szCs w:val="21"/>
                      <w:lang w:eastAsia="zh-CN"/>
                    </w:rPr>
                    <w:t>国标分析纯</w:t>
                  </w:r>
                </w:p>
              </w:tc>
              <w:tc>
                <w:tcPr>
                  <w:tcW w:w="598" w:type="pct"/>
                  <w:noWrap w:val="0"/>
                  <w:vAlign w:val="center"/>
                </w:tcPr>
                <w:p>
                  <w:pPr>
                    <w:pStyle w:val="43"/>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w:t>
                  </w:r>
                  <w:r>
                    <w:rPr>
                      <w:rFonts w:hint="eastAsia" w:cs="Times New Roman"/>
                      <w:i w:val="0"/>
                      <w:iCs w:val="0"/>
                      <w:color w:val="auto"/>
                      <w:kern w:val="2"/>
                      <w:sz w:val="21"/>
                      <w:szCs w:val="21"/>
                      <w:u w:val="none"/>
                      <w:lang w:val="en-US" w:eastAsia="zh-CN" w:bidi="ar-SA"/>
                    </w:rPr>
                    <w:t>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磷酸氢二钾</w:t>
                  </w:r>
                </w:p>
              </w:tc>
              <w:tc>
                <w:tcPr>
                  <w:tcW w:w="834" w:type="pct"/>
                  <w:tcBorders>
                    <w:left w:val="single" w:color="auto" w:sz="4" w:space="0"/>
                  </w:tcBorders>
                  <w:noWrap w:val="0"/>
                  <w:vAlign w:val="center"/>
                </w:tcPr>
                <w:p>
                  <w:pPr>
                    <w:pStyle w:val="43"/>
                    <w:ind w:firstLine="0" w:firstLineChars="0"/>
                    <w:rPr>
                      <w:rFonts w:hint="eastAsia" w:ascii="Times New Roman" w:hAnsi="Times New Roman" w:eastAsia="宋体" w:cs="Times New Roman"/>
                      <w:color w:val="auto"/>
                      <w:szCs w:val="21"/>
                      <w:lang w:eastAsia="zh-CN"/>
                    </w:rPr>
                  </w:pPr>
                  <w:r>
                    <w:rPr>
                      <w:rFonts w:hint="eastAsia" w:cs="Times New Roman"/>
                      <w:color w:val="auto"/>
                      <w:szCs w:val="21"/>
                      <w:lang w:eastAsia="zh-CN"/>
                    </w:rPr>
                    <w:t>国标分析纯</w:t>
                  </w:r>
                </w:p>
              </w:tc>
              <w:tc>
                <w:tcPr>
                  <w:tcW w:w="598" w:type="pct"/>
                  <w:noWrap w:val="0"/>
                  <w:vAlign w:val="center"/>
                </w:tcPr>
                <w:p>
                  <w:pPr>
                    <w:pStyle w:val="43"/>
                    <w:rPr>
                      <w:rFonts w:hint="default" w:ascii="Times New Roman" w:hAnsi="Times New Roman" w:eastAsia="宋体" w:cs="Times New Roman"/>
                      <w:color w:val="auto"/>
                      <w:sz w:val="21"/>
                      <w:szCs w:val="21"/>
                      <w:lang w:val="en-US"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w:t>
                  </w:r>
                  <w:r>
                    <w:rPr>
                      <w:rFonts w:hint="eastAsia" w:cs="Times New Roman"/>
                      <w:i w:val="0"/>
                      <w:iCs w:val="0"/>
                      <w:color w:val="auto"/>
                      <w:kern w:val="2"/>
                      <w:sz w:val="21"/>
                      <w:szCs w:val="21"/>
                      <w:u w:val="none"/>
                      <w:lang w:val="en-US" w:eastAsia="zh-CN" w:bidi="ar-SA"/>
                    </w:rPr>
                    <w:t>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碳酸钾</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氢氧化钾</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0.</w:t>
                  </w:r>
                  <w:r>
                    <w:rPr>
                      <w:rFonts w:hint="eastAsia" w:cs="Times New Roman"/>
                      <w:i w:val="0"/>
                      <w:iCs w:val="0"/>
                      <w:color w:val="auto"/>
                      <w:kern w:val="2"/>
                      <w:sz w:val="21"/>
                      <w:szCs w:val="21"/>
                      <w:u w:val="none"/>
                      <w:lang w:val="en-US" w:eastAsia="zh-CN" w:bidi="ar-SA"/>
                    </w:rPr>
                    <w:t>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氯化钠</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100</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90</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磷酸三钾</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无水硫酸钠</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100</w:t>
                  </w:r>
                </w:p>
              </w:tc>
              <w:tc>
                <w:tcPr>
                  <w:tcW w:w="1552" w:type="pct"/>
                  <w:gridSpan w:val="2"/>
                  <w:noWrap w:val="0"/>
                  <w:vAlign w:val="center"/>
                </w:tcPr>
                <w:p>
                  <w:pPr>
                    <w:pStyle w:val="43"/>
                    <w:ind w:firstLine="0" w:firstLineChars="0"/>
                    <w:jc w:val="center"/>
                    <w:rPr>
                      <w:rFonts w:hint="eastAsia" w:eastAsia="宋体"/>
                      <w:color w:val="auto"/>
                      <w:sz w:val="21"/>
                      <w:szCs w:val="21"/>
                      <w:lang w:val="en-US" w:eastAsia="zh-CN"/>
                    </w:rPr>
                  </w:pPr>
                  <w:r>
                    <w:rPr>
                      <w:rFonts w:hint="eastAsia"/>
                      <w:color w:val="auto"/>
                      <w:sz w:val="21"/>
                      <w:szCs w:val="21"/>
                      <w:highlight w:val="none"/>
                      <w:lang w:eastAsia="zh-CN" w:bidi="ar"/>
                    </w:rPr>
                    <w:t>试运行验收期间，无水硫酸钠暂未使用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无水碳酸钠</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柠檬酸</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乙酸铵</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11</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碳酸氢钠</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12</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氢氧化钠</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eastAsia="zh-CN"/>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45</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7"/>
                  <w:noWrap w:val="0"/>
                  <w:vAlign w:val="center"/>
                </w:tcPr>
                <w:p>
                  <w:pPr>
                    <w:pStyle w:val="43"/>
                    <w:ind w:firstLine="0" w:firstLineChars="0"/>
                    <w:jc w:val="center"/>
                    <w:rPr>
                      <w:rFonts w:hint="default" w:cs="Times New Roman"/>
                      <w:color w:val="auto"/>
                      <w:sz w:val="21"/>
                      <w:szCs w:val="21"/>
                      <w:lang w:eastAsia="zh-CN"/>
                    </w:rPr>
                  </w:pPr>
                  <w:r>
                    <w:rPr>
                      <w:rFonts w:hint="eastAsia" w:cs="Times New Roman"/>
                      <w:b/>
                      <w:bCs/>
                      <w:color w:val="auto"/>
                      <w:sz w:val="21"/>
                      <w:szCs w:val="21"/>
                      <w:lang w:eastAsia="zh-CN"/>
                    </w:rPr>
                    <w:t>主要液体试剂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乙腈</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色谱纯</w:t>
                  </w:r>
                </w:p>
              </w:tc>
              <w:tc>
                <w:tcPr>
                  <w:tcW w:w="598" w:type="pct"/>
                  <w:noWrap w:val="0"/>
                  <w:vAlign w:val="center"/>
                </w:tcPr>
                <w:p>
                  <w:pPr>
                    <w:pStyle w:val="43"/>
                    <w:ind w:firstLine="0" w:firstLineChars="0"/>
                    <w:rPr>
                      <w:rFonts w:hint="default" w:ascii="Times New Roman" w:hAnsi="Times New Roman" w:eastAsia="宋体" w:cs="Times New Roman"/>
                      <w:b w:val="0"/>
                      <w:bCs w:val="0"/>
                      <w:color w:val="auto"/>
                      <w:sz w:val="21"/>
                      <w:szCs w:val="21"/>
                      <w:lang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235.7</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21</w:t>
                  </w:r>
                  <w:r>
                    <w:rPr>
                      <w:rFonts w:hint="eastAsia" w:cs="Times New Roman"/>
                      <w:i w:val="0"/>
                      <w:iCs w:val="0"/>
                      <w:color w:val="auto"/>
                      <w:kern w:val="2"/>
                      <w:sz w:val="21"/>
                      <w:szCs w:val="21"/>
                      <w:u w:val="none"/>
                      <w:lang w:val="en-US" w:eastAsia="zh-CN" w:bidi="ar-SA"/>
                    </w:rPr>
                    <w:t>0</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2</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色谱纯</w:t>
                  </w:r>
                </w:p>
              </w:tc>
              <w:tc>
                <w:tcPr>
                  <w:tcW w:w="598" w:type="pct"/>
                  <w:noWrap w:val="0"/>
                  <w:vAlign w:val="center"/>
                </w:tcPr>
                <w:p>
                  <w:pPr>
                    <w:pStyle w:val="43"/>
                    <w:ind w:firstLine="0" w:firstLineChars="0"/>
                    <w:rPr>
                      <w:rFonts w:hint="default" w:ascii="Times New Roman" w:hAnsi="Times New Roman" w:eastAsia="宋体" w:cs="Times New Roman"/>
                      <w:color w:val="auto"/>
                      <w:spacing w:val="0"/>
                      <w:w w:val="100"/>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79.2</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7</w:t>
                  </w:r>
                  <w:r>
                    <w:rPr>
                      <w:rFonts w:hint="eastAsia" w:cs="Times New Roman"/>
                      <w:i w:val="0"/>
                      <w:iCs w:val="0"/>
                      <w:color w:val="auto"/>
                      <w:kern w:val="2"/>
                      <w:sz w:val="21"/>
                      <w:szCs w:val="21"/>
                      <w:u w:val="none"/>
                      <w:lang w:val="en-US" w:eastAsia="zh-CN" w:bidi="ar-SA"/>
                    </w:rPr>
                    <w:t>0</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3</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无水甲醇</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noWrap w:val="0"/>
                  <w:vAlign w:val="center"/>
                </w:tcPr>
                <w:p>
                  <w:pPr>
                    <w:pStyle w:val="43"/>
                    <w:ind w:firstLine="0" w:firstLineChars="0"/>
                    <w:rPr>
                      <w:rFonts w:hint="default" w:ascii="Times New Roman" w:hAnsi="Times New Roman" w:eastAsia="宋体" w:cs="Times New Roman"/>
                      <w:color w:val="auto"/>
                      <w:spacing w:val="0"/>
                      <w:w w:val="100"/>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15.8</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w:t>
                  </w:r>
                  <w:r>
                    <w:rPr>
                      <w:rFonts w:hint="eastAsia" w:cs="Times New Roman"/>
                      <w:i w:val="0"/>
                      <w:iCs w:val="0"/>
                      <w:color w:val="auto"/>
                      <w:kern w:val="2"/>
                      <w:sz w:val="21"/>
                      <w:szCs w:val="21"/>
                      <w:u w:val="none"/>
                      <w:lang w:val="en-US" w:eastAsia="zh-CN" w:bidi="ar-SA"/>
                    </w:rPr>
                    <w:t>0</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4</w:t>
                  </w:r>
                </w:p>
              </w:tc>
              <w:tc>
                <w:tcPr>
                  <w:tcW w:w="937" w:type="pct"/>
                  <w:tcBorders>
                    <w:right w:val="single" w:color="auto" w:sz="4" w:space="0"/>
                  </w:tcBorders>
                  <w:noWrap w:val="0"/>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甲醇</w:t>
                  </w:r>
                </w:p>
              </w:tc>
              <w:tc>
                <w:tcPr>
                  <w:tcW w:w="834" w:type="pct"/>
                  <w:tcBorders>
                    <w:left w:val="single" w:color="auto" w:sz="4" w:space="0"/>
                  </w:tcBorders>
                  <w:noWrap w:val="0"/>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noWrap w:val="0"/>
                  <w:vAlign w:val="center"/>
                </w:tcPr>
                <w:p>
                  <w:pPr>
                    <w:pStyle w:val="43"/>
                    <w:ind w:firstLine="0" w:firstLineChars="0"/>
                    <w:rPr>
                      <w:rFonts w:hint="default" w:ascii="Times New Roman" w:hAnsi="Times New Roman" w:eastAsia="宋体" w:cs="Times New Roman"/>
                      <w:color w:val="auto"/>
                      <w:spacing w:val="0"/>
                      <w:w w:val="100"/>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158.4</w:t>
                  </w:r>
                </w:p>
              </w:tc>
              <w:tc>
                <w:tcPr>
                  <w:tcW w:w="684" w:type="pct"/>
                  <w:noWrap w:val="0"/>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14</w:t>
                  </w:r>
                  <w:r>
                    <w:rPr>
                      <w:rFonts w:hint="eastAsia" w:cs="Times New Roman"/>
                      <w:i w:val="0"/>
                      <w:iCs w:val="0"/>
                      <w:color w:val="auto"/>
                      <w:kern w:val="2"/>
                      <w:sz w:val="21"/>
                      <w:szCs w:val="21"/>
                      <w:u w:val="none"/>
                      <w:lang w:val="en-US" w:eastAsia="zh-CN" w:bidi="ar-SA"/>
                    </w:rPr>
                    <w:t>0</w:t>
                  </w:r>
                </w:p>
              </w:tc>
              <w:tc>
                <w:tcPr>
                  <w:tcW w:w="868" w:type="pct"/>
                  <w:noWrap w:val="0"/>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5</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无水乙醇</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39.5</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35</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6</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无水乙醇</w:t>
                  </w:r>
                </w:p>
              </w:tc>
              <w:tc>
                <w:tcPr>
                  <w:tcW w:w="834" w:type="pct"/>
                  <w:tcBorders>
                    <w:left w:val="single" w:color="auto" w:sz="4" w:space="0"/>
                  </w:tcBorders>
                  <w:vAlign w:val="center"/>
                </w:tcPr>
                <w:p>
                  <w:pPr>
                    <w:pStyle w:val="43"/>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789.3</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710</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7</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石油醚 60-90</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402</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36</w:t>
                  </w:r>
                  <w:r>
                    <w:rPr>
                      <w:rFonts w:hint="eastAsia" w:cs="Times New Roman"/>
                      <w:i w:val="0"/>
                      <w:iCs w:val="0"/>
                      <w:color w:val="auto"/>
                      <w:kern w:val="2"/>
                      <w:sz w:val="21"/>
                      <w:szCs w:val="21"/>
                      <w:u w:val="none"/>
                      <w:lang w:val="en-US" w:eastAsia="zh-CN" w:bidi="ar-SA"/>
                    </w:rPr>
                    <w:t>0</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8</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乙酸乙酯</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360.8</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32</w:t>
                  </w:r>
                  <w:r>
                    <w:rPr>
                      <w:rFonts w:hint="eastAsia" w:cs="Times New Roman"/>
                      <w:i w:val="0"/>
                      <w:iCs w:val="0"/>
                      <w:color w:val="auto"/>
                      <w:kern w:val="2"/>
                      <w:sz w:val="21"/>
                      <w:szCs w:val="21"/>
                      <w:u w:val="none"/>
                      <w:lang w:val="en-US" w:eastAsia="zh-CN" w:bidi="ar-SA"/>
                    </w:rPr>
                    <w:t>5</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9</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四氢呋喃</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177.8</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160</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10</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正庚烷</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136.8</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12</w:t>
                  </w:r>
                  <w:r>
                    <w:rPr>
                      <w:rFonts w:hint="eastAsia" w:cs="Times New Roman"/>
                      <w:i w:val="0"/>
                      <w:iCs w:val="0"/>
                      <w:color w:val="auto"/>
                      <w:kern w:val="2"/>
                      <w:sz w:val="21"/>
                      <w:szCs w:val="21"/>
                      <w:u w:val="none"/>
                      <w:lang w:val="en-US" w:eastAsia="zh-CN" w:bidi="ar-SA"/>
                    </w:rPr>
                    <w:t>0</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11</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异丙醇</w:t>
                  </w:r>
                </w:p>
              </w:tc>
              <w:tc>
                <w:tcPr>
                  <w:tcW w:w="834" w:type="pct"/>
                  <w:tcBorders>
                    <w:left w:val="single" w:color="auto" w:sz="4" w:space="0"/>
                  </w:tcBorders>
                  <w:vAlign w:val="center"/>
                </w:tcPr>
                <w:p>
                  <w:pPr>
                    <w:pStyle w:val="43"/>
                    <w:ind w:firstLine="0" w:firstLineChars="0"/>
                    <w:rPr>
                      <w:rFonts w:hint="eastAsia" w:ascii="Times New Roman" w:hAnsi="Times New Roman" w:eastAsia="宋体" w:cs="Times New Roman"/>
                      <w:color w:val="auto"/>
                      <w:szCs w:val="21"/>
                      <w:lang w:eastAsia="zh-CN"/>
                    </w:rPr>
                  </w:pPr>
                  <w:r>
                    <w:rPr>
                      <w:rFonts w:hint="default" w:ascii="Times New Roman" w:hAnsi="Times New Roman" w:cs="Times New Roman"/>
                      <w:color w:val="auto"/>
                      <w:szCs w:val="21"/>
                    </w:rPr>
                    <w:t>国标分析纯</w:t>
                  </w:r>
                  <w:r>
                    <w:rPr>
                      <w:rFonts w:hint="eastAsia" w:cs="Times New Roman"/>
                      <w:color w:val="auto"/>
                      <w:szCs w:val="21"/>
                      <w:lang w:eastAsia="zh-CN"/>
                    </w:rPr>
                    <w:t>（瓶装）</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7.9</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7.</w:t>
                  </w:r>
                  <w:r>
                    <w:rPr>
                      <w:rFonts w:hint="eastAsia" w:cs="Times New Roman"/>
                      <w:i w:val="0"/>
                      <w:iCs w:val="0"/>
                      <w:color w:val="auto"/>
                      <w:kern w:val="2"/>
                      <w:sz w:val="21"/>
                      <w:szCs w:val="21"/>
                      <w:u w:val="none"/>
                      <w:lang w:val="en-US" w:eastAsia="zh-CN" w:bidi="ar-SA"/>
                    </w:rPr>
                    <w:t>0</w:t>
                  </w:r>
                </w:p>
              </w:tc>
              <w:tc>
                <w:tcPr>
                  <w:tcW w:w="868" w:type="pct"/>
                  <w:vAlign w:val="center"/>
                </w:tcPr>
                <w:p>
                  <w:pPr>
                    <w:pStyle w:val="43"/>
                    <w:bidi w:val="0"/>
                    <w:spacing w:line="240" w:lineRule="auto"/>
                    <w:ind w:firstLine="0" w:firstLineChars="0"/>
                    <w:jc w:val="center"/>
                    <w:rPr>
                      <w:rFonts w:hint="eastAsia" w:eastAsia="宋体"/>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12</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异丙醇</w:t>
                  </w:r>
                </w:p>
              </w:tc>
              <w:tc>
                <w:tcPr>
                  <w:tcW w:w="834" w:type="pct"/>
                  <w:tcBorders>
                    <w:left w:val="single" w:color="auto" w:sz="4" w:space="0"/>
                  </w:tcBorders>
                  <w:vAlign w:val="center"/>
                </w:tcPr>
                <w:p>
                  <w:pPr>
                    <w:pStyle w:val="43"/>
                    <w:ind w:firstLine="0" w:firstLineChars="0"/>
                    <w:rPr>
                      <w:rFonts w:hint="eastAsia" w:ascii="Times New Roman" w:hAnsi="Times New Roman" w:eastAsia="宋体" w:cs="Times New Roman"/>
                      <w:color w:val="auto"/>
                      <w:szCs w:val="21"/>
                      <w:lang w:eastAsia="zh-CN"/>
                    </w:rPr>
                  </w:pPr>
                  <w:r>
                    <w:rPr>
                      <w:rFonts w:hint="default" w:ascii="Times New Roman" w:hAnsi="Times New Roman" w:cs="Times New Roman"/>
                      <w:color w:val="auto"/>
                      <w:szCs w:val="21"/>
                    </w:rPr>
                    <w:t>国标分析纯</w:t>
                  </w:r>
                  <w:r>
                    <w:rPr>
                      <w:rFonts w:hint="eastAsia" w:cs="Times New Roman"/>
                      <w:color w:val="auto"/>
                      <w:szCs w:val="21"/>
                      <w:lang w:eastAsia="zh-CN"/>
                    </w:rPr>
                    <w:t>（散装）</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157.1</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14</w:t>
                  </w:r>
                  <w:r>
                    <w:rPr>
                      <w:rFonts w:hint="eastAsia" w:cs="Times New Roman"/>
                      <w:i w:val="0"/>
                      <w:iCs w:val="0"/>
                      <w:color w:val="auto"/>
                      <w:kern w:val="2"/>
                      <w:sz w:val="21"/>
                      <w:szCs w:val="21"/>
                      <w:u w:val="none"/>
                      <w:lang w:val="en-US" w:eastAsia="zh-CN" w:bidi="ar-SA"/>
                    </w:rPr>
                    <w:t>0</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13</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N,N-二甲基甲酰胺</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9.5</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8.5</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14</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N,N-二甲基甲酰胺</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189</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170</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15</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甲基叔丁基醚</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7.4</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6.</w:t>
                  </w:r>
                  <w:r>
                    <w:rPr>
                      <w:rFonts w:hint="eastAsia" w:cs="Times New Roman"/>
                      <w:i w:val="0"/>
                      <w:iCs w:val="0"/>
                      <w:color w:val="auto"/>
                      <w:kern w:val="2"/>
                      <w:sz w:val="21"/>
                      <w:szCs w:val="21"/>
                      <w:u w:val="none"/>
                      <w:lang w:val="en-US" w:eastAsia="zh-CN" w:bidi="ar-SA"/>
                    </w:rPr>
                    <w:t>5</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16</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甲基叔丁基醚</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工业级分析纯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296</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266</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17</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二甲基亚砜</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i w:val="0"/>
                      <w:iCs w:val="0"/>
                      <w:color w:val="auto"/>
                      <w:kern w:val="2"/>
                      <w:sz w:val="21"/>
                      <w:szCs w:val="21"/>
                      <w:u w:val="none"/>
                      <w:lang w:val="en-US" w:eastAsia="zh-CN" w:bidi="ar-SA"/>
                    </w:rPr>
                    <w:t>10</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18</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卡尔费休试剂</w:t>
                  </w:r>
                  <w:r>
                    <w:rPr>
                      <w:rFonts w:hint="eastAsia" w:ascii="Times New Roman" w:hAnsi="Times New Roman" w:eastAsia="宋体" w:cs="Times New Roman"/>
                      <w:color w:val="auto"/>
                      <w:kern w:val="2"/>
                      <w:sz w:val="21"/>
                      <w:szCs w:val="21"/>
                      <w:lang w:val="en-US" w:eastAsia="zh-CN" w:bidi="ar-SA"/>
                    </w:rPr>
                    <w:t>（无吡啶）</w:t>
                  </w:r>
                </w:p>
              </w:tc>
              <w:tc>
                <w:tcPr>
                  <w:tcW w:w="834" w:type="pct"/>
                  <w:tcBorders>
                    <w:left w:val="single" w:color="auto" w:sz="4" w:space="0"/>
                  </w:tcBorders>
                  <w:vAlign w:val="center"/>
                </w:tcPr>
                <w:p>
                  <w:pPr>
                    <w:pStyle w:val="43"/>
                    <w:ind w:firstLine="0" w:firstLineChars="0"/>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1.9</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w:t>
                  </w:r>
                  <w:r>
                    <w:rPr>
                      <w:rFonts w:hint="eastAsia" w:cs="Times New Roman"/>
                      <w:i w:val="0"/>
                      <w:iCs w:val="0"/>
                      <w:color w:val="auto"/>
                      <w:kern w:val="2"/>
                      <w:sz w:val="21"/>
                      <w:szCs w:val="21"/>
                      <w:u w:val="none"/>
                      <w:lang w:val="en-US" w:eastAsia="zh-CN" w:bidi="ar-SA"/>
                    </w:rPr>
                    <w:t>5</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19</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三乙胺</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色谱纯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29.2</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26.</w:t>
                  </w:r>
                  <w:r>
                    <w:rPr>
                      <w:rFonts w:hint="eastAsia" w:cs="Times New Roman"/>
                      <w:i w:val="0"/>
                      <w:iCs w:val="0"/>
                      <w:color w:val="auto"/>
                      <w:kern w:val="2"/>
                      <w:sz w:val="21"/>
                      <w:szCs w:val="21"/>
                      <w:u w:val="none"/>
                      <w:lang w:val="en-US" w:eastAsia="zh-CN" w:bidi="ar-SA"/>
                    </w:rPr>
                    <w:t>0</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20</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三氟乙酸</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色谱纯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1.35</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21</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三氟乙酸</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15.4</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13.</w:t>
                  </w:r>
                  <w:r>
                    <w:rPr>
                      <w:rFonts w:hint="eastAsia" w:cs="Times New Roman"/>
                      <w:i w:val="0"/>
                      <w:iCs w:val="0"/>
                      <w:color w:val="auto"/>
                      <w:kern w:val="2"/>
                      <w:sz w:val="21"/>
                      <w:szCs w:val="21"/>
                      <w:u w:val="none"/>
                      <w:lang w:val="en-US" w:eastAsia="zh-CN" w:bidi="ar-SA"/>
                    </w:rPr>
                    <w:t>5</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
                    </w:rPr>
                    <w:t>22</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盐酸</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236</w:t>
                  </w:r>
                </w:p>
              </w:tc>
              <w:tc>
                <w:tcPr>
                  <w:tcW w:w="684"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auto"/>
                      <w:kern w:val="2"/>
                      <w:sz w:val="21"/>
                      <w:szCs w:val="21"/>
                      <w:u w:val="none"/>
                      <w:lang w:val="en-US" w:eastAsia="zh-CN" w:bidi="ar-SA"/>
                    </w:rPr>
                    <w:t>212</w:t>
                  </w:r>
                </w:p>
              </w:tc>
              <w:tc>
                <w:tcPr>
                  <w:tcW w:w="868" w:type="pct"/>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ascii="Times New Roman" w:hAnsi="Times New Roman" w:eastAsia="宋体" w:cs="Times New Roman"/>
                      <w:i w:val="0"/>
                      <w:iCs w:val="0"/>
                      <w:color w:val="auto"/>
                      <w:kern w:val="2"/>
                      <w:sz w:val="21"/>
                      <w:szCs w:val="21"/>
                      <w:u w:val="none"/>
                      <w:lang w:val="en-US" w:eastAsia="zh-CN" w:bidi="ar"/>
                    </w:rPr>
                    <w:t>23</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硫酸</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国标分析纯</w:t>
                  </w:r>
                </w:p>
              </w:tc>
              <w:tc>
                <w:tcPr>
                  <w:tcW w:w="598" w:type="pct"/>
                  <w:vAlign w:val="center"/>
                </w:tcPr>
                <w:p>
                  <w:pPr>
                    <w:pStyle w:val="43"/>
                    <w:ind w:firstLine="0" w:firstLineChars="0"/>
                    <w:rPr>
                      <w:rFonts w:hint="default" w:ascii="Times New Roman" w:hAnsi="Times New Roman" w:eastAsia="宋体" w:cs="Times New Roman"/>
                      <w:color w:val="auto"/>
                      <w:spacing w:val="0"/>
                      <w:w w:val="100"/>
                      <w:kern w:val="2"/>
                      <w:position w:val="0"/>
                      <w:sz w:val="21"/>
                      <w:szCs w:val="21"/>
                      <w:lang w:val="en-US" w:eastAsia="zh-CN" w:bidi="en-US"/>
                    </w:rPr>
                  </w:pPr>
                  <w:r>
                    <w:rPr>
                      <w:rFonts w:hint="eastAsia" w:cs="Times New Roman"/>
                      <w:b w:val="0"/>
                      <w:bCs w:val="0"/>
                      <w:color w:val="auto"/>
                      <w:sz w:val="21"/>
                      <w:szCs w:val="21"/>
                      <w:lang w:val="en-US" w:eastAsia="zh-CN"/>
                    </w:rPr>
                    <w:t>kg</w:t>
                  </w:r>
                </w:p>
              </w:tc>
              <w:tc>
                <w:tcPr>
                  <w:tcW w:w="615" w:type="pct"/>
                  <w:vAlign w:val="center"/>
                </w:tcPr>
                <w:p>
                  <w:pPr>
                    <w:pStyle w:val="43"/>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36.6</w:t>
                  </w:r>
                </w:p>
              </w:tc>
              <w:tc>
                <w:tcPr>
                  <w:tcW w:w="1552" w:type="pct"/>
                  <w:gridSpan w:val="2"/>
                  <w:vAlign w:val="center"/>
                </w:tcPr>
                <w:p>
                  <w:pPr>
                    <w:pStyle w:val="43"/>
                    <w:bidi w:val="0"/>
                    <w:spacing w:line="240" w:lineRule="auto"/>
                    <w:ind w:firstLine="0" w:firstLineChars="0"/>
                    <w:jc w:val="center"/>
                    <w:rPr>
                      <w:rFonts w:hint="eastAsia"/>
                      <w:color w:val="auto"/>
                      <w:sz w:val="21"/>
                      <w:szCs w:val="21"/>
                      <w:lang w:val="en-US" w:eastAsia="zh-CN"/>
                    </w:rPr>
                  </w:pPr>
                  <w:r>
                    <w:rPr>
                      <w:rFonts w:hint="eastAsia"/>
                      <w:color w:val="auto"/>
                      <w:sz w:val="21"/>
                      <w:szCs w:val="21"/>
                      <w:highlight w:val="none"/>
                      <w:lang w:eastAsia="zh-CN" w:bidi="ar"/>
                    </w:rPr>
                    <w:t>试运行验收期间，硫酸暂未使用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7"/>
                  <w:vAlign w:val="center"/>
                </w:tcPr>
                <w:p>
                  <w:pPr>
                    <w:pStyle w:val="43"/>
                    <w:bidi w:val="0"/>
                    <w:spacing w:line="240" w:lineRule="auto"/>
                    <w:ind w:firstLine="0" w:firstLineChars="0"/>
                    <w:jc w:val="center"/>
                    <w:rPr>
                      <w:rFonts w:hint="eastAsia"/>
                      <w:color w:val="auto"/>
                      <w:sz w:val="21"/>
                      <w:szCs w:val="21"/>
                      <w:lang w:val="en-US" w:eastAsia="zh-CN"/>
                    </w:rPr>
                  </w:pPr>
                  <w:r>
                    <w:rPr>
                      <w:rFonts w:hint="eastAsia"/>
                      <w:b/>
                      <w:bCs/>
                      <w:color w:val="auto"/>
                      <w:sz w:val="21"/>
                      <w:szCs w:val="21"/>
                      <w:lang w:val="en-US" w:eastAsia="zh-CN"/>
                    </w:rPr>
                    <w:t>高压气体</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1</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高纯氮</w:t>
                  </w:r>
                </w:p>
              </w:tc>
              <w:tc>
                <w:tcPr>
                  <w:tcW w:w="834" w:type="pct"/>
                  <w:tcBorders>
                    <w:left w:val="single" w:color="auto" w:sz="4" w:space="0"/>
                  </w:tcBorders>
                  <w:vAlign w:val="center"/>
                </w:tcPr>
                <w:p>
                  <w:pPr>
                    <w:pStyle w:val="43"/>
                    <w:ind w:firstLine="0" w:firstLineChars="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40L</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瓶</w:t>
                  </w:r>
                </w:p>
              </w:tc>
              <w:tc>
                <w:tcPr>
                  <w:tcW w:w="615" w:type="pct"/>
                  <w:vAlign w:val="center"/>
                </w:tcPr>
                <w:p>
                  <w:pPr>
                    <w:pStyle w:val="43"/>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15</w:t>
                  </w:r>
                </w:p>
              </w:tc>
              <w:tc>
                <w:tcPr>
                  <w:tcW w:w="684"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13</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2</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氢气</w:t>
                  </w:r>
                </w:p>
              </w:tc>
              <w:tc>
                <w:tcPr>
                  <w:tcW w:w="834" w:type="pct"/>
                  <w:tcBorders>
                    <w:left w:val="single" w:color="auto" w:sz="4" w:space="0"/>
                  </w:tcBorders>
                  <w:vAlign w:val="center"/>
                </w:tcPr>
                <w:p>
                  <w:pPr>
                    <w:pStyle w:val="43"/>
                    <w:ind w:firstLine="0" w:firstLineChars="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40L</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瓶</w:t>
                  </w:r>
                </w:p>
              </w:tc>
              <w:tc>
                <w:tcPr>
                  <w:tcW w:w="615" w:type="pct"/>
                  <w:vAlign w:val="center"/>
                </w:tcPr>
                <w:p>
                  <w:pPr>
                    <w:pStyle w:val="43"/>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2</w:t>
                  </w:r>
                </w:p>
              </w:tc>
              <w:tc>
                <w:tcPr>
                  <w:tcW w:w="684" w:type="pct"/>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2"/>
                      <w:sz w:val="21"/>
                      <w:szCs w:val="21"/>
                      <w:u w:val="none"/>
                      <w:lang w:val="en-US" w:eastAsia="zh-CN" w:bidi="ar-SA"/>
                    </w:rPr>
                    <w:t>1.</w:t>
                  </w:r>
                  <w:r>
                    <w:rPr>
                      <w:rFonts w:hint="eastAsia" w:cs="Times New Roman"/>
                      <w:i w:val="0"/>
                      <w:iCs w:val="0"/>
                      <w:color w:val="auto"/>
                      <w:kern w:val="2"/>
                      <w:sz w:val="21"/>
                      <w:szCs w:val="21"/>
                      <w:u w:val="none"/>
                      <w:lang w:val="en-US" w:eastAsia="zh-CN" w:bidi="ar-SA"/>
                    </w:rPr>
                    <w:t>5</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5000" w:type="pct"/>
                  <w:gridSpan w:val="7"/>
                  <w:vAlign w:val="center"/>
                </w:tcPr>
                <w:p>
                  <w:pPr>
                    <w:pStyle w:val="43"/>
                    <w:bidi w:val="0"/>
                    <w:spacing w:line="240" w:lineRule="auto"/>
                    <w:ind w:firstLine="0" w:firstLineChars="0"/>
                    <w:jc w:val="center"/>
                    <w:rPr>
                      <w:rFonts w:hint="eastAsia"/>
                      <w:color w:val="auto"/>
                      <w:sz w:val="21"/>
                      <w:szCs w:val="21"/>
                      <w:lang w:val="en-US" w:eastAsia="zh-CN"/>
                    </w:rPr>
                  </w:pPr>
                  <w:r>
                    <w:rPr>
                      <w:rFonts w:hint="eastAsia"/>
                      <w:b/>
                      <w:bCs/>
                      <w:color w:val="auto"/>
                      <w:sz w:val="21"/>
                      <w:szCs w:val="21"/>
                      <w:lang w:val="en-US" w:eastAsia="zh-CN"/>
                    </w:rPr>
                    <w:t>主要实验耗材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1</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一次性滴管</w:t>
                  </w:r>
                </w:p>
              </w:tc>
              <w:tc>
                <w:tcPr>
                  <w:tcW w:w="834" w:type="pct"/>
                  <w:tcBorders>
                    <w:left w:val="single" w:color="auto" w:sz="4" w:space="0"/>
                  </w:tcBorders>
                  <w:vAlign w:val="center"/>
                </w:tcPr>
                <w:p>
                  <w:pPr>
                    <w:pStyle w:val="43"/>
                    <w:ind w:firstLine="0" w:firstLineChars="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2mL</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支</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9000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81</w:t>
                  </w:r>
                  <w:r>
                    <w:rPr>
                      <w:rFonts w:hint="eastAsia" w:cs="Times New Roman"/>
                      <w:i w:val="0"/>
                      <w:iCs w:val="0"/>
                      <w:color w:val="auto"/>
                      <w:kern w:val="2"/>
                      <w:sz w:val="21"/>
                      <w:szCs w:val="21"/>
                      <w:u w:val="none"/>
                      <w:lang w:val="en-US" w:eastAsia="zh-CN" w:bidi="ar"/>
                    </w:rPr>
                    <w:t>10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2</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一次性注射器</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eastAsia" w:cs="Times New Roman"/>
                      <w:color w:val="auto"/>
                      <w:szCs w:val="21"/>
                      <w:lang w:val="en-US" w:eastAsia="zh-CN"/>
                    </w:rPr>
                    <w:t>5mL</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支</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1200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1</w:t>
                  </w:r>
                  <w:r>
                    <w:rPr>
                      <w:rFonts w:hint="eastAsia" w:cs="Times New Roman"/>
                      <w:i w:val="0"/>
                      <w:iCs w:val="0"/>
                      <w:color w:val="auto"/>
                      <w:kern w:val="2"/>
                      <w:sz w:val="21"/>
                      <w:szCs w:val="21"/>
                      <w:u w:val="none"/>
                      <w:lang w:val="en-US" w:eastAsia="zh-CN" w:bidi="ar"/>
                    </w:rPr>
                    <w:t>100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3</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滤纸</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600mm*600mm</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张</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600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540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4</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一次性活性炭口罩</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KN95</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只</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4000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36</w:t>
                  </w:r>
                  <w:r>
                    <w:rPr>
                      <w:rFonts w:hint="eastAsia" w:cs="Times New Roman"/>
                      <w:i w:val="0"/>
                      <w:iCs w:val="0"/>
                      <w:color w:val="auto"/>
                      <w:kern w:val="2"/>
                      <w:sz w:val="21"/>
                      <w:szCs w:val="21"/>
                      <w:u w:val="none"/>
                      <w:lang w:val="en-US" w:eastAsia="zh-CN" w:bidi="ar"/>
                    </w:rPr>
                    <w:t>30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5</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密封带</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0.1mm*13mm*15m</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卷</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100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90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6</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离心管</w:t>
                  </w:r>
                </w:p>
              </w:tc>
              <w:tc>
                <w:tcPr>
                  <w:tcW w:w="834" w:type="pct"/>
                  <w:tcBorders>
                    <w:left w:val="single" w:color="auto" w:sz="4" w:space="0"/>
                  </w:tcBorders>
                  <w:vAlign w:val="center"/>
                </w:tcPr>
                <w:p>
                  <w:pPr>
                    <w:pStyle w:val="43"/>
                    <w:ind w:firstLine="0" w:firstLineChars="0"/>
                    <w:rPr>
                      <w:rFonts w:hint="default" w:ascii="Times New Roman" w:hAnsi="Times New Roman" w:cs="Times New Roman"/>
                      <w:color w:val="auto"/>
                      <w:szCs w:val="21"/>
                    </w:rPr>
                  </w:pPr>
                  <w:r>
                    <w:rPr>
                      <w:rFonts w:hint="default" w:ascii="Times New Roman" w:hAnsi="Times New Roman" w:cs="Times New Roman"/>
                      <w:color w:val="auto"/>
                      <w:szCs w:val="21"/>
                    </w:rPr>
                    <w:t>1mL</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个</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10000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90</w:t>
                  </w:r>
                  <w:r>
                    <w:rPr>
                      <w:rFonts w:hint="eastAsia" w:cs="Times New Roman"/>
                      <w:i w:val="0"/>
                      <w:iCs w:val="0"/>
                      <w:color w:val="auto"/>
                      <w:kern w:val="2"/>
                      <w:sz w:val="21"/>
                      <w:szCs w:val="21"/>
                      <w:u w:val="none"/>
                      <w:lang w:val="en-US" w:eastAsia="zh-CN" w:bidi="ar"/>
                    </w:rPr>
                    <w:t>60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1" w:type="pct"/>
                  <w:vAlign w:val="center"/>
                </w:tcPr>
                <w:p>
                  <w:pPr>
                    <w:pStyle w:val="43"/>
                    <w:rPr>
                      <w:rFonts w:hint="default" w:ascii="Times New Roman" w:hAnsi="Times New Roman" w:eastAsia="宋体" w:cs="Times New Roman"/>
                      <w:i w:val="0"/>
                      <w:iCs w:val="0"/>
                      <w:color w:val="auto"/>
                      <w:kern w:val="2"/>
                      <w:sz w:val="21"/>
                      <w:szCs w:val="21"/>
                      <w:u w:val="none"/>
                      <w:lang w:val="en-US" w:eastAsia="zh-CN" w:bidi="ar"/>
                    </w:rPr>
                  </w:pPr>
                  <w:r>
                    <w:rPr>
                      <w:rFonts w:hint="eastAsia" w:cs="Times New Roman"/>
                      <w:i w:val="0"/>
                      <w:iCs w:val="0"/>
                      <w:color w:val="auto"/>
                      <w:kern w:val="2"/>
                      <w:sz w:val="21"/>
                      <w:szCs w:val="21"/>
                      <w:u w:val="none"/>
                      <w:lang w:val="en-US" w:eastAsia="zh-CN" w:bidi="ar"/>
                    </w:rPr>
                    <w:t>7</w:t>
                  </w:r>
                </w:p>
              </w:tc>
              <w:tc>
                <w:tcPr>
                  <w:tcW w:w="937" w:type="pct"/>
                  <w:tcBorders>
                    <w:right w:val="single" w:color="auto" w:sz="4" w:space="0"/>
                  </w:tcBorders>
                  <w:vAlign w:val="center"/>
                </w:tcPr>
                <w:p>
                  <w:pPr>
                    <w:pStyle w:val="43"/>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一次性丁腈手套</w:t>
                  </w:r>
                </w:p>
              </w:tc>
              <w:tc>
                <w:tcPr>
                  <w:tcW w:w="834" w:type="pct"/>
                  <w:tcBorders>
                    <w:left w:val="single" w:color="auto" w:sz="4" w:space="0"/>
                  </w:tcBorders>
                  <w:vAlign w:val="center"/>
                </w:tcPr>
                <w:p>
                  <w:pPr>
                    <w:pStyle w:val="43"/>
                    <w:ind w:firstLine="0" w:firstLineChars="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大号</w:t>
                  </w:r>
                </w:p>
              </w:tc>
              <w:tc>
                <w:tcPr>
                  <w:tcW w:w="598" w:type="pct"/>
                  <w:vAlign w:val="center"/>
                </w:tcPr>
                <w:p>
                  <w:pPr>
                    <w:pStyle w:val="43"/>
                    <w:ind w:firstLine="0" w:firstLineChars="0"/>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只</w:t>
                  </w:r>
                </w:p>
              </w:tc>
              <w:tc>
                <w:tcPr>
                  <w:tcW w:w="615" w:type="pct"/>
                  <w:vAlign w:val="center"/>
                </w:tcPr>
                <w:p>
                  <w:pPr>
                    <w:pStyle w:val="43"/>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8000</w:t>
                  </w:r>
                </w:p>
              </w:tc>
              <w:tc>
                <w:tcPr>
                  <w:tcW w:w="684" w:type="pct"/>
                  <w:vAlign w:val="center"/>
                </w:tcPr>
                <w:p>
                  <w:pPr>
                    <w:pStyle w:val="43"/>
                    <w:ind w:firstLine="0" w:firstLineChars="0"/>
                    <w:rPr>
                      <w:rFonts w:hint="default" w:ascii="Times New Roman" w:hAnsi="Times New Roman" w:eastAsia="宋体" w:cs="Times New Roman"/>
                      <w:color w:val="auto"/>
                      <w:kern w:val="2"/>
                      <w:sz w:val="21"/>
                      <w:szCs w:val="21"/>
                      <w:lang w:val="en-US" w:eastAsia="zh-CN" w:bidi="en-US"/>
                    </w:rPr>
                  </w:pPr>
                  <w:r>
                    <w:rPr>
                      <w:rFonts w:hint="default" w:ascii="Times New Roman" w:hAnsi="Times New Roman" w:eastAsia="宋体" w:cs="Times New Roman"/>
                      <w:i w:val="0"/>
                      <w:iCs w:val="0"/>
                      <w:color w:val="auto"/>
                      <w:kern w:val="2"/>
                      <w:sz w:val="21"/>
                      <w:szCs w:val="21"/>
                      <w:u w:val="none"/>
                      <w:lang w:val="en-US" w:eastAsia="zh-CN" w:bidi="ar"/>
                    </w:rPr>
                    <w:t>72</w:t>
                  </w:r>
                  <w:r>
                    <w:rPr>
                      <w:rFonts w:hint="eastAsia" w:cs="Times New Roman"/>
                      <w:i w:val="0"/>
                      <w:iCs w:val="0"/>
                      <w:color w:val="auto"/>
                      <w:kern w:val="2"/>
                      <w:sz w:val="21"/>
                      <w:szCs w:val="21"/>
                      <w:u w:val="none"/>
                      <w:lang w:val="en-US" w:eastAsia="zh-CN" w:bidi="ar"/>
                    </w:rPr>
                    <w:t>10</w:t>
                  </w:r>
                </w:p>
              </w:tc>
              <w:tc>
                <w:tcPr>
                  <w:tcW w:w="868" w:type="pct"/>
                  <w:vAlign w:val="center"/>
                </w:tcPr>
                <w:p>
                  <w:pPr>
                    <w:pStyle w:val="43"/>
                    <w:bidi w:val="0"/>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分期建设</w:t>
                  </w:r>
                </w:p>
              </w:tc>
            </w:tr>
          </w:tbl>
          <w:p>
            <w:pPr>
              <w:pStyle w:val="33"/>
              <w:ind w:firstLine="482"/>
              <w:rPr>
                <w:rFonts w:cs="Times New Roman"/>
                <w:b/>
                <w:bCs/>
                <w:color w:val="auto"/>
                <w:highlight w:val="none"/>
              </w:rPr>
            </w:pPr>
            <w:r>
              <w:rPr>
                <w:rFonts w:cs="Times New Roman"/>
                <w:b/>
                <w:bCs/>
                <w:color w:val="auto"/>
                <w:highlight w:val="none"/>
              </w:rPr>
              <w:t>2、公用工程</w:t>
            </w:r>
          </w:p>
          <w:p>
            <w:pPr>
              <w:pStyle w:val="33"/>
              <w:ind w:firstLine="476"/>
              <w:jc w:val="both"/>
              <w:rPr>
                <w:rFonts w:hint="default" w:cs="Times New Roman"/>
                <w:color w:val="auto"/>
                <w:spacing w:val="0"/>
                <w:sz w:val="24"/>
                <w:szCs w:val="24"/>
              </w:rPr>
            </w:pPr>
            <w:r>
              <w:rPr>
                <w:rFonts w:hint="default" w:cs="Times New Roman"/>
                <w:color w:val="auto"/>
                <w:spacing w:val="-1"/>
                <w:sz w:val="24"/>
                <w:lang w:val="en-US" w:eastAsia="zh-CN" w:bidi="ar-SA"/>
              </w:rPr>
              <w:t>（</w:t>
            </w:r>
            <w:r>
              <w:rPr>
                <w:rFonts w:hint="default" w:cs="Times New Roman"/>
                <w:color w:val="auto"/>
                <w:spacing w:val="0"/>
                <w:sz w:val="24"/>
                <w:szCs w:val="24"/>
                <w:lang w:val="en-US" w:eastAsia="zh-CN" w:bidi="ar-SA"/>
              </w:rPr>
              <w:t>1）</w:t>
            </w:r>
            <w:r>
              <w:rPr>
                <w:rFonts w:hint="default" w:ascii="Times New Roman" w:hAnsi="Times New Roman" w:eastAsia="宋体" w:cs="Times New Roman"/>
                <w:color w:val="auto"/>
                <w:spacing w:val="0"/>
                <w:sz w:val="24"/>
                <w:szCs w:val="24"/>
                <w:lang w:val="en-US" w:eastAsia="zh-CN" w:bidi="ar-SA"/>
              </w:rPr>
              <w:t>给水：</w:t>
            </w:r>
            <w:r>
              <w:rPr>
                <w:rFonts w:hint="eastAsia" w:cs="Times New Roman"/>
                <w:color w:val="auto"/>
                <w:spacing w:val="0"/>
                <w:sz w:val="24"/>
                <w:szCs w:val="24"/>
                <w:lang w:val="en-US" w:eastAsia="zh-CN" w:bidi="ar-SA"/>
              </w:rPr>
              <w:t>一期</w:t>
            </w:r>
            <w:r>
              <w:rPr>
                <w:rFonts w:hint="default" w:cs="Times New Roman"/>
                <w:color w:val="auto"/>
                <w:spacing w:val="0"/>
                <w:sz w:val="24"/>
                <w:szCs w:val="24"/>
              </w:rPr>
              <w:t>项目用水主要为</w:t>
            </w:r>
            <w:r>
              <w:rPr>
                <w:rFonts w:hint="default" w:cs="Times New Roman"/>
                <w:color w:val="auto"/>
                <w:sz w:val="24"/>
                <w:szCs w:val="24"/>
                <w:lang w:val="en-US" w:eastAsia="zh-CN" w:bidi="en-US"/>
              </w:rPr>
              <w:t>地面清洁用水</w:t>
            </w:r>
            <w:r>
              <w:rPr>
                <w:rFonts w:hint="eastAsia" w:cs="Times New Roman"/>
                <w:color w:val="auto"/>
                <w:sz w:val="24"/>
                <w:szCs w:val="24"/>
                <w:lang w:val="en-US" w:eastAsia="zh-CN" w:bidi="en-US"/>
              </w:rPr>
              <w:t>、</w:t>
            </w:r>
            <w:r>
              <w:rPr>
                <w:rFonts w:hint="default" w:cs="Times New Roman"/>
                <w:color w:val="auto"/>
                <w:sz w:val="24"/>
                <w:szCs w:val="24"/>
                <w:lang w:val="en-US" w:eastAsia="zh-CN" w:bidi="en-US"/>
              </w:rPr>
              <w:t>实验器皿清洗用水</w:t>
            </w:r>
            <w:r>
              <w:rPr>
                <w:rFonts w:hint="eastAsia" w:cs="Times New Roman"/>
                <w:color w:val="auto"/>
                <w:sz w:val="24"/>
                <w:szCs w:val="24"/>
                <w:lang w:val="en-US" w:eastAsia="zh-CN" w:bidi="en-US"/>
              </w:rPr>
              <w:t>、</w:t>
            </w:r>
            <w:r>
              <w:rPr>
                <w:rFonts w:hint="default" w:cs="Times New Roman"/>
                <w:color w:val="auto"/>
                <w:sz w:val="24"/>
                <w:szCs w:val="24"/>
                <w:lang w:val="en-US" w:eastAsia="zh-CN" w:bidi="en-US"/>
              </w:rPr>
              <w:t>实验用水</w:t>
            </w:r>
            <w:r>
              <w:rPr>
                <w:rFonts w:hint="eastAsia" w:cs="Times New Roman"/>
                <w:color w:val="auto"/>
                <w:sz w:val="24"/>
                <w:szCs w:val="24"/>
                <w:lang w:val="en-US" w:eastAsia="zh-CN" w:bidi="en-US"/>
              </w:rPr>
              <w:t>和生活用水。</w:t>
            </w:r>
          </w:p>
          <w:p>
            <w:pPr>
              <w:pStyle w:val="33"/>
              <w:spacing w:line="360" w:lineRule="auto"/>
              <w:ind w:firstLine="480" w:firstLineChars="200"/>
              <w:jc w:val="both"/>
              <w:rPr>
                <w:rFonts w:hint="default" w:cs="Times New Roman"/>
                <w:color w:val="auto"/>
                <w:sz w:val="24"/>
                <w:szCs w:val="24"/>
                <w:lang w:val="en-US" w:eastAsia="zh-CN" w:bidi="en-US"/>
              </w:rPr>
            </w:pPr>
            <w:bookmarkStart w:id="62" w:name="bookmark25"/>
            <w:bookmarkEnd w:id="62"/>
            <w:r>
              <w:rPr>
                <w:rFonts w:hint="default" w:cs="Times New Roman"/>
                <w:color w:val="auto"/>
                <w:sz w:val="24"/>
                <w:szCs w:val="24"/>
                <w:lang w:val="en-US" w:eastAsia="zh-CN" w:bidi="en-US"/>
              </w:rPr>
              <w:t>①地面清洁用水：项目采取拖把保洁方式，不直接冲洗地面，地面需每天清洁 1 次；地面清洁用水量约为</w:t>
            </w:r>
            <w:r>
              <w:rPr>
                <w:rFonts w:hint="eastAsia" w:cs="Times New Roman"/>
                <w:color w:val="auto"/>
                <w:sz w:val="24"/>
                <w:szCs w:val="24"/>
                <w:lang w:val="en-US" w:eastAsia="zh-CN" w:bidi="en-US"/>
              </w:rPr>
              <w:t>73.41</w:t>
            </w:r>
            <w:r>
              <w:rPr>
                <w:rFonts w:hint="default" w:cs="Times New Roman"/>
                <w:color w:val="auto"/>
                <w:sz w:val="24"/>
                <w:szCs w:val="24"/>
                <w:lang w:val="en-US" w:eastAsia="zh-CN" w:bidi="en-US"/>
              </w:rPr>
              <w:t xml:space="preserve"> 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/a，使用自来水。</w:t>
            </w:r>
          </w:p>
          <w:p>
            <w:pPr>
              <w:pStyle w:val="33"/>
              <w:spacing w:line="360" w:lineRule="auto"/>
              <w:ind w:firstLine="480" w:firstLineChars="200"/>
              <w:jc w:val="both"/>
              <w:rPr>
                <w:rFonts w:hint="default" w:cs="Times New Roman"/>
                <w:color w:val="auto"/>
                <w:sz w:val="24"/>
                <w:szCs w:val="24"/>
                <w:lang w:val="en-US" w:eastAsia="zh-CN" w:bidi="en-US"/>
              </w:rPr>
            </w:pPr>
            <w:r>
              <w:rPr>
                <w:rFonts w:hint="default" w:cs="Times New Roman"/>
                <w:color w:val="auto"/>
                <w:sz w:val="24"/>
                <w:szCs w:val="24"/>
                <w:lang w:val="en-US" w:eastAsia="zh-CN" w:bidi="en-US"/>
              </w:rPr>
              <w:t>②实验器皿清洗用水：实验后需对器皿进行清洗</w:t>
            </w:r>
            <w:r>
              <w:rPr>
                <w:rFonts w:hint="eastAsia" w:cs="Times New Roman"/>
                <w:color w:val="auto"/>
                <w:sz w:val="24"/>
                <w:szCs w:val="24"/>
                <w:lang w:val="en-US" w:eastAsia="zh-CN" w:bidi="en-US"/>
              </w:rPr>
              <w:t>4</w:t>
            </w:r>
            <w:r>
              <w:rPr>
                <w:rFonts w:hint="default" w:cs="Times New Roman"/>
                <w:color w:val="auto"/>
                <w:sz w:val="24"/>
                <w:szCs w:val="24"/>
                <w:lang w:val="en-US" w:eastAsia="zh-CN" w:bidi="en-US"/>
              </w:rPr>
              <w:t>次。实验器皿首次清洗用水量约为</w:t>
            </w:r>
            <w:r>
              <w:rPr>
                <w:rFonts w:hint="eastAsia" w:cs="Times New Roman"/>
                <w:color w:val="auto"/>
                <w:sz w:val="24"/>
                <w:szCs w:val="24"/>
                <w:lang w:val="en-US" w:eastAsia="zh-CN" w:bidi="en-US"/>
              </w:rPr>
              <w:t>1.8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/a；第二次超声清洗用水量约为</w:t>
            </w:r>
            <w:r>
              <w:rPr>
                <w:rFonts w:hint="eastAsia" w:cs="Times New Roman"/>
                <w:color w:val="auto"/>
                <w:sz w:val="24"/>
                <w:szCs w:val="24"/>
                <w:lang w:val="en-US" w:eastAsia="zh-CN" w:bidi="en-US"/>
              </w:rPr>
              <w:t>1.08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z w:val="24"/>
                <w:szCs w:val="24"/>
                <w:lang w:val="en-US" w:eastAsia="zh-CN" w:bidi="en-US"/>
              </w:rPr>
              <w:t>第三次清洗用水量约为</w:t>
            </w:r>
            <w:r>
              <w:rPr>
                <w:rFonts w:hint="eastAsia" w:cs="Times New Roman"/>
                <w:color w:val="auto"/>
                <w:sz w:val="24"/>
                <w:szCs w:val="24"/>
                <w:lang w:val="en-US" w:eastAsia="zh-CN" w:bidi="en-US"/>
              </w:rPr>
              <w:t>4.5</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w:t>
            </w:r>
            <w:r>
              <w:rPr>
                <w:rFonts w:hint="eastAsia" w:cs="Times New Roman"/>
                <w:color w:val="auto"/>
                <w:sz w:val="24"/>
                <w:szCs w:val="24"/>
                <w:lang w:val="en-US" w:eastAsia="zh-CN" w:bidi="en-US"/>
              </w:rPr>
              <w:t>a，</w:t>
            </w:r>
            <w:r>
              <w:rPr>
                <w:rFonts w:hint="default" w:cs="Times New Roman"/>
                <w:color w:val="auto"/>
                <w:sz w:val="24"/>
                <w:szCs w:val="24"/>
                <w:lang w:val="en-US" w:eastAsia="zh-CN" w:bidi="en-US"/>
              </w:rPr>
              <w:t>第四次清洗用水量约为</w:t>
            </w:r>
            <w:r>
              <w:rPr>
                <w:rFonts w:hint="eastAsia" w:cs="Times New Roman"/>
                <w:color w:val="auto"/>
                <w:sz w:val="24"/>
                <w:szCs w:val="24"/>
                <w:lang w:val="en-US" w:eastAsia="zh-CN" w:bidi="en-US"/>
              </w:rPr>
              <w:t>10.08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/a。4 次清洗均使用自来水。</w:t>
            </w:r>
          </w:p>
          <w:p>
            <w:pPr>
              <w:pStyle w:val="33"/>
              <w:spacing w:line="360" w:lineRule="auto"/>
              <w:ind w:firstLine="480" w:firstLineChars="200"/>
              <w:jc w:val="both"/>
              <w:rPr>
                <w:rFonts w:hint="default" w:cs="Times New Roman"/>
                <w:color w:val="auto"/>
                <w:sz w:val="24"/>
                <w:szCs w:val="24"/>
                <w:lang w:val="en-US" w:eastAsia="zh-CN" w:bidi="en-US"/>
              </w:rPr>
            </w:pPr>
            <w:r>
              <w:rPr>
                <w:rFonts w:hint="default" w:cs="Times New Roman"/>
                <w:color w:val="auto"/>
                <w:sz w:val="24"/>
                <w:szCs w:val="24"/>
                <w:lang w:val="en-US" w:eastAsia="zh-CN" w:bidi="en-US"/>
              </w:rPr>
              <w:t>③实验用水：包括检测试剂配制和实验过程中的用水，实验过程用水量约</w:t>
            </w:r>
            <w:r>
              <w:rPr>
                <w:rFonts w:hint="eastAsia" w:cs="Times New Roman"/>
                <w:color w:val="auto"/>
                <w:sz w:val="24"/>
                <w:szCs w:val="24"/>
                <w:lang w:val="en-US" w:eastAsia="zh-CN" w:bidi="en-US"/>
              </w:rPr>
              <w:t>9</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z w:val="24"/>
                <w:szCs w:val="24"/>
                <w:lang w:val="en-US" w:eastAsia="zh-CN" w:bidi="en-US"/>
              </w:rPr>
              <w:t>用于小型冷却水循环装置、合成试验等，使用自来水；检测试剂配制用水量约</w:t>
            </w:r>
            <w:r>
              <w:rPr>
                <w:rFonts w:hint="eastAsia" w:cs="Times New Roman"/>
                <w:color w:val="auto"/>
                <w:sz w:val="24"/>
                <w:szCs w:val="24"/>
                <w:lang w:val="en-US" w:eastAsia="zh-CN" w:bidi="en-US"/>
              </w:rPr>
              <w:t>1.8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z w:val="24"/>
                <w:szCs w:val="24"/>
                <w:lang w:val="en-US" w:eastAsia="zh-CN" w:bidi="en-US"/>
              </w:rPr>
              <w:t>使用外购纯水。</w:t>
            </w:r>
          </w:p>
          <w:p>
            <w:pPr>
              <w:pStyle w:val="33"/>
              <w:spacing w:line="360" w:lineRule="auto"/>
              <w:ind w:firstLine="480" w:firstLineChars="200"/>
              <w:jc w:val="both"/>
              <w:rPr>
                <w:rFonts w:hint="default" w:cs="Times New Roman"/>
                <w:color w:val="auto"/>
                <w:sz w:val="24"/>
                <w:szCs w:val="24"/>
                <w:lang w:val="en-US" w:eastAsia="zh-CN" w:bidi="en-US"/>
              </w:rPr>
            </w:pPr>
            <w:r>
              <w:rPr>
                <w:rFonts w:hint="default" w:cs="Times New Roman"/>
                <w:color w:val="auto"/>
                <w:sz w:val="24"/>
                <w:szCs w:val="24"/>
                <w:lang w:val="en-US" w:eastAsia="zh-CN" w:bidi="en-US"/>
              </w:rPr>
              <w:t>④生活用水：项目生活用水量为</w:t>
            </w:r>
            <w:r>
              <w:rPr>
                <w:rFonts w:hint="eastAsia" w:cs="Times New Roman"/>
                <w:color w:val="auto"/>
                <w:sz w:val="24"/>
                <w:szCs w:val="24"/>
                <w:lang w:val="en-US" w:eastAsia="zh-CN" w:bidi="en-US"/>
              </w:rPr>
              <w:t>600</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/a，使用自来水。</w:t>
            </w:r>
          </w:p>
          <w:p>
            <w:pPr>
              <w:pStyle w:val="33"/>
              <w:spacing w:line="360" w:lineRule="auto"/>
              <w:ind w:firstLine="480" w:firstLineChars="200"/>
              <w:jc w:val="both"/>
              <w:rPr>
                <w:rFonts w:hint="default" w:cs="Times New Roman"/>
                <w:color w:val="auto"/>
                <w:sz w:val="24"/>
                <w:szCs w:val="24"/>
                <w:lang w:val="en-US" w:eastAsia="zh-CN" w:bidi="en-US"/>
              </w:rPr>
            </w:pPr>
            <w:r>
              <w:rPr>
                <w:rFonts w:hint="eastAsia" w:cs="Times New Roman"/>
                <w:color w:val="auto"/>
                <w:sz w:val="24"/>
                <w:szCs w:val="24"/>
                <w:lang w:val="en-US" w:eastAsia="zh-CN" w:bidi="en-US"/>
              </w:rPr>
              <w:t>综上，自来水用量为699.87</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；外购纯水用量为1.8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p>
          <w:p>
            <w:pPr>
              <w:pStyle w:val="33"/>
              <w:numPr>
                <w:ilvl w:val="0"/>
                <w:numId w:val="2"/>
              </w:numPr>
              <w:ind w:firstLine="476"/>
              <w:jc w:val="both"/>
              <w:rPr>
                <w:rFonts w:hint="eastAsia" w:cs="Times New Roman"/>
                <w:color w:val="auto"/>
                <w:spacing w:val="0"/>
                <w:sz w:val="24"/>
                <w:szCs w:val="24"/>
                <w:lang w:eastAsia="zh-CN"/>
              </w:rPr>
            </w:pPr>
            <w:r>
              <w:rPr>
                <w:rFonts w:hint="default" w:ascii="Times New Roman" w:hAnsi="Times New Roman" w:eastAsia="宋体" w:cs="Times New Roman"/>
                <w:color w:val="auto"/>
                <w:spacing w:val="0"/>
                <w:sz w:val="24"/>
                <w:szCs w:val="24"/>
              </w:rPr>
              <w:t>排水：</w:t>
            </w:r>
            <w:r>
              <w:rPr>
                <w:rFonts w:hint="default" w:ascii="Times New Roman" w:hAnsi="Times New Roman" w:eastAsia="宋体" w:cs="Times New Roman"/>
                <w:color w:val="auto"/>
                <w:spacing w:val="0"/>
                <w:sz w:val="24"/>
                <w:szCs w:val="24"/>
                <w:lang w:val="en-US" w:eastAsia="zh-CN"/>
              </w:rPr>
              <w:t>本</w:t>
            </w:r>
            <w:r>
              <w:rPr>
                <w:rFonts w:hint="default" w:cs="Times New Roman"/>
                <w:color w:val="auto"/>
                <w:spacing w:val="0"/>
                <w:sz w:val="24"/>
                <w:szCs w:val="24"/>
              </w:rPr>
              <w:t>项目雨水经楼顶雨水管道进入产业园雨水管网，沿着产业园区内建设完成的雨水管网排入市政管网</w:t>
            </w:r>
            <w:r>
              <w:rPr>
                <w:rFonts w:hint="eastAsia" w:cs="Times New Roman"/>
                <w:color w:val="auto"/>
                <w:spacing w:val="0"/>
                <w:sz w:val="24"/>
                <w:szCs w:val="24"/>
                <w:lang w:eastAsia="zh-CN"/>
              </w:rPr>
              <w:t>。</w:t>
            </w:r>
          </w:p>
          <w:p>
            <w:pPr>
              <w:pStyle w:val="33"/>
              <w:numPr>
                <w:ilvl w:val="-1"/>
                <w:numId w:val="0"/>
              </w:numPr>
              <w:ind w:firstLine="480"/>
              <w:jc w:val="both"/>
              <w:rPr>
                <w:rFonts w:hint="default" w:eastAsia="宋体" w:cs="Times New Roman"/>
                <w:color w:val="auto"/>
                <w:spacing w:val="0"/>
                <w:sz w:val="24"/>
                <w:szCs w:val="24"/>
                <w:lang w:val="en-US" w:eastAsia="zh-CN"/>
              </w:rPr>
            </w:pPr>
            <w:r>
              <w:rPr>
                <w:rFonts w:hint="default" w:cs="Times New Roman"/>
                <w:color w:val="auto"/>
                <w:spacing w:val="0"/>
                <w:sz w:val="24"/>
                <w:szCs w:val="24"/>
              </w:rPr>
              <w:t>①地面清洁废水：地面清洁废水产生量约为</w:t>
            </w:r>
            <w:r>
              <w:rPr>
                <w:rFonts w:hint="eastAsia" w:cs="Times New Roman"/>
                <w:color w:val="auto"/>
                <w:spacing w:val="0"/>
                <w:sz w:val="24"/>
                <w:szCs w:val="24"/>
                <w:lang w:val="en-US" w:eastAsia="zh-CN"/>
              </w:rPr>
              <w:t>58.73</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pacing w:val="0"/>
                <w:sz w:val="24"/>
                <w:szCs w:val="24"/>
              </w:rPr>
              <w:t>经产业园污水处理站处理后排入林业示范园水质净化厂处理</w:t>
            </w:r>
            <w:r>
              <w:rPr>
                <w:rFonts w:hint="eastAsia" w:cs="Times New Roman"/>
                <w:color w:val="auto"/>
                <w:sz w:val="24"/>
                <w:szCs w:val="24"/>
                <w:lang w:val="en-US" w:eastAsia="zh-CN" w:bidi="en-US"/>
              </w:rPr>
              <w:t>。</w:t>
            </w:r>
          </w:p>
          <w:p>
            <w:pPr>
              <w:pStyle w:val="33"/>
              <w:numPr>
                <w:ilvl w:val="-1"/>
                <w:numId w:val="0"/>
              </w:numPr>
              <w:ind w:firstLine="480"/>
              <w:jc w:val="both"/>
              <w:rPr>
                <w:rFonts w:hint="default" w:cs="Times New Roman"/>
                <w:color w:val="auto"/>
                <w:spacing w:val="0"/>
                <w:sz w:val="24"/>
                <w:szCs w:val="24"/>
              </w:rPr>
            </w:pPr>
            <w:r>
              <w:rPr>
                <w:rFonts w:hint="default" w:cs="Times New Roman"/>
                <w:color w:val="auto"/>
                <w:spacing w:val="0"/>
                <w:sz w:val="24"/>
                <w:szCs w:val="24"/>
              </w:rPr>
              <w:t>②实验器皿清洗废水：实验器皿第三次和第四次清洗废水，产生量约为</w:t>
            </w:r>
            <w:r>
              <w:rPr>
                <w:rFonts w:hint="eastAsia" w:cs="Times New Roman"/>
                <w:color w:val="auto"/>
                <w:spacing w:val="0"/>
                <w:sz w:val="24"/>
                <w:szCs w:val="24"/>
                <w:lang w:val="en-US" w:eastAsia="zh-CN"/>
              </w:rPr>
              <w:t>13.122</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pacing w:val="0"/>
                <w:sz w:val="24"/>
                <w:szCs w:val="24"/>
              </w:rPr>
              <w:t>经产业园污水处理站处理后排入林业示范园水质净化厂处理</w:t>
            </w:r>
            <w:r>
              <w:rPr>
                <w:rFonts w:hint="eastAsia" w:cs="Times New Roman"/>
                <w:color w:val="auto"/>
                <w:sz w:val="24"/>
                <w:szCs w:val="24"/>
                <w:lang w:val="en-US" w:eastAsia="zh-CN" w:bidi="en-US"/>
              </w:rPr>
              <w:t>。</w:t>
            </w:r>
          </w:p>
          <w:p>
            <w:pPr>
              <w:pStyle w:val="33"/>
              <w:numPr>
                <w:ilvl w:val="-1"/>
                <w:numId w:val="0"/>
              </w:numPr>
              <w:ind w:firstLine="480"/>
              <w:jc w:val="both"/>
              <w:rPr>
                <w:rFonts w:hint="default" w:cs="Times New Roman"/>
                <w:color w:val="auto"/>
                <w:spacing w:val="0"/>
                <w:sz w:val="24"/>
                <w:szCs w:val="24"/>
              </w:rPr>
            </w:pPr>
            <w:r>
              <w:rPr>
                <w:rFonts w:hint="default" w:cs="Times New Roman"/>
                <w:color w:val="auto"/>
                <w:spacing w:val="0"/>
                <w:sz w:val="24"/>
                <w:szCs w:val="24"/>
              </w:rPr>
              <w:t>③生活污水：生活污水产生量</w:t>
            </w:r>
            <w:r>
              <w:rPr>
                <w:rFonts w:hint="eastAsia" w:cs="Times New Roman"/>
                <w:color w:val="auto"/>
                <w:spacing w:val="0"/>
                <w:sz w:val="24"/>
                <w:szCs w:val="24"/>
                <w:lang w:eastAsia="zh-CN"/>
              </w:rPr>
              <w:t>约</w:t>
            </w:r>
            <w:r>
              <w:rPr>
                <w:rFonts w:hint="default" w:cs="Times New Roman"/>
                <w:color w:val="auto"/>
                <w:spacing w:val="0"/>
                <w:sz w:val="24"/>
                <w:szCs w:val="24"/>
              </w:rPr>
              <w:t>为</w:t>
            </w:r>
            <w:r>
              <w:rPr>
                <w:rFonts w:hint="eastAsia" w:cs="Times New Roman"/>
                <w:color w:val="auto"/>
                <w:spacing w:val="0"/>
                <w:sz w:val="24"/>
                <w:szCs w:val="24"/>
                <w:lang w:val="en-US" w:eastAsia="zh-CN"/>
              </w:rPr>
              <w:t>480</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eastAsia" w:cs="Times New Roman"/>
                <w:color w:val="auto"/>
                <w:sz w:val="24"/>
                <w:szCs w:val="24"/>
                <w:lang w:val="en-US" w:eastAsia="zh-CN" w:bidi="en-US"/>
              </w:rPr>
              <w:t>，</w:t>
            </w:r>
            <w:r>
              <w:rPr>
                <w:rFonts w:hint="default" w:cs="Times New Roman"/>
                <w:color w:val="auto"/>
                <w:spacing w:val="0"/>
                <w:sz w:val="24"/>
                <w:szCs w:val="24"/>
              </w:rPr>
              <w:t>经产业园污水处理站处理后排入林业示范园水质净化厂处理。</w:t>
            </w:r>
          </w:p>
          <w:p>
            <w:pPr>
              <w:pStyle w:val="33"/>
              <w:numPr>
                <w:ilvl w:val="-1"/>
                <w:numId w:val="0"/>
              </w:numPr>
              <w:ind w:firstLine="480"/>
              <w:jc w:val="both"/>
              <w:rPr>
                <w:rFonts w:hint="default" w:cs="Times New Roman"/>
                <w:color w:val="auto"/>
                <w:spacing w:val="0"/>
                <w:sz w:val="24"/>
                <w:szCs w:val="24"/>
              </w:rPr>
            </w:pPr>
            <w:r>
              <w:rPr>
                <w:rFonts w:hint="default" w:cs="Times New Roman"/>
                <w:color w:val="auto"/>
                <w:spacing w:val="0"/>
                <w:sz w:val="24"/>
                <w:szCs w:val="24"/>
              </w:rPr>
              <w:t>④实验器皿首次、二次清洗废液：项目实验器皿首次清洗废液产生量约为</w:t>
            </w:r>
            <w:r>
              <w:rPr>
                <w:rFonts w:hint="eastAsia" w:cs="Times New Roman"/>
                <w:color w:val="auto"/>
                <w:spacing w:val="0"/>
                <w:sz w:val="24"/>
                <w:szCs w:val="24"/>
                <w:lang w:val="en-US" w:eastAsia="zh-CN"/>
              </w:rPr>
              <w:t>1.8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default" w:cs="Times New Roman"/>
                <w:color w:val="auto"/>
                <w:spacing w:val="0"/>
                <w:sz w:val="24"/>
                <w:szCs w:val="24"/>
              </w:rPr>
              <w:t>二次清洗废液产生量约为</w:t>
            </w:r>
            <w:r>
              <w:rPr>
                <w:rFonts w:hint="eastAsia" w:cs="Times New Roman"/>
                <w:color w:val="auto"/>
                <w:spacing w:val="0"/>
                <w:sz w:val="24"/>
                <w:szCs w:val="24"/>
                <w:lang w:val="en-US" w:eastAsia="zh-CN"/>
              </w:rPr>
              <w:t>1.08</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default" w:cs="Times New Roman"/>
                <w:color w:val="auto"/>
                <w:spacing w:val="0"/>
                <w:sz w:val="24"/>
                <w:szCs w:val="24"/>
              </w:rPr>
              <w:t>因这两种废液中有毒有害的污染物浓度较高，属于危险废物，不</w:t>
            </w:r>
            <w:r>
              <w:rPr>
                <w:rFonts w:hint="eastAsia" w:cs="Times New Roman"/>
                <w:color w:val="auto"/>
                <w:spacing w:val="0"/>
                <w:sz w:val="24"/>
                <w:szCs w:val="24"/>
                <w:lang w:eastAsia="zh-CN"/>
              </w:rPr>
              <w:t>外排</w:t>
            </w:r>
            <w:r>
              <w:rPr>
                <w:rFonts w:hint="default" w:cs="Times New Roman"/>
                <w:color w:val="auto"/>
                <w:spacing w:val="0"/>
                <w:sz w:val="24"/>
                <w:szCs w:val="24"/>
              </w:rPr>
              <w:t>，暂存于危废暂存间，委托</w:t>
            </w:r>
            <w:r>
              <w:rPr>
                <w:rFonts w:hint="eastAsia" w:cs="Times New Roman"/>
                <w:color w:val="auto"/>
                <w:szCs w:val="24"/>
                <w:highlight w:val="none"/>
                <w:lang w:eastAsia="zh-CN"/>
              </w:rPr>
              <w:t>山东敬诚环保科技有限公司</w:t>
            </w:r>
            <w:r>
              <w:rPr>
                <w:rFonts w:hint="default" w:cs="Times New Roman"/>
                <w:color w:val="auto"/>
                <w:spacing w:val="0"/>
                <w:sz w:val="24"/>
                <w:szCs w:val="24"/>
              </w:rPr>
              <w:t>处置。</w:t>
            </w:r>
          </w:p>
          <w:p>
            <w:pPr>
              <w:pStyle w:val="33"/>
              <w:numPr>
                <w:ilvl w:val="-1"/>
                <w:numId w:val="0"/>
              </w:numPr>
              <w:ind w:firstLine="480"/>
              <w:jc w:val="both"/>
              <w:rPr>
                <w:rFonts w:hint="default" w:cs="Times New Roman"/>
                <w:color w:val="auto"/>
                <w:spacing w:val="0"/>
                <w:sz w:val="24"/>
                <w:szCs w:val="24"/>
              </w:rPr>
            </w:pPr>
            <w:r>
              <w:rPr>
                <w:rFonts w:hint="default" w:cs="Times New Roman"/>
                <w:color w:val="auto"/>
                <w:spacing w:val="0"/>
                <w:sz w:val="24"/>
                <w:szCs w:val="24"/>
              </w:rPr>
              <w:t>⑤实验过程废液：实验用水大部分在冷却循环过程中损耗、蒸发或在合成试验中进入样品，实验过程废液主要为废酸液、废碱液、废有机溶液等，产生废液量约为</w:t>
            </w:r>
            <w:r>
              <w:rPr>
                <w:rFonts w:hint="eastAsia" w:cs="Times New Roman"/>
                <w:color w:val="auto"/>
                <w:spacing w:val="0"/>
                <w:sz w:val="24"/>
                <w:szCs w:val="24"/>
                <w:lang w:val="en-US" w:eastAsia="zh-CN"/>
              </w:rPr>
              <w:t>2.34</w:t>
            </w:r>
            <w:r>
              <w:rPr>
                <w:rFonts w:hint="default" w:cs="Times New Roman"/>
                <w:color w:val="auto"/>
                <w:sz w:val="24"/>
                <w:szCs w:val="24"/>
                <w:lang w:val="en-US" w:eastAsia="zh-CN" w:bidi="en-US"/>
              </w:rPr>
              <w:t>m</w:t>
            </w:r>
            <w:r>
              <w:rPr>
                <w:rFonts w:hint="default" w:cs="Times New Roman"/>
                <w:color w:val="auto"/>
                <w:sz w:val="24"/>
                <w:szCs w:val="24"/>
                <w:vertAlign w:val="superscript"/>
                <w:lang w:val="en-US" w:eastAsia="zh-CN" w:bidi="en-US"/>
              </w:rPr>
              <w:t>3</w:t>
            </w:r>
            <w:r>
              <w:rPr>
                <w:rFonts w:hint="default" w:cs="Times New Roman"/>
                <w:color w:val="auto"/>
                <w:sz w:val="24"/>
                <w:szCs w:val="24"/>
                <w:lang w:val="en-US" w:eastAsia="zh-CN" w:bidi="en-US"/>
              </w:rPr>
              <w:t>/a，</w:t>
            </w:r>
            <w:r>
              <w:rPr>
                <w:rFonts w:hint="default" w:cs="Times New Roman"/>
                <w:color w:val="auto"/>
                <w:spacing w:val="0"/>
                <w:sz w:val="24"/>
                <w:szCs w:val="24"/>
              </w:rPr>
              <w:t>属于危险废物，不外排</w:t>
            </w:r>
            <w:r>
              <w:rPr>
                <w:rFonts w:hint="eastAsia" w:cs="Times New Roman"/>
                <w:color w:val="auto"/>
                <w:spacing w:val="0"/>
                <w:sz w:val="24"/>
                <w:szCs w:val="24"/>
                <w:lang w:eastAsia="zh-CN"/>
              </w:rPr>
              <w:t>，</w:t>
            </w:r>
            <w:r>
              <w:rPr>
                <w:rFonts w:hint="default" w:cs="Times New Roman"/>
                <w:color w:val="auto"/>
                <w:spacing w:val="0"/>
                <w:sz w:val="24"/>
                <w:szCs w:val="24"/>
              </w:rPr>
              <w:t>暂存于危险废物暂存间，委托</w:t>
            </w:r>
            <w:r>
              <w:rPr>
                <w:rFonts w:hint="eastAsia" w:cs="Times New Roman"/>
                <w:color w:val="auto"/>
                <w:szCs w:val="24"/>
                <w:highlight w:val="none"/>
                <w:lang w:eastAsia="zh-CN"/>
              </w:rPr>
              <w:t>山东敬诚环保科技有限公司</w:t>
            </w:r>
            <w:r>
              <w:rPr>
                <w:rFonts w:hint="default" w:cs="Times New Roman"/>
                <w:color w:val="auto"/>
                <w:spacing w:val="0"/>
                <w:sz w:val="24"/>
                <w:szCs w:val="24"/>
              </w:rPr>
              <w:t>处置。</w:t>
            </w:r>
          </w:p>
          <w:p>
            <w:pPr>
              <w:pStyle w:val="33"/>
              <w:numPr>
                <w:ilvl w:val="-1"/>
                <w:numId w:val="0"/>
              </w:numPr>
              <w:ind w:firstLine="480" w:firstLineChars="200"/>
              <w:jc w:val="both"/>
              <w:rPr>
                <w:rFonts w:hint="eastAsia" w:cs="Times New Roman"/>
                <w:color w:val="auto"/>
                <w:spacing w:val="0"/>
                <w:sz w:val="24"/>
                <w:szCs w:val="24"/>
                <w:lang w:val="en-US" w:eastAsia="zh-CN"/>
              </w:rPr>
            </w:pPr>
            <w:r>
              <w:rPr>
                <w:rFonts w:hint="default" w:cs="Times New Roman"/>
                <w:color w:val="auto"/>
                <w:spacing w:val="0"/>
                <w:sz w:val="24"/>
                <w:szCs w:val="24"/>
                <w:lang w:val="en-US" w:eastAsia="zh-CN"/>
              </w:rPr>
              <w:t>本项目</w:t>
            </w:r>
            <w:r>
              <w:rPr>
                <w:rFonts w:hint="eastAsia" w:cs="Times New Roman"/>
                <w:color w:val="auto"/>
                <w:spacing w:val="0"/>
                <w:sz w:val="24"/>
                <w:szCs w:val="24"/>
                <w:lang w:val="en-US" w:eastAsia="zh-CN"/>
              </w:rPr>
              <w:t>外排</w:t>
            </w:r>
            <w:r>
              <w:rPr>
                <w:rFonts w:hint="default" w:cs="Times New Roman"/>
                <w:color w:val="auto"/>
                <w:spacing w:val="0"/>
                <w:sz w:val="24"/>
                <w:szCs w:val="24"/>
                <w:lang w:val="en-US" w:eastAsia="zh-CN"/>
              </w:rPr>
              <w:t>废水总产生量为</w:t>
            </w:r>
            <w:r>
              <w:rPr>
                <w:rFonts w:hint="eastAsia" w:cs="Times New Roman"/>
                <w:color w:val="auto"/>
                <w:spacing w:val="0"/>
                <w:sz w:val="24"/>
                <w:szCs w:val="24"/>
                <w:lang w:val="en-US" w:eastAsia="zh-CN"/>
              </w:rPr>
              <w:t>551.852</w:t>
            </w:r>
            <w:r>
              <w:rPr>
                <w:rFonts w:hint="eastAsia" w:cs="Times New Roman"/>
                <w:color w:val="auto"/>
                <w:szCs w:val="24"/>
                <w:lang w:eastAsia="zh-CN" w:bidi="en-US"/>
              </w:rPr>
              <w:t>m</w:t>
            </w:r>
            <w:r>
              <w:rPr>
                <w:rFonts w:hint="eastAsia" w:cs="Times New Roman"/>
                <w:color w:val="auto"/>
                <w:szCs w:val="24"/>
                <w:vertAlign w:val="superscript"/>
                <w:lang w:val="en-US" w:eastAsia="zh-CN" w:bidi="en-US"/>
              </w:rPr>
              <w:t>3</w:t>
            </w:r>
            <w:r>
              <w:rPr>
                <w:rFonts w:hint="eastAsia" w:cs="Times New Roman"/>
                <w:color w:val="auto"/>
                <w:szCs w:val="24"/>
                <w:lang w:val="en-US" w:eastAsia="zh-CN" w:bidi="en-US"/>
              </w:rPr>
              <w:t>/</w:t>
            </w:r>
            <w:r>
              <w:rPr>
                <w:rFonts w:hint="default" w:cs="Times New Roman"/>
                <w:color w:val="auto"/>
                <w:szCs w:val="24"/>
                <w:lang w:bidi="en-US"/>
              </w:rPr>
              <w:t>a</w:t>
            </w:r>
            <w:r>
              <w:rPr>
                <w:rFonts w:hint="eastAsia" w:cs="Times New Roman"/>
                <w:color w:val="auto"/>
                <w:spacing w:val="0"/>
                <w:sz w:val="24"/>
                <w:szCs w:val="24"/>
                <w:lang w:val="en-US" w:eastAsia="zh-CN"/>
              </w:rPr>
              <w:t>.</w:t>
            </w:r>
          </w:p>
          <w:p>
            <w:pPr>
              <w:pStyle w:val="33"/>
              <w:numPr>
                <w:ilvl w:val="-1"/>
                <w:numId w:val="0"/>
              </w:numPr>
              <w:ind w:firstLine="480" w:firstLineChars="200"/>
              <w:jc w:val="both"/>
              <w:rPr>
                <w:rFonts w:hint="default" w:cs="Times New Roman"/>
                <w:color w:val="auto"/>
                <w:spacing w:val="0"/>
                <w:sz w:val="24"/>
                <w:szCs w:val="24"/>
              </w:rPr>
            </w:pPr>
            <w:r>
              <w:rPr>
                <w:rFonts w:hint="eastAsia" w:cs="Times New Roman"/>
                <w:color w:val="auto"/>
                <w:spacing w:val="0"/>
                <w:sz w:val="24"/>
                <w:szCs w:val="24"/>
                <w:lang w:val="en-US" w:eastAsia="zh-CN"/>
              </w:rPr>
              <w:t>本</w:t>
            </w:r>
            <w:r>
              <w:rPr>
                <w:rFonts w:hint="default" w:cs="Times New Roman"/>
                <w:color w:val="auto"/>
                <w:spacing w:val="0"/>
                <w:sz w:val="24"/>
                <w:szCs w:val="24"/>
              </w:rPr>
              <w:t>项目排水主要包括地面清洁废水、实验器皿清洗废水、实验过程废液和生活污水。项目实验器皿首次清洗废液、实验器皿二次清洗废液、实验过程废液属于危险废物，暂存于危废暂存间，委托</w:t>
            </w:r>
            <w:r>
              <w:rPr>
                <w:rFonts w:hint="eastAsia" w:cs="Times New Roman"/>
                <w:color w:val="auto"/>
                <w:szCs w:val="24"/>
                <w:highlight w:val="none"/>
                <w:lang w:eastAsia="zh-CN"/>
              </w:rPr>
              <w:t>山东敬诚环保科技有限公司</w:t>
            </w:r>
            <w:r>
              <w:rPr>
                <w:rFonts w:hint="default" w:cs="Times New Roman"/>
                <w:color w:val="auto"/>
                <w:spacing w:val="0"/>
                <w:sz w:val="24"/>
                <w:szCs w:val="24"/>
              </w:rPr>
              <w:t>处置，不外排；地面清洁废水</w:t>
            </w:r>
            <w:r>
              <w:rPr>
                <w:rFonts w:hint="eastAsia" w:cs="Times New Roman"/>
                <w:color w:val="auto"/>
                <w:spacing w:val="0"/>
                <w:sz w:val="24"/>
                <w:szCs w:val="24"/>
                <w:lang w:eastAsia="zh-CN"/>
              </w:rPr>
              <w:t>、</w:t>
            </w:r>
            <w:r>
              <w:rPr>
                <w:rFonts w:hint="default" w:cs="Times New Roman"/>
                <w:color w:val="auto"/>
                <w:spacing w:val="0"/>
                <w:sz w:val="24"/>
                <w:szCs w:val="24"/>
              </w:rPr>
              <w:t>实验器皿清洗废水</w:t>
            </w:r>
            <w:r>
              <w:rPr>
                <w:rFonts w:hint="eastAsia" w:cs="Times New Roman"/>
                <w:color w:val="auto"/>
                <w:spacing w:val="0"/>
                <w:sz w:val="24"/>
                <w:szCs w:val="24"/>
                <w:lang w:eastAsia="zh-CN"/>
              </w:rPr>
              <w:t>（</w:t>
            </w:r>
            <w:r>
              <w:rPr>
                <w:rFonts w:hint="default" w:cs="Times New Roman"/>
                <w:color w:val="auto"/>
                <w:spacing w:val="0"/>
                <w:sz w:val="24"/>
                <w:szCs w:val="24"/>
              </w:rPr>
              <w:t>实验器皿第三次和第四次清洗废水</w:t>
            </w:r>
            <w:r>
              <w:rPr>
                <w:rFonts w:hint="eastAsia" w:cs="Times New Roman"/>
                <w:color w:val="auto"/>
                <w:spacing w:val="0"/>
                <w:sz w:val="24"/>
                <w:szCs w:val="24"/>
                <w:lang w:eastAsia="zh-CN"/>
              </w:rPr>
              <w:t>）和生活污水</w:t>
            </w:r>
            <w:r>
              <w:rPr>
                <w:rFonts w:hint="default" w:cs="Times New Roman"/>
                <w:color w:val="auto"/>
                <w:spacing w:val="0"/>
                <w:sz w:val="24"/>
                <w:szCs w:val="24"/>
              </w:rPr>
              <w:t>经产业园污水处理站处理后排入林业示范园水质净化厂处理，排入东巨野河支流</w:t>
            </w:r>
            <w:r>
              <w:rPr>
                <w:rFonts w:hint="eastAsia" w:cs="Times New Roman"/>
                <w:color w:val="auto"/>
                <w:spacing w:val="0"/>
                <w:sz w:val="24"/>
                <w:szCs w:val="24"/>
                <w:lang w:eastAsia="zh-CN"/>
              </w:rPr>
              <w:t>，汇入小清河</w:t>
            </w:r>
            <w:r>
              <w:rPr>
                <w:rFonts w:hint="default" w:cs="Times New Roman"/>
                <w:color w:val="auto"/>
                <w:spacing w:val="0"/>
                <w:sz w:val="24"/>
                <w:szCs w:val="24"/>
              </w:rPr>
              <w:t>。</w:t>
            </w:r>
          </w:p>
          <w:p>
            <w:pPr>
              <w:pStyle w:val="33"/>
              <w:ind w:firstLine="476"/>
              <w:rPr>
                <w:rFonts w:cs="Times New Roman"/>
                <w:color w:val="auto"/>
                <w:spacing w:val="-1"/>
                <w:highlight w:val="none"/>
              </w:rPr>
            </w:pPr>
            <w:r>
              <w:rPr>
                <w:rFonts w:cs="Times New Roman"/>
                <w:color w:val="auto"/>
                <w:spacing w:val="-1"/>
                <w:highlight w:val="none"/>
              </w:rPr>
              <w:t>项目水平衡图见图 2-1。</w:t>
            </w:r>
          </w:p>
          <w:p>
            <w:pPr>
              <w:pStyle w:val="33"/>
              <w:ind w:firstLine="0" w:firstLineChars="0"/>
              <w:jc w:val="center"/>
              <w:rPr>
                <w:rFonts w:hint="eastAsia" w:eastAsia="宋体" w:cs="Times New Roman"/>
                <w:color w:val="auto"/>
                <w:spacing w:val="-1"/>
                <w:highlight w:val="none"/>
                <w:lang w:eastAsia="zh-CN"/>
              </w:rPr>
            </w:pPr>
            <w:r>
              <w:rPr>
                <w:rFonts w:hint="eastAsia" w:eastAsia="宋体" w:cs="Times New Roman"/>
                <w:color w:val="auto"/>
                <w:spacing w:val="-1"/>
                <w:highlight w:val="none"/>
                <w:lang w:eastAsia="zh-CN"/>
              </w:rPr>
              <w:pict>
                <v:shape id="_x0000_i1025" o:spt="75" alt="未命名文件(65)" type="#_x0000_t75" style="height:498.15pt;width:364.7pt;" filled="f" o:preferrelative="t" stroked="f" coordsize="21600,21600">
                  <v:path/>
                  <v:fill on="f" focussize="0,0"/>
                  <v:stroke on="f"/>
                  <v:imagedata r:id="rId8" o:title="未命名文件(65)"/>
                  <o:lock v:ext="edit" aspectratio="t"/>
                  <w10:wrap type="none"/>
                  <w10:anchorlock/>
                </v:shape>
              </w:pict>
            </w:r>
          </w:p>
          <w:p>
            <w:pPr>
              <w:pStyle w:val="33"/>
              <w:ind w:firstLine="0" w:firstLineChars="0"/>
              <w:jc w:val="center"/>
              <w:rPr>
                <w:rFonts w:cs="Times New Roman"/>
                <w:b/>
                <w:bCs/>
                <w:color w:val="auto"/>
                <w:spacing w:val="-1"/>
                <w:highlight w:val="none"/>
              </w:rPr>
            </w:pPr>
            <w:r>
              <w:rPr>
                <w:rFonts w:cs="Times New Roman"/>
                <w:b/>
                <w:bCs/>
                <w:color w:val="auto"/>
                <w:spacing w:val="-1"/>
                <w:highlight w:val="none"/>
              </w:rPr>
              <w:t xml:space="preserve">图2-1  </w:t>
            </w:r>
            <w:r>
              <w:rPr>
                <w:rFonts w:hint="eastAsia" w:cs="Times New Roman"/>
                <w:b/>
                <w:bCs/>
                <w:color w:val="auto"/>
                <w:spacing w:val="-1"/>
                <w:highlight w:val="none"/>
                <w:lang w:eastAsia="zh-CN"/>
              </w:rPr>
              <w:t>一期</w:t>
            </w:r>
            <w:r>
              <w:rPr>
                <w:rFonts w:cs="Times New Roman"/>
                <w:b/>
                <w:bCs/>
                <w:color w:val="auto"/>
                <w:spacing w:val="-1"/>
                <w:highlight w:val="none"/>
              </w:rPr>
              <w:t>项目水平衡图（单位：m</w:t>
            </w:r>
            <w:r>
              <w:rPr>
                <w:rFonts w:cs="Times New Roman"/>
                <w:b/>
                <w:bCs/>
                <w:color w:val="auto"/>
                <w:spacing w:val="-1"/>
                <w:highlight w:val="none"/>
                <w:vertAlign w:val="superscript"/>
              </w:rPr>
              <w:t>3/</w:t>
            </w:r>
            <w:r>
              <w:rPr>
                <w:rFonts w:cs="Times New Roman"/>
                <w:b/>
                <w:bCs/>
                <w:color w:val="auto"/>
                <w:spacing w:val="-1"/>
                <w:highlight w:val="none"/>
              </w:rPr>
              <w:t>a）</w:t>
            </w:r>
          </w:p>
          <w:p>
            <w:pPr>
              <w:pStyle w:val="33"/>
              <w:ind w:firstLine="480"/>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（3）供电：</w:t>
            </w:r>
            <w:r>
              <w:rPr>
                <w:rFonts w:hint="default" w:ascii="Times New Roman" w:hAnsi="Times New Roman" w:eastAsia="宋体" w:cs="Times New Roman"/>
                <w:color w:val="auto"/>
                <w:sz w:val="24"/>
                <w:szCs w:val="24"/>
                <w:highlight w:val="none"/>
              </w:rPr>
              <w:t>依托产业园供电设施，由市政供电网提供</w:t>
            </w:r>
            <w:r>
              <w:rPr>
                <w:rFonts w:ascii="Times New Roman" w:hAnsi="Times New Roman" w:eastAsia="宋体" w:cs="Times New Roman"/>
                <w:color w:val="auto"/>
                <w:sz w:val="24"/>
                <w:szCs w:val="24"/>
                <w:highlight w:val="none"/>
              </w:rPr>
              <w:t>。</w:t>
            </w:r>
          </w:p>
          <w:p>
            <w:pPr>
              <w:pStyle w:val="33"/>
              <w:adjustRightInd w:val="0"/>
              <w:snapToGrid w:val="0"/>
              <w:ind w:firstLine="48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（4）供热：</w:t>
            </w:r>
            <w:r>
              <w:rPr>
                <w:rFonts w:hint="default" w:ascii="Times New Roman" w:hAnsi="Times New Roman" w:eastAsia="宋体" w:cs="Times New Roman"/>
                <w:color w:val="auto"/>
                <w:sz w:val="24"/>
                <w:szCs w:val="24"/>
                <w:highlight w:val="none"/>
                <w:lang w:eastAsia="zh-CN"/>
              </w:rPr>
              <w:t>室内采暖和制冷采用中央空调，实验用热采用电加热，制冷采用电制冷。</w:t>
            </w:r>
          </w:p>
          <w:p>
            <w:pPr>
              <w:pStyle w:val="33"/>
              <w:rPr>
                <w:rFonts w:hint="default" w:ascii="Times New Roman" w:hAnsi="Times New Roman" w:eastAsia="宋体" w:cs="Times New Roman"/>
                <w:color w:val="auto"/>
                <w:sz w:val="24"/>
                <w:szCs w:val="24"/>
                <w:highlight w:val="none"/>
              </w:rPr>
            </w:pPr>
            <w:r>
              <w:rPr>
                <w:rFonts w:hint="default" w:cs="Times New Roman"/>
                <w:color w:val="auto"/>
                <w:szCs w:val="24"/>
                <w:highlight w:val="none"/>
                <w:lang w:eastAsia="zh-CN"/>
              </w:rPr>
              <w:t>（</w:t>
            </w:r>
            <w:r>
              <w:rPr>
                <w:rFonts w:hint="default" w:cs="Times New Roman"/>
                <w:color w:val="auto"/>
                <w:szCs w:val="24"/>
                <w:highlight w:val="none"/>
                <w:lang w:val="en-US" w:eastAsia="zh-CN"/>
              </w:rPr>
              <w:t>5</w:t>
            </w:r>
            <w:r>
              <w:rPr>
                <w:rFonts w:hint="default" w:cs="Times New Roman"/>
                <w:color w:val="auto"/>
                <w:szCs w:val="24"/>
                <w:highlight w:val="none"/>
                <w:lang w:eastAsia="zh-CN"/>
              </w:rPr>
              <w:t>）</w:t>
            </w:r>
            <w:r>
              <w:rPr>
                <w:rFonts w:hint="default" w:ascii="Times New Roman" w:hAnsi="Times New Roman" w:eastAsia="宋体" w:cs="Times New Roman"/>
                <w:color w:val="auto"/>
                <w:sz w:val="24"/>
                <w:szCs w:val="24"/>
                <w:highlight w:val="none"/>
              </w:rPr>
              <w:t>供</w:t>
            </w:r>
            <w:r>
              <w:rPr>
                <w:rFonts w:hint="default" w:cs="Times New Roman"/>
                <w:color w:val="auto"/>
                <w:sz w:val="24"/>
                <w:szCs w:val="24"/>
                <w:highlight w:val="none"/>
                <w:lang w:eastAsia="zh-CN"/>
              </w:rPr>
              <w:t>气</w:t>
            </w:r>
            <w:r>
              <w:rPr>
                <w:rFonts w:hint="default" w:ascii="Times New Roman" w:hAnsi="Times New Roman" w:eastAsia="宋体" w:cs="Times New Roman"/>
                <w:color w:val="auto"/>
                <w:sz w:val="24"/>
                <w:szCs w:val="24"/>
                <w:highlight w:val="none"/>
              </w:rPr>
              <w:t>：实验过程需用氢气作为仪器燃气，使用氮气为仪器载气，氢气、氮气均</w:t>
            </w:r>
            <w:r>
              <w:rPr>
                <w:rFonts w:hint="default" w:cs="Times New Roman"/>
                <w:color w:val="auto"/>
                <w:sz w:val="24"/>
                <w:szCs w:val="24"/>
                <w:highlight w:val="none"/>
                <w:lang w:eastAsia="zh-CN"/>
              </w:rPr>
              <w:t>为</w:t>
            </w:r>
            <w:r>
              <w:rPr>
                <w:rFonts w:hint="default" w:ascii="Times New Roman" w:hAnsi="Times New Roman" w:eastAsia="宋体" w:cs="Times New Roman"/>
                <w:color w:val="auto"/>
                <w:sz w:val="24"/>
                <w:szCs w:val="24"/>
                <w:highlight w:val="none"/>
              </w:rPr>
              <w:t>40L/瓶钢瓶装储存，存储量均为</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瓶，由供货商定期供应。</w:t>
            </w:r>
          </w:p>
          <w:p>
            <w:pPr>
              <w:pStyle w:val="33"/>
              <w:rPr>
                <w:rFonts w:hint="eastAsia" w:eastAsia="宋体" w:cs="Times New Roman"/>
                <w:color w:val="auto"/>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eastAsia="zh-CN"/>
              </w:rPr>
              <w:t>）</w:t>
            </w:r>
            <w:r>
              <w:rPr>
                <w:rFonts w:hint="default" w:cs="Times New Roman"/>
                <w:color w:val="auto"/>
                <w:sz w:val="24"/>
                <w:szCs w:val="24"/>
                <w:highlight w:val="none"/>
                <w:lang w:eastAsia="zh-CN"/>
              </w:rPr>
              <w:t>通风：室内采用中央空调通风，通风橱内和仪器操作区域负压排风。</w:t>
            </w:r>
          </w:p>
          <w:p>
            <w:pPr>
              <w:pStyle w:val="33"/>
              <w:spacing w:line="240" w:lineRule="auto"/>
              <w:ind w:firstLine="476" w:firstLineChars="0"/>
              <w:rPr>
                <w:rFonts w:cs="Times New Roman"/>
                <w:b/>
                <w:bCs/>
                <w:color w:val="auto"/>
                <w:spacing w:val="-1"/>
                <w:highlight w:val="none"/>
              </w:rPr>
            </w:pPr>
          </w:p>
          <w:p>
            <w:pPr>
              <w:pStyle w:val="33"/>
              <w:spacing w:line="240" w:lineRule="auto"/>
              <w:ind w:firstLine="476" w:firstLineChars="0"/>
              <w:rPr>
                <w:rFonts w:cs="Times New Roman"/>
                <w:b/>
                <w:bCs/>
                <w:color w:val="auto"/>
                <w:spacing w:val="-1"/>
                <w:highlight w:val="none"/>
              </w:rPr>
            </w:pPr>
          </w:p>
          <w:p>
            <w:pPr>
              <w:pStyle w:val="33"/>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33"/>
              <w:rPr>
                <w:rFonts w:cs="Times New Roman"/>
                <w:color w:val="auto"/>
                <w:szCs w:val="24"/>
                <w:highlight w:val="none"/>
              </w:rPr>
            </w:pPr>
            <w:r>
              <w:rPr>
                <w:rFonts w:hint="eastAsia" w:cs="Times New Roman"/>
                <w:color w:val="auto"/>
                <w:szCs w:val="24"/>
                <w:highlight w:val="none"/>
                <w:lang w:eastAsia="zh-CN"/>
              </w:rPr>
              <w:t>一期</w:t>
            </w:r>
            <w:r>
              <w:rPr>
                <w:rFonts w:cs="Times New Roman"/>
                <w:color w:val="auto"/>
                <w:szCs w:val="24"/>
                <w:highlight w:val="none"/>
              </w:rPr>
              <w:t>项目职工定员</w:t>
            </w:r>
            <w:r>
              <w:rPr>
                <w:rFonts w:hint="eastAsia" w:cs="Times New Roman"/>
                <w:color w:val="auto"/>
                <w:szCs w:val="24"/>
                <w:highlight w:val="none"/>
                <w:lang w:val="en-US" w:eastAsia="zh-CN"/>
              </w:rPr>
              <w:t>40</w:t>
            </w:r>
            <w:r>
              <w:rPr>
                <w:rFonts w:cs="Times New Roman"/>
                <w:color w:val="auto"/>
                <w:szCs w:val="24"/>
                <w:highlight w:val="none"/>
              </w:rPr>
              <w:t>人，每天工作8小时，年工作300天，夜间不生产。</w:t>
            </w:r>
          </w:p>
          <w:p>
            <w:pPr>
              <w:pStyle w:val="33"/>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33"/>
              <w:ind w:firstLine="476"/>
              <w:rPr>
                <w:rFonts w:cs="Times New Roman"/>
                <w:color w:val="auto"/>
                <w:spacing w:val="-1"/>
                <w:highlight w:val="none"/>
              </w:rPr>
            </w:pPr>
            <w:r>
              <w:rPr>
                <w:rFonts w:hint="eastAsia" w:cs="Times New Roman"/>
                <w:color w:val="auto"/>
                <w:spacing w:val="-1"/>
                <w:highlight w:val="none"/>
                <w:lang w:eastAsia="zh-CN"/>
              </w:rPr>
              <w:t>一期</w:t>
            </w:r>
            <w:r>
              <w:rPr>
                <w:rFonts w:cs="Times New Roman"/>
                <w:color w:val="auto"/>
                <w:spacing w:val="-1"/>
                <w:highlight w:val="none"/>
              </w:rPr>
              <w:t>项目总投资</w:t>
            </w:r>
            <w:r>
              <w:rPr>
                <w:rFonts w:hint="eastAsia" w:cs="Times New Roman"/>
                <w:color w:val="auto"/>
                <w:spacing w:val="-1"/>
                <w:highlight w:val="none"/>
                <w:lang w:val="en-US" w:eastAsia="zh-CN"/>
              </w:rPr>
              <w:t>450</w:t>
            </w:r>
            <w:r>
              <w:rPr>
                <w:rFonts w:cs="Times New Roman"/>
                <w:color w:val="auto"/>
                <w:spacing w:val="-1"/>
                <w:highlight w:val="none"/>
              </w:rPr>
              <w:t>万元，其中环保投资</w:t>
            </w:r>
            <w:r>
              <w:rPr>
                <w:rFonts w:hint="eastAsia" w:cs="Times New Roman"/>
                <w:color w:val="auto"/>
                <w:spacing w:val="-1"/>
                <w:highlight w:val="none"/>
                <w:lang w:val="en-US" w:eastAsia="zh-CN"/>
              </w:rPr>
              <w:t>42</w:t>
            </w:r>
            <w:r>
              <w:rPr>
                <w:rFonts w:cs="Times New Roman"/>
                <w:color w:val="auto"/>
                <w:spacing w:val="-1"/>
                <w:highlight w:val="none"/>
              </w:rPr>
              <w:t>万元，占总投资的</w:t>
            </w:r>
            <w:r>
              <w:rPr>
                <w:rFonts w:hint="eastAsia" w:cs="Times New Roman"/>
                <w:color w:val="auto"/>
                <w:spacing w:val="-1"/>
                <w:highlight w:val="none"/>
                <w:lang w:val="en-US" w:eastAsia="zh-CN"/>
              </w:rPr>
              <w:t>9.3</w:t>
            </w:r>
            <w:r>
              <w:rPr>
                <w:rFonts w:cs="Times New Roman"/>
                <w:color w:val="auto"/>
                <w:spacing w:val="-1"/>
                <w:highlight w:val="none"/>
              </w:rPr>
              <w:t>%。</w:t>
            </w:r>
          </w:p>
          <w:p>
            <w:pPr>
              <w:pStyle w:val="33"/>
              <w:ind w:firstLine="0" w:firstLineChars="0"/>
              <w:jc w:val="center"/>
              <w:rPr>
                <w:rFonts w:cs="Times New Roman"/>
                <w:b/>
                <w:bCs/>
                <w:color w:val="000000"/>
              </w:rPr>
            </w:pPr>
            <w:r>
              <w:rPr>
                <w:rFonts w:cs="Times New Roman"/>
                <w:b/>
                <w:bCs/>
                <w:color w:val="000000"/>
              </w:rPr>
              <w:t>表2-5  本项目环保投资情况一览表</w:t>
            </w:r>
          </w:p>
          <w:tbl>
            <w:tblPr>
              <w:tblStyle w:val="28"/>
              <w:tblW w:w="8927" w:type="dxa"/>
              <w:jc w:val="center"/>
              <w:tblLayout w:type="autofit"/>
              <w:tblCellMar>
                <w:top w:w="0" w:type="dxa"/>
                <w:left w:w="108" w:type="dxa"/>
                <w:bottom w:w="0" w:type="dxa"/>
                <w:right w:w="108" w:type="dxa"/>
              </w:tblCellMar>
            </w:tblPr>
            <w:tblGrid>
              <w:gridCol w:w="1271"/>
              <w:gridCol w:w="3471"/>
              <w:gridCol w:w="1454"/>
              <w:gridCol w:w="1538"/>
              <w:gridCol w:w="1193"/>
            </w:tblGrid>
            <w:tr>
              <w:tblPrEx>
                <w:tblCellMar>
                  <w:top w:w="0" w:type="dxa"/>
                  <w:left w:w="108" w:type="dxa"/>
                  <w:bottom w:w="0" w:type="dxa"/>
                  <w:right w:w="108" w:type="dxa"/>
                </w:tblCellMar>
              </w:tblPrEx>
              <w:trPr>
                <w:trHeight w:val="397" w:hRule="atLeast"/>
                <w:jc w:val="center"/>
              </w:trPr>
              <w:tc>
                <w:tcPr>
                  <w:tcW w:w="712"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污染类型</w:t>
                  </w:r>
                </w:p>
              </w:tc>
              <w:tc>
                <w:tcPr>
                  <w:tcW w:w="1942"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eastAsia"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环保</w:t>
                  </w:r>
                  <w:r>
                    <w:rPr>
                      <w:rFonts w:hint="eastAsia" w:ascii="Times New Roman" w:hAnsi="Times New Roman" w:eastAsia="宋体" w:cs="Times New Roman"/>
                      <w:b/>
                      <w:bCs w:val="0"/>
                      <w:color w:val="auto"/>
                      <w:spacing w:val="0"/>
                      <w:kern w:val="2"/>
                      <w:sz w:val="21"/>
                      <w:szCs w:val="21"/>
                      <w:highlight w:val="none"/>
                      <w:lang w:eastAsia="zh-CN"/>
                    </w:rPr>
                    <w:t>设施</w:t>
                  </w:r>
                </w:p>
              </w:tc>
              <w:tc>
                <w:tcPr>
                  <w:tcW w:w="814"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投资费用</w:t>
                  </w:r>
                </w:p>
                <w:p>
                  <w:pPr>
                    <w:pStyle w:val="53"/>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（万元）</w:t>
                  </w:r>
                </w:p>
              </w:tc>
              <w:tc>
                <w:tcPr>
                  <w:tcW w:w="861"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lang w:val="en-US" w:eastAsia="zh-CN" w:bidi="ar-SA"/>
                    </w:rPr>
                  </w:pPr>
                  <w:r>
                    <w:rPr>
                      <w:rFonts w:hint="default" w:ascii="Times New Roman" w:hAnsi="Times New Roman" w:eastAsia="宋体" w:cs="Times New Roman"/>
                      <w:b/>
                      <w:bCs w:val="0"/>
                      <w:color w:val="auto"/>
                      <w:spacing w:val="0"/>
                      <w:kern w:val="2"/>
                      <w:sz w:val="21"/>
                      <w:szCs w:val="21"/>
                      <w:highlight w:val="none"/>
                      <w:lang w:eastAsia="zh-CN"/>
                    </w:rPr>
                    <w:t>一期</w:t>
                  </w:r>
                  <w:r>
                    <w:rPr>
                      <w:rFonts w:hint="default" w:ascii="Times New Roman" w:hAnsi="Times New Roman" w:eastAsia="宋体" w:cs="Times New Roman"/>
                      <w:b/>
                      <w:bCs w:val="0"/>
                      <w:color w:val="auto"/>
                      <w:spacing w:val="0"/>
                      <w:kern w:val="2"/>
                      <w:sz w:val="21"/>
                      <w:szCs w:val="21"/>
                      <w:highlight w:val="none"/>
                    </w:rPr>
                    <w:t>投资费用（万元）</w:t>
                  </w:r>
                </w:p>
              </w:tc>
              <w:tc>
                <w:tcPr>
                  <w:tcW w:w="668"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环保落实情况</w:t>
                  </w:r>
                </w:p>
              </w:tc>
            </w:tr>
            <w:tr>
              <w:tblPrEx>
                <w:tblCellMar>
                  <w:top w:w="0" w:type="dxa"/>
                  <w:left w:w="108" w:type="dxa"/>
                  <w:bottom w:w="0" w:type="dxa"/>
                  <w:right w:w="108" w:type="dxa"/>
                </w:tblCellMar>
              </w:tblPrEx>
              <w:trPr>
                <w:trHeight w:val="397" w:hRule="atLeast"/>
                <w:jc w:val="center"/>
              </w:trPr>
              <w:tc>
                <w:tcPr>
                  <w:tcW w:w="712" w:type="pct"/>
                  <w:tcBorders>
                    <w:top w:val="nil"/>
                    <w:left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废气</w:t>
                  </w:r>
                </w:p>
              </w:tc>
              <w:tc>
                <w:tcPr>
                  <w:tcW w:w="1942"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废气收集+活性炭吸附装置+4根排气筒（距地25m）</w:t>
                  </w:r>
                </w:p>
              </w:tc>
              <w:tc>
                <w:tcPr>
                  <w:tcW w:w="814" w:type="pct"/>
                  <w:tcBorders>
                    <w:top w:val="nil"/>
                    <w:left w:val="nil"/>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35.0</w:t>
                  </w:r>
                </w:p>
              </w:tc>
              <w:tc>
                <w:tcPr>
                  <w:tcW w:w="861" w:type="pct"/>
                  <w:tcBorders>
                    <w:top w:val="nil"/>
                    <w:left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eastAsia" w:ascii="Times New Roman" w:hAnsi="Times New Roman" w:eastAsia="宋体" w:cs="Times New Roman"/>
                      <w:bCs/>
                      <w:color w:val="auto"/>
                      <w:spacing w:val="0"/>
                      <w:kern w:val="2"/>
                      <w:sz w:val="21"/>
                      <w:szCs w:val="21"/>
                      <w:highlight w:val="none"/>
                      <w:lang w:val="en-US" w:eastAsia="zh-CN"/>
                    </w:rPr>
                    <w:t>35.0</w:t>
                  </w:r>
                </w:p>
              </w:tc>
              <w:tc>
                <w:tcPr>
                  <w:tcW w:w="668" w:type="pct"/>
                  <w:tcBorders>
                    <w:top w:val="nil"/>
                    <w:left w:val="nil"/>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已落实</w:t>
                  </w:r>
                </w:p>
              </w:tc>
            </w:tr>
            <w:tr>
              <w:tblPrEx>
                <w:tblCellMar>
                  <w:top w:w="0" w:type="dxa"/>
                  <w:left w:w="108" w:type="dxa"/>
                  <w:bottom w:w="0" w:type="dxa"/>
                  <w:right w:w="108" w:type="dxa"/>
                </w:tblCellMar>
              </w:tblPrEx>
              <w:trPr>
                <w:trHeight w:val="397" w:hRule="atLeast"/>
                <w:jc w:val="center"/>
              </w:trPr>
              <w:tc>
                <w:tcPr>
                  <w:tcW w:w="712"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废水</w:t>
                  </w:r>
                </w:p>
              </w:tc>
              <w:tc>
                <w:tcPr>
                  <w:tcW w:w="1942"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排入产业园污水处理站处理后排入林业示范园水质净化厂</w:t>
                  </w:r>
                </w:p>
              </w:tc>
              <w:tc>
                <w:tcPr>
                  <w:tcW w:w="814"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1.50</w:t>
                  </w:r>
                </w:p>
              </w:tc>
              <w:tc>
                <w:tcPr>
                  <w:tcW w:w="861"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eastAsia" w:ascii="Times New Roman" w:hAnsi="Times New Roman" w:eastAsia="宋体" w:cs="Times New Roman"/>
                      <w:bCs/>
                      <w:color w:val="auto"/>
                      <w:spacing w:val="0"/>
                      <w:kern w:val="2"/>
                      <w:sz w:val="21"/>
                      <w:szCs w:val="21"/>
                      <w:highlight w:val="none"/>
                      <w:lang w:val="en-US" w:eastAsia="zh-CN"/>
                    </w:rPr>
                    <w:t>1.50</w:t>
                  </w:r>
                </w:p>
              </w:tc>
              <w:tc>
                <w:tcPr>
                  <w:tcW w:w="668"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已落实</w:t>
                  </w:r>
                </w:p>
              </w:tc>
            </w:tr>
            <w:tr>
              <w:tblPrEx>
                <w:tblCellMar>
                  <w:top w:w="0" w:type="dxa"/>
                  <w:left w:w="108" w:type="dxa"/>
                  <w:bottom w:w="0" w:type="dxa"/>
                  <w:right w:w="108" w:type="dxa"/>
                </w:tblCellMar>
              </w:tblPrEx>
              <w:trPr>
                <w:trHeight w:val="397" w:hRule="atLeast"/>
                <w:jc w:val="center"/>
              </w:trPr>
              <w:tc>
                <w:tcPr>
                  <w:tcW w:w="712"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固体废物</w:t>
                  </w:r>
                </w:p>
              </w:tc>
              <w:tc>
                <w:tcPr>
                  <w:tcW w:w="1942"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外售物资回收单位</w:t>
                  </w:r>
                  <w:r>
                    <w:rPr>
                      <w:rFonts w:hint="eastAsia" w:ascii="Times New Roman" w:hAnsi="Times New Roman" w:eastAsia="宋体" w:cs="Times New Roman"/>
                      <w:bCs/>
                      <w:color w:val="auto"/>
                      <w:spacing w:val="0"/>
                      <w:kern w:val="2"/>
                      <w:sz w:val="21"/>
                      <w:szCs w:val="21"/>
                      <w:highlight w:val="none"/>
                      <w:lang w:eastAsia="zh-CN"/>
                    </w:rPr>
                    <w:t>、委托有资质单位处置、由环卫部门统一收集处理</w:t>
                  </w:r>
                </w:p>
              </w:tc>
              <w:tc>
                <w:tcPr>
                  <w:tcW w:w="814"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4.50</w:t>
                  </w:r>
                </w:p>
              </w:tc>
              <w:tc>
                <w:tcPr>
                  <w:tcW w:w="861"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4.50</w:t>
                  </w:r>
                </w:p>
              </w:tc>
              <w:tc>
                <w:tcPr>
                  <w:tcW w:w="668"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已落实</w:t>
                  </w:r>
                </w:p>
              </w:tc>
            </w:tr>
            <w:tr>
              <w:tblPrEx>
                <w:tblCellMar>
                  <w:top w:w="0" w:type="dxa"/>
                  <w:left w:w="108" w:type="dxa"/>
                  <w:bottom w:w="0" w:type="dxa"/>
                  <w:right w:w="108" w:type="dxa"/>
                </w:tblCellMar>
              </w:tblPrEx>
              <w:trPr>
                <w:trHeight w:val="397" w:hRule="atLeast"/>
                <w:jc w:val="center"/>
              </w:trPr>
              <w:tc>
                <w:tcPr>
                  <w:tcW w:w="712"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噪声</w:t>
                  </w:r>
                </w:p>
              </w:tc>
              <w:tc>
                <w:tcPr>
                  <w:tcW w:w="1942"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合理布局、建筑隔声、距离衰减等降噪措施</w:t>
                  </w:r>
                </w:p>
              </w:tc>
              <w:tc>
                <w:tcPr>
                  <w:tcW w:w="814"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1.00</w:t>
                  </w:r>
                </w:p>
              </w:tc>
              <w:tc>
                <w:tcPr>
                  <w:tcW w:w="861"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1.00</w:t>
                  </w:r>
                </w:p>
              </w:tc>
              <w:tc>
                <w:tcPr>
                  <w:tcW w:w="668"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已落实</w:t>
                  </w:r>
                </w:p>
              </w:tc>
            </w:tr>
            <w:tr>
              <w:tblPrEx>
                <w:tblCellMar>
                  <w:top w:w="0" w:type="dxa"/>
                  <w:left w:w="108" w:type="dxa"/>
                  <w:bottom w:w="0" w:type="dxa"/>
                  <w:right w:w="108" w:type="dxa"/>
                </w:tblCellMar>
              </w:tblPrEx>
              <w:trPr>
                <w:trHeight w:val="397" w:hRule="atLeast"/>
                <w:jc w:val="center"/>
              </w:trPr>
              <w:tc>
                <w:tcPr>
                  <w:tcW w:w="2655" w:type="pct"/>
                  <w:gridSpan w:val="2"/>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合计</w:t>
                  </w:r>
                </w:p>
              </w:tc>
              <w:tc>
                <w:tcPr>
                  <w:tcW w:w="814"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42.00</w:t>
                  </w:r>
                </w:p>
              </w:tc>
              <w:tc>
                <w:tcPr>
                  <w:tcW w:w="861" w:type="pct"/>
                  <w:tcBorders>
                    <w:top w:val="single" w:color="auto" w:sz="4" w:space="0"/>
                    <w:left w:val="single" w:color="auto" w:sz="4" w:space="0"/>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eastAsia" w:ascii="Times New Roman" w:hAnsi="Times New Roman" w:eastAsia="宋体" w:cs="Times New Roman"/>
                      <w:bCs/>
                      <w:color w:val="auto"/>
                      <w:spacing w:val="0"/>
                      <w:kern w:val="2"/>
                      <w:sz w:val="21"/>
                      <w:szCs w:val="21"/>
                      <w:highlight w:val="none"/>
                      <w:lang w:val="en-US" w:eastAsia="zh-CN"/>
                    </w:rPr>
                    <w:t>42.00</w:t>
                  </w:r>
                </w:p>
              </w:tc>
              <w:tc>
                <w:tcPr>
                  <w:tcW w:w="668" w:type="pct"/>
                  <w:tcBorders>
                    <w:top w:val="single" w:color="auto" w:sz="4" w:space="0"/>
                    <w:left w:val="nil"/>
                    <w:bottom w:val="single" w:color="auto" w:sz="4" w:space="0"/>
                    <w:right w:val="single" w:color="auto" w:sz="4" w:space="0"/>
                  </w:tcBorders>
                  <w:noWrap w:val="0"/>
                  <w:vAlign w:val="center"/>
                </w:tcPr>
                <w:p>
                  <w:pPr>
                    <w:pStyle w:val="53"/>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rPr>
                  </w:pPr>
                  <w:r>
                    <w:rPr>
                      <w:rFonts w:hint="default" w:ascii="Times New Roman" w:hAnsi="Times New Roman" w:eastAsia="宋体" w:cs="Times New Roman"/>
                      <w:bCs/>
                      <w:color w:val="auto"/>
                      <w:spacing w:val="0"/>
                      <w:kern w:val="2"/>
                      <w:sz w:val="21"/>
                      <w:szCs w:val="21"/>
                      <w:highlight w:val="none"/>
                    </w:rPr>
                    <w:t>已落实</w:t>
                  </w:r>
                </w:p>
              </w:tc>
            </w:tr>
          </w:tbl>
          <w:p>
            <w:pPr>
              <w:pStyle w:val="33"/>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33"/>
              <w:ind w:firstLine="476"/>
              <w:jc w:val="both"/>
              <w:rPr>
                <w:rFonts w:cs="Times New Roman"/>
                <w:color w:val="auto"/>
                <w:spacing w:val="-1"/>
                <w:highlight w:val="none"/>
              </w:rPr>
            </w:pPr>
            <w:r>
              <w:rPr>
                <w:rFonts w:hint="eastAsia" w:cs="Times New Roman"/>
                <w:color w:val="auto"/>
                <w:spacing w:val="-1"/>
                <w:sz w:val="24"/>
                <w:lang w:val="en-US" w:eastAsia="zh-CN"/>
              </w:rPr>
              <w:t>一期</w:t>
            </w:r>
            <w:r>
              <w:rPr>
                <w:rFonts w:hint="default" w:ascii="Times New Roman" w:hAnsi="Times New Roman" w:eastAsia="宋体" w:cs="Times New Roman"/>
                <w:color w:val="auto"/>
                <w:spacing w:val="-1"/>
                <w:sz w:val="24"/>
                <w:lang w:val="en-US" w:eastAsia="zh-CN"/>
              </w:rPr>
              <w:t>项目位于</w:t>
            </w:r>
            <w:r>
              <w:rPr>
                <w:rFonts w:hint="eastAsia" w:cs="Times New Roman"/>
                <w:color w:val="auto"/>
                <w:sz w:val="24"/>
                <w:szCs w:val="24"/>
                <w:highlight w:val="none"/>
                <w:lang w:eastAsia="zh-CN"/>
              </w:rPr>
              <w:t>山东省济南市高新区世纪大道2566号迪亚双创产业园7号楼5层</w:t>
            </w:r>
            <w:r>
              <w:rPr>
                <w:rFonts w:hint="default" w:ascii="Times New Roman" w:hAnsi="Times New Roman" w:eastAsia="宋体" w:cs="Times New Roman"/>
                <w:color w:val="auto"/>
                <w:spacing w:val="-1"/>
                <w:sz w:val="24"/>
                <w:lang w:val="en-US" w:eastAsia="zh-CN"/>
              </w:rPr>
              <w:t>。</w:t>
            </w:r>
            <w:r>
              <w:rPr>
                <w:rFonts w:hint="eastAsia" w:cs="Times New Roman"/>
                <w:color w:val="auto"/>
                <w:spacing w:val="-1"/>
                <w:sz w:val="24"/>
                <w:lang w:val="en-US" w:eastAsia="zh-CN"/>
              </w:rPr>
              <w:t>项目</w:t>
            </w:r>
            <w:r>
              <w:rPr>
                <w:rFonts w:hint="default" w:ascii="Times New Roman" w:hAnsi="Times New Roman" w:eastAsia="宋体" w:cs="Times New Roman"/>
                <w:color w:val="auto"/>
                <w:spacing w:val="-1"/>
                <w:sz w:val="24"/>
                <w:lang w:val="en-US" w:eastAsia="zh-CN"/>
              </w:rPr>
              <w:t>实验室位于楼层西侧，包括</w:t>
            </w:r>
            <w:r>
              <w:rPr>
                <w:rFonts w:hint="eastAsia" w:cs="Times New Roman"/>
                <w:color w:val="auto"/>
                <w:spacing w:val="-1"/>
                <w:sz w:val="24"/>
                <w:lang w:val="en-US" w:eastAsia="zh-CN"/>
              </w:rPr>
              <w:t>2</w:t>
            </w:r>
            <w:r>
              <w:rPr>
                <w:rFonts w:hint="default" w:ascii="Times New Roman" w:hAnsi="Times New Roman" w:eastAsia="宋体" w:cs="Times New Roman"/>
                <w:color w:val="auto"/>
                <w:spacing w:val="-1"/>
                <w:sz w:val="24"/>
                <w:lang w:val="en-US" w:eastAsia="zh-CN"/>
              </w:rPr>
              <w:t>间合成实验室（含</w:t>
            </w:r>
            <w:r>
              <w:rPr>
                <w:rFonts w:hint="eastAsia" w:cs="Times New Roman"/>
                <w:color w:val="auto"/>
                <w:spacing w:val="-1"/>
                <w:sz w:val="24"/>
                <w:lang w:val="en-US" w:eastAsia="zh-CN"/>
              </w:rPr>
              <w:t>1</w:t>
            </w:r>
            <w:r>
              <w:rPr>
                <w:rFonts w:hint="default" w:ascii="Times New Roman" w:hAnsi="Times New Roman" w:eastAsia="宋体" w:cs="Times New Roman"/>
                <w:color w:val="auto"/>
                <w:spacing w:val="-1"/>
                <w:sz w:val="24"/>
                <w:lang w:val="en-US" w:eastAsia="zh-CN"/>
              </w:rPr>
              <w:t>间干燥间）、</w:t>
            </w:r>
            <w:r>
              <w:rPr>
                <w:rFonts w:hint="eastAsia" w:cs="Times New Roman"/>
                <w:color w:val="auto"/>
                <w:spacing w:val="-1"/>
                <w:sz w:val="24"/>
                <w:lang w:val="en-US" w:eastAsia="zh-CN"/>
              </w:rPr>
              <w:t>2</w:t>
            </w:r>
            <w:r>
              <w:rPr>
                <w:rFonts w:hint="default" w:ascii="Times New Roman" w:hAnsi="Times New Roman" w:eastAsia="宋体" w:cs="Times New Roman"/>
                <w:color w:val="auto"/>
                <w:spacing w:val="-1"/>
                <w:sz w:val="24"/>
                <w:lang w:val="en-US" w:eastAsia="zh-CN"/>
              </w:rPr>
              <w:t>间分析实验室；办公室、会客室位于楼层东南角；试剂库（</w:t>
            </w:r>
            <w:r>
              <w:rPr>
                <w:rFonts w:hint="eastAsia" w:cs="Times New Roman"/>
                <w:color w:val="auto"/>
                <w:spacing w:val="-1"/>
                <w:sz w:val="24"/>
                <w:lang w:val="en-US" w:eastAsia="zh-CN"/>
              </w:rPr>
              <w:t>1</w:t>
            </w:r>
            <w:r>
              <w:rPr>
                <w:rFonts w:hint="default" w:ascii="Times New Roman" w:hAnsi="Times New Roman" w:eastAsia="宋体" w:cs="Times New Roman"/>
                <w:color w:val="auto"/>
                <w:spacing w:val="-1"/>
                <w:sz w:val="24"/>
                <w:lang w:val="en-US" w:eastAsia="zh-CN"/>
              </w:rPr>
              <w:t>间固体试剂库、</w:t>
            </w:r>
            <w:r>
              <w:rPr>
                <w:rFonts w:hint="eastAsia" w:cs="Times New Roman"/>
                <w:color w:val="auto"/>
                <w:spacing w:val="-1"/>
                <w:sz w:val="24"/>
                <w:lang w:val="en-US" w:eastAsia="zh-CN"/>
              </w:rPr>
              <w:t>1</w:t>
            </w:r>
            <w:r>
              <w:rPr>
                <w:rFonts w:hint="default" w:ascii="Times New Roman" w:hAnsi="Times New Roman" w:eastAsia="宋体" w:cs="Times New Roman"/>
                <w:color w:val="auto"/>
                <w:spacing w:val="-1"/>
                <w:sz w:val="24"/>
                <w:lang w:val="en-US" w:eastAsia="zh-CN"/>
              </w:rPr>
              <w:t>间液体试剂库、</w:t>
            </w:r>
            <w:r>
              <w:rPr>
                <w:rFonts w:hint="eastAsia" w:cs="Times New Roman"/>
                <w:color w:val="auto"/>
                <w:spacing w:val="-1"/>
                <w:sz w:val="24"/>
                <w:lang w:val="en-US" w:eastAsia="zh-CN"/>
              </w:rPr>
              <w:t>1</w:t>
            </w:r>
            <w:r>
              <w:rPr>
                <w:rFonts w:hint="default" w:ascii="Times New Roman" w:hAnsi="Times New Roman" w:eastAsia="宋体" w:cs="Times New Roman"/>
                <w:color w:val="auto"/>
                <w:spacing w:val="-1"/>
                <w:sz w:val="24"/>
                <w:lang w:val="en-US" w:eastAsia="zh-CN"/>
              </w:rPr>
              <w:t>间易制毒试剂库）和危废间位于楼层东北角；中部为成品库、储藏室和会议室。</w:t>
            </w:r>
            <w:r>
              <w:rPr>
                <w:rFonts w:cs="Times New Roman"/>
                <w:color w:val="auto"/>
                <w:szCs w:val="24"/>
                <w:highlight w:val="none"/>
              </w:rPr>
              <w:t>项目分区明确，总平面布置较好的满足了人员流动的顺畅性，方便实验活动。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33"/>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6</w:t>
            </w:r>
            <w:r>
              <w:rPr>
                <w:rFonts w:cs="Times New Roman"/>
                <w:b/>
                <w:bCs/>
                <w:color w:val="auto"/>
                <w:highlight w:val="none"/>
              </w:rPr>
              <w:t xml:space="preserve">  本项目主要环境保护目标一览表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2367"/>
              <w:gridCol w:w="747"/>
              <w:gridCol w:w="1258"/>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环境要素</w:t>
                  </w:r>
                </w:p>
              </w:tc>
              <w:tc>
                <w:tcPr>
                  <w:tcW w:w="1328"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保护目标</w:t>
                  </w:r>
                </w:p>
              </w:tc>
              <w:tc>
                <w:tcPr>
                  <w:tcW w:w="419" w:type="pct"/>
                  <w:noWrap w:val="0"/>
                  <w:vAlign w:val="center"/>
                </w:tcPr>
                <w:p>
                  <w:pPr>
                    <w:pStyle w:val="53"/>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color w:val="auto"/>
                      <w:spacing w:val="0"/>
                      <w:kern w:val="2"/>
                      <w:sz w:val="21"/>
                      <w:szCs w:val="21"/>
                      <w:highlight w:val="none"/>
                    </w:rPr>
                    <w:t>方位</w:t>
                  </w:r>
                </w:p>
              </w:tc>
              <w:tc>
                <w:tcPr>
                  <w:tcW w:w="704"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相对</w:t>
                  </w:r>
                  <w:r>
                    <w:rPr>
                      <w:rFonts w:hint="eastAsia" w:ascii="Times New Roman" w:hAnsi="Times New Roman" w:eastAsia="宋体" w:cs="Times New Roman"/>
                      <w:b/>
                      <w:bCs w:val="0"/>
                      <w:color w:val="auto"/>
                      <w:spacing w:val="0"/>
                      <w:kern w:val="2"/>
                      <w:sz w:val="21"/>
                      <w:szCs w:val="21"/>
                      <w:highlight w:val="none"/>
                      <w:lang w:eastAsia="zh-CN"/>
                    </w:rPr>
                    <w:t>厂界</w:t>
                  </w:r>
                  <w:r>
                    <w:rPr>
                      <w:rFonts w:hint="default" w:ascii="Times New Roman" w:hAnsi="Times New Roman" w:eastAsia="宋体" w:cs="Times New Roman"/>
                      <w:b/>
                      <w:bCs w:val="0"/>
                      <w:color w:val="auto"/>
                      <w:spacing w:val="0"/>
                      <w:kern w:val="2"/>
                      <w:sz w:val="21"/>
                      <w:szCs w:val="21"/>
                      <w:highlight w:val="none"/>
                    </w:rPr>
                    <w:t>距离(m)</w:t>
                  </w:r>
                </w:p>
              </w:tc>
              <w:tc>
                <w:tcPr>
                  <w:tcW w:w="1750"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vMerge w:val="restar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eastAsia="宋体" w:cs="Times New Roman"/>
                      <w:bCs/>
                      <w:color w:val="auto"/>
                      <w:spacing w:val="0"/>
                      <w:kern w:val="2"/>
                      <w:sz w:val="21"/>
                      <w:szCs w:val="21"/>
                      <w:highlight w:val="none"/>
                      <w:lang w:eastAsia="zh-CN"/>
                    </w:rPr>
                    <w:t>大气环境</w:t>
                  </w:r>
                </w:p>
              </w:tc>
              <w:tc>
                <w:tcPr>
                  <w:tcW w:w="1328" w:type="pct"/>
                  <w:noWrap w:val="0"/>
                  <w:vAlign w:val="center"/>
                </w:tcPr>
                <w:p>
                  <w:pPr>
                    <w:pStyle w:val="53"/>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西徐马村</w:t>
                  </w:r>
                </w:p>
              </w:tc>
              <w:tc>
                <w:tcPr>
                  <w:tcW w:w="419"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NE</w:t>
                  </w:r>
                </w:p>
              </w:tc>
              <w:tc>
                <w:tcPr>
                  <w:tcW w:w="704"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315</w:t>
                  </w:r>
                </w:p>
              </w:tc>
              <w:tc>
                <w:tcPr>
                  <w:tcW w:w="1750" w:type="pct"/>
                  <w:vMerge w:val="restar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lang w:eastAsia="zh-CN"/>
                    </w:rPr>
                    <w:t>《环境空气质量标准》（GB3095-2012）</w:t>
                  </w:r>
                  <w:r>
                    <w:rPr>
                      <w:rFonts w:hint="eastAsia" w:ascii="Times New Roman" w:hAnsi="Times New Roman" w:cs="Times New Roman"/>
                      <w:bCs/>
                      <w:color w:val="auto"/>
                      <w:spacing w:val="0"/>
                      <w:kern w:val="2"/>
                      <w:sz w:val="21"/>
                      <w:szCs w:val="21"/>
                      <w:highlight w:val="none"/>
                      <w:lang w:eastAsia="zh-CN"/>
                    </w:rPr>
                    <w:t>及其修改单</w:t>
                  </w:r>
                  <w:r>
                    <w:rPr>
                      <w:rFonts w:hint="default" w:ascii="Times New Roman" w:hAnsi="Times New Roman" w:eastAsia="宋体" w:cs="Times New Roman"/>
                      <w:bCs/>
                      <w:color w:val="auto"/>
                      <w:spacing w:val="0"/>
                      <w:kern w:val="2"/>
                      <w:sz w:val="21"/>
                      <w:szCs w:val="21"/>
                      <w:highlight w:val="none"/>
                      <w:lang w:eastAsia="zh-CN"/>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vMerge w:val="continue"/>
                  <w:noWrap w:val="0"/>
                  <w:vAlign w:val="center"/>
                </w:tcPr>
                <w:p>
                  <w:pPr>
                    <w:pStyle w:val="53"/>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p>
              </w:tc>
              <w:tc>
                <w:tcPr>
                  <w:tcW w:w="1328" w:type="pct"/>
                  <w:noWrap w:val="0"/>
                  <w:vAlign w:val="center"/>
                </w:tcPr>
                <w:p>
                  <w:pPr>
                    <w:pStyle w:val="53"/>
                    <w:adjustRightInd w:val="0"/>
                    <w:snapToGrid/>
                    <w:spacing w:line="240" w:lineRule="auto"/>
                    <w:ind w:firstLine="0" w:firstLineChars="0"/>
                    <w:jc w:val="center"/>
                    <w:rPr>
                      <w:rFonts w:hint="eastAsia" w:ascii="Times New Roman" w:hAnsi="Times New Roman"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西徐马烈士陵园（县级重点文物保护单位）</w:t>
                  </w:r>
                </w:p>
              </w:tc>
              <w:tc>
                <w:tcPr>
                  <w:tcW w:w="419" w:type="pct"/>
                  <w:noWrap w:val="0"/>
                  <w:vAlign w:val="center"/>
                </w:tcPr>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NE</w:t>
                  </w:r>
                </w:p>
              </w:tc>
              <w:tc>
                <w:tcPr>
                  <w:tcW w:w="704" w:type="pct"/>
                  <w:noWrap w:val="0"/>
                  <w:vAlign w:val="center"/>
                </w:tcPr>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170</w:t>
                  </w:r>
                </w:p>
              </w:tc>
              <w:tc>
                <w:tcPr>
                  <w:tcW w:w="1750" w:type="pct"/>
                  <w:vMerge w:val="continue"/>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53"/>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rPr>
                    <w:t>地下水</w:t>
                  </w:r>
                  <w:r>
                    <w:rPr>
                      <w:rFonts w:hint="eastAsia" w:ascii="Times New Roman" w:hAnsi="Times New Roman" w:eastAsia="宋体" w:cs="Times New Roman"/>
                      <w:bCs/>
                      <w:color w:val="auto"/>
                      <w:spacing w:val="0"/>
                      <w:kern w:val="2"/>
                      <w:sz w:val="21"/>
                      <w:szCs w:val="21"/>
                      <w:highlight w:val="none"/>
                      <w:lang w:eastAsia="zh-CN"/>
                    </w:rPr>
                    <w:t>环境</w:t>
                  </w:r>
                </w:p>
              </w:tc>
              <w:tc>
                <w:tcPr>
                  <w:tcW w:w="2453" w:type="pct"/>
                  <w:gridSpan w:val="3"/>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lang w:eastAsia="zh-CN"/>
                    </w:rPr>
                    <w:t>厂界外</w:t>
                  </w:r>
                  <w:r>
                    <w:rPr>
                      <w:rFonts w:hint="default" w:ascii="Times New Roman" w:hAnsi="Times New Roman" w:eastAsia="宋体" w:cs="Times New Roman"/>
                      <w:bCs/>
                      <w:color w:val="auto"/>
                      <w:spacing w:val="0"/>
                      <w:kern w:val="2"/>
                      <w:sz w:val="21"/>
                      <w:szCs w:val="21"/>
                      <w:highlight w:val="none"/>
                      <w:lang w:val="en-US" w:eastAsia="zh-CN"/>
                    </w:rPr>
                    <w:t>500米范围内无特殊地下水资源</w:t>
                  </w:r>
                </w:p>
              </w:tc>
              <w:tc>
                <w:tcPr>
                  <w:tcW w:w="1750" w:type="pct"/>
                  <w:noWrap w:val="0"/>
                  <w:vAlign w:val="center"/>
                </w:tcPr>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《地下水质量标准》</w:t>
                  </w:r>
                </w:p>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default" w:ascii="Times New Roman" w:hAnsi="Times New Roman" w:eastAsia="宋体" w:cs="Times New Roman"/>
                      <w:bCs/>
                      <w:color w:val="auto"/>
                      <w:spacing w:val="0"/>
                      <w:kern w:val="2"/>
                      <w:sz w:val="21"/>
                      <w:szCs w:val="21"/>
                      <w:highlight w:val="none"/>
                      <w:lang w:eastAsia="zh-CN"/>
                    </w:rPr>
                    <w:t>声环境</w:t>
                  </w:r>
                </w:p>
              </w:tc>
              <w:tc>
                <w:tcPr>
                  <w:tcW w:w="2453" w:type="pct"/>
                  <w:gridSpan w:val="3"/>
                  <w:noWrap w:val="0"/>
                  <w:vAlign w:val="center"/>
                </w:tcPr>
                <w:p>
                  <w:pPr>
                    <w:pStyle w:val="53"/>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default" w:ascii="Times New Roman" w:hAnsi="Times New Roman" w:eastAsia="宋体" w:cs="Times New Roman"/>
                      <w:bCs/>
                      <w:color w:val="auto"/>
                      <w:spacing w:val="0"/>
                      <w:kern w:val="2"/>
                      <w:sz w:val="21"/>
                      <w:szCs w:val="21"/>
                      <w:highlight w:val="none"/>
                      <w:lang w:eastAsia="zh-CN"/>
                    </w:rPr>
                    <w:t>厂界外</w:t>
                  </w:r>
                  <w:r>
                    <w:rPr>
                      <w:rFonts w:hint="default" w:ascii="Times New Roman" w:hAnsi="Times New Roman" w:eastAsia="宋体" w:cs="Times New Roman"/>
                      <w:bCs/>
                      <w:color w:val="auto"/>
                      <w:spacing w:val="0"/>
                      <w:kern w:val="2"/>
                      <w:sz w:val="21"/>
                      <w:szCs w:val="21"/>
                      <w:highlight w:val="none"/>
                      <w:lang w:val="en-US" w:eastAsia="zh-CN"/>
                    </w:rPr>
                    <w:t>50米范围内无声环境保护目标</w:t>
                  </w:r>
                </w:p>
              </w:tc>
              <w:tc>
                <w:tcPr>
                  <w:tcW w:w="1750" w:type="pct"/>
                  <w:noWrap w:val="0"/>
                  <w:vAlign w:val="center"/>
                </w:tcPr>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《声环境质量标准》</w:t>
                  </w:r>
                </w:p>
                <w:p>
                  <w:pPr>
                    <w:pStyle w:val="53"/>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53"/>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eastAsia="宋体" w:cs="Times New Roman"/>
                      <w:bCs/>
                      <w:color w:val="auto"/>
                      <w:spacing w:val="0"/>
                      <w:kern w:val="2"/>
                      <w:sz w:val="21"/>
                      <w:szCs w:val="21"/>
                      <w:highlight w:val="none"/>
                      <w:lang w:eastAsia="zh-CN"/>
                    </w:rPr>
                    <w:t>生态环境</w:t>
                  </w:r>
                </w:p>
              </w:tc>
              <w:tc>
                <w:tcPr>
                  <w:tcW w:w="4203" w:type="pct"/>
                  <w:gridSpan w:val="4"/>
                  <w:noWrap w:val="0"/>
                  <w:vAlign w:val="center"/>
                </w:tcPr>
                <w:p>
                  <w:pPr>
                    <w:pStyle w:val="53"/>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eastAsia="宋体" w:cs="Times New Roman"/>
                      <w:bCs/>
                      <w:color w:val="auto"/>
                      <w:spacing w:val="0"/>
                      <w:kern w:val="2"/>
                      <w:sz w:val="21"/>
                      <w:szCs w:val="21"/>
                      <w:highlight w:val="none"/>
                      <w:lang w:eastAsia="zh-CN"/>
                    </w:rPr>
                    <w:t>本项目用地范围内无生态环境保护目标</w:t>
                  </w:r>
                </w:p>
              </w:tc>
            </w:tr>
          </w:tbl>
          <w:p>
            <w:pPr>
              <w:pStyle w:val="33"/>
              <w:ind w:firstLine="482"/>
              <w:rPr>
                <w:rFonts w:cs="Times New Roman"/>
                <w:color w:val="auto"/>
                <w:highlight w:val="none"/>
              </w:rPr>
            </w:pPr>
            <w:r>
              <w:rPr>
                <w:rFonts w:cs="Times New Roman"/>
                <w:b/>
                <w:bCs/>
                <w:color w:val="auto"/>
                <w:highlight w:val="none"/>
              </w:rPr>
              <w:t>6、本项目实际建设情况与环评内容的变更情况</w:t>
            </w:r>
          </w:p>
          <w:p>
            <w:pPr>
              <w:pStyle w:val="33"/>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7</w:t>
            </w:r>
            <w:r>
              <w:rPr>
                <w:rFonts w:cs="Times New Roman"/>
                <w:b/>
                <w:bCs/>
                <w:color w:val="auto"/>
                <w:highlight w:val="none"/>
              </w:rPr>
              <w:t xml:space="preserve">  本项目与环评相比变动情况一览表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序号</w:t>
                  </w:r>
                </w:p>
              </w:tc>
              <w:tc>
                <w:tcPr>
                  <w:tcW w:w="1070" w:type="dxa"/>
                  <w:shd w:val="clear" w:color="auto" w:fill="auto"/>
                  <w:vAlign w:val="center"/>
                </w:tcPr>
                <w:p>
                  <w:pPr>
                    <w:pStyle w:val="33"/>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变化类别</w:t>
                  </w:r>
                </w:p>
              </w:tc>
              <w:tc>
                <w:tcPr>
                  <w:tcW w:w="2472" w:type="dxa"/>
                  <w:shd w:val="clear" w:color="auto" w:fill="auto"/>
                  <w:vAlign w:val="center"/>
                </w:tcPr>
                <w:p>
                  <w:pPr>
                    <w:pStyle w:val="33"/>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原环评</w:t>
                  </w:r>
                </w:p>
              </w:tc>
              <w:tc>
                <w:tcPr>
                  <w:tcW w:w="2430" w:type="dxa"/>
                  <w:shd w:val="clear" w:color="auto" w:fill="auto"/>
                  <w:vAlign w:val="center"/>
                </w:tcPr>
                <w:p>
                  <w:pPr>
                    <w:pStyle w:val="33"/>
                    <w:spacing w:line="240" w:lineRule="auto"/>
                    <w:ind w:firstLine="0" w:firstLineChars="0"/>
                    <w:jc w:val="center"/>
                    <w:rPr>
                      <w:rFonts w:cs="Times New Roman"/>
                      <w:b/>
                      <w:bCs/>
                      <w:color w:val="auto"/>
                      <w:sz w:val="21"/>
                      <w:szCs w:val="21"/>
                      <w:highlight w:val="none"/>
                    </w:rPr>
                  </w:pPr>
                  <w:r>
                    <w:rPr>
                      <w:rFonts w:hint="eastAsia" w:cs="Times New Roman"/>
                      <w:b/>
                      <w:bCs/>
                      <w:color w:val="auto"/>
                      <w:sz w:val="21"/>
                      <w:szCs w:val="21"/>
                      <w:highlight w:val="none"/>
                      <w:lang w:eastAsia="zh-CN"/>
                    </w:rPr>
                    <w:t>一期</w:t>
                  </w:r>
                  <w:r>
                    <w:rPr>
                      <w:rFonts w:cs="Times New Roman"/>
                      <w:b/>
                      <w:bCs/>
                      <w:color w:val="auto"/>
                      <w:sz w:val="21"/>
                      <w:szCs w:val="21"/>
                      <w:highlight w:val="none"/>
                    </w:rPr>
                    <w:t>目前实际</w:t>
                  </w:r>
                </w:p>
              </w:tc>
              <w:tc>
                <w:tcPr>
                  <w:tcW w:w="2274" w:type="dxa"/>
                  <w:shd w:val="clear" w:color="auto" w:fill="auto"/>
                  <w:vAlign w:val="center"/>
                </w:tcPr>
                <w:p>
                  <w:pPr>
                    <w:pStyle w:val="33"/>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1</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性质</w:t>
                  </w:r>
                </w:p>
              </w:tc>
              <w:tc>
                <w:tcPr>
                  <w:tcW w:w="2472"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43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新建</w:t>
                  </w:r>
                </w:p>
              </w:tc>
              <w:tc>
                <w:tcPr>
                  <w:tcW w:w="2274"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2</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规模</w:t>
                  </w:r>
                </w:p>
              </w:tc>
              <w:tc>
                <w:tcPr>
                  <w:tcW w:w="2472" w:type="dxa"/>
                  <w:shd w:val="clear" w:color="auto" w:fill="auto"/>
                  <w:vAlign w:val="center"/>
                </w:tcPr>
                <w:p>
                  <w:pPr>
                    <w:pStyle w:val="33"/>
                    <w:spacing w:line="240" w:lineRule="auto"/>
                    <w:ind w:firstLine="0" w:firstLineChars="0"/>
                    <w:jc w:val="center"/>
                    <w:rPr>
                      <w:rFonts w:cs="Times New Roman"/>
                      <w:color w:val="auto"/>
                      <w:sz w:val="21"/>
                      <w:szCs w:val="21"/>
                      <w:highlight w:val="none"/>
                      <w:lang w:bidi="ar"/>
                    </w:rPr>
                  </w:pPr>
                  <w:r>
                    <w:rPr>
                      <w:rFonts w:hint="default" w:ascii="Times New Roman" w:hAnsi="Times New Roman" w:eastAsia="宋体" w:cs="Times New Roman"/>
                      <w:b w:val="0"/>
                      <w:bCs w:val="0"/>
                      <w:color w:val="auto"/>
                      <w:kern w:val="2"/>
                      <w:sz w:val="21"/>
                      <w:szCs w:val="21"/>
                      <w:vertAlign w:val="baseline"/>
                      <w:lang w:val="en-US" w:eastAsia="zh-CN" w:bidi="ar"/>
                    </w:rPr>
                    <w:t>试验报告500份/年、新药样品100kg/年</w:t>
                  </w:r>
                </w:p>
              </w:tc>
              <w:tc>
                <w:tcPr>
                  <w:tcW w:w="2430" w:type="dxa"/>
                  <w:shd w:val="clear" w:color="auto" w:fill="auto"/>
                  <w:vAlign w:val="center"/>
                </w:tcPr>
                <w:p>
                  <w:pPr>
                    <w:pStyle w:val="33"/>
                    <w:spacing w:line="240" w:lineRule="auto"/>
                    <w:ind w:firstLine="0" w:firstLineChars="0"/>
                    <w:jc w:val="center"/>
                    <w:rPr>
                      <w:rFonts w:cs="Times New Roman"/>
                      <w:color w:val="auto"/>
                      <w:sz w:val="21"/>
                      <w:szCs w:val="21"/>
                      <w:highlight w:val="none"/>
                      <w:lang w:bidi="ar"/>
                    </w:rPr>
                  </w:pPr>
                  <w:r>
                    <w:rPr>
                      <w:rFonts w:hint="default" w:ascii="Times New Roman" w:hAnsi="Times New Roman" w:eastAsia="宋体" w:cs="Times New Roman"/>
                      <w:b w:val="0"/>
                      <w:bCs w:val="0"/>
                      <w:color w:val="auto"/>
                      <w:kern w:val="2"/>
                      <w:sz w:val="21"/>
                      <w:szCs w:val="21"/>
                      <w:vertAlign w:val="baseline"/>
                      <w:lang w:val="en-US" w:eastAsia="zh-CN" w:bidi="ar"/>
                    </w:rPr>
                    <w:t>试验报告</w:t>
                  </w:r>
                  <w:r>
                    <w:rPr>
                      <w:rFonts w:hint="eastAsia" w:cs="Times New Roman"/>
                      <w:b w:val="0"/>
                      <w:bCs w:val="0"/>
                      <w:color w:val="auto"/>
                      <w:kern w:val="2"/>
                      <w:sz w:val="21"/>
                      <w:szCs w:val="21"/>
                      <w:vertAlign w:val="baseline"/>
                      <w:lang w:val="en-US" w:eastAsia="zh-CN" w:bidi="ar"/>
                    </w:rPr>
                    <w:t>450</w:t>
                  </w:r>
                  <w:r>
                    <w:rPr>
                      <w:rFonts w:hint="default" w:ascii="Times New Roman" w:hAnsi="Times New Roman" w:eastAsia="宋体" w:cs="Times New Roman"/>
                      <w:b w:val="0"/>
                      <w:bCs w:val="0"/>
                      <w:color w:val="auto"/>
                      <w:kern w:val="2"/>
                      <w:sz w:val="21"/>
                      <w:szCs w:val="21"/>
                      <w:vertAlign w:val="baseline"/>
                      <w:lang w:val="en-US" w:eastAsia="zh-CN" w:bidi="ar"/>
                    </w:rPr>
                    <w:t>份/年、新药样品</w:t>
                  </w:r>
                  <w:r>
                    <w:rPr>
                      <w:rFonts w:hint="eastAsia" w:cs="Times New Roman"/>
                      <w:b w:val="0"/>
                      <w:bCs w:val="0"/>
                      <w:color w:val="auto"/>
                      <w:kern w:val="2"/>
                      <w:sz w:val="21"/>
                      <w:szCs w:val="21"/>
                      <w:vertAlign w:val="baseline"/>
                      <w:lang w:val="en-US" w:eastAsia="zh-CN" w:bidi="ar"/>
                    </w:rPr>
                    <w:t>90</w:t>
                  </w:r>
                  <w:r>
                    <w:rPr>
                      <w:rFonts w:hint="default" w:ascii="Times New Roman" w:hAnsi="Times New Roman" w:eastAsia="宋体" w:cs="Times New Roman"/>
                      <w:b w:val="0"/>
                      <w:bCs w:val="0"/>
                      <w:color w:val="auto"/>
                      <w:kern w:val="2"/>
                      <w:sz w:val="21"/>
                      <w:szCs w:val="21"/>
                      <w:vertAlign w:val="baseline"/>
                      <w:lang w:val="en-US" w:eastAsia="zh-CN" w:bidi="ar"/>
                    </w:rPr>
                    <w:t>kg/年</w:t>
                  </w:r>
                </w:p>
              </w:tc>
              <w:tc>
                <w:tcPr>
                  <w:tcW w:w="2274" w:type="dxa"/>
                  <w:shd w:val="clear" w:color="auto" w:fill="auto"/>
                  <w:vAlign w:val="center"/>
                </w:tcPr>
                <w:p>
                  <w:pPr>
                    <w:pStyle w:val="33"/>
                    <w:spacing w:line="240" w:lineRule="auto"/>
                    <w:ind w:firstLine="0" w:firstLineChars="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3</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建设地点</w:t>
                  </w:r>
                </w:p>
              </w:tc>
              <w:tc>
                <w:tcPr>
                  <w:tcW w:w="2472" w:type="dxa"/>
                  <w:shd w:val="clear" w:color="auto" w:fill="auto"/>
                  <w:vAlign w:val="center"/>
                </w:tcPr>
                <w:p>
                  <w:pPr>
                    <w:pStyle w:val="33"/>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山东省济南市高新区世纪大道2566号迪亚双创产业园7号楼5层</w:t>
                  </w:r>
                </w:p>
              </w:tc>
              <w:tc>
                <w:tcPr>
                  <w:tcW w:w="2430" w:type="dxa"/>
                  <w:shd w:val="clear" w:color="auto" w:fill="auto"/>
                  <w:vAlign w:val="center"/>
                </w:tcPr>
                <w:p>
                  <w:pPr>
                    <w:pStyle w:val="33"/>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山东省济南市高新区世纪大道2566号迪亚双创产业园7号楼5层</w:t>
                  </w:r>
                </w:p>
              </w:tc>
              <w:tc>
                <w:tcPr>
                  <w:tcW w:w="2274"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4</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运营工艺</w:t>
                  </w:r>
                </w:p>
              </w:tc>
              <w:tc>
                <w:tcPr>
                  <w:tcW w:w="4902" w:type="dxa"/>
                  <w:gridSpan w:val="2"/>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见图2-2</w:t>
                  </w:r>
                </w:p>
              </w:tc>
              <w:tc>
                <w:tcPr>
                  <w:tcW w:w="2274"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5</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平面布置</w:t>
                  </w:r>
                </w:p>
              </w:tc>
              <w:tc>
                <w:tcPr>
                  <w:tcW w:w="4902" w:type="dxa"/>
                  <w:gridSpan w:val="2"/>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见附图3</w:t>
                  </w:r>
                </w:p>
              </w:tc>
              <w:tc>
                <w:tcPr>
                  <w:tcW w:w="2274"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6</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生产设备</w:t>
                  </w:r>
                </w:p>
              </w:tc>
              <w:tc>
                <w:tcPr>
                  <w:tcW w:w="4902" w:type="dxa"/>
                  <w:gridSpan w:val="2"/>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见表2-</w:t>
                  </w:r>
                  <w:r>
                    <w:rPr>
                      <w:rFonts w:hint="eastAsia" w:cs="Times New Roman"/>
                      <w:color w:val="auto"/>
                      <w:sz w:val="21"/>
                      <w:szCs w:val="21"/>
                      <w:highlight w:val="none"/>
                      <w:lang w:val="en-US" w:eastAsia="zh-CN"/>
                    </w:rPr>
                    <w:t>3</w:t>
                  </w:r>
                </w:p>
              </w:tc>
              <w:tc>
                <w:tcPr>
                  <w:tcW w:w="2274"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hint="eastAsia" w:cs="Times New Roman"/>
                      <w:b w:val="0"/>
                      <w:bCs w:val="0"/>
                      <w:color w:val="auto"/>
                      <w:sz w:val="21"/>
                      <w:szCs w:val="21"/>
                      <w:vertAlign w:val="baseline"/>
                      <w:lang w:val="en-US" w:eastAsia="zh-CN"/>
                    </w:rPr>
                    <w:t>分期建设；根据实际工作需要，配置的设备较环评阶段有适当调整，原辅料种类基本一致，使用量减少，未增加排污，项目性质不变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7</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环境保护措施</w:t>
                  </w:r>
                </w:p>
              </w:tc>
              <w:tc>
                <w:tcPr>
                  <w:tcW w:w="2472"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废气：</w:t>
                  </w:r>
                  <w:r>
                    <w:rPr>
                      <w:rFonts w:hint="default" w:ascii="Times New Roman" w:hAnsi="Times New Roman" w:eastAsia="宋体" w:cs="Times New Roman"/>
                      <w:color w:val="auto"/>
                      <w:kern w:val="2"/>
                      <w:sz w:val="21"/>
                      <w:szCs w:val="21"/>
                      <w:lang w:val="en-US" w:eastAsia="zh-CN" w:bidi="ar-SA"/>
                    </w:rPr>
                    <w:t>实验操作过程均在通风橱内进行，挥发出的废气经通风橱收集；分析仪器配备专用吸风罩收集废气；试剂库、样品库、危废间均设置吸风口；实验废气经通风橱和吸风口收集，</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套活性炭吸附装置处理达标后，通过</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根</w:t>
                  </w:r>
                  <w:r>
                    <w:rPr>
                      <w:rFonts w:hint="eastAsia" w:cs="Times New Roman"/>
                      <w:color w:val="auto"/>
                      <w:kern w:val="2"/>
                      <w:sz w:val="21"/>
                      <w:szCs w:val="21"/>
                      <w:lang w:val="en-US" w:eastAsia="zh-CN" w:bidi="ar-SA"/>
                    </w:rPr>
                    <w:t>25m</w:t>
                  </w:r>
                  <w:r>
                    <w:rPr>
                      <w:rFonts w:hint="default" w:ascii="Times New Roman" w:hAnsi="Times New Roman" w:eastAsia="宋体" w:cs="Times New Roman"/>
                      <w:color w:val="auto"/>
                      <w:kern w:val="2"/>
                      <w:sz w:val="21"/>
                      <w:szCs w:val="21"/>
                      <w:lang w:val="en-US" w:eastAsia="zh-CN" w:bidi="ar-SA"/>
                    </w:rPr>
                    <w:t>的排气筒（P1~P4）排放。</w:t>
                  </w:r>
                </w:p>
                <w:p>
                  <w:pPr>
                    <w:spacing w:line="240" w:lineRule="auto"/>
                    <w:ind w:firstLine="420"/>
                    <w:rPr>
                      <w:color w:val="auto"/>
                      <w:sz w:val="21"/>
                      <w:szCs w:val="21"/>
                      <w:highlight w:val="none"/>
                    </w:rPr>
                  </w:pPr>
                  <w:r>
                    <w:rPr>
                      <w:color w:val="auto"/>
                      <w:sz w:val="21"/>
                      <w:szCs w:val="21"/>
                      <w:highlight w:val="none"/>
                    </w:rPr>
                    <w:t>废水：</w:t>
                  </w:r>
                  <w:r>
                    <w:rPr>
                      <w:rFonts w:hint="eastAsia"/>
                      <w:color w:val="auto"/>
                      <w:sz w:val="21"/>
                      <w:szCs w:val="21"/>
                      <w:highlight w:val="none"/>
                    </w:rPr>
                    <w:t>项目排水主要包括地面清洁废水、实验器皿清洗废水、实验过程废液和生活污水。其中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tc>
              <w:tc>
                <w:tcPr>
                  <w:tcW w:w="2430" w:type="dxa"/>
                  <w:shd w:val="clear" w:color="auto" w:fill="auto"/>
                  <w:vAlign w:val="center"/>
                </w:tcPr>
                <w:p>
                  <w:pPr>
                    <w:spacing w:line="240" w:lineRule="auto"/>
                    <w:ind w:firstLine="420"/>
                    <w:rPr>
                      <w:color w:val="auto"/>
                      <w:sz w:val="21"/>
                      <w:szCs w:val="21"/>
                      <w:highlight w:val="none"/>
                    </w:rPr>
                  </w:pPr>
                  <w:r>
                    <w:rPr>
                      <w:color w:val="auto"/>
                      <w:sz w:val="21"/>
                      <w:szCs w:val="21"/>
                      <w:highlight w:val="none"/>
                    </w:rPr>
                    <w:t>废气：</w:t>
                  </w:r>
                  <w:r>
                    <w:rPr>
                      <w:rFonts w:hint="default" w:ascii="Times New Roman" w:hAnsi="Times New Roman" w:eastAsia="宋体" w:cs="Times New Roman"/>
                      <w:color w:val="auto"/>
                      <w:kern w:val="2"/>
                      <w:sz w:val="21"/>
                      <w:szCs w:val="21"/>
                      <w:lang w:val="en-US" w:eastAsia="zh-CN" w:bidi="ar-SA"/>
                    </w:rPr>
                    <w:t>实验操作过程均在通风橱内进行，挥发出的废气经通风橱收集；分析仪器配备专用吸风罩收集废气；试剂库、样品库、危废间均设置吸风口；实验废气经通风橱和吸风口收集，</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套</w:t>
                  </w:r>
                  <w:r>
                    <w:rPr>
                      <w:rFonts w:hint="eastAsia" w:ascii="Times New Roman" w:hAnsi="Times New Roman" w:cs="Times New Roman"/>
                      <w:color w:val="auto"/>
                      <w:kern w:val="2"/>
                      <w:sz w:val="21"/>
                      <w:szCs w:val="21"/>
                      <w:lang w:val="en-US" w:eastAsia="zh-CN" w:bidi="ar-SA"/>
                    </w:rPr>
                    <w:t>二级</w:t>
                  </w:r>
                  <w:r>
                    <w:rPr>
                      <w:rFonts w:hint="default" w:ascii="Times New Roman" w:hAnsi="Times New Roman" w:eastAsia="宋体" w:cs="Times New Roman"/>
                      <w:color w:val="auto"/>
                      <w:kern w:val="2"/>
                      <w:sz w:val="21"/>
                      <w:szCs w:val="21"/>
                      <w:lang w:val="en-US" w:eastAsia="zh-CN" w:bidi="ar-SA"/>
                    </w:rPr>
                    <w:t>活性炭吸附装置处理达标后，通过</w:t>
                  </w:r>
                  <w:r>
                    <w:rPr>
                      <w:rFonts w:hint="eastAsia" w:cs="Times New Roman"/>
                      <w:color w:val="auto"/>
                      <w:kern w:val="2"/>
                      <w:sz w:val="21"/>
                      <w:szCs w:val="21"/>
                      <w:lang w:val="en-US" w:eastAsia="zh-CN" w:bidi="ar-SA"/>
                    </w:rPr>
                    <w:t>4</w:t>
                  </w:r>
                  <w:r>
                    <w:rPr>
                      <w:rFonts w:hint="default" w:ascii="Times New Roman" w:hAnsi="Times New Roman" w:eastAsia="宋体" w:cs="Times New Roman"/>
                      <w:color w:val="auto"/>
                      <w:kern w:val="2"/>
                      <w:sz w:val="21"/>
                      <w:szCs w:val="21"/>
                      <w:lang w:val="en-US" w:eastAsia="zh-CN" w:bidi="ar-SA"/>
                    </w:rPr>
                    <w:t>根</w:t>
                  </w:r>
                  <w:r>
                    <w:rPr>
                      <w:rFonts w:hint="eastAsia" w:cs="Times New Roman"/>
                      <w:color w:val="auto"/>
                      <w:kern w:val="2"/>
                      <w:sz w:val="21"/>
                      <w:szCs w:val="21"/>
                      <w:lang w:val="en-US" w:eastAsia="zh-CN" w:bidi="ar-SA"/>
                    </w:rPr>
                    <w:t>25m</w:t>
                  </w:r>
                  <w:r>
                    <w:rPr>
                      <w:rFonts w:hint="default" w:ascii="Times New Roman" w:hAnsi="Times New Roman" w:eastAsia="宋体" w:cs="Times New Roman"/>
                      <w:color w:val="auto"/>
                      <w:kern w:val="2"/>
                      <w:sz w:val="21"/>
                      <w:szCs w:val="21"/>
                      <w:lang w:val="en-US" w:eastAsia="zh-CN" w:bidi="ar-SA"/>
                    </w:rPr>
                    <w:t>的排气筒（</w:t>
                  </w:r>
                  <w:r>
                    <w:rPr>
                      <w:rFonts w:hint="eastAsia" w:ascii="Times New Roman" w:hAnsi="Times New Roman" w:cs="Times New Roman"/>
                      <w:color w:val="auto"/>
                      <w:kern w:val="2"/>
                      <w:sz w:val="21"/>
                      <w:szCs w:val="21"/>
                      <w:lang w:val="en-US" w:eastAsia="zh-CN" w:bidi="ar-SA"/>
                    </w:rPr>
                    <w:t>DA001-DA004</w:t>
                  </w:r>
                  <w:r>
                    <w:rPr>
                      <w:rFonts w:hint="default" w:ascii="Times New Roman" w:hAnsi="Times New Roman" w:eastAsia="宋体" w:cs="Times New Roman"/>
                      <w:color w:val="auto"/>
                      <w:kern w:val="2"/>
                      <w:sz w:val="21"/>
                      <w:szCs w:val="21"/>
                      <w:lang w:val="en-US" w:eastAsia="zh-CN" w:bidi="ar-SA"/>
                    </w:rPr>
                    <w:t>）排放。</w:t>
                  </w:r>
                </w:p>
                <w:p>
                  <w:pPr>
                    <w:spacing w:line="240" w:lineRule="auto"/>
                    <w:ind w:firstLine="420"/>
                    <w:rPr>
                      <w:color w:val="auto"/>
                      <w:sz w:val="21"/>
                      <w:szCs w:val="21"/>
                      <w:highlight w:val="none"/>
                    </w:rPr>
                  </w:pPr>
                  <w:r>
                    <w:rPr>
                      <w:color w:val="auto"/>
                      <w:sz w:val="21"/>
                      <w:szCs w:val="21"/>
                      <w:highlight w:val="none"/>
                    </w:rPr>
                    <w:t>废水：</w:t>
                  </w:r>
                  <w:r>
                    <w:rPr>
                      <w:rFonts w:hint="eastAsia"/>
                      <w:color w:val="auto"/>
                      <w:sz w:val="21"/>
                      <w:szCs w:val="21"/>
                      <w:highlight w:val="none"/>
                    </w:rPr>
                    <w:t>项目排水主要包括地面清洁废水、实验器皿清洗废水、实验过程废液和生活污水。其中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tc>
              <w:tc>
                <w:tcPr>
                  <w:tcW w:w="2274" w:type="dxa"/>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8</w:t>
                  </w:r>
                </w:p>
              </w:tc>
              <w:tc>
                <w:tcPr>
                  <w:tcW w:w="1070" w:type="dxa"/>
                  <w:shd w:val="clear" w:color="auto" w:fill="auto"/>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固体废物</w:t>
                  </w:r>
                </w:p>
              </w:tc>
              <w:tc>
                <w:tcPr>
                  <w:tcW w:w="2472" w:type="dxa"/>
                  <w:shd w:val="clear" w:color="auto" w:fill="auto"/>
                  <w:vAlign w:val="center"/>
                </w:tcPr>
                <w:p>
                  <w:pPr>
                    <w:spacing w:line="240" w:lineRule="auto"/>
                    <w:ind w:firstLine="420"/>
                    <w:rPr>
                      <w:rFonts w:hint="eastAsia"/>
                      <w:color w:val="auto"/>
                      <w:sz w:val="21"/>
                      <w:szCs w:val="21"/>
                      <w:highlight w:val="none"/>
                    </w:rPr>
                  </w:pPr>
                  <w:r>
                    <w:rPr>
                      <w:rFonts w:hint="eastAsia"/>
                      <w:color w:val="auto"/>
                      <w:sz w:val="21"/>
                      <w:szCs w:val="21"/>
                      <w:highlight w:val="none"/>
                    </w:rPr>
                    <w:t>危险废物：设置1间危废暂存间，实验废物（称量废物、配制试剂废液、实验过 程废液、分析实验废渣、实验器皿首次和二次清洗废液、废试剂瓶、废实验耗材等）、废活性炭委托有资质的单位进行处置；</w:t>
                  </w:r>
                </w:p>
                <w:p>
                  <w:pPr>
                    <w:spacing w:line="240" w:lineRule="auto"/>
                    <w:ind w:firstLine="420"/>
                    <w:rPr>
                      <w:color w:val="auto"/>
                      <w:sz w:val="21"/>
                      <w:szCs w:val="21"/>
                      <w:highlight w:val="none"/>
                    </w:rPr>
                  </w:pPr>
                  <w:r>
                    <w:rPr>
                      <w:rFonts w:hint="eastAsia"/>
                      <w:color w:val="auto"/>
                      <w:sz w:val="21"/>
                      <w:szCs w:val="21"/>
                      <w:highlight w:val="none"/>
                    </w:rPr>
                    <w:t>一般固废：废包装材料（未沾染试剂的废纸箱、废纸盒等）外售至资源回收单位；生活垃圾由当地环卫部门定期清运。</w:t>
                  </w:r>
                </w:p>
              </w:tc>
              <w:tc>
                <w:tcPr>
                  <w:tcW w:w="2430" w:type="dxa"/>
                  <w:shd w:val="clear" w:color="auto" w:fill="auto"/>
                  <w:vAlign w:val="center"/>
                </w:tcPr>
                <w:p>
                  <w:pPr>
                    <w:spacing w:line="240" w:lineRule="auto"/>
                    <w:ind w:firstLine="420"/>
                    <w:rPr>
                      <w:rFonts w:hint="eastAsia"/>
                      <w:color w:val="auto"/>
                      <w:sz w:val="21"/>
                      <w:szCs w:val="21"/>
                      <w:highlight w:val="none"/>
                    </w:rPr>
                  </w:pPr>
                  <w:r>
                    <w:rPr>
                      <w:rFonts w:hint="eastAsia"/>
                      <w:color w:val="auto"/>
                      <w:sz w:val="21"/>
                      <w:szCs w:val="21"/>
                      <w:highlight w:val="none"/>
                    </w:rPr>
                    <w:t>危险废物：设置1间危废暂存间，实验废物（称量废物、配制试剂废液、实验过程废液、分析实验废渣、实验器皿首次和二次清洗废液、废试剂瓶、废实验耗材等）、废活性炭委托山东敬诚环保科技有限公司处置；</w:t>
                  </w:r>
                </w:p>
                <w:p>
                  <w:pPr>
                    <w:spacing w:line="240" w:lineRule="auto"/>
                    <w:ind w:firstLine="420"/>
                    <w:rPr>
                      <w:color w:val="auto"/>
                      <w:sz w:val="21"/>
                      <w:szCs w:val="21"/>
                      <w:highlight w:val="none"/>
                    </w:rPr>
                  </w:pPr>
                  <w:r>
                    <w:rPr>
                      <w:rFonts w:hint="eastAsia"/>
                      <w:color w:val="auto"/>
                      <w:sz w:val="21"/>
                      <w:szCs w:val="21"/>
                      <w:highlight w:val="none"/>
                    </w:rPr>
                    <w:t>一般固废：废包装材料（未沾染试剂的废纸箱、废纸盒等）外售至资源回收单位；生活垃圾由当地环卫部门定期清运。</w:t>
                  </w:r>
                </w:p>
              </w:tc>
              <w:tc>
                <w:tcPr>
                  <w:tcW w:w="2274" w:type="dxa"/>
                  <w:shd w:val="clear" w:color="auto" w:fill="auto"/>
                  <w:vAlign w:val="center"/>
                </w:tcPr>
                <w:p>
                  <w:pPr>
                    <w:ind w:firstLine="420"/>
                    <w:rPr>
                      <w:color w:val="auto"/>
                      <w:sz w:val="21"/>
                      <w:szCs w:val="21"/>
                      <w:highlight w:val="none"/>
                    </w:rPr>
                  </w:pPr>
                  <w:r>
                    <w:rPr>
                      <w:color w:val="auto"/>
                      <w:sz w:val="21"/>
                      <w:szCs w:val="21"/>
                      <w:highlight w:val="none"/>
                    </w:rPr>
                    <w:t>与环评一致</w:t>
                  </w:r>
                </w:p>
              </w:tc>
            </w:tr>
          </w:tbl>
          <w:p>
            <w:pPr>
              <w:pStyle w:val="33"/>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一期</w:t>
            </w:r>
            <w:r>
              <w:rPr>
                <w:rFonts w:hint="default" w:ascii="Times New Roman" w:hAnsi="Times New Roman" w:eastAsia="宋体" w:cs="Times New Roman"/>
                <w:b w:val="0"/>
                <w:bCs w:val="0"/>
                <w:color w:val="auto"/>
                <w:sz w:val="24"/>
                <w:szCs w:val="24"/>
                <w:lang w:val="en-US" w:eastAsia="zh-CN"/>
              </w:rPr>
              <w:t>项目建设过程发生的主要变化为：</w:t>
            </w:r>
          </w:p>
          <w:p>
            <w:pPr>
              <w:pStyle w:val="33"/>
              <w:numPr>
                <w:ilvl w:val="0"/>
                <w:numId w:val="0"/>
              </w:numPr>
              <w:ind w:firstLine="480" w:firstLineChars="200"/>
              <w:rPr>
                <w:rFonts w:hint="eastAsia" w:ascii="Calibri" w:hAnsi="Calibri" w:eastAsia="宋体" w:cs="Calibri"/>
                <w:b w:val="0"/>
                <w:bCs w:val="0"/>
                <w:color w:val="auto"/>
                <w:sz w:val="24"/>
                <w:szCs w:val="24"/>
                <w:lang w:val="en-US" w:eastAsia="zh-CN"/>
              </w:rPr>
            </w:pPr>
            <w:r>
              <w:rPr>
                <w:rFonts w:hint="eastAsia" w:ascii="Calibri" w:hAnsi="Calibri" w:cs="Calibri"/>
                <w:b w:val="0"/>
                <w:bCs w:val="0"/>
                <w:color w:val="auto"/>
                <w:sz w:val="24"/>
                <w:szCs w:val="24"/>
                <w:lang w:val="en-US" w:eastAsia="zh-CN"/>
              </w:rPr>
              <w:t>根据</w:t>
            </w:r>
            <w:r>
              <w:rPr>
                <w:rFonts w:hint="eastAsia" w:ascii="Calibri" w:hAnsi="Calibri" w:eastAsia="宋体" w:cs="Calibri"/>
                <w:b w:val="0"/>
                <w:bCs w:val="0"/>
                <w:color w:val="auto"/>
                <w:sz w:val="24"/>
                <w:szCs w:val="24"/>
                <w:lang w:val="en-US" w:eastAsia="zh-CN"/>
              </w:rPr>
              <w:t>实际工作需要，配置的设备较环评阶段有适当调整，原辅料种类基本一致，使用量减少，未增加排污，项目性质不变。</w:t>
            </w:r>
          </w:p>
          <w:p>
            <w:pPr>
              <w:pStyle w:val="33"/>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项目分期建设，</w:t>
            </w:r>
            <w:r>
              <w:rPr>
                <w:rFonts w:hint="default" w:ascii="Times New Roman" w:hAnsi="Times New Roman" w:eastAsia="宋体" w:cs="Times New Roman"/>
                <w:b w:val="0"/>
                <w:bCs w:val="0"/>
                <w:color w:val="auto"/>
                <w:sz w:val="24"/>
                <w:szCs w:val="24"/>
                <w:lang w:val="en-US" w:eastAsia="zh-CN"/>
              </w:rPr>
              <w:t>项目性质、实际建设地点、生产工艺、防治污染的措施与环评基本一致</w:t>
            </w:r>
            <w:r>
              <w:rPr>
                <w:rFonts w:hint="eastAsia" w:cs="Times New Roman"/>
                <w:b w:val="0"/>
                <w:bCs w:val="0"/>
                <w:color w:val="auto"/>
                <w:sz w:val="24"/>
                <w:szCs w:val="24"/>
                <w:lang w:val="en-US" w:eastAsia="zh-CN"/>
              </w:rPr>
              <w:t>，不属于重大变动，应纳入竣</w:t>
            </w:r>
            <w:r>
              <w:rPr>
                <w:rFonts w:hint="default" w:ascii="Times New Roman" w:hAnsi="Times New Roman" w:eastAsia="宋体" w:cs="Times New Roman"/>
                <w:b w:val="0"/>
                <w:bCs w:val="0"/>
                <w:color w:val="auto"/>
                <w:sz w:val="24"/>
                <w:szCs w:val="24"/>
                <w:lang w:val="en-US" w:eastAsia="zh-CN"/>
              </w:rPr>
              <w:t>工环境保护验收管理。</w:t>
            </w:r>
          </w:p>
          <w:p>
            <w:pPr>
              <w:numPr>
                <w:ilvl w:val="0"/>
                <w:numId w:val="3"/>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6"/>
              <w:widowControl/>
              <w:rPr>
                <w:color w:val="auto"/>
                <w:highlight w:val="none"/>
              </w:rPr>
            </w:pPr>
            <w:r>
              <w:rPr>
                <w:color w:val="auto"/>
                <w:highlight w:val="none"/>
              </w:rPr>
              <w:t>本项目施工期不做分析。</w:t>
            </w:r>
          </w:p>
          <w:p>
            <w:pPr>
              <w:adjustRightInd w:val="0"/>
              <w:snapToGrid w:val="0"/>
              <w:ind w:firstLine="482"/>
              <w:jc w:val="left"/>
              <w:rPr>
                <w:b/>
                <w:bCs/>
                <w:color w:val="auto"/>
                <w:highlight w:val="none"/>
              </w:rPr>
            </w:pPr>
            <w:r>
              <w:rPr>
                <w:b/>
                <w:bCs/>
                <w:color w:val="auto"/>
                <w:highlight w:val="none"/>
              </w:rPr>
              <w:t>（二）运营期</w:t>
            </w:r>
          </w:p>
          <w:p>
            <w:pPr>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本项目主要进行药物合成和分析实验。实验工艺流程及排污环节见下图：</w:t>
            </w:r>
          </w:p>
          <w:p>
            <w:pPr>
              <w:spacing w:line="360" w:lineRule="auto"/>
              <w:ind w:firstLine="480" w:firstLineChars="200"/>
              <w:jc w:val="left"/>
              <w:rPr>
                <w:color w:val="auto"/>
              </w:rPr>
            </w:pPr>
            <w:r>
              <w:rPr>
                <w:color w:val="auto"/>
              </w:rPr>
              <w:pict>
                <v:shape id="_x0000_i1026" o:spt="75" type="#_x0000_t75" style="height:93pt;width:414pt;" filled="f" stroked="f" coordsize="21600,21600">
                  <v:path/>
                  <v:fill on="f" focussize="0,0"/>
                  <v:stroke on="f"/>
                  <v:imagedata r:id="rId9" o:title=""/>
                  <o:lock v:ext="edit" aspectratio="t"/>
                  <w10:wrap type="none"/>
                  <w10:anchorlock/>
                </v:shape>
              </w:pict>
            </w:r>
          </w:p>
          <w:p>
            <w:pPr>
              <w:pStyle w:val="33"/>
              <w:ind w:firstLine="0" w:firstLineChars="0"/>
              <w:jc w:val="center"/>
              <w:rPr>
                <w:rFonts w:cs="Times New Roman"/>
                <w:b/>
                <w:bCs/>
                <w:color w:val="auto"/>
                <w:sz w:val="21"/>
                <w:szCs w:val="21"/>
              </w:rPr>
            </w:pPr>
            <w:r>
              <w:rPr>
                <w:rFonts w:cs="Times New Roman"/>
                <w:b/>
                <w:bCs/>
                <w:color w:val="auto"/>
                <w:sz w:val="21"/>
                <w:szCs w:val="21"/>
              </w:rPr>
              <w:t>图2-</w:t>
            </w:r>
            <w:r>
              <w:rPr>
                <w:rFonts w:hint="eastAsia" w:cs="Times New Roman"/>
                <w:b/>
                <w:bCs/>
                <w:color w:val="auto"/>
                <w:sz w:val="21"/>
                <w:szCs w:val="21"/>
              </w:rPr>
              <w:t>2</w:t>
            </w:r>
            <w:r>
              <w:rPr>
                <w:rFonts w:cs="Times New Roman"/>
                <w:b/>
                <w:bCs/>
                <w:color w:val="auto"/>
                <w:sz w:val="21"/>
                <w:szCs w:val="21"/>
              </w:rPr>
              <w:t xml:space="preserve">  </w:t>
            </w:r>
            <w:r>
              <w:rPr>
                <w:rFonts w:hint="eastAsia" w:cs="Times New Roman"/>
                <w:b/>
                <w:bCs/>
                <w:color w:val="auto"/>
                <w:sz w:val="21"/>
                <w:szCs w:val="21"/>
              </w:rPr>
              <w:t>药物合成和分析实验</w:t>
            </w:r>
            <w:r>
              <w:rPr>
                <w:rFonts w:cs="Times New Roman"/>
                <w:b/>
                <w:bCs/>
                <w:color w:val="auto"/>
                <w:sz w:val="21"/>
                <w:szCs w:val="21"/>
              </w:rPr>
              <w:t>工艺流程及产污环节图</w:t>
            </w:r>
          </w:p>
          <w:p>
            <w:pPr>
              <w:pStyle w:val="2"/>
              <w:spacing w:beforeLines="0" w:afterLines="0"/>
              <w:ind w:left="0" w:leftChars="0" w:firstLine="480" w:firstLineChars="200"/>
              <w:rPr>
                <w:rFonts w:ascii="Times New Roman" w:hAnsi="Times New Roman"/>
                <w:color w:val="auto"/>
                <w:kern w:val="2"/>
                <w:sz w:val="24"/>
                <w:szCs w:val="24"/>
              </w:rPr>
            </w:pPr>
            <w:r>
              <w:rPr>
                <w:rFonts w:ascii="Times New Roman" w:hAnsi="Times New Roman"/>
                <w:color w:val="auto"/>
                <w:kern w:val="2"/>
                <w:sz w:val="24"/>
                <w:szCs w:val="24"/>
              </w:rPr>
              <w:t>工艺流程描述：</w:t>
            </w:r>
          </w:p>
          <w:p>
            <w:pPr>
              <w:pStyle w:val="20"/>
              <w:snapToGrid/>
              <w:spacing w:before="0" w:beforeLines="0" w:after="0" w:afterLines="0"/>
              <w:ind w:firstLine="480"/>
              <w:rPr>
                <w:rFonts w:hint="default" w:ascii="Times New Roman" w:hAnsi="Times New Roman"/>
                <w:color w:val="auto"/>
                <w:szCs w:val="24"/>
              </w:rPr>
            </w:pPr>
            <w:r>
              <w:rPr>
                <w:rFonts w:hint="default" w:ascii="Times New Roman" w:hAnsi="Times New Roman"/>
                <w:color w:val="auto"/>
                <w:szCs w:val="24"/>
              </w:rPr>
              <w:t>1）领料：领取待检药品，并填写使用登记表。</w:t>
            </w:r>
          </w:p>
          <w:p>
            <w:pPr>
              <w:pStyle w:val="20"/>
              <w:snapToGrid/>
              <w:spacing w:before="0" w:beforeLines="0" w:after="0" w:afterLines="0"/>
              <w:ind w:firstLine="480"/>
              <w:rPr>
                <w:rFonts w:hint="default" w:ascii="Times New Roman" w:hAnsi="Times New Roman"/>
                <w:color w:val="auto"/>
                <w:szCs w:val="24"/>
              </w:rPr>
            </w:pPr>
            <w:r>
              <w:rPr>
                <w:rFonts w:hint="default" w:ascii="Times New Roman" w:hAnsi="Times New Roman"/>
                <w:color w:val="auto"/>
                <w:szCs w:val="24"/>
              </w:rPr>
              <w:t>2）称配：按照配制比例要求，称取或量取一定量的待检药品，并根据样品的性质，选择合适的处理方式，比如用合适的有机溶剂溶解等。</w:t>
            </w:r>
          </w:p>
          <w:p>
            <w:pPr>
              <w:pStyle w:val="20"/>
              <w:snapToGrid/>
              <w:spacing w:before="0" w:beforeLines="0" w:after="0" w:afterLines="0"/>
              <w:ind w:firstLine="480"/>
              <w:rPr>
                <w:rFonts w:hint="default" w:ascii="Times New Roman" w:hAnsi="Times New Roman"/>
                <w:color w:val="auto"/>
                <w:szCs w:val="24"/>
              </w:rPr>
            </w:pPr>
            <w:r>
              <w:rPr>
                <w:rFonts w:hint="default" w:ascii="Times New Roman" w:hAnsi="Times New Roman"/>
                <w:color w:val="auto"/>
                <w:szCs w:val="24"/>
              </w:rPr>
              <w:t>3）合成试验：根据研发需求，选择合适的合成方法，研制相应的原料药。</w:t>
            </w:r>
          </w:p>
          <w:p>
            <w:pPr>
              <w:pStyle w:val="20"/>
              <w:snapToGrid/>
              <w:spacing w:before="0" w:beforeLines="0" w:after="0" w:afterLines="0"/>
              <w:ind w:firstLine="480"/>
              <w:rPr>
                <w:rFonts w:hint="default" w:ascii="Times New Roman" w:hAnsi="Times New Roman" w:cs="Times New Roman"/>
                <w:color w:val="auto"/>
                <w:szCs w:val="24"/>
              </w:rPr>
            </w:pPr>
            <w:r>
              <w:rPr>
                <w:rFonts w:hint="default" w:ascii="Times New Roman" w:hAnsi="Times New Roman"/>
                <w:color w:val="auto"/>
                <w:szCs w:val="24"/>
              </w:rPr>
              <w:t xml:space="preserve">4）干燥：将合格的试验样品进行烘干。 </w:t>
            </w:r>
          </w:p>
          <w:p>
            <w:pPr>
              <w:pStyle w:val="20"/>
              <w:snapToGrid/>
              <w:spacing w:before="0" w:beforeLines="0" w:after="0" w:afterLines="0"/>
              <w:ind w:firstLine="480"/>
              <w:rPr>
                <w:rFonts w:hint="default" w:ascii="Times New Roman" w:hAnsi="Times New Roman" w:cs="Times New Roman"/>
                <w:color w:val="auto"/>
                <w:szCs w:val="24"/>
              </w:rPr>
            </w:pPr>
            <w:r>
              <w:rPr>
                <w:rFonts w:hint="default" w:ascii="Times New Roman" w:hAnsi="Times New Roman"/>
                <w:color w:val="auto"/>
                <w:szCs w:val="24"/>
              </w:rPr>
              <w:t>5）检测分析：根据样品选择合适的分析方法，如高效液相色谱法、气相色谱法等。</w:t>
            </w:r>
          </w:p>
          <w:p>
            <w:pPr>
              <w:pStyle w:val="20"/>
              <w:snapToGrid/>
              <w:spacing w:before="0" w:beforeLines="0" w:after="0" w:afterLines="0"/>
              <w:ind w:firstLine="480"/>
              <w:rPr>
                <w:rFonts w:hint="default" w:ascii="Times New Roman" w:hAnsi="Times New Roman"/>
                <w:color w:val="auto"/>
                <w:szCs w:val="24"/>
              </w:rPr>
            </w:pPr>
            <w:r>
              <w:rPr>
                <w:rFonts w:hint="default" w:ascii="Times New Roman" w:hAnsi="Times New Roman"/>
                <w:color w:val="auto"/>
                <w:szCs w:val="24"/>
              </w:rPr>
              <w:t>6）数据处理和出具报告：根据检测结果，计算整理相关数据，并将检测结果以报告的形式出具。</w:t>
            </w:r>
          </w:p>
          <w:p>
            <w:pPr>
              <w:pStyle w:val="20"/>
              <w:snapToGrid/>
              <w:spacing w:before="0" w:beforeLines="0" w:after="0" w:afterLines="0"/>
              <w:ind w:firstLine="480"/>
              <w:rPr>
                <w:rFonts w:ascii="Times New Roman" w:hAnsi="Times New Roman"/>
                <w:color w:val="auto"/>
              </w:rPr>
            </w:pPr>
            <w:r>
              <w:rPr>
                <w:rFonts w:hint="default" w:ascii="Times New Roman" w:hAnsi="Times New Roman"/>
                <w:color w:val="auto"/>
                <w:szCs w:val="24"/>
              </w:rPr>
              <w:t>7）样品保存：合格样品保存在成品库，将样品、检测数据、技术报告提供给客户，为下一步中试（不属于本项目范围）积累相关数据和资料</w:t>
            </w:r>
            <w:r>
              <w:rPr>
                <w:rFonts w:ascii="Times New Roman" w:hAnsi="Times New Roman"/>
                <w:color w:val="auto"/>
              </w:rPr>
              <w:t>。</w:t>
            </w:r>
          </w:p>
          <w:p>
            <w:pPr>
              <w:pStyle w:val="33"/>
              <w:ind w:firstLine="0" w:firstLineChars="0"/>
              <w:rPr>
                <w:rFonts w:cs="Times New Roman"/>
                <w:b/>
                <w:bCs/>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63" w:name="_Toc25077"/>
      <w:r>
        <w:rPr>
          <w:b/>
          <w:bCs/>
          <w:color w:val="auto"/>
          <w:sz w:val="30"/>
          <w:szCs w:val="30"/>
          <w:highlight w:val="none"/>
        </w:rPr>
        <w:br w:type="page"/>
      </w:r>
      <w:bookmarkStart w:id="64" w:name="_Toc17651"/>
      <w:bookmarkStart w:id="65" w:name="_Toc13230"/>
      <w:bookmarkStart w:id="66" w:name="_Toc7452"/>
      <w:bookmarkStart w:id="67" w:name="_Toc27294"/>
      <w:bookmarkStart w:id="68" w:name="_Toc26196"/>
      <w:bookmarkStart w:id="69" w:name="_Toc229"/>
      <w:bookmarkStart w:id="70" w:name="_Toc17270"/>
      <w:bookmarkStart w:id="71" w:name="_Toc30991"/>
      <w:bookmarkStart w:id="72" w:name="_Toc30675"/>
      <w:bookmarkStart w:id="73" w:name="_Toc1891"/>
      <w:bookmarkStart w:id="74" w:name="_Toc9473"/>
      <w:bookmarkStart w:id="75" w:name="_Toc30922"/>
      <w:bookmarkStart w:id="76" w:name="_Toc25327"/>
      <w:bookmarkStart w:id="77" w:name="_Toc30786"/>
      <w:bookmarkStart w:id="78" w:name="_Toc12616"/>
      <w:bookmarkStart w:id="79" w:name="_Toc22488"/>
      <w:bookmarkStart w:id="80" w:name="_Toc20410"/>
      <w:bookmarkStart w:id="81" w:name="_Toc24561"/>
      <w:bookmarkStart w:id="82" w:name="_Toc11340"/>
      <w:bookmarkStart w:id="83" w:name="_Toc21179"/>
      <w:bookmarkStart w:id="84" w:name="_Toc16372"/>
      <w:bookmarkStart w:id="85" w:name="_Toc3549"/>
      <w:bookmarkStart w:id="86" w:name="_Toc31388"/>
      <w:bookmarkStart w:id="87" w:name="_Toc5937"/>
      <w:bookmarkStart w:id="88" w:name="_Toc30645"/>
      <w:bookmarkStart w:id="89" w:name="_Toc26155"/>
      <w:bookmarkStart w:id="90" w:name="_Toc23661"/>
      <w:bookmarkStart w:id="91" w:name="_Toc6889"/>
      <w:r>
        <w:rPr>
          <w:b/>
          <w:bCs/>
          <w:color w:val="auto"/>
          <w:sz w:val="30"/>
          <w:szCs w:val="30"/>
          <w:highlight w:val="none"/>
        </w:rPr>
        <w:t>表3  主要污染源、污染物处理和排放情况</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ind w:firstLine="482"/>
              <w:rPr>
                <w:rFonts w:cs="Times New Roman"/>
                <w:b/>
                <w:bCs/>
                <w:color w:val="auto"/>
                <w:szCs w:val="24"/>
                <w:highlight w:val="none"/>
              </w:rPr>
            </w:pPr>
            <w:r>
              <w:rPr>
                <w:rFonts w:cs="Times New Roman"/>
                <w:b/>
                <w:bCs/>
                <w:color w:val="auto"/>
                <w:szCs w:val="24"/>
                <w:highlight w:val="none"/>
              </w:rPr>
              <w:t>一、主要污染源的产生</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jc w:val="both"/>
              <w:rPr>
                <w:rFonts w:hint="default" w:ascii="Times New Roman" w:hAnsi="Times New Roman" w:eastAsia="宋体" w:cs="Times New Roman"/>
                <w:b w:val="0"/>
                <w:bCs w:val="0"/>
                <w:color w:val="auto"/>
                <w:sz w:val="24"/>
                <w:szCs w:val="24"/>
                <w:highlight w:val="none"/>
                <w:lang w:eastAsia="zh-CN"/>
              </w:rPr>
            </w:pPr>
            <w:r>
              <w:rPr>
                <w:rFonts w:hint="eastAsia" w:cs="Times New Roman"/>
                <w:b w:val="0"/>
                <w:bCs w:val="0"/>
                <w:color w:val="auto"/>
                <w:sz w:val="24"/>
                <w:szCs w:val="24"/>
                <w:highlight w:val="none"/>
                <w:lang w:eastAsia="zh-CN"/>
              </w:rPr>
              <w:t>本</w:t>
            </w:r>
            <w:r>
              <w:rPr>
                <w:rFonts w:hint="default" w:ascii="Times New Roman" w:hAnsi="Times New Roman" w:eastAsia="宋体" w:cs="Times New Roman"/>
                <w:b w:val="0"/>
                <w:bCs w:val="0"/>
                <w:color w:val="auto"/>
                <w:sz w:val="24"/>
                <w:szCs w:val="24"/>
                <w:highlight w:val="none"/>
                <w:lang w:eastAsia="zh-CN"/>
              </w:rPr>
              <w:t>项目运营期废气主要为</w:t>
            </w:r>
            <w:r>
              <w:rPr>
                <w:rFonts w:hint="eastAsia" w:cs="Times New Roman"/>
                <w:b w:val="0"/>
                <w:bCs w:val="0"/>
                <w:color w:val="auto"/>
                <w:sz w:val="24"/>
                <w:szCs w:val="24"/>
                <w:highlight w:val="none"/>
                <w:lang w:eastAsia="zh-CN"/>
              </w:rPr>
              <w:t>合成、</w:t>
            </w:r>
            <w:r>
              <w:rPr>
                <w:rFonts w:hint="default" w:ascii="Times New Roman" w:hAnsi="Times New Roman" w:eastAsia="宋体" w:cs="Times New Roman"/>
                <w:b w:val="0"/>
                <w:bCs w:val="0"/>
                <w:color w:val="auto"/>
                <w:sz w:val="24"/>
                <w:szCs w:val="24"/>
                <w:highlight w:val="none"/>
                <w:lang w:eastAsia="zh-CN"/>
              </w:rPr>
              <w:t>分析实验过程产生的废气，主要包括称配工序中产生的酸性废气和有机废气。</w:t>
            </w:r>
          </w:p>
          <w:p>
            <w:pPr>
              <w:ind w:firstLine="482"/>
              <w:rPr>
                <w:b/>
                <w:bCs/>
                <w:color w:val="auto"/>
                <w:highlight w:val="none"/>
              </w:rPr>
            </w:pPr>
            <w:r>
              <w:rPr>
                <w:b/>
                <w:bCs/>
                <w:color w:val="auto"/>
                <w:highlight w:val="none"/>
              </w:rPr>
              <w:t>2、废水</w:t>
            </w:r>
          </w:p>
          <w:p>
            <w:pPr>
              <w:pStyle w:val="33"/>
              <w:numPr>
                <w:ilvl w:val="-1"/>
                <w:numId w:val="0"/>
              </w:numPr>
              <w:ind w:firstLine="480" w:firstLineChars="200"/>
              <w:jc w:val="both"/>
              <w:rPr>
                <w:rFonts w:hint="default" w:cs="Times New Roman"/>
                <w:color w:val="auto"/>
                <w:spacing w:val="0"/>
                <w:sz w:val="24"/>
                <w:szCs w:val="24"/>
              </w:rPr>
            </w:pPr>
            <w:r>
              <w:rPr>
                <w:rFonts w:hint="eastAsia" w:cs="Times New Roman"/>
                <w:color w:val="auto"/>
                <w:spacing w:val="0"/>
                <w:sz w:val="24"/>
                <w:szCs w:val="24"/>
                <w:lang w:val="en-US" w:eastAsia="zh-CN"/>
              </w:rPr>
              <w:t>本</w:t>
            </w:r>
            <w:r>
              <w:rPr>
                <w:rFonts w:hint="default" w:cs="Times New Roman"/>
                <w:color w:val="auto"/>
                <w:spacing w:val="0"/>
                <w:sz w:val="24"/>
                <w:szCs w:val="24"/>
              </w:rPr>
              <w:t>项目排水主要包括地面清洁废水、实验器皿清洗废水、实验过程废液和生活污水。</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rPr>
                <w:rFonts w:cs="Times New Roman"/>
                <w:color w:val="auto"/>
                <w:szCs w:val="24"/>
                <w:highlight w:val="none"/>
              </w:rPr>
            </w:pPr>
            <w:r>
              <w:rPr>
                <w:rFonts w:hint="eastAsia" w:cs="Times New Roman"/>
                <w:color w:val="auto"/>
                <w:szCs w:val="24"/>
                <w:highlight w:val="none"/>
              </w:rPr>
              <w:t>本项目噪声源主要为实验设备运转产生的噪声。</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 w:val="24"/>
                <w:szCs w:val="24"/>
                <w:lang w:val="en-US" w:eastAsia="zh-CN"/>
              </w:rPr>
              <w:t>项目产生的固体废物主要是</w:t>
            </w:r>
            <w:r>
              <w:rPr>
                <w:rFonts w:hint="eastAsia" w:cs="Times New Roman"/>
                <w:color w:val="auto"/>
                <w:szCs w:val="24"/>
                <w:highlight w:val="none"/>
              </w:rPr>
              <w:t>实验废物（废试剂瓶、废实验耗材、称量废物、分析实验废渣等）、实验废液（配制试剂废液、实验过程废液、实验器皿首次和二次清洗废液等）、废活性炭</w:t>
            </w:r>
            <w:r>
              <w:rPr>
                <w:rFonts w:hint="eastAsia" w:cs="Times New Roman"/>
                <w:color w:val="auto"/>
                <w:szCs w:val="24"/>
                <w:highlight w:val="none"/>
                <w:lang w:eastAsia="zh-CN"/>
              </w:rPr>
              <w:t>、</w:t>
            </w:r>
            <w:r>
              <w:rPr>
                <w:rFonts w:hint="eastAsia" w:cs="Times New Roman"/>
                <w:color w:val="auto"/>
                <w:szCs w:val="24"/>
                <w:highlight w:val="none"/>
              </w:rPr>
              <w:t>生活垃圾、废包装材料（废纸箱、废纸盒等，来自试剂外包装、实验耗材包装，未沾染化学试剂）。</w:t>
            </w:r>
          </w:p>
          <w:p>
            <w:pPr>
              <w:pStyle w:val="33"/>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jc w:val="both"/>
              <w:rPr>
                <w:rFonts w:hint="default" w:ascii="Times New Roman" w:hAnsi="Times New Roman" w:eastAsia="宋体" w:cs="Times New Roman"/>
                <w:b w:val="0"/>
                <w:bCs w:val="0"/>
                <w:color w:val="auto"/>
                <w:sz w:val="24"/>
                <w:szCs w:val="24"/>
                <w:highlight w:val="none"/>
                <w:lang w:eastAsia="zh-CN"/>
              </w:rPr>
            </w:pPr>
            <w:r>
              <w:rPr>
                <w:rFonts w:hint="eastAsia" w:cs="Times New Roman"/>
                <w:b w:val="0"/>
                <w:bCs w:val="0"/>
                <w:color w:val="auto"/>
                <w:sz w:val="24"/>
                <w:szCs w:val="24"/>
                <w:highlight w:val="none"/>
                <w:lang w:eastAsia="zh-CN"/>
              </w:rPr>
              <w:t>本</w:t>
            </w:r>
            <w:r>
              <w:rPr>
                <w:rFonts w:hint="default" w:ascii="Times New Roman" w:hAnsi="Times New Roman" w:eastAsia="宋体" w:cs="Times New Roman"/>
                <w:b w:val="0"/>
                <w:bCs w:val="0"/>
                <w:color w:val="auto"/>
                <w:sz w:val="24"/>
                <w:szCs w:val="24"/>
                <w:highlight w:val="none"/>
                <w:lang w:eastAsia="zh-CN"/>
              </w:rPr>
              <w:t>项目运营期废气主要为</w:t>
            </w:r>
            <w:r>
              <w:rPr>
                <w:rFonts w:hint="eastAsia" w:cs="Times New Roman"/>
                <w:b w:val="0"/>
                <w:bCs w:val="0"/>
                <w:color w:val="auto"/>
                <w:sz w:val="24"/>
                <w:szCs w:val="24"/>
                <w:highlight w:val="none"/>
                <w:lang w:eastAsia="zh-CN"/>
              </w:rPr>
              <w:t>合成、</w:t>
            </w:r>
            <w:r>
              <w:rPr>
                <w:rFonts w:hint="default" w:ascii="Times New Roman" w:hAnsi="Times New Roman" w:eastAsia="宋体" w:cs="Times New Roman"/>
                <w:b w:val="0"/>
                <w:bCs w:val="0"/>
                <w:color w:val="auto"/>
                <w:sz w:val="24"/>
                <w:szCs w:val="24"/>
                <w:highlight w:val="none"/>
                <w:lang w:eastAsia="zh-CN"/>
              </w:rPr>
              <w:t>分析实验过程产生的废气，主要包括称配工序中产生的酸性废气和有机废气。</w:t>
            </w:r>
          </w:p>
          <w:p>
            <w:pPr>
              <w:pStyle w:val="33"/>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ascii="Times New Roman" w:hAnsi="Times New Roman" w:cs="Times New Roman"/>
                <w:b w:val="0"/>
                <w:bCs w:val="0"/>
                <w:color w:val="auto"/>
                <w:sz w:val="24"/>
                <w:szCs w:val="24"/>
                <w:highlight w:val="none"/>
                <w:lang w:eastAsia="zh-CN"/>
              </w:rPr>
            </w:pPr>
            <w:r>
              <w:rPr>
                <w:rFonts w:hint="default" w:ascii="Calibri" w:hAnsi="Calibri" w:eastAsia="宋体" w:cs="Calibri"/>
                <w:b w:val="0"/>
                <w:bCs w:val="0"/>
                <w:color w:val="auto"/>
                <w:sz w:val="24"/>
                <w:szCs w:val="24"/>
                <w:highlight w:val="none"/>
                <w:lang w:eastAsia="zh-CN"/>
              </w:rPr>
              <w:t>①</w:t>
            </w:r>
            <w:r>
              <w:rPr>
                <w:rFonts w:hint="eastAsia" w:ascii="Times New Roman" w:hAnsi="Times New Roman" w:cs="Times New Roman"/>
                <w:b w:val="0"/>
                <w:bCs w:val="0"/>
                <w:color w:val="auto"/>
                <w:sz w:val="24"/>
                <w:szCs w:val="24"/>
                <w:highlight w:val="none"/>
                <w:lang w:eastAsia="zh-CN"/>
              </w:rPr>
              <w:t>有组织废气</w:t>
            </w:r>
          </w:p>
          <w:p>
            <w:pPr>
              <w:pStyle w:val="33"/>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auto"/>
                <w:sz w:val="24"/>
                <w:szCs w:val="24"/>
                <w:highlight w:val="none"/>
                <w:lang w:val="en-US" w:eastAsia="zh-CN"/>
              </w:rPr>
            </w:pPr>
            <w:r>
              <w:rPr>
                <w:rFonts w:hint="eastAsia" w:cs="Times New Roman"/>
                <w:b w:val="0"/>
                <w:bCs w:val="0"/>
                <w:color w:val="auto"/>
                <w:sz w:val="24"/>
                <w:szCs w:val="24"/>
                <w:highlight w:val="none"/>
                <w:lang w:eastAsia="zh-CN"/>
              </w:rPr>
              <w:t>本</w:t>
            </w:r>
            <w:r>
              <w:rPr>
                <w:rFonts w:hint="default" w:ascii="Times New Roman" w:hAnsi="Times New Roman" w:eastAsia="宋体" w:cs="Times New Roman"/>
                <w:b w:val="0"/>
                <w:bCs w:val="0"/>
                <w:color w:val="auto"/>
                <w:sz w:val="24"/>
                <w:szCs w:val="24"/>
                <w:highlight w:val="none"/>
                <w:lang w:eastAsia="zh-CN"/>
              </w:rPr>
              <w:t>项目的实验操作过程均在通风橱内进行，挥发出的废气经通风橱收集；分析仪器配备专用吸风罩收集废气；试剂库、样品库、危废间均为密闭房间，内设吸风口；收集的废气经专用管道引至</w:t>
            </w:r>
            <w:r>
              <w:rPr>
                <w:rFonts w:hint="eastAsia" w:cs="Times New Roman"/>
                <w:b w:val="0"/>
                <w:bCs w:val="0"/>
                <w:color w:val="auto"/>
                <w:sz w:val="24"/>
                <w:szCs w:val="24"/>
                <w:highlight w:val="none"/>
                <w:lang w:val="en-US" w:eastAsia="zh-CN"/>
              </w:rPr>
              <w:t>4</w:t>
            </w:r>
            <w:r>
              <w:rPr>
                <w:rFonts w:hint="default" w:ascii="Times New Roman" w:hAnsi="Times New Roman" w:eastAsia="宋体" w:cs="Times New Roman"/>
                <w:b w:val="0"/>
                <w:bCs w:val="0"/>
                <w:color w:val="auto"/>
                <w:sz w:val="24"/>
                <w:szCs w:val="24"/>
                <w:highlight w:val="none"/>
                <w:lang w:eastAsia="zh-CN"/>
              </w:rPr>
              <w:t>套</w:t>
            </w:r>
            <w:r>
              <w:rPr>
                <w:rFonts w:hint="eastAsia" w:cs="Times New Roman"/>
                <w:b w:val="0"/>
                <w:bCs w:val="0"/>
                <w:color w:val="auto"/>
                <w:sz w:val="24"/>
                <w:szCs w:val="24"/>
                <w:highlight w:val="none"/>
                <w:lang w:eastAsia="zh-CN"/>
              </w:rPr>
              <w:t>二级</w:t>
            </w:r>
            <w:r>
              <w:rPr>
                <w:rFonts w:hint="default" w:ascii="Times New Roman" w:hAnsi="Times New Roman" w:eastAsia="宋体" w:cs="Times New Roman"/>
                <w:b w:val="0"/>
                <w:bCs w:val="0"/>
                <w:color w:val="auto"/>
                <w:sz w:val="24"/>
                <w:szCs w:val="24"/>
                <w:highlight w:val="none"/>
                <w:lang w:eastAsia="zh-CN"/>
              </w:rPr>
              <w:t>活性炭吸附装置，处理后由</w:t>
            </w:r>
            <w:r>
              <w:rPr>
                <w:rFonts w:hint="eastAsia" w:cs="Times New Roman"/>
                <w:b w:val="0"/>
                <w:bCs w:val="0"/>
                <w:color w:val="auto"/>
                <w:sz w:val="24"/>
                <w:szCs w:val="24"/>
                <w:highlight w:val="none"/>
                <w:lang w:val="en-US" w:eastAsia="zh-CN"/>
              </w:rPr>
              <w:t>4</w:t>
            </w:r>
            <w:r>
              <w:rPr>
                <w:rFonts w:hint="default" w:ascii="Times New Roman" w:hAnsi="Times New Roman" w:eastAsia="宋体" w:cs="Times New Roman"/>
                <w:b w:val="0"/>
                <w:bCs w:val="0"/>
                <w:color w:val="auto"/>
                <w:sz w:val="24"/>
                <w:szCs w:val="24"/>
                <w:highlight w:val="none"/>
                <w:lang w:eastAsia="zh-CN"/>
              </w:rPr>
              <w:t>根楼顶（距地面25m）的排气筒（</w:t>
            </w:r>
            <w:r>
              <w:rPr>
                <w:rFonts w:hint="eastAsia" w:cs="Times New Roman"/>
                <w:b w:val="0"/>
                <w:bCs w:val="0"/>
                <w:color w:val="auto"/>
                <w:sz w:val="24"/>
                <w:szCs w:val="24"/>
                <w:highlight w:val="none"/>
                <w:lang w:val="en-US" w:eastAsia="zh-CN"/>
              </w:rPr>
              <w:t>DA001-DA004</w:t>
            </w:r>
            <w:r>
              <w:rPr>
                <w:rFonts w:hint="default" w:ascii="Times New Roman" w:hAnsi="Times New Roman" w:eastAsia="宋体" w:cs="Times New Roman"/>
                <w:b w:val="0"/>
                <w:bCs w:val="0"/>
                <w:color w:val="auto"/>
                <w:sz w:val="24"/>
                <w:szCs w:val="24"/>
                <w:highlight w:val="none"/>
                <w:lang w:eastAsia="zh-CN"/>
              </w:rPr>
              <w:t>）排放。项目废气收集排导系统见附图</w:t>
            </w:r>
            <w:r>
              <w:rPr>
                <w:rFonts w:hint="eastAsia" w:cs="Times New Roman"/>
                <w:b w:val="0"/>
                <w:bCs w:val="0"/>
                <w:color w:val="auto"/>
                <w:sz w:val="24"/>
                <w:szCs w:val="24"/>
                <w:highlight w:val="none"/>
                <w:lang w:val="en-US" w:eastAsia="zh-CN"/>
              </w:rPr>
              <w:t>4。</w:t>
            </w:r>
          </w:p>
          <w:p>
            <w:pPr>
              <w:pStyle w:val="33"/>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eastAsia" w:cs="Times New Roman"/>
                <w:b w:val="0"/>
                <w:bCs w:val="0"/>
                <w:color w:val="auto"/>
                <w:sz w:val="24"/>
                <w:szCs w:val="24"/>
                <w:highlight w:val="none"/>
                <w:lang w:eastAsia="zh-CN"/>
              </w:rPr>
            </w:pPr>
            <w:r>
              <w:rPr>
                <w:rFonts w:hint="default" w:ascii="Calibri" w:hAnsi="Calibri" w:eastAsia="宋体" w:cs="Calibri"/>
                <w:b w:val="0"/>
                <w:bCs w:val="0"/>
                <w:color w:val="auto"/>
                <w:sz w:val="24"/>
                <w:szCs w:val="24"/>
                <w:highlight w:val="none"/>
                <w:lang w:eastAsia="zh-CN"/>
              </w:rPr>
              <w:t>②</w:t>
            </w:r>
            <w:r>
              <w:rPr>
                <w:rFonts w:hint="eastAsia" w:cs="Times New Roman"/>
                <w:b w:val="0"/>
                <w:bCs w:val="0"/>
                <w:color w:val="auto"/>
                <w:sz w:val="24"/>
                <w:szCs w:val="24"/>
                <w:highlight w:val="none"/>
                <w:lang w:eastAsia="zh-CN"/>
              </w:rPr>
              <w:t>无组织废气</w:t>
            </w:r>
          </w:p>
          <w:p>
            <w:pPr>
              <w:rPr>
                <w:color w:val="auto"/>
              </w:rPr>
            </w:pPr>
            <w:r>
              <w:rPr>
                <w:rFonts w:hint="eastAsia" w:cs="Times New Roman"/>
                <w:b w:val="0"/>
                <w:bCs w:val="0"/>
                <w:color w:val="auto"/>
                <w:sz w:val="24"/>
                <w:szCs w:val="24"/>
                <w:highlight w:val="none"/>
                <w:lang w:eastAsia="zh-CN"/>
              </w:rPr>
              <w:t>未收集的废气随车间通风后无组织排放。</w:t>
            </w:r>
          </w:p>
          <w:p>
            <w:pPr>
              <w:pStyle w:val="33"/>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lang w:val="en-US" w:eastAsia="zh-CN"/>
              </w:rPr>
              <w:t>4</w:t>
            </w:r>
            <w:r>
              <w:rPr>
                <w:rFonts w:cs="Times New Roman"/>
                <w:color w:val="auto"/>
                <w:szCs w:val="24"/>
                <w:highlight w:val="none"/>
              </w:rPr>
              <w:t>根排气筒，此次验收共对</w:t>
            </w:r>
            <w:r>
              <w:rPr>
                <w:rFonts w:hint="eastAsia" w:cs="Times New Roman"/>
                <w:color w:val="auto"/>
                <w:szCs w:val="24"/>
                <w:highlight w:val="none"/>
                <w:lang w:val="en-US" w:eastAsia="zh-CN"/>
              </w:rPr>
              <w:t>4</w:t>
            </w:r>
            <w:r>
              <w:rPr>
                <w:rFonts w:cs="Times New Roman"/>
                <w:color w:val="auto"/>
                <w:szCs w:val="24"/>
                <w:highlight w:val="none"/>
              </w:rPr>
              <w:t>根排气筒的废气排放情况进行了监测。</w:t>
            </w:r>
          </w:p>
          <w:p>
            <w:pPr>
              <w:pStyle w:val="33"/>
              <w:ind w:firstLine="0" w:firstLineChars="0"/>
              <w:jc w:val="center"/>
              <w:rPr>
                <w:rFonts w:cs="Times New Roman"/>
                <w:color w:val="auto"/>
                <w:szCs w:val="24"/>
                <w:highlight w:val="none"/>
              </w:rPr>
            </w:pPr>
            <w:r>
              <w:rPr>
                <w:rFonts w:cs="Times New Roman"/>
                <w:color w:val="auto"/>
                <w:highlight w:val="none"/>
              </w:rPr>
              <w:pict>
                <v:shape id="_x0000_s2058" o:spid="_x0000_s2058" o:spt="100" style="position:absolute;left:0pt;margin-left:276.9pt;margin-top:126.4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57" o:spid="_x0000_s2057" o:spt="100" style="position:absolute;left:0pt;margin-left:274.65pt;margin-top:208.15pt;height:10.5pt;width:10.5pt;z-index:251663360;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55" o:spid="_x0000_s2055" o:spt="100" style="position:absolute;left:0pt;margin-left:273.15pt;margin-top:289.15pt;height:10.5pt;width:10.5pt;z-index:251662336;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54" o:spid="_x0000_s2054" o:spt="100" style="position:absolute;left:0pt;margin-left:166.65pt;margin-top:289.15pt;height:10.5pt;width:10.5pt;z-index:25166540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56" o:spid="_x0000_s2056" o:spt="100" style="position:absolute;left:0pt;margin-left:170.4pt;margin-top:207.4pt;height:10.5pt;width:10.5pt;z-index:25166438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59" o:spid="_x0000_s2059" o:spt="100" style="position:absolute;left:0pt;margin-left:169.65pt;margin-top:128.65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61" o:spid="_x0000_s2061" o:spt="100" style="position:absolute;left:0pt;margin-left:279.15pt;margin-top:49.9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2060" o:spid="_x0000_s2060" o:spt="100" style="position:absolute;left:0pt;margin-left:173.4pt;margin-top:49.15pt;height:10.5pt;width:10.5pt;z-index:251661312;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hint="default" w:ascii="Times New Roman" w:hAnsi="Times New Roman" w:eastAsia="宋体" w:cs="Times New Roman"/>
                <w:color w:val="auto"/>
                <w:sz w:val="24"/>
              </w:rPr>
              <w:pict>
                <v:shape id="ECB019B1-382A-4266-B25C-5B523AA43C14-1" o:spid="ECB019B1-382A-4266-B25C-5B523AA43C14-1" o:spt="75" alt="C:/Users/Administrator/AppData/Local/Temp/wps.jrOTXOwps" type="#_x0000_t75" style="height:333.45pt;width:322.25pt;" filled="f" o:preferrelative="t" stroked="f" coordsize="21600,21600">
                  <v:path/>
                  <v:fill on="f" focussize="0,0"/>
                  <v:stroke on="f"/>
                  <v:imagedata r:id="rId10" o:title="wps"/>
                  <o:lock v:ext="edit" aspectratio="t"/>
                  <w10:wrap type="none"/>
                  <w10:anchorlock/>
                </v:shape>
              </w:pict>
            </w:r>
          </w:p>
          <w:p>
            <w:pPr>
              <w:pStyle w:val="33"/>
              <w:ind w:firstLine="0" w:firstLineChars="0"/>
              <w:jc w:val="center"/>
              <w:rPr>
                <w:rFonts w:cs="Times New Roman"/>
                <w:color w:val="auto"/>
                <w:szCs w:val="24"/>
                <w:highlight w:val="none"/>
              </w:rPr>
            </w:pPr>
            <w:r>
              <w:rPr>
                <w:rFonts w:cs="Times New Roman"/>
                <w:color w:val="auto"/>
                <w:highlight w:val="none"/>
              </w:rPr>
              <w:pict>
                <v:shape id="自选图形 317" o:spid="_x0000_s2062" o:spt="100" style="position:absolute;left:0pt;margin-left:286.65pt;margin-top:5.0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2、废水</w:t>
            </w:r>
          </w:p>
          <w:p>
            <w:pPr>
              <w:pStyle w:val="33"/>
              <w:numPr>
                <w:ilvl w:val="-1"/>
                <w:numId w:val="0"/>
              </w:numPr>
              <w:ind w:firstLine="480" w:firstLineChars="200"/>
              <w:jc w:val="both"/>
              <w:rPr>
                <w:rFonts w:hint="default" w:cs="Times New Roman"/>
                <w:color w:val="auto"/>
                <w:spacing w:val="0"/>
                <w:sz w:val="24"/>
                <w:szCs w:val="24"/>
              </w:rPr>
            </w:pPr>
            <w:r>
              <w:rPr>
                <w:rFonts w:hint="eastAsia" w:cs="Times New Roman"/>
                <w:color w:val="auto"/>
                <w:spacing w:val="0"/>
                <w:sz w:val="24"/>
                <w:szCs w:val="24"/>
                <w:lang w:val="en-US" w:eastAsia="zh-CN"/>
              </w:rPr>
              <w:t>本</w:t>
            </w:r>
            <w:r>
              <w:rPr>
                <w:rFonts w:hint="default" w:cs="Times New Roman"/>
                <w:color w:val="auto"/>
                <w:spacing w:val="0"/>
                <w:sz w:val="24"/>
                <w:szCs w:val="24"/>
              </w:rPr>
              <w:t>项目排水主要包括地面清洁废水、实验器皿清洗废水、实验过程废液和生活污水。项目实验器皿首次清洗废液、实验器皿二次清洗废液、实验过程废液属于危险废物，暂存于危废暂存间，委托山东敬诚环保科技有限公司处置，不外排；地面清洁废水</w:t>
            </w:r>
            <w:r>
              <w:rPr>
                <w:rFonts w:hint="eastAsia" w:cs="Times New Roman"/>
                <w:color w:val="auto"/>
                <w:spacing w:val="0"/>
                <w:sz w:val="24"/>
                <w:szCs w:val="24"/>
                <w:lang w:eastAsia="zh-CN"/>
              </w:rPr>
              <w:t>、</w:t>
            </w:r>
            <w:r>
              <w:rPr>
                <w:rFonts w:hint="default" w:cs="Times New Roman"/>
                <w:color w:val="auto"/>
                <w:spacing w:val="0"/>
                <w:sz w:val="24"/>
                <w:szCs w:val="24"/>
              </w:rPr>
              <w:t>实验器皿清洗废水</w:t>
            </w:r>
            <w:r>
              <w:rPr>
                <w:rFonts w:hint="eastAsia" w:cs="Times New Roman"/>
                <w:color w:val="auto"/>
                <w:spacing w:val="0"/>
                <w:sz w:val="24"/>
                <w:szCs w:val="24"/>
                <w:lang w:eastAsia="zh-CN"/>
              </w:rPr>
              <w:t>（</w:t>
            </w:r>
            <w:r>
              <w:rPr>
                <w:rFonts w:hint="default" w:cs="Times New Roman"/>
                <w:color w:val="auto"/>
                <w:spacing w:val="0"/>
                <w:sz w:val="24"/>
                <w:szCs w:val="24"/>
              </w:rPr>
              <w:t>实验器皿第三次和第四次清洗废水</w:t>
            </w:r>
            <w:r>
              <w:rPr>
                <w:rFonts w:hint="eastAsia" w:cs="Times New Roman"/>
                <w:color w:val="auto"/>
                <w:spacing w:val="0"/>
                <w:sz w:val="24"/>
                <w:szCs w:val="24"/>
                <w:lang w:eastAsia="zh-CN"/>
              </w:rPr>
              <w:t>）和生活污水</w:t>
            </w:r>
            <w:r>
              <w:rPr>
                <w:rFonts w:hint="default" w:cs="Times New Roman"/>
                <w:color w:val="auto"/>
                <w:spacing w:val="0"/>
                <w:sz w:val="24"/>
                <w:szCs w:val="24"/>
              </w:rPr>
              <w:t>经产业园污水处理站处理后排入林业示范园水质净化厂处理，排入东巨野河支流</w:t>
            </w:r>
            <w:r>
              <w:rPr>
                <w:rFonts w:hint="eastAsia" w:cs="Times New Roman"/>
                <w:color w:val="auto"/>
                <w:spacing w:val="0"/>
                <w:sz w:val="24"/>
                <w:szCs w:val="24"/>
                <w:lang w:eastAsia="zh-CN"/>
              </w:rPr>
              <w:t>，汇入小清河</w:t>
            </w:r>
            <w:r>
              <w:rPr>
                <w:rFonts w:hint="default" w:cs="Times New Roman"/>
                <w:color w:val="auto"/>
                <w:spacing w:val="0"/>
                <w:sz w:val="24"/>
                <w:szCs w:val="24"/>
              </w:rPr>
              <w:t>。</w:t>
            </w:r>
          </w:p>
          <w:p>
            <w:pPr>
              <w:pStyle w:val="33"/>
              <w:numPr>
                <w:ilvl w:val="-1"/>
                <w:numId w:val="0"/>
              </w:numPr>
              <w:ind w:firstLine="0" w:firstLineChars="0"/>
              <w:jc w:val="center"/>
              <w:rPr>
                <w:rFonts w:hint="default" w:cs="Times New Roman"/>
                <w:color w:val="auto"/>
                <w:spacing w:val="0"/>
                <w:sz w:val="24"/>
                <w:szCs w:val="24"/>
              </w:rPr>
            </w:pPr>
            <w:r>
              <w:rPr>
                <w:color w:val="auto"/>
                <w:highlight w:val="none"/>
              </w:rPr>
              <w:pict>
                <v:shape id="_x0000_s2073" o:spid="_x0000_s2073" o:spt="12" type="#_x0000_t12" style="position:absolute;left:0pt;margin-left:349.2pt;margin-top:263.9pt;height:10.5pt;width:11.25pt;z-index:251667456;mso-width-relative:page;mso-height-relative:page;" fillcolor="#000000" filled="t" coordsize="21600,21600">
                  <v:path/>
                  <v:fill on="t" focussize="0,0"/>
                  <v:stroke joinstyle="miter"/>
                  <v:imagedata o:title=""/>
                  <o:lock v:ext="edit"/>
                </v:shape>
              </w:pict>
            </w:r>
            <w:r>
              <w:rPr>
                <w:color w:val="auto"/>
                <w:highlight w:val="none"/>
              </w:rPr>
              <w:pict>
                <v:shape id="_x0000_s2072" o:spid="_x0000_s2072" o:spt="12" type="#_x0000_t12" style="position:absolute;left:0pt;margin-left:283.95pt;margin-top:232.4pt;height:10.5pt;width:11.25pt;z-index:251666432;mso-width-relative:page;mso-height-relative:page;" fillcolor="#000000" filled="t" coordsize="21600,21600">
                  <v:path/>
                  <v:fill on="t" focussize="0,0"/>
                  <v:stroke joinstyle="miter"/>
                  <v:imagedata o:title=""/>
                  <o:lock v:ext="edit"/>
                </v:shape>
              </w:pict>
            </w:r>
            <w:r>
              <w:rPr>
                <w:rFonts w:hint="eastAsia" w:eastAsia="宋体" w:cs="Times New Roman"/>
                <w:color w:val="auto"/>
                <w:spacing w:val="-1"/>
                <w:highlight w:val="none"/>
                <w:lang w:eastAsia="zh-CN"/>
              </w:rPr>
              <w:pict>
                <v:shape id="_x0000_i1028" o:spt="75" alt="未命名文件(65)" type="#_x0000_t75" style="height:467.4pt;width:342.2pt;" filled="f" o:preferrelative="t" stroked="f" coordsize="21600,21600">
                  <v:path/>
                  <v:fill on="f" focussize="0,0"/>
                  <v:stroke on="f"/>
                  <v:imagedata r:id="rId8" o:title="未命名文件(65)"/>
                  <o:lock v:ext="edit" aspectratio="t"/>
                  <w10:wrap type="none"/>
                  <w10:anchorlock/>
                </v:shape>
              </w:pict>
            </w:r>
          </w:p>
          <w:p>
            <w:pPr>
              <w:pStyle w:val="33"/>
              <w:adjustRightInd/>
              <w:jc w:val="center"/>
              <w:rPr>
                <w:rFonts w:cs="Times New Roman"/>
                <w:b/>
                <w:bCs/>
                <w:color w:val="auto"/>
                <w:szCs w:val="24"/>
                <w:highlight w:val="none"/>
              </w:rPr>
            </w:pPr>
            <w:r>
              <w:rPr>
                <w:color w:val="auto"/>
                <w:highlight w:val="none"/>
              </w:rPr>
              <w:pict>
                <v:shape id="_x0000_s2065" o:spid="_x0000_s2065" o:spt="12" type="#_x0000_t12" style="position:absolute;left:0pt;margin-left:298.2pt;margin-top:5.6pt;height:10.5pt;width:11.25pt;z-index:251659264;mso-width-relative:page;mso-height-relative:page;" fillcolor="#000000" filled="t" coordsize="21600,21600">
                  <v:path/>
                  <v:fill on="t" focussize="0,0"/>
                  <v:stroke joinstyle="miter"/>
                  <v:imagedata o:title=""/>
                  <o:lock v:ext="edit"/>
                </v:shape>
              </w:pict>
            </w:r>
            <w:r>
              <w:rPr>
                <w:rFonts w:cs="Times New Roman"/>
                <w:b/>
                <w:bCs/>
                <w:color w:val="auto"/>
                <w:szCs w:val="24"/>
                <w:highlight w:val="none"/>
              </w:rPr>
              <w:t>图3-</w:t>
            </w:r>
            <w:r>
              <w:rPr>
                <w:rFonts w:hint="eastAsia" w:cs="Times New Roman"/>
                <w:b/>
                <w:bCs/>
                <w:color w:val="auto"/>
                <w:szCs w:val="24"/>
                <w:highlight w:val="none"/>
              </w:rPr>
              <w:t xml:space="preserve">2 </w:t>
            </w:r>
            <w:r>
              <w:rPr>
                <w:rFonts w:cs="Times New Roman"/>
                <w:b/>
                <w:bCs/>
                <w:color w:val="auto"/>
                <w:szCs w:val="24"/>
                <w:highlight w:val="none"/>
              </w:rPr>
              <w:t xml:space="preserve"> 废</w:t>
            </w:r>
            <w:r>
              <w:rPr>
                <w:rFonts w:hint="eastAsia" w:cs="Times New Roman"/>
                <w:b/>
                <w:bCs/>
                <w:color w:val="auto"/>
                <w:szCs w:val="24"/>
                <w:highlight w:val="none"/>
              </w:rPr>
              <w:t>水</w:t>
            </w:r>
            <w:r>
              <w:rPr>
                <w:rFonts w:cs="Times New Roman"/>
                <w:b/>
                <w:bCs/>
                <w:color w:val="auto"/>
                <w:szCs w:val="24"/>
                <w:highlight w:val="none"/>
              </w:rPr>
              <w:t>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ind w:left="0" w:leftChars="0" w:firstLine="480" w:firstLineChars="200"/>
              <w:jc w:val="both"/>
              <w:rPr>
                <w:rFonts w:hint="default" w:ascii="Times New Roman" w:hAnsi="Times New Roman" w:eastAsia="宋体" w:cs="Times New Roman"/>
                <w:color w:val="auto"/>
                <w:sz w:val="24"/>
                <w:lang w:eastAsia="zh-CN"/>
              </w:rPr>
            </w:pPr>
            <w:r>
              <w:rPr>
                <w:rFonts w:hint="eastAsia" w:cs="Times New Roman"/>
                <w:color w:val="auto"/>
                <w:sz w:val="24"/>
                <w:highlight w:val="none"/>
                <w:lang w:val="en-US" w:eastAsia="zh-CN"/>
              </w:rPr>
              <w:t>本</w:t>
            </w:r>
            <w:r>
              <w:rPr>
                <w:rFonts w:hint="default" w:ascii="Times New Roman" w:hAnsi="Times New Roman" w:cs="Times New Roman"/>
                <w:color w:val="auto"/>
                <w:sz w:val="24"/>
                <w:highlight w:val="none"/>
                <w:lang w:val="en-US" w:eastAsia="zh-CN"/>
              </w:rPr>
              <w:t>项目</w:t>
            </w:r>
            <w:r>
              <w:rPr>
                <w:rFonts w:hint="eastAsia" w:cs="Times New Roman"/>
                <w:color w:val="auto"/>
                <w:sz w:val="24"/>
                <w:highlight w:val="none"/>
                <w:lang w:val="en-US" w:eastAsia="zh-CN"/>
              </w:rPr>
              <w:t>采取</w:t>
            </w:r>
            <w:r>
              <w:rPr>
                <w:rFonts w:hint="default" w:ascii="Times New Roman" w:hAnsi="Times New Roman" w:cs="Times New Roman"/>
                <w:color w:val="auto"/>
                <w:sz w:val="24"/>
                <w:highlight w:val="none"/>
                <w:lang w:val="en-US" w:eastAsia="zh-CN"/>
              </w:rPr>
              <w:t>实验设备均布置于室内，</w:t>
            </w:r>
            <w:r>
              <w:rPr>
                <w:rFonts w:hint="default" w:cs="Times New Roman"/>
                <w:color w:val="auto"/>
                <w:sz w:val="24"/>
                <w:highlight w:val="none"/>
                <w:lang w:val="en-US" w:eastAsia="zh-CN"/>
              </w:rPr>
              <w:t>采取</w:t>
            </w:r>
            <w:r>
              <w:rPr>
                <w:rFonts w:hint="default" w:ascii="Times New Roman" w:hAnsi="Times New Roman" w:cs="Times New Roman"/>
                <w:color w:val="auto"/>
                <w:sz w:val="24"/>
                <w:highlight w:val="none"/>
                <w:lang w:val="en-US" w:eastAsia="zh-CN"/>
              </w:rPr>
              <w:t>门窗、墙体隔声</w:t>
            </w:r>
            <w:r>
              <w:rPr>
                <w:rFonts w:hint="default"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t>全部设备均选用低噪声设备</w:t>
            </w:r>
            <w:r>
              <w:rPr>
                <w:rFonts w:hint="default" w:cs="Times New Roman"/>
                <w:color w:val="auto"/>
                <w:sz w:val="24"/>
                <w:highlight w:val="none"/>
                <w:lang w:val="en-US" w:eastAsia="zh-CN"/>
              </w:rPr>
              <w:t>并采取减振措施。</w:t>
            </w:r>
            <w:r>
              <w:rPr>
                <w:rFonts w:hint="default" w:ascii="Times New Roman" w:hAnsi="Times New Roman" w:cs="Times New Roman"/>
                <w:color w:val="auto"/>
                <w:sz w:val="24"/>
                <w:highlight w:val="none"/>
                <w:lang w:val="en-US" w:eastAsia="zh-CN"/>
              </w:rPr>
              <w:t>加强管理，经常保养和维护机械设备避免设备在不良状态下运行</w:t>
            </w:r>
            <w:r>
              <w:rPr>
                <w:rFonts w:hint="eastAsia" w:cs="Times New Roman"/>
                <w:color w:val="auto"/>
                <w:sz w:val="24"/>
                <w:highlight w:val="none"/>
                <w:lang w:val="en-US" w:eastAsia="zh-CN"/>
              </w:rPr>
              <w:t>等措施</w:t>
            </w:r>
            <w:r>
              <w:rPr>
                <w:rFonts w:hint="default" w:ascii="Times New Roman" w:hAnsi="Times New Roman" w:cs="Times New Roman"/>
                <w:color w:val="auto"/>
                <w:sz w:val="24"/>
                <w:highlight w:val="none"/>
                <w:lang w:val="en-US" w:eastAsia="zh-CN"/>
              </w:rPr>
              <w:t>。</w:t>
            </w:r>
          </w:p>
          <w:p>
            <w:pPr>
              <w:pStyle w:val="33"/>
              <w:jc w:val="center"/>
              <w:rPr>
                <w:rFonts w:cs="Times New Roman"/>
                <w:color w:val="auto"/>
                <w:highlight w:val="none"/>
              </w:rPr>
            </w:pPr>
            <w:r>
              <w:rPr>
                <w:rFonts w:cs="Times New Roman"/>
                <w:color w:val="auto"/>
                <w:highlight w:val="none"/>
              </w:rPr>
              <w:pict>
                <v:shape id="自选图形 327" o:spid="_x0000_s2066" o:spt="5" type="#_x0000_t5" style="position:absolute;left:0pt;margin-left:398.5pt;margin-top:35.3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9" o:spt="75" type="#_x0000_t75" style="height:68.05pt;width:309.3pt;" filled="f" o:preferrelative="t" stroked="f" coordsize="21600,21600">
                  <v:path/>
                  <v:fill on="f" focussize="0,0"/>
                  <v:stroke on="f"/>
                  <v:imagedata r:id="rId11" o:title=""/>
                  <o:lock v:ext="edit" aspectratio="t"/>
                  <w10:wrap type="none"/>
                  <w10:anchorlock/>
                </v:shape>
              </w:pict>
            </w:r>
          </w:p>
          <w:p>
            <w:pPr>
              <w:pStyle w:val="33"/>
              <w:ind w:firstLine="0" w:firstLineChars="0"/>
              <w:jc w:val="center"/>
              <w:rPr>
                <w:rFonts w:cs="Times New Roman"/>
                <w:b/>
                <w:bCs/>
                <w:color w:val="auto"/>
                <w:szCs w:val="24"/>
                <w:highlight w:val="none"/>
              </w:rPr>
            </w:pPr>
            <w:r>
              <w:rPr>
                <w:rFonts w:cs="Times New Roman"/>
                <w:color w:val="auto"/>
                <w:highlight w:val="none"/>
              </w:rPr>
              <w:pict>
                <v:shape id="自选图形 95" o:spid="_x0000_s2067"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rPr>
              <w:t>3</w:t>
            </w:r>
            <w:r>
              <w:rPr>
                <w:rFonts w:cs="Times New Roman"/>
                <w:b/>
                <w:bCs/>
                <w:color w:val="auto"/>
                <w:szCs w:val="24"/>
                <w:highlight w:val="none"/>
              </w:rPr>
              <w:t xml:space="preserve">  本项目噪声处理和排放示意图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 w:val="24"/>
                <w:szCs w:val="24"/>
                <w:lang w:val="en-US" w:eastAsia="zh-CN"/>
              </w:rPr>
              <w:t>项目产生的固体废物主要是</w:t>
            </w:r>
            <w:r>
              <w:rPr>
                <w:rFonts w:hint="eastAsia" w:cs="Times New Roman"/>
                <w:color w:val="auto"/>
                <w:szCs w:val="24"/>
                <w:highlight w:val="none"/>
              </w:rPr>
              <w:t>实验废物（废试剂瓶、废实验耗材、称量废物、分析实验废渣等）、实验废液（配制试剂废液、实验过程废液、实验器皿首次和二次清洗废液等）、废活性炭</w:t>
            </w:r>
            <w:r>
              <w:rPr>
                <w:rFonts w:hint="eastAsia" w:cs="Times New Roman"/>
                <w:color w:val="auto"/>
                <w:szCs w:val="24"/>
                <w:highlight w:val="none"/>
                <w:lang w:eastAsia="zh-CN"/>
              </w:rPr>
              <w:t>、</w:t>
            </w:r>
            <w:r>
              <w:rPr>
                <w:rFonts w:hint="eastAsia" w:cs="Times New Roman"/>
                <w:color w:val="auto"/>
                <w:szCs w:val="24"/>
                <w:highlight w:val="none"/>
              </w:rPr>
              <w:t>生活垃圾、废包装材料（废纸箱、废纸盒等，来自试剂外包装、实验耗材包装，未沾染化学试剂）。</w:t>
            </w:r>
          </w:p>
          <w:p>
            <w:pPr>
              <w:pStyle w:val="33"/>
              <w:widowControl/>
              <w:adjustRightInd/>
              <w:rPr>
                <w:rFonts w:hint="eastAsia" w:cs="Times New Roman"/>
                <w:color w:val="auto"/>
                <w:szCs w:val="24"/>
                <w:highlight w:val="none"/>
              </w:rPr>
            </w:pPr>
            <w:r>
              <w:rPr>
                <w:rFonts w:hint="eastAsia" w:cs="Times New Roman"/>
                <w:color w:val="auto"/>
                <w:szCs w:val="24"/>
                <w:highlight w:val="none"/>
              </w:rPr>
              <w:t>废包装材料收集后外售物资回收单位，生活垃圾由环卫部门定期清运处理；实验废物（废试剂瓶、废实验耗材、称量废物、分析实验废渣等）、实验废液（配制试剂废液、实验过程废液、实验器皿首次和二次清洗废液等）、废活性炭收集后暂存于危废间，委托</w:t>
            </w:r>
            <w:r>
              <w:rPr>
                <w:rFonts w:hint="eastAsia" w:cs="Times New Roman"/>
                <w:color w:val="auto"/>
                <w:szCs w:val="24"/>
                <w:highlight w:val="none"/>
                <w:lang w:eastAsia="zh-CN"/>
              </w:rPr>
              <w:t>山东敬诚环保科技有限公司</w:t>
            </w:r>
            <w:r>
              <w:rPr>
                <w:rFonts w:hint="eastAsia" w:cs="Times New Roman"/>
                <w:color w:val="auto"/>
                <w:szCs w:val="24"/>
                <w:highlight w:val="none"/>
              </w:rPr>
              <w:t>处置。</w:t>
            </w:r>
          </w:p>
          <w:p>
            <w:pPr>
              <w:pStyle w:val="33"/>
              <w:widowControl/>
              <w:adjustRightInd/>
              <w:rPr>
                <w:rFonts w:cs="Times New Roman"/>
                <w:color w:val="auto"/>
                <w:highlight w:val="none"/>
              </w:rPr>
            </w:pPr>
          </w:p>
          <w:p>
            <w:pPr>
              <w:pStyle w:val="33"/>
              <w:snapToGrid w:val="0"/>
              <w:ind w:firstLine="0" w:firstLineChars="0"/>
              <w:rPr>
                <w:rFonts w:cs="Times New Roman"/>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92" w:name="_Toc5948"/>
      <w:r>
        <w:rPr>
          <w:b/>
          <w:bCs/>
          <w:color w:val="auto"/>
          <w:sz w:val="30"/>
          <w:szCs w:val="30"/>
          <w:highlight w:val="none"/>
        </w:rPr>
        <w:br w:type="page"/>
      </w:r>
      <w:bookmarkStart w:id="93" w:name="_Toc2364"/>
      <w:bookmarkStart w:id="94" w:name="_Toc9722"/>
      <w:bookmarkStart w:id="95" w:name="_Toc18700"/>
      <w:bookmarkStart w:id="96" w:name="_Toc9507"/>
      <w:bookmarkStart w:id="97" w:name="_Toc27173"/>
      <w:bookmarkStart w:id="98" w:name="_Toc19570"/>
      <w:bookmarkStart w:id="99" w:name="_Toc26043"/>
      <w:bookmarkStart w:id="100" w:name="_Toc23702"/>
      <w:bookmarkStart w:id="101" w:name="_Toc28751"/>
      <w:bookmarkStart w:id="102" w:name="_Toc28132"/>
      <w:bookmarkStart w:id="103" w:name="_Toc28525"/>
      <w:bookmarkStart w:id="104" w:name="_Toc20068"/>
      <w:bookmarkStart w:id="105" w:name="_Toc21706"/>
      <w:bookmarkStart w:id="106" w:name="_Toc7022"/>
      <w:bookmarkStart w:id="107" w:name="_Toc30755"/>
      <w:bookmarkStart w:id="108" w:name="_Toc28377"/>
      <w:bookmarkStart w:id="109" w:name="_Toc4396"/>
      <w:bookmarkStart w:id="110" w:name="_Toc26651"/>
      <w:bookmarkStart w:id="111" w:name="_Toc3882"/>
      <w:bookmarkStart w:id="112" w:name="_Toc5861"/>
      <w:bookmarkStart w:id="113" w:name="_Toc24923"/>
      <w:bookmarkStart w:id="114" w:name="_Toc26688"/>
      <w:bookmarkStart w:id="115" w:name="_Toc23963"/>
      <w:bookmarkStart w:id="116" w:name="_Toc930"/>
      <w:bookmarkStart w:id="117" w:name="_Toc6348"/>
      <w:bookmarkStart w:id="118" w:name="_Toc6560"/>
      <w:bookmarkStart w:id="119" w:name="_Toc23840"/>
      <w:bookmarkStart w:id="120" w:name="_Toc13343"/>
      <w:r>
        <w:rPr>
          <w:b/>
          <w:bCs/>
          <w:color w:val="auto"/>
          <w:sz w:val="30"/>
          <w:szCs w:val="30"/>
          <w:highlight w:val="none"/>
        </w:rPr>
        <w:t>表4  环评主要结论、审批部门审批决定及批复落实情况</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311" w:hRule="atLeast"/>
        </w:trPr>
        <w:tc>
          <w:tcPr>
            <w:tcW w:w="5000" w:type="pct"/>
            <w:tcBorders>
              <w:top w:val="single" w:color="000000" w:sz="12" w:space="0"/>
              <w:bottom w:val="single" w:color="000000" w:sz="12" w:space="0"/>
            </w:tcBorders>
          </w:tcPr>
          <w:p>
            <w:pPr>
              <w:pStyle w:val="33"/>
              <w:adjustRightInd/>
              <w:ind w:firstLine="482"/>
              <w:rPr>
                <w:rFonts w:cs="Times New Roman"/>
                <w:b/>
                <w:bCs/>
                <w:color w:val="auto"/>
                <w:highlight w:val="none"/>
              </w:rPr>
            </w:pPr>
            <w:r>
              <w:rPr>
                <w:rFonts w:cs="Times New Roman"/>
                <w:b/>
                <w:bCs/>
                <w:color w:val="auto"/>
                <w:highlight w:val="none"/>
              </w:rPr>
              <w:t>一、环评主要结论及建议</w:t>
            </w:r>
          </w:p>
          <w:p>
            <w:pPr>
              <w:pStyle w:val="33"/>
              <w:adjustRightInd/>
              <w:ind w:firstLine="482"/>
              <w:rPr>
                <w:rFonts w:cs="Times New Roman"/>
                <w:b/>
                <w:bCs/>
                <w:color w:val="auto"/>
                <w:highlight w:val="none"/>
              </w:rPr>
            </w:pPr>
            <w:r>
              <w:rPr>
                <w:rFonts w:cs="Times New Roman"/>
                <w:b/>
                <w:bCs/>
                <w:color w:val="auto"/>
                <w:highlight w:val="none"/>
              </w:rPr>
              <w:t>1、结论</w:t>
            </w:r>
          </w:p>
          <w:p>
            <w:pPr>
              <w:tabs>
                <w:tab w:val="left" w:pos="339"/>
              </w:tabs>
              <w:ind w:firstLine="480"/>
              <w:jc w:val="left"/>
              <w:rPr>
                <w:color w:val="auto"/>
                <w:highlight w:val="none"/>
              </w:rPr>
            </w:pPr>
            <w:r>
              <w:rPr>
                <w:color w:val="auto"/>
                <w:highlight w:val="none"/>
              </w:rPr>
              <w:t>（1）大气环境影响分析</w:t>
            </w:r>
          </w:p>
          <w:p>
            <w:pPr>
              <w:adjustRightInd w:val="0"/>
              <w:snapToGrid w:val="0"/>
              <w:spacing w:line="360" w:lineRule="auto"/>
              <w:ind w:firstLine="480" w:firstLineChars="200"/>
              <w:rPr>
                <w:rFonts w:hint="eastAsia"/>
                <w:color w:val="auto"/>
                <w:sz w:val="24"/>
              </w:rPr>
            </w:pPr>
            <w:r>
              <w:rPr>
                <w:rFonts w:hint="eastAsia"/>
                <w:color w:val="auto"/>
                <w:sz w:val="24"/>
              </w:rPr>
              <w:t>本项目实验操作过程均在通风橱内进行，挥发出的废气经通风橱收集；分析仪器配备专用吸风罩收集废气；清洗间、留样室、原料和样品仓库、危废间均设置吸风口；收集的废气经专用管道引至</w:t>
            </w:r>
            <w:r>
              <w:rPr>
                <w:rFonts w:hint="eastAsia"/>
                <w:color w:val="auto"/>
                <w:sz w:val="24"/>
                <w:lang w:val="en-US" w:eastAsia="zh-CN"/>
              </w:rPr>
              <w:t>4</w:t>
            </w:r>
            <w:r>
              <w:rPr>
                <w:rFonts w:hint="eastAsia"/>
                <w:color w:val="auto"/>
                <w:sz w:val="24"/>
              </w:rPr>
              <w:t>套活性炭吸附装置，处理后由</w:t>
            </w:r>
            <w:r>
              <w:rPr>
                <w:rFonts w:hint="eastAsia"/>
                <w:color w:val="auto"/>
                <w:sz w:val="24"/>
                <w:lang w:val="en-US" w:eastAsia="zh-CN"/>
              </w:rPr>
              <w:t>4</w:t>
            </w:r>
            <w:r>
              <w:rPr>
                <w:rFonts w:hint="eastAsia"/>
                <w:color w:val="auto"/>
                <w:sz w:val="24"/>
              </w:rPr>
              <w:t>根楼顶（距地面25m）的P1~P4排放。项目配备总风量约 80000m</w:t>
            </w:r>
            <w:r>
              <w:rPr>
                <w:rFonts w:hint="eastAsia"/>
                <w:color w:val="auto"/>
                <w:sz w:val="24"/>
                <w:vertAlign w:val="superscript"/>
              </w:rPr>
              <w:t>3</w:t>
            </w:r>
            <w:r>
              <w:rPr>
                <w:rFonts w:hint="eastAsia"/>
                <w:color w:val="auto"/>
                <w:sz w:val="24"/>
              </w:rPr>
              <w:t>/h。硫酸雾、氯化氢、VOCs 的有组织排放满足《大气污染物综合排放标准》(GB16297</w:t>
            </w:r>
            <w:r>
              <w:rPr>
                <w:rFonts w:hint="eastAsia"/>
                <w:color w:val="auto"/>
                <w:sz w:val="24"/>
                <w:lang w:val="en-US" w:eastAsia="zh-CN"/>
              </w:rPr>
              <w:t>-</w:t>
            </w:r>
            <w:r>
              <w:rPr>
                <w:rFonts w:hint="eastAsia"/>
                <w:color w:val="auto"/>
                <w:sz w:val="24"/>
              </w:rPr>
              <w:t>1996)中表</w:t>
            </w:r>
            <w:r>
              <w:rPr>
                <w:rFonts w:hint="eastAsia"/>
                <w:color w:val="auto"/>
                <w:sz w:val="24"/>
                <w:lang w:val="en-US" w:eastAsia="zh-CN"/>
              </w:rPr>
              <w:t>2</w:t>
            </w:r>
            <w:r>
              <w:rPr>
                <w:rFonts w:hint="eastAsia"/>
                <w:color w:val="auto"/>
                <w:sz w:val="24"/>
              </w:rPr>
              <w:t>二级标准、《制药工业大气污染物排放标准》（GB37823-2019）表</w:t>
            </w:r>
            <w:r>
              <w:rPr>
                <w:rFonts w:hint="eastAsia"/>
                <w:color w:val="auto"/>
                <w:sz w:val="24"/>
                <w:lang w:val="en-US" w:eastAsia="zh-CN"/>
              </w:rPr>
              <w:t>2</w:t>
            </w:r>
            <w:r>
              <w:rPr>
                <w:rFonts w:hint="eastAsia"/>
                <w:color w:val="auto"/>
                <w:sz w:val="24"/>
              </w:rPr>
              <w:t>中研发机构工艺废气要求、《挥发性有机物排放标准第</w:t>
            </w:r>
            <w:r>
              <w:rPr>
                <w:rFonts w:hint="eastAsia"/>
                <w:color w:val="auto"/>
                <w:sz w:val="24"/>
                <w:lang w:val="en-US" w:eastAsia="zh-CN"/>
              </w:rPr>
              <w:t>7</w:t>
            </w:r>
            <w:r>
              <w:rPr>
                <w:rFonts w:hint="eastAsia"/>
                <w:color w:val="auto"/>
                <w:sz w:val="24"/>
              </w:rPr>
              <w:t>部分：其他行业》（DB37/2801.7-2019）表</w:t>
            </w:r>
            <w:r>
              <w:rPr>
                <w:rFonts w:hint="eastAsia"/>
                <w:color w:val="auto"/>
                <w:sz w:val="24"/>
                <w:lang w:val="en-US" w:eastAsia="zh-CN"/>
              </w:rPr>
              <w:t>1</w:t>
            </w:r>
            <w:r>
              <w:rPr>
                <w:rFonts w:hint="eastAsia"/>
                <w:color w:val="auto"/>
                <w:sz w:val="24"/>
              </w:rPr>
              <w:t>中非重点行业II时段排放限值；硫酸雾、氯化氢、VOCs 的无组织排放量很小，厂界浓度预计可以满足《大气污染物综合排放标准》（GB16297-1996）表 2、《制药工业大气污染物排放标准》（GB37823-2019）表</w:t>
            </w:r>
            <w:r>
              <w:rPr>
                <w:rFonts w:hint="eastAsia"/>
                <w:color w:val="auto"/>
                <w:sz w:val="24"/>
                <w:lang w:val="en-US" w:eastAsia="zh-CN"/>
              </w:rPr>
              <w:t>4</w:t>
            </w:r>
            <w:r>
              <w:rPr>
                <w:rFonts w:hint="eastAsia"/>
                <w:color w:val="auto"/>
                <w:sz w:val="24"/>
              </w:rPr>
              <w:t>浓度限值、《挥发性有机物排放标准第</w:t>
            </w:r>
            <w:r>
              <w:rPr>
                <w:rFonts w:hint="eastAsia"/>
                <w:color w:val="auto"/>
                <w:sz w:val="24"/>
                <w:lang w:val="en-US" w:eastAsia="zh-CN"/>
              </w:rPr>
              <w:t>7</w:t>
            </w:r>
            <w:r>
              <w:rPr>
                <w:rFonts w:hint="eastAsia"/>
                <w:color w:val="auto"/>
                <w:sz w:val="24"/>
              </w:rPr>
              <w:t>部分：其他行业》（DB37/2801.7-2019） 表</w:t>
            </w:r>
            <w:r>
              <w:rPr>
                <w:rFonts w:hint="eastAsia"/>
                <w:color w:val="auto"/>
                <w:sz w:val="24"/>
                <w:lang w:val="en-US" w:eastAsia="zh-CN"/>
              </w:rPr>
              <w:t>2</w:t>
            </w:r>
            <w:r>
              <w:rPr>
                <w:rFonts w:hint="eastAsia"/>
                <w:color w:val="auto"/>
                <w:sz w:val="24"/>
              </w:rPr>
              <w:t>厂界监控点浓度限值、《制药工业大气污染物排放标准》（GB37823-2019）、《挥发性有机物无组织排放控制标准》（GB37822-2019）。</w:t>
            </w:r>
          </w:p>
          <w:p>
            <w:pPr>
              <w:rPr>
                <w:color w:val="auto"/>
              </w:rPr>
            </w:pPr>
            <w:r>
              <w:rPr>
                <w:rFonts w:hint="eastAsia"/>
                <w:color w:val="auto"/>
                <w:sz w:val="24"/>
              </w:rPr>
              <w:t>本项目所在区域环境质量现状一般，废气污染物排放量小、浓度低，能够达标排放，周围环境保护目标较少、距离较远，废气排放的环境影响较小。</w:t>
            </w:r>
          </w:p>
          <w:p>
            <w:pPr>
              <w:widowControl/>
              <w:ind w:firstLine="480"/>
              <w:jc w:val="left"/>
              <w:rPr>
                <w:color w:val="auto"/>
                <w:kern w:val="0"/>
                <w:highlight w:val="none"/>
                <w:lang w:bidi="ar"/>
              </w:rPr>
            </w:pPr>
            <w:r>
              <w:rPr>
                <w:color w:val="auto"/>
                <w:kern w:val="0"/>
                <w:highlight w:val="none"/>
                <w:lang w:bidi="ar"/>
              </w:rPr>
              <w:t xml:space="preserve">（2）水环境影响分析 </w:t>
            </w:r>
          </w:p>
          <w:p>
            <w:pPr>
              <w:adjustRightInd w:val="0"/>
              <w:spacing w:line="360" w:lineRule="auto"/>
              <w:ind w:firstLine="480" w:firstLineChars="200"/>
              <w:rPr>
                <w:rFonts w:hint="eastAsia"/>
                <w:color w:val="auto"/>
                <w:sz w:val="24"/>
              </w:rPr>
            </w:pPr>
            <w:r>
              <w:rPr>
                <w:rFonts w:hint="eastAsia"/>
                <w:color w:val="auto"/>
                <w:sz w:val="24"/>
              </w:rPr>
              <w:t>项目废水主要包括地面清洁废水、实验器皿清洗废水、实验过程废液和生活污水。其中实验器皿首次清洗废液、实验器皿二次清洗废液、实验过程废液属于危险废物，暂存于危废暂存间，委托有资质的单位进行处置，不外排；其他废水553.31 m</w:t>
            </w:r>
            <w:r>
              <w:rPr>
                <w:rFonts w:hint="eastAsia"/>
                <w:color w:val="auto"/>
                <w:sz w:val="24"/>
                <w:vertAlign w:val="superscript"/>
              </w:rPr>
              <w:t>3</w:t>
            </w:r>
            <w:r>
              <w:rPr>
                <w:rFonts w:hint="eastAsia"/>
                <w:color w:val="auto"/>
                <w:sz w:val="24"/>
              </w:rPr>
              <w:t>/a，经产业园污水处理站处理后排入林业示范园水质净化厂处理，最终排入东巨野河支流。</w:t>
            </w:r>
          </w:p>
          <w:p>
            <w:pPr>
              <w:adjustRightInd w:val="0"/>
              <w:spacing w:line="360" w:lineRule="auto"/>
              <w:ind w:firstLine="480" w:firstLineChars="200"/>
              <w:rPr>
                <w:rFonts w:hint="eastAsia"/>
                <w:color w:val="auto"/>
                <w:sz w:val="24"/>
              </w:rPr>
            </w:pPr>
            <w:r>
              <w:rPr>
                <w:rFonts w:hint="eastAsia"/>
                <w:color w:val="auto"/>
                <w:sz w:val="24"/>
              </w:rPr>
              <w:t>林业示范园水质净化厂的配套管网工程目前已建设至本项目所在产业园。本项目废水经产业园污水处理站预处理后，出水水质满足《污水排入城镇下水道水质标准》（GB/T31962-2015）B 等级标准和林业示范园水质净化厂进水水质要求。本项目废水总排放量约为</w:t>
            </w:r>
            <w:r>
              <w:rPr>
                <w:rFonts w:hint="eastAsia"/>
                <w:color w:val="auto"/>
                <w:sz w:val="24"/>
                <w:lang w:val="en-US" w:eastAsia="zh-CN"/>
              </w:rPr>
              <w:t>1.84</w:t>
            </w:r>
            <w:r>
              <w:rPr>
                <w:rFonts w:hint="eastAsia"/>
                <w:color w:val="auto"/>
                <w:sz w:val="24"/>
              </w:rPr>
              <w:t xml:space="preserve"> m</w:t>
            </w:r>
            <w:r>
              <w:rPr>
                <w:rFonts w:hint="eastAsia"/>
                <w:color w:val="auto"/>
                <w:sz w:val="24"/>
                <w:vertAlign w:val="superscript"/>
              </w:rPr>
              <w:t>3</w:t>
            </w:r>
            <w:r>
              <w:rPr>
                <w:rFonts w:hint="eastAsia"/>
                <w:color w:val="auto"/>
                <w:sz w:val="24"/>
              </w:rPr>
              <w:t>/a，林业示范园水质净化厂处理余量约</w:t>
            </w:r>
            <w:r>
              <w:rPr>
                <w:rFonts w:hint="eastAsia"/>
                <w:color w:val="auto"/>
                <w:sz w:val="24"/>
                <w:lang w:val="en-US" w:eastAsia="zh-CN"/>
              </w:rPr>
              <w:t>600</w:t>
            </w:r>
            <w:r>
              <w:rPr>
                <w:rFonts w:hint="eastAsia"/>
                <w:color w:val="auto"/>
                <w:sz w:val="24"/>
              </w:rPr>
              <w:t xml:space="preserve"> m</w:t>
            </w:r>
            <w:r>
              <w:rPr>
                <w:rFonts w:hint="eastAsia"/>
                <w:color w:val="auto"/>
                <w:sz w:val="24"/>
                <w:vertAlign w:val="superscript"/>
              </w:rPr>
              <w:t>3</w:t>
            </w:r>
            <w:r>
              <w:rPr>
                <w:rFonts w:hint="eastAsia"/>
                <w:color w:val="auto"/>
                <w:sz w:val="24"/>
              </w:rPr>
              <w:t>/a，占林业示范园水质净化厂处理余量的0.3%，对林业示范园水质净化厂正常运行造成的负荷冲击较小。因此，从水质、水量和管网配套等综合分析，本项目废水经产业园污水处理站处理后排入排入林业示范园水质净化厂处理是可行的。</w:t>
            </w:r>
          </w:p>
          <w:p>
            <w:pPr>
              <w:rPr>
                <w:color w:val="auto"/>
              </w:rPr>
            </w:pPr>
            <w:r>
              <w:rPr>
                <w:rFonts w:hint="eastAsia"/>
                <w:color w:val="auto"/>
                <w:sz w:val="24"/>
              </w:rPr>
              <w:t>综上所述，建设项目废水从水质、水量和污水管网配套方面考虑，进入产业园污水处理站和林业示范园水质净化厂处理是可靠的，对水环境影响较小。</w:t>
            </w:r>
          </w:p>
          <w:p>
            <w:pPr>
              <w:widowControl/>
              <w:ind w:firstLine="480"/>
              <w:jc w:val="left"/>
              <w:rPr>
                <w:color w:val="auto"/>
                <w:kern w:val="0"/>
                <w:highlight w:val="none"/>
                <w:lang w:bidi="ar"/>
              </w:rPr>
            </w:pPr>
            <w:r>
              <w:rPr>
                <w:color w:val="auto"/>
                <w:kern w:val="0"/>
                <w:highlight w:val="none"/>
                <w:lang w:bidi="ar"/>
              </w:rPr>
              <w:t xml:space="preserve">（3）噪声环境影响分析 </w:t>
            </w:r>
          </w:p>
          <w:p>
            <w:pPr>
              <w:bidi w:val="0"/>
              <w:adjustRightInd/>
              <w:snapToGrid/>
              <w:spacing w:line="360" w:lineRule="auto"/>
              <w:ind w:firstLine="480" w:firstLineChars="200"/>
              <w:rPr>
                <w:rFonts w:cs="Times New Roman"/>
                <w:color w:val="auto"/>
                <w:szCs w:val="24"/>
              </w:rPr>
            </w:pPr>
            <w:r>
              <w:rPr>
                <w:rFonts w:hint="eastAsia"/>
                <w:color w:val="auto"/>
                <w:sz w:val="24"/>
              </w:rPr>
              <w:t>项目运营期噪声源主要是实验仪器、通风柜、离心机等设备，均在室内运行，源强约为55~70dB（A）。本项目噪声拟采取以下防治措施：在设备选型时优先选用低噪声设备，加设隔声材料，减振安装；设备运行时，尽量减少两个或者以上的高噪声设备同时使用；高噪声设备合理布置，尽量远离厂界和办公区；加强管理，经常保养和维护机械设备，避免设备在不良状态下运行。本项目厂界距离最近的环境保护目标约</w:t>
            </w:r>
            <w:r>
              <w:rPr>
                <w:rFonts w:hint="eastAsia"/>
                <w:color w:val="auto"/>
                <w:sz w:val="24"/>
                <w:lang w:val="en-US" w:eastAsia="zh-CN"/>
              </w:rPr>
              <w:t>315</w:t>
            </w:r>
            <w:r>
              <w:rPr>
                <w:rFonts w:hint="eastAsia"/>
                <w:color w:val="auto"/>
                <w:sz w:val="24"/>
              </w:rPr>
              <w:t xml:space="preserve"> m，本项目噪声经过距离衰减约50.0 dB(A)；且本项目与之间环境保护目标有其他建筑物，再加上遮挡物引起的衰减，对环境保护目标处声环境质量影响很小。</w:t>
            </w:r>
          </w:p>
          <w:p>
            <w:pPr>
              <w:widowControl/>
              <w:ind w:firstLine="480"/>
              <w:jc w:val="left"/>
              <w:rPr>
                <w:color w:val="auto"/>
                <w:kern w:val="0"/>
                <w:highlight w:val="none"/>
                <w:lang w:bidi="ar"/>
              </w:rPr>
            </w:pPr>
            <w:r>
              <w:rPr>
                <w:color w:val="auto"/>
                <w:kern w:val="0"/>
                <w:highlight w:val="none"/>
                <w:lang w:bidi="ar"/>
              </w:rPr>
              <w:t xml:space="preserve">（4）固体废物的处置分析 </w:t>
            </w:r>
          </w:p>
          <w:p>
            <w:pPr>
              <w:pStyle w:val="33"/>
              <w:rPr>
                <w:rFonts w:hint="eastAsia" w:cs="Times New Roman"/>
                <w:color w:val="auto"/>
                <w:szCs w:val="24"/>
              </w:rPr>
            </w:pPr>
            <w:r>
              <w:rPr>
                <w:rFonts w:hint="eastAsia" w:cs="Times New Roman"/>
                <w:color w:val="auto"/>
                <w:szCs w:val="24"/>
              </w:rPr>
              <w:t>项目运营期产生的固废主要包括废包装材料、实验废物、废活性炭和生活垃圾等。</w:t>
            </w:r>
          </w:p>
          <w:p>
            <w:pPr>
              <w:pStyle w:val="33"/>
              <w:rPr>
                <w:rFonts w:hint="eastAsia" w:cs="Times New Roman"/>
                <w:color w:val="auto"/>
                <w:szCs w:val="24"/>
              </w:rPr>
            </w:pPr>
            <w:r>
              <w:rPr>
                <w:rFonts w:hint="eastAsia" w:cs="Times New Roman"/>
                <w:color w:val="auto"/>
                <w:szCs w:val="24"/>
              </w:rPr>
              <w:t>本项目产生实验废物（HW49 900-047-49）10.3 t/a、废活性炭（HW49，900-041-49）0.211 t/a，存放于危废暂存间内，2种危废分别使用专用的危废储存容器封装，委托有危废处理资质的单位处理，每季清运一次。设置</w:t>
            </w:r>
            <w:r>
              <w:rPr>
                <w:rFonts w:hint="eastAsia" w:cs="Times New Roman"/>
                <w:color w:val="auto"/>
                <w:szCs w:val="24"/>
                <w:lang w:val="en-US" w:eastAsia="zh-CN"/>
              </w:rPr>
              <w:t>1</w:t>
            </w:r>
            <w:r>
              <w:rPr>
                <w:rFonts w:hint="eastAsia" w:cs="Times New Roman"/>
                <w:color w:val="auto"/>
                <w:szCs w:val="24"/>
              </w:rPr>
              <w:t>间危废暂存间，面积约</w:t>
            </w:r>
            <w:r>
              <w:rPr>
                <w:rFonts w:hint="eastAsia" w:cs="Times New Roman"/>
                <w:color w:val="auto"/>
                <w:szCs w:val="24"/>
                <w:lang w:val="en-US" w:eastAsia="zh-CN"/>
              </w:rPr>
              <w:t>16m</w:t>
            </w:r>
            <w:r>
              <w:rPr>
                <w:rFonts w:hint="eastAsia" w:cs="Times New Roman"/>
                <w:color w:val="auto"/>
                <w:szCs w:val="24"/>
                <w:vertAlign w:val="superscript"/>
                <w:lang w:val="en-US" w:eastAsia="zh-CN"/>
              </w:rPr>
              <w:t>2</w:t>
            </w:r>
            <w:r>
              <w:rPr>
                <w:rFonts w:hint="eastAsia" w:cs="Times New Roman"/>
                <w:color w:val="auto"/>
                <w:szCs w:val="24"/>
              </w:rPr>
              <w:t>，主要用于暂存实验废物和废活性炭，满足储存需求。储存过程危废不接触环境，不混装，不会对环境空气、地表水、地下水、土壤以及环境敏感保护目标造成影响。</w:t>
            </w:r>
          </w:p>
          <w:p>
            <w:pPr>
              <w:pStyle w:val="33"/>
              <w:rPr>
                <w:rFonts w:hint="eastAsia" w:cs="Times New Roman"/>
                <w:color w:val="auto"/>
                <w:szCs w:val="24"/>
              </w:rPr>
            </w:pPr>
            <w:r>
              <w:rPr>
                <w:rFonts w:hint="eastAsia" w:cs="Times New Roman"/>
                <w:color w:val="auto"/>
                <w:szCs w:val="24"/>
              </w:rPr>
              <w:t>危废的厂内储存由专人负责，确保不出现散落、外泄，不与产品和或其他固废混装。在向厂外转移危险废物前，按照国家有关规定填写危废转运联单，并报告当地环境保护行政主管部门。厂外运输由危废处置单位安排专业运输车，不会对运输路线沿线的环境敏感点造成影响。</w:t>
            </w:r>
          </w:p>
          <w:p>
            <w:pPr>
              <w:pStyle w:val="33"/>
              <w:rPr>
                <w:rFonts w:hint="eastAsia" w:cs="Times New Roman"/>
                <w:color w:val="auto"/>
                <w:szCs w:val="24"/>
              </w:rPr>
            </w:pPr>
            <w:r>
              <w:rPr>
                <w:rFonts w:hint="eastAsia" w:cs="Times New Roman"/>
                <w:color w:val="auto"/>
                <w:szCs w:val="24"/>
              </w:rPr>
              <w:t>本项目固废处置合理，一般固废的处置符合《一般工业固体废物贮存、处置场污染控制标准》（GB18599-2001）及其修改单的要求；本项目危险废物可以及时送交有资质的处理单位统一处理，危险废物的处理措施和处置方案满足《危险废物贮存污染控制标准》（GB18597-2001）及修改单要求，对周围环境影响很小。</w:t>
            </w:r>
          </w:p>
          <w:p>
            <w:pPr>
              <w:ind w:firstLine="482"/>
              <w:rPr>
                <w:b/>
                <w:bCs/>
                <w:color w:val="auto"/>
                <w:highlight w:val="none"/>
              </w:rPr>
            </w:pPr>
            <w:r>
              <w:rPr>
                <w:b/>
                <w:bCs/>
                <w:color w:val="auto"/>
                <w:highlight w:val="none"/>
              </w:rPr>
              <w:t>2、建议</w:t>
            </w:r>
          </w:p>
          <w:p>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color w:val="auto"/>
                <w:sz w:val="24"/>
                <w:lang w:eastAsia="zh-CN"/>
              </w:rPr>
            </w:pPr>
            <w:r>
              <w:rPr>
                <w:rFonts w:hint="eastAsia" w:cs="Times New Roman"/>
                <w:b w:val="0"/>
                <w:bCs w:val="0"/>
                <w:color w:val="auto"/>
                <w:sz w:val="24"/>
                <w:lang w:eastAsia="zh-CN"/>
              </w:rPr>
              <w:t>（</w:t>
            </w:r>
            <w:r>
              <w:rPr>
                <w:rFonts w:hint="eastAsia" w:cs="Times New Roman"/>
                <w:b w:val="0"/>
                <w:bCs w:val="0"/>
                <w:color w:val="auto"/>
                <w:sz w:val="24"/>
                <w:lang w:val="en-US" w:eastAsia="zh-CN"/>
              </w:rPr>
              <w:t>1</w:t>
            </w:r>
            <w:r>
              <w:rPr>
                <w:rFonts w:hint="eastAsia" w:cs="Times New Roman"/>
                <w:b w:val="0"/>
                <w:bCs w:val="0"/>
                <w:color w:val="auto"/>
                <w:sz w:val="24"/>
                <w:lang w:eastAsia="zh-CN"/>
              </w:rPr>
              <w:t>）</w:t>
            </w:r>
            <w:r>
              <w:rPr>
                <w:rFonts w:hint="default" w:eastAsia="宋体" w:cs="Times New Roman"/>
                <w:b w:val="0"/>
                <w:bCs w:val="0"/>
                <w:color w:val="auto"/>
                <w:sz w:val="24"/>
                <w:lang w:eastAsia="zh-CN"/>
              </w:rPr>
              <w:t>污染防治设施须与主体工程实现“三同时”，试运行后，建设单位应对项目配套建设的环境保护设施进行自主竣工验收。</w:t>
            </w:r>
          </w:p>
          <w:p>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color w:val="auto"/>
                <w:sz w:val="24"/>
                <w:lang w:eastAsia="zh-CN"/>
              </w:rPr>
            </w:pPr>
            <w:r>
              <w:rPr>
                <w:rFonts w:hint="eastAsia" w:cs="Times New Roman"/>
                <w:b w:val="0"/>
                <w:bCs w:val="0"/>
                <w:color w:val="auto"/>
                <w:sz w:val="24"/>
                <w:lang w:eastAsia="zh-CN"/>
              </w:rPr>
              <w:t>（</w:t>
            </w:r>
            <w:r>
              <w:rPr>
                <w:rFonts w:hint="eastAsia" w:cs="Times New Roman"/>
                <w:b w:val="0"/>
                <w:bCs w:val="0"/>
                <w:color w:val="auto"/>
                <w:sz w:val="24"/>
                <w:lang w:val="en-US" w:eastAsia="zh-CN"/>
              </w:rPr>
              <w:t>2</w:t>
            </w:r>
            <w:r>
              <w:rPr>
                <w:rFonts w:hint="eastAsia" w:cs="Times New Roman"/>
                <w:b w:val="0"/>
                <w:bCs w:val="0"/>
                <w:color w:val="auto"/>
                <w:sz w:val="24"/>
                <w:lang w:eastAsia="zh-CN"/>
              </w:rPr>
              <w:t>）</w:t>
            </w:r>
            <w:r>
              <w:rPr>
                <w:rFonts w:hint="default" w:eastAsia="宋体" w:cs="Times New Roman"/>
                <w:b w:val="0"/>
                <w:bCs w:val="0"/>
                <w:color w:val="auto"/>
                <w:sz w:val="24"/>
                <w:lang w:eastAsia="zh-CN"/>
              </w:rPr>
              <w:t>本项目属于《固定污染源排污许可分类管理名录》（2019 年版）中未作规定的排污单位，若确需纳入排污许可管理，其排污许可管理类别由省级生态环境主管部门提出建议，报生态环境部确定。</w:t>
            </w:r>
          </w:p>
          <w:p>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eastAsia" w:cs="Times New Roman"/>
                <w:b w:val="0"/>
                <w:bCs w:val="0"/>
                <w:color w:val="auto"/>
                <w:sz w:val="24"/>
                <w:lang w:eastAsia="zh-CN"/>
              </w:rPr>
            </w:pPr>
            <w:r>
              <w:rPr>
                <w:rFonts w:hint="eastAsia" w:cs="Times New Roman"/>
                <w:b w:val="0"/>
                <w:bCs w:val="0"/>
                <w:color w:val="auto"/>
                <w:sz w:val="24"/>
                <w:lang w:eastAsia="zh-CN"/>
              </w:rPr>
              <w:t>（</w:t>
            </w:r>
            <w:r>
              <w:rPr>
                <w:rFonts w:hint="eastAsia" w:cs="Times New Roman"/>
                <w:b w:val="0"/>
                <w:bCs w:val="0"/>
                <w:color w:val="auto"/>
                <w:sz w:val="24"/>
                <w:lang w:val="en-US" w:eastAsia="zh-CN"/>
              </w:rPr>
              <w:t>3</w:t>
            </w:r>
            <w:r>
              <w:rPr>
                <w:rFonts w:hint="eastAsia" w:cs="Times New Roman"/>
                <w:b w:val="0"/>
                <w:bCs w:val="0"/>
                <w:color w:val="auto"/>
                <w:sz w:val="24"/>
                <w:lang w:eastAsia="zh-CN"/>
              </w:rPr>
              <w:t>）</w:t>
            </w:r>
            <w:r>
              <w:rPr>
                <w:rFonts w:hint="default" w:eastAsia="宋体" w:cs="Times New Roman"/>
                <w:b w:val="0"/>
                <w:bCs w:val="0"/>
                <w:color w:val="auto"/>
                <w:sz w:val="24"/>
                <w:lang w:eastAsia="zh-CN"/>
              </w:rPr>
              <w:t>排污口标志牌应按照《环境保护图形标志-排放口（源）》（GB 15562.1-1995）、《环境保护图形标志-固体废物贮存（处置）场》（GB15562.2-1995）等规范化设置，根据《固定污染源废气低浓度排放监测技术规范》（DB37-T-2706-2015）规范采样平台、采样口和爬梯</w:t>
            </w:r>
            <w:r>
              <w:rPr>
                <w:rFonts w:hint="eastAsia" w:cs="Times New Roman"/>
                <w:b w:val="0"/>
                <w:bCs w:val="0"/>
                <w:color w:val="auto"/>
                <w:sz w:val="24"/>
                <w:lang w:eastAsia="zh-CN"/>
              </w:rPr>
              <w:t>。</w:t>
            </w: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r>
              <w:rPr>
                <w:rFonts w:cs="Times New Roman"/>
                <w:b/>
                <w:bCs/>
                <w:color w:val="auto"/>
                <w:highlight w:val="none"/>
              </w:rPr>
              <w:t>二、环评批复</w:t>
            </w:r>
          </w:p>
          <w:p>
            <w:pPr>
              <w:keepNext w:val="0"/>
              <w:keepLines w:val="0"/>
              <w:widowControl/>
              <w:suppressLineNumbers w:val="0"/>
              <w:ind w:firstLine="480" w:firstLineChars="200"/>
              <w:jc w:val="right"/>
              <w:rPr>
                <w:rFonts w:hint="default"/>
                <w:color w:val="auto"/>
                <w:sz w:val="24"/>
                <w:lang w:val="en-US" w:eastAsia="zh-CN"/>
              </w:rPr>
            </w:pPr>
            <w:bookmarkStart w:id="121" w:name="bookmark5"/>
            <w:bookmarkStart w:id="122" w:name="bookmark3"/>
            <w:bookmarkStart w:id="123" w:name="bookmark4"/>
            <w:r>
              <w:rPr>
                <w:rFonts w:hint="default"/>
                <w:color w:val="auto"/>
                <w:sz w:val="24"/>
                <w:lang w:val="en-US" w:eastAsia="zh-CN"/>
              </w:rPr>
              <w:t>济环报告表[2021]G47号</w:t>
            </w:r>
          </w:p>
          <w:p>
            <w:pPr>
              <w:keepNext w:val="0"/>
              <w:keepLines w:val="0"/>
              <w:widowControl/>
              <w:suppressLineNumbers w:val="0"/>
              <w:ind w:firstLine="0" w:firstLineChars="0"/>
              <w:jc w:val="center"/>
              <w:rPr>
                <w:rFonts w:hint="default"/>
                <w:color w:val="auto"/>
                <w:sz w:val="24"/>
                <w:lang w:val="en-US" w:eastAsia="zh-CN"/>
              </w:rPr>
            </w:pPr>
            <w:r>
              <w:rPr>
                <w:rFonts w:hint="default"/>
                <w:color w:val="auto"/>
                <w:sz w:val="24"/>
                <w:lang w:val="en-US" w:eastAsia="zh-CN"/>
              </w:rPr>
              <w:t>济南市生态环境局关于</w:t>
            </w:r>
            <w:r>
              <w:rPr>
                <w:rFonts w:hint="eastAsia"/>
                <w:color w:val="auto"/>
                <w:sz w:val="24"/>
                <w:lang w:val="en-US" w:eastAsia="zh-CN"/>
              </w:rPr>
              <w:t>国鼎药物研究（济南）有限责任公司</w:t>
            </w:r>
            <w:r>
              <w:rPr>
                <w:rFonts w:hint="default"/>
                <w:color w:val="auto"/>
                <w:sz w:val="24"/>
                <w:lang w:val="en-US" w:eastAsia="zh-CN"/>
              </w:rPr>
              <w:t>国鼎药物研发实验室项目环境影响报告表的批复</w:t>
            </w:r>
          </w:p>
          <w:p>
            <w:pPr>
              <w:keepNext w:val="0"/>
              <w:keepLines w:val="0"/>
              <w:widowControl/>
              <w:suppressLineNumbers w:val="0"/>
              <w:ind w:firstLine="0" w:firstLineChars="0"/>
              <w:jc w:val="left"/>
              <w:rPr>
                <w:rFonts w:hint="default"/>
                <w:color w:val="auto"/>
                <w:sz w:val="24"/>
                <w:lang w:val="en-US" w:eastAsia="zh-CN"/>
              </w:rPr>
            </w:pPr>
            <w:r>
              <w:rPr>
                <w:rFonts w:hint="eastAsia"/>
                <w:color w:val="auto"/>
                <w:sz w:val="24"/>
                <w:lang w:val="en-US" w:eastAsia="zh-CN"/>
              </w:rPr>
              <w:t>国鼎药物研究（济南）有限责任公司：</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一、</w:t>
            </w:r>
            <w:r>
              <w:rPr>
                <w:rFonts w:hint="eastAsia"/>
                <w:color w:val="auto"/>
                <w:sz w:val="24"/>
                <w:lang w:val="en-US" w:eastAsia="zh-CN"/>
              </w:rPr>
              <w:t>国鼎药物研究（济南）有限责任公司</w:t>
            </w:r>
            <w:r>
              <w:rPr>
                <w:rFonts w:hint="default"/>
                <w:color w:val="auto"/>
                <w:sz w:val="24"/>
                <w:lang w:val="en-US" w:eastAsia="zh-CN"/>
              </w:rPr>
              <w:t>国鼎药物研发实验室项目位于山东省济南高新区世纪大道2566号济南迪亚双创产业园7号楼5层。项目占地面积122356</w:t>
            </w:r>
            <w:r>
              <w:rPr>
                <w:rFonts w:hint="eastAsia"/>
                <w:color w:val="auto"/>
                <w:sz w:val="24"/>
                <w:lang w:val="en-US" w:eastAsia="zh-CN"/>
              </w:rPr>
              <w:t>m</w:t>
            </w:r>
            <w:r>
              <w:rPr>
                <w:rFonts w:hint="eastAsia"/>
                <w:color w:val="auto"/>
                <w:sz w:val="24"/>
                <w:vertAlign w:val="superscript"/>
                <w:lang w:val="en-US" w:eastAsia="zh-CN"/>
              </w:rPr>
              <w:t>2</w:t>
            </w:r>
            <w:r>
              <w:rPr>
                <w:rFonts w:hint="default"/>
                <w:color w:val="auto"/>
                <w:sz w:val="24"/>
                <w:lang w:val="en-US" w:eastAsia="zh-CN"/>
              </w:rPr>
              <w:t>。总投资500万元。项目主要为新药研发化学合成与分析报告、新药样品。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二、项目建设应重点做好以下工作</w:t>
            </w:r>
            <w:r>
              <w:rPr>
                <w:rFonts w:hint="eastAsia"/>
                <w:color w:val="auto"/>
                <w:sz w:val="24"/>
                <w:lang w:val="en-US" w:eastAsia="zh-CN"/>
              </w:rPr>
              <w:t>：</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(一)项目废包装物综合利用，生活垃圾由环卫部门定期清运，废RO膜由厂家回收。建设危险废物贮存场所，实验废物、废活性炭等危险废物委托有资质的单位处置。</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(二)项目地面清洁废水、实验器皿第三次和第四次清洗废水、生活污水经园区内污水处理站处理，满足《污水排入城镇下水道水质标准》(GB/T31962-2015)标准要求后，经市政污水管网排入林业示范园水质净化厂。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(三)项目产生的氯化氢经废气处理设施处理，满足《制药工业大气污染物排放标准》(GB37823-2019)表2中研发机构工艺废气要求后排放。</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项目产生的硫酸雾经废气处理设施处理，满足《大气污染物综合排放标准》(GB16297-1996)表2标准要求后排放。</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项目产生的VOCs经废气处理设施处理，满足《制药工业大气污染物排放标准》(GB37823-2019)表2中研发机构工艺废气要求后排放。</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无组织氯化氢满足《制药工业大气污染物排放标准》(GB37823-2019)表4企业边界大气污染物浓度和《大气污染物综合排放标准》(GB16297-1996)表2标准限值要求。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无组织硫酸雾满足《大气污染物综合排放标准》(GB16297-1996)表2标准浓度限值要求。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无组织VOCs满足《挥发性有机物排放标准第7部分:其他行业》(DB37/28017-2019)表2监控点浓度限值、《制药工业大气污染物排放标准》(GB37823-2019)和《挥发性有机物无组织排放控制标准》(GB37822-2019)标准要求。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color w:val="auto"/>
                <w:sz w:val="24"/>
                <w:lang w:val="en-US" w:eastAsia="zh-CN"/>
              </w:rPr>
            </w:pPr>
            <w:r>
              <w:rPr>
                <w:rFonts w:hint="default"/>
                <w:color w:val="auto"/>
                <w:sz w:val="24"/>
                <w:lang w:val="en-US" w:eastAsia="zh-CN"/>
              </w:rPr>
              <w:t>三、该项目建成后，要按《建设项目竣工环境保护验收暂行办法》的规定程序进行建设项目竣工环境保护验收。并按国家有关规定申领排污许可证。</w:t>
            </w:r>
          </w:p>
          <w:p>
            <w:pPr>
              <w:widowControl/>
              <w:ind w:firstLine="480"/>
              <w:jc w:val="right"/>
              <w:rPr>
                <w:rFonts w:hint="eastAsia" w:eastAsia="宋体"/>
                <w:color w:val="auto"/>
                <w:highlight w:val="none"/>
                <w:lang w:eastAsia="zh-CN"/>
              </w:rPr>
            </w:pPr>
          </w:p>
          <w:bookmarkEnd w:id="121"/>
          <w:bookmarkEnd w:id="122"/>
          <w:bookmarkEnd w:id="123"/>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r>
              <w:rPr>
                <w:rFonts w:cs="Times New Roman"/>
                <w:b/>
                <w:bCs/>
                <w:color w:val="auto"/>
                <w:highlight w:val="none"/>
              </w:rPr>
              <w:t>三、环评批复落实情况</w:t>
            </w:r>
          </w:p>
          <w:tbl>
            <w:tblPr>
              <w:tblStyle w:val="28"/>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3"/>
              <w:gridCol w:w="3251"/>
              <w:gridCol w:w="3287"/>
              <w:gridCol w:w="13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9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1923"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8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s="Times New Roman"/>
                      <w:color w:val="auto"/>
                      <w:sz w:val="21"/>
                      <w:szCs w:val="21"/>
                      <w:lang w:val="en-US" w:eastAsia="zh-CN"/>
                    </w:rPr>
                    <w:t>国鼎药物研究（济南）有限责任公司</w:t>
                  </w:r>
                  <w:r>
                    <w:rPr>
                      <w:rFonts w:hint="default" w:ascii="Times New Roman" w:hAnsi="Times New Roman" w:eastAsia="宋体" w:cs="Times New Roman"/>
                      <w:color w:val="auto"/>
                      <w:sz w:val="21"/>
                      <w:szCs w:val="21"/>
                      <w:lang w:val="en-US" w:eastAsia="zh-CN"/>
                    </w:rPr>
                    <w:t>国鼎药物研发实验室项目位于山东省济南高新区世纪大道2566号济南迪亚双创产业园7号楼5层。项目占地面积122356m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。总投资500万元。项目主要为新药研发化学合成与分析报告、新药样品。</w:t>
                  </w:r>
                </w:p>
              </w:tc>
              <w:tc>
                <w:tcPr>
                  <w:tcW w:w="1923"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s="Times New Roman"/>
                      <w:color w:val="auto"/>
                      <w:sz w:val="21"/>
                      <w:szCs w:val="21"/>
                      <w:lang w:val="en-US" w:eastAsia="zh-CN"/>
                    </w:rPr>
                    <w:t>国鼎药物研究（济南）有限责任公司</w:t>
                  </w:r>
                  <w:r>
                    <w:rPr>
                      <w:rFonts w:hint="default" w:ascii="Times New Roman" w:hAnsi="Times New Roman" w:eastAsia="宋体" w:cs="Times New Roman"/>
                      <w:color w:val="auto"/>
                      <w:sz w:val="21"/>
                      <w:szCs w:val="21"/>
                      <w:lang w:val="en-US" w:eastAsia="zh-CN"/>
                    </w:rPr>
                    <w:t>国鼎药物研发实验室项目</w:t>
                  </w: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位于山东省济南高新区世纪大道2566号济南迪亚双创产业园7号楼5层。项目占地面积122356m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总投资</w:t>
                  </w:r>
                  <w:r>
                    <w:rPr>
                      <w:rFonts w:hint="eastAsia" w:cs="Times New Roman"/>
                      <w:color w:val="auto"/>
                      <w:sz w:val="21"/>
                      <w:szCs w:val="21"/>
                      <w:lang w:val="en-US" w:eastAsia="zh-CN"/>
                    </w:rPr>
                    <w:t>450</w:t>
                  </w:r>
                  <w:r>
                    <w:rPr>
                      <w:rFonts w:hint="default" w:ascii="Times New Roman" w:hAnsi="Times New Roman" w:eastAsia="宋体" w:cs="Times New Roman"/>
                      <w:color w:val="auto"/>
                      <w:sz w:val="21"/>
                      <w:szCs w:val="21"/>
                      <w:lang w:val="en-US" w:eastAsia="zh-CN"/>
                    </w:rPr>
                    <w:t>万元。项目主要为新药研发化学合成与分析报告、新药样品。</w:t>
                  </w:r>
                </w:p>
              </w:tc>
              <w:tc>
                <w:tcPr>
                  <w:tcW w:w="802" w:type="pct"/>
                  <w:tcBorders>
                    <w:tl2br w:val="nil"/>
                    <w:tr2bl w:val="nil"/>
                  </w:tcBorders>
                  <w:shd w:val="clear" w:color="auto" w:fill="auto"/>
                  <w:vAlign w:val="center"/>
                </w:tcPr>
                <w:p>
                  <w:pPr>
                    <w:pStyle w:val="22"/>
                    <w:jc w:val="center"/>
                    <w:rPr>
                      <w:rFonts w:hint="eastAsia" w:ascii="Times New Roman" w:hAnsi="Times New Roman" w:eastAsia="宋体"/>
                      <w:color w:val="auto"/>
                      <w:sz w:val="21"/>
                      <w:szCs w:val="21"/>
                      <w:highlight w:val="none"/>
                      <w:lang w:eastAsia="zh-CN"/>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lang w:eastAsia="zh-CN"/>
                    </w:rPr>
                    <w:t>项目分期建设，一期总投资450万元。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1902" w:type="pct"/>
                  <w:tcBorders>
                    <w:tl2br w:val="nil"/>
                    <w:tr2bl w:val="nil"/>
                  </w:tcBorders>
                  <w:shd w:val="clear" w:color="auto" w:fill="auto"/>
                  <w:vAlign w:val="center"/>
                </w:tcPr>
                <w:p>
                  <w:pPr>
                    <w:spacing w:line="240" w:lineRule="auto"/>
                    <w:ind w:firstLine="420"/>
                    <w:rPr>
                      <w:rFonts w:hint="eastAsia"/>
                      <w:color w:val="auto"/>
                      <w:sz w:val="21"/>
                      <w:szCs w:val="21"/>
                      <w:highlight w:val="none"/>
                    </w:rPr>
                  </w:pPr>
                  <w:r>
                    <w:rPr>
                      <w:rFonts w:hint="eastAsia"/>
                      <w:color w:val="auto"/>
                      <w:sz w:val="21"/>
                      <w:szCs w:val="21"/>
                      <w:highlight w:val="none"/>
                    </w:rPr>
                    <w:t>项目产生的氯化氢经废气处理设施处理，满足《制药工业大气污染物排放标准》(GB37823-2019)表2中研发机构工艺废气要求后排放。</w:t>
                  </w:r>
                </w:p>
                <w:p>
                  <w:pPr>
                    <w:spacing w:line="240" w:lineRule="auto"/>
                    <w:ind w:firstLine="420"/>
                    <w:rPr>
                      <w:rFonts w:hint="eastAsia"/>
                      <w:color w:val="auto"/>
                      <w:sz w:val="21"/>
                      <w:szCs w:val="21"/>
                      <w:highlight w:val="none"/>
                    </w:rPr>
                  </w:pPr>
                  <w:r>
                    <w:rPr>
                      <w:rFonts w:hint="eastAsia"/>
                      <w:color w:val="auto"/>
                      <w:sz w:val="21"/>
                      <w:szCs w:val="21"/>
                      <w:highlight w:val="none"/>
                    </w:rPr>
                    <w:t>项目产生的硫酸雾经废气处理设施处理，满足《大气污染物综合排放标准》(GB16297-1996)表2标准要求后排放。</w:t>
                  </w:r>
                </w:p>
                <w:p>
                  <w:pPr>
                    <w:spacing w:line="240" w:lineRule="auto"/>
                    <w:ind w:firstLine="420"/>
                    <w:rPr>
                      <w:rFonts w:hint="eastAsia"/>
                      <w:color w:val="auto"/>
                      <w:sz w:val="21"/>
                      <w:szCs w:val="21"/>
                      <w:highlight w:val="none"/>
                    </w:rPr>
                  </w:pPr>
                  <w:r>
                    <w:rPr>
                      <w:rFonts w:hint="eastAsia"/>
                      <w:color w:val="auto"/>
                      <w:sz w:val="21"/>
                      <w:szCs w:val="21"/>
                      <w:highlight w:val="none"/>
                    </w:rPr>
                    <w:t>项目产生的VOCs经废气处理设施处理，满足《制药工业大气污染物排放标准》(GB37823-2019)表2中研发机构工艺废气要求后排放。</w:t>
                  </w:r>
                </w:p>
                <w:p>
                  <w:pPr>
                    <w:spacing w:line="240" w:lineRule="auto"/>
                    <w:ind w:firstLine="420"/>
                    <w:rPr>
                      <w:rFonts w:hint="eastAsia"/>
                      <w:color w:val="auto"/>
                      <w:sz w:val="21"/>
                      <w:szCs w:val="21"/>
                      <w:highlight w:val="none"/>
                    </w:rPr>
                  </w:pPr>
                  <w:r>
                    <w:rPr>
                      <w:rFonts w:hint="eastAsia"/>
                      <w:color w:val="auto"/>
                      <w:sz w:val="21"/>
                      <w:szCs w:val="21"/>
                      <w:highlight w:val="none"/>
                    </w:rPr>
                    <w:t>无组织氯化氢满足《制药工业大气污染物排放标准》(GB37823-2019)表4企业边界大气污染物浓度和《大气污染物综合排放标准》(GB16297-1996)表2标准限值要求。</w:t>
                  </w:r>
                </w:p>
                <w:p>
                  <w:pPr>
                    <w:spacing w:line="240" w:lineRule="auto"/>
                    <w:ind w:firstLine="420"/>
                    <w:rPr>
                      <w:rFonts w:hint="eastAsia"/>
                      <w:color w:val="auto"/>
                      <w:sz w:val="21"/>
                      <w:szCs w:val="21"/>
                      <w:highlight w:val="none"/>
                    </w:rPr>
                  </w:pPr>
                  <w:r>
                    <w:rPr>
                      <w:rFonts w:hint="eastAsia"/>
                      <w:color w:val="auto"/>
                      <w:sz w:val="21"/>
                      <w:szCs w:val="21"/>
                      <w:highlight w:val="none"/>
                    </w:rPr>
                    <w:t>无组织硫酸雾满足《大气污染物综合排放标准》(GB16297-1996)表2标准浓度限值要求。</w:t>
                  </w:r>
                </w:p>
                <w:p>
                  <w:pPr>
                    <w:spacing w:line="240" w:lineRule="auto"/>
                    <w:ind w:firstLine="420"/>
                    <w:rPr>
                      <w:color w:val="auto"/>
                      <w:sz w:val="21"/>
                      <w:szCs w:val="21"/>
                      <w:highlight w:val="none"/>
                    </w:rPr>
                  </w:pPr>
                  <w:r>
                    <w:rPr>
                      <w:rFonts w:hint="eastAsia"/>
                      <w:color w:val="auto"/>
                      <w:sz w:val="21"/>
                      <w:szCs w:val="21"/>
                      <w:highlight w:val="none"/>
                    </w:rPr>
                    <w:t>无组织VOCs满足《挥发性有机物排放标准第7部分:其他行业》(DB37/28017-2019)表2监控点浓度限值、《制药工业大气污染物排放标准》(GB37823-2019)和《挥发性有机物无组织排放控制标准》(GB37822-2019)标准要求。</w:t>
                  </w:r>
                </w:p>
              </w:tc>
              <w:tc>
                <w:tcPr>
                  <w:tcW w:w="1923" w:type="pct"/>
                  <w:tcBorders>
                    <w:tl2br w:val="nil"/>
                    <w:tr2bl w:val="nil"/>
                  </w:tcBorders>
                  <w:shd w:val="clear" w:color="auto" w:fill="auto"/>
                  <w:vAlign w:val="center"/>
                </w:tcPr>
                <w:p>
                  <w:pPr>
                    <w:spacing w:line="240" w:lineRule="auto"/>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验收监测期间，实验操作+危废间+试剂库废气排气筒DA001</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VOCs</w:t>
                  </w:r>
                  <w:r>
                    <w:rPr>
                      <w:rFonts w:hint="default" w:ascii="Times New Roman" w:hAnsi="Times New Roman" w:eastAsia="宋体" w:cs="Times New Roman"/>
                      <w:color w:val="auto"/>
                      <w:sz w:val="21"/>
                      <w:szCs w:val="21"/>
                    </w:rPr>
                    <w:t>最大排放浓度为</w:t>
                  </w:r>
                  <w:r>
                    <w:rPr>
                      <w:rFonts w:hint="default" w:ascii="Times New Roman" w:hAnsi="Times New Roman" w:eastAsia="宋体" w:cs="Times New Roman"/>
                      <w:color w:val="auto"/>
                      <w:sz w:val="21"/>
                      <w:szCs w:val="21"/>
                      <w:lang w:val="en-US" w:eastAsia="zh-CN"/>
                    </w:rPr>
                    <w:t>2.07</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，最大排放速率为</w:t>
                  </w:r>
                  <w:r>
                    <w:rPr>
                      <w:rFonts w:hint="default" w:ascii="Times New Roman" w:hAnsi="Times New Roman" w:eastAsia="宋体" w:cs="Times New Roman"/>
                      <w:color w:val="auto"/>
                      <w:sz w:val="21"/>
                      <w:szCs w:val="21"/>
                      <w:lang w:val="en-US" w:eastAsia="zh-CN"/>
                    </w:rPr>
                    <w:t>0.017</w:t>
                  </w:r>
                  <w:r>
                    <w:rPr>
                      <w:rFonts w:hint="default" w:ascii="Times New Roman" w:hAnsi="Times New Roman" w:eastAsia="宋体" w:cs="Times New Roman"/>
                      <w:color w:val="auto"/>
                      <w:sz w:val="21"/>
                      <w:szCs w:val="21"/>
                    </w:rPr>
                    <w:t xml:space="preserve">kg/h </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 xml:space="preserve"> 实验操作废气排气筒DA002</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VOCs</w:t>
                  </w:r>
                  <w:r>
                    <w:rPr>
                      <w:rFonts w:hint="default" w:ascii="Times New Roman" w:hAnsi="Times New Roman" w:eastAsia="宋体" w:cs="Times New Roman"/>
                      <w:color w:val="auto"/>
                      <w:sz w:val="21"/>
                      <w:szCs w:val="21"/>
                    </w:rPr>
                    <w:t>最大排放浓度为</w:t>
                  </w:r>
                  <w:r>
                    <w:rPr>
                      <w:rFonts w:hint="default" w:ascii="Times New Roman" w:hAnsi="Times New Roman" w:eastAsia="宋体" w:cs="Times New Roman"/>
                      <w:color w:val="auto"/>
                      <w:sz w:val="21"/>
                      <w:szCs w:val="21"/>
                      <w:lang w:val="en-US" w:eastAsia="zh-CN"/>
                    </w:rPr>
                    <w:t>2.09</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，最大排放速率为</w:t>
                  </w:r>
                  <w:r>
                    <w:rPr>
                      <w:rFonts w:hint="default" w:ascii="Times New Roman" w:hAnsi="Times New Roman" w:eastAsia="宋体" w:cs="Times New Roman"/>
                      <w:color w:val="auto"/>
                      <w:sz w:val="21"/>
                      <w:szCs w:val="21"/>
                      <w:lang w:val="en-US" w:eastAsia="zh-CN"/>
                    </w:rPr>
                    <w:t>0.025</w:t>
                  </w:r>
                  <w:r>
                    <w:rPr>
                      <w:rFonts w:hint="default" w:ascii="Times New Roman" w:hAnsi="Times New Roman" w:eastAsia="宋体" w:cs="Times New Roman"/>
                      <w:color w:val="auto"/>
                      <w:sz w:val="21"/>
                      <w:szCs w:val="21"/>
                    </w:rPr>
                    <w:t xml:space="preserve">kg/h </w:t>
                  </w:r>
                  <w:r>
                    <w:rPr>
                      <w:rFonts w:hint="default" w:ascii="Times New Roman" w:hAnsi="Times New Roman" w:eastAsia="宋体" w:cs="Times New Roman"/>
                      <w:color w:val="auto"/>
                      <w:sz w:val="21"/>
                      <w:szCs w:val="21"/>
                      <w:lang w:eastAsia="zh-CN"/>
                    </w:rPr>
                    <w:t>；实验操作废气排气筒DA003</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VOCs</w:t>
                  </w:r>
                  <w:r>
                    <w:rPr>
                      <w:rFonts w:hint="default" w:ascii="Times New Roman" w:hAnsi="Times New Roman" w:eastAsia="宋体" w:cs="Times New Roman"/>
                      <w:color w:val="auto"/>
                      <w:sz w:val="21"/>
                      <w:szCs w:val="21"/>
                    </w:rPr>
                    <w:t>最大排放浓度为</w:t>
                  </w:r>
                  <w:r>
                    <w:rPr>
                      <w:rFonts w:hint="default" w:ascii="Times New Roman" w:hAnsi="Times New Roman" w:eastAsia="宋体" w:cs="Times New Roman"/>
                      <w:color w:val="auto"/>
                      <w:sz w:val="21"/>
                      <w:szCs w:val="21"/>
                      <w:lang w:val="en-US" w:eastAsia="zh-CN"/>
                    </w:rPr>
                    <w:t>2.06</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，最大排放速率为</w:t>
                  </w:r>
                  <w:r>
                    <w:rPr>
                      <w:rFonts w:hint="default" w:ascii="Times New Roman" w:hAnsi="Times New Roman" w:eastAsia="宋体" w:cs="Times New Roman"/>
                      <w:color w:val="auto"/>
                      <w:sz w:val="21"/>
                      <w:szCs w:val="21"/>
                      <w:lang w:val="en-US" w:eastAsia="zh-CN"/>
                    </w:rPr>
                    <w:t>0.024</w:t>
                  </w:r>
                  <w:r>
                    <w:rPr>
                      <w:rFonts w:hint="default" w:ascii="Times New Roman" w:hAnsi="Times New Roman" w:eastAsia="宋体" w:cs="Times New Roman"/>
                      <w:color w:val="auto"/>
                      <w:sz w:val="21"/>
                      <w:szCs w:val="21"/>
                    </w:rPr>
                    <w:t xml:space="preserve">kg/h </w:t>
                  </w:r>
                  <w:r>
                    <w:rPr>
                      <w:rFonts w:hint="default" w:ascii="Times New Roman" w:hAnsi="Times New Roman" w:eastAsia="宋体" w:cs="Times New Roman"/>
                      <w:color w:val="auto"/>
                      <w:sz w:val="21"/>
                      <w:szCs w:val="21"/>
                      <w:lang w:eastAsia="zh-CN"/>
                    </w:rPr>
                    <w:t>；实验操作废气排气筒DA004中主要污染物VOCs最大排放浓度为2.0</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lang w:eastAsia="zh-CN"/>
                    </w:rPr>
                    <w:t>mg/m</w:t>
                  </w:r>
                  <w:r>
                    <w:rPr>
                      <w:rFonts w:hint="default" w:ascii="Times New Roman" w:hAnsi="Times New Roman" w:eastAsia="宋体" w:cs="Times New Roman"/>
                      <w:color w:val="auto"/>
                      <w:sz w:val="21"/>
                      <w:szCs w:val="21"/>
                      <w:vertAlign w:val="superscript"/>
                      <w:lang w:eastAsia="zh-CN"/>
                    </w:rPr>
                    <w:t>3</w:t>
                  </w:r>
                  <w:r>
                    <w:rPr>
                      <w:rFonts w:hint="default" w:ascii="Times New Roman" w:hAnsi="Times New Roman" w:eastAsia="宋体" w:cs="Times New Roman"/>
                      <w:color w:val="auto"/>
                      <w:sz w:val="21"/>
                      <w:szCs w:val="21"/>
                      <w:lang w:eastAsia="zh-CN"/>
                    </w:rPr>
                    <w:t>，最大排放速率为0.0</w:t>
                  </w:r>
                  <w:r>
                    <w:rPr>
                      <w:rFonts w:hint="default" w:ascii="Times New Roman" w:hAnsi="Times New Roman" w:eastAsia="宋体" w:cs="Times New Roman"/>
                      <w:color w:val="auto"/>
                      <w:sz w:val="21"/>
                      <w:szCs w:val="21"/>
                      <w:lang w:val="en-US" w:eastAsia="zh-CN"/>
                    </w:rPr>
                    <w:t>32</w:t>
                  </w:r>
                  <w:r>
                    <w:rPr>
                      <w:rFonts w:hint="default" w:ascii="Times New Roman" w:hAnsi="Times New Roman" w:eastAsia="宋体" w:cs="Times New Roman"/>
                      <w:color w:val="auto"/>
                      <w:sz w:val="21"/>
                      <w:szCs w:val="21"/>
                      <w:lang w:eastAsia="zh-CN"/>
                    </w:rPr>
                    <w:t>kg/h ；</w:t>
                  </w:r>
                  <w:r>
                    <w:rPr>
                      <w:rFonts w:hint="default" w:ascii="Times New Roman" w:hAnsi="Times New Roman" w:eastAsia="宋体" w:cs="Times New Roman"/>
                      <w:color w:val="auto"/>
                      <w:sz w:val="21"/>
                      <w:szCs w:val="21"/>
                      <w:lang w:val="en-US" w:eastAsia="zh-CN"/>
                    </w:rPr>
                    <w:t>VOCs</w:t>
                  </w:r>
                  <w:r>
                    <w:rPr>
                      <w:rFonts w:hint="default" w:ascii="Times New Roman" w:hAnsi="Times New Roman" w:eastAsia="宋体" w:cs="Times New Roman"/>
                      <w:color w:val="auto"/>
                      <w:sz w:val="21"/>
                      <w:szCs w:val="21"/>
                      <w:highlight w:val="none"/>
                    </w:rPr>
                    <w:t>排放浓度</w:t>
                  </w:r>
                  <w:r>
                    <w:rPr>
                      <w:rFonts w:hint="default" w:ascii="Times New Roman" w:hAnsi="Times New Roman" w:eastAsia="宋体" w:cs="Times New Roman"/>
                      <w:color w:val="auto"/>
                      <w:sz w:val="21"/>
                      <w:szCs w:val="21"/>
                      <w:highlight w:val="none"/>
                      <w:lang w:eastAsia="zh-CN"/>
                    </w:rPr>
                    <w:t>均满足</w:t>
                  </w:r>
                  <w:r>
                    <w:rPr>
                      <w:rFonts w:hint="default" w:ascii="Times New Roman" w:hAnsi="Times New Roman" w:eastAsia="宋体" w:cs="Times New Roman"/>
                      <w:color w:val="auto"/>
                      <w:sz w:val="21"/>
                      <w:szCs w:val="21"/>
                      <w:highlight w:val="none"/>
                    </w:rPr>
                    <w:t>《挥发性有机物排放标准</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第 7 部分：其他行业》（DB37/2801.7-2019）表1中非重点行业II时段排放限值、《制药工业大气污染物排放标准》（GB37823-2019）表2中研发机构工艺废气要求，</w:t>
                  </w:r>
                  <w:r>
                    <w:rPr>
                      <w:rFonts w:hint="default" w:ascii="Times New Roman" w:hAnsi="Times New Roman" w:eastAsia="宋体" w:cs="Times New Roman"/>
                      <w:color w:val="auto"/>
                      <w:sz w:val="21"/>
                      <w:szCs w:val="21"/>
                      <w:highlight w:val="none"/>
                      <w:lang w:eastAsia="zh-CN"/>
                    </w:rPr>
                    <w:t>经计算，实验操作+危废间+试剂库废气排气筒DA001-实验操作废气排气筒DA002等效排气筒污染物</w:t>
                  </w:r>
                  <w:r>
                    <w:rPr>
                      <w:rFonts w:hint="default" w:ascii="Times New Roman" w:hAnsi="Times New Roman" w:eastAsia="宋体" w:cs="Times New Roman"/>
                      <w:color w:val="auto"/>
                      <w:sz w:val="21"/>
                      <w:szCs w:val="21"/>
                      <w:highlight w:val="none"/>
                      <w:lang w:val="en-US" w:eastAsia="zh-CN"/>
                    </w:rPr>
                    <w:t>VOCs最大排放速率为0.042kg/h；（实验操作+危废间+试剂库废气排气筒DA001-实验操作废气排气筒DA002-实验操作废气排气筒DA003）</w:t>
                  </w:r>
                  <w:r>
                    <w:rPr>
                      <w:rFonts w:hint="default" w:ascii="Times New Roman" w:hAnsi="Times New Roman" w:eastAsia="宋体" w:cs="Times New Roman"/>
                      <w:color w:val="auto"/>
                      <w:sz w:val="21"/>
                      <w:szCs w:val="21"/>
                      <w:highlight w:val="none"/>
                      <w:lang w:eastAsia="zh-CN"/>
                    </w:rPr>
                    <w:t>等效排气筒污染物</w:t>
                  </w:r>
                  <w:r>
                    <w:rPr>
                      <w:rFonts w:hint="default" w:ascii="Times New Roman" w:hAnsi="Times New Roman" w:eastAsia="宋体" w:cs="Times New Roman"/>
                      <w:color w:val="auto"/>
                      <w:sz w:val="21"/>
                      <w:szCs w:val="21"/>
                      <w:highlight w:val="none"/>
                      <w:lang w:val="en-US" w:eastAsia="zh-CN"/>
                    </w:rPr>
                    <w:t>VOCs最大排放速率为0.066kg/h；（实验操作+危废间+试剂库废气排气筒DA001-实验操作废气排气筒DA002-实验操作废气排气筒DA003）-实验操作废气排气筒DA004</w:t>
                  </w:r>
                  <w:r>
                    <w:rPr>
                      <w:rFonts w:hint="default" w:ascii="Times New Roman" w:hAnsi="Times New Roman" w:eastAsia="宋体" w:cs="Times New Roman"/>
                      <w:color w:val="auto"/>
                      <w:sz w:val="21"/>
                      <w:szCs w:val="21"/>
                      <w:highlight w:val="none"/>
                      <w:lang w:eastAsia="zh-CN"/>
                    </w:rPr>
                    <w:t>等效排气筒污染物</w:t>
                  </w:r>
                  <w:r>
                    <w:rPr>
                      <w:rFonts w:hint="default" w:ascii="Times New Roman" w:hAnsi="Times New Roman" w:eastAsia="宋体" w:cs="Times New Roman"/>
                      <w:color w:val="auto"/>
                      <w:sz w:val="21"/>
                      <w:szCs w:val="21"/>
                      <w:highlight w:val="none"/>
                      <w:lang w:val="en-US" w:eastAsia="zh-CN"/>
                    </w:rPr>
                    <w:t>VOCs最大排放速率为0.098kg/h；</w:t>
                  </w:r>
                  <w:r>
                    <w:rPr>
                      <w:rFonts w:hint="default" w:ascii="Times New Roman" w:hAnsi="Times New Roman" w:eastAsia="宋体" w:cs="Times New Roman"/>
                      <w:color w:val="auto"/>
                      <w:sz w:val="21"/>
                      <w:szCs w:val="21"/>
                      <w:highlight w:val="none"/>
                    </w:rPr>
                    <w:t>排放速率</w:t>
                  </w:r>
                  <w:r>
                    <w:rPr>
                      <w:rFonts w:hint="default" w:ascii="Times New Roman" w:hAnsi="Times New Roman" w:eastAsia="宋体" w:cs="Times New Roman"/>
                      <w:color w:val="auto"/>
                      <w:sz w:val="21"/>
                      <w:szCs w:val="21"/>
                      <w:highlight w:val="none"/>
                      <w:lang w:eastAsia="zh-CN"/>
                    </w:rPr>
                    <w:t>均满足</w:t>
                  </w:r>
                  <w:r>
                    <w:rPr>
                      <w:rFonts w:hint="default" w:ascii="Times New Roman" w:hAnsi="Times New Roman" w:eastAsia="宋体" w:cs="Times New Roman"/>
                      <w:color w:val="auto"/>
                      <w:sz w:val="21"/>
                      <w:szCs w:val="21"/>
                      <w:highlight w:val="none"/>
                    </w:rPr>
                    <w:t>《挥发性有机物排放标准</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第 7 部分：其他行业》（DB37/2801.7-2019）表1中非重点行业II时段排放限值。实验操作+危废间+试剂库废气排气筒DA001</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氯化氢为未检出；</w:t>
                  </w:r>
                  <w:r>
                    <w:rPr>
                      <w:rFonts w:hint="default" w:ascii="Times New Roman" w:hAnsi="Times New Roman" w:eastAsia="宋体" w:cs="Times New Roman"/>
                      <w:color w:val="auto"/>
                      <w:sz w:val="21"/>
                      <w:szCs w:val="21"/>
                    </w:rPr>
                    <w:t xml:space="preserve"> 实验操作废气排气筒DA002</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氯化氢为未检出；实验操作废气排气筒DA003</w:t>
                  </w:r>
                  <w:r>
                    <w:rPr>
                      <w:rFonts w:hint="default" w:ascii="Times New Roman" w:hAnsi="Times New Roman" w:eastAsia="宋体" w:cs="Times New Roman"/>
                      <w:color w:val="auto"/>
                      <w:sz w:val="21"/>
                      <w:szCs w:val="21"/>
                      <w:highlight w:val="none"/>
                      <w:lang w:eastAsia="zh-CN"/>
                    </w:rPr>
                    <w:t>中</w:t>
                  </w:r>
                  <w:r>
                    <w:rPr>
                      <w:rFonts w:hint="default" w:ascii="Times New Roman" w:hAnsi="Times New Roman" w:eastAsia="宋体" w:cs="Times New Roman"/>
                      <w:color w:val="auto"/>
                      <w:sz w:val="21"/>
                      <w:szCs w:val="21"/>
                    </w:rPr>
                    <w:t>主要污染物</w:t>
                  </w:r>
                  <w:r>
                    <w:rPr>
                      <w:rFonts w:hint="default" w:ascii="Times New Roman" w:hAnsi="Times New Roman" w:eastAsia="宋体" w:cs="Times New Roman"/>
                      <w:color w:val="auto"/>
                      <w:sz w:val="21"/>
                      <w:szCs w:val="21"/>
                      <w:lang w:eastAsia="zh-CN"/>
                    </w:rPr>
                    <w:t>氯化氢为未检出；实验操作废气排气筒DA004中主要污染物氯化氢为未检出；氯化氢</w:t>
                  </w:r>
                  <w:r>
                    <w:rPr>
                      <w:rFonts w:hint="default" w:ascii="Times New Roman" w:hAnsi="Times New Roman" w:eastAsia="宋体" w:cs="Times New Roman"/>
                      <w:color w:val="auto"/>
                      <w:sz w:val="21"/>
                      <w:szCs w:val="21"/>
                      <w:highlight w:val="none"/>
                    </w:rPr>
                    <w:t>排放浓度</w:t>
                  </w:r>
                  <w:r>
                    <w:rPr>
                      <w:rFonts w:hint="default" w:ascii="Times New Roman" w:hAnsi="Times New Roman" w:eastAsia="宋体" w:cs="Times New Roman"/>
                      <w:color w:val="auto"/>
                      <w:sz w:val="21"/>
                      <w:szCs w:val="21"/>
                      <w:highlight w:val="none"/>
                      <w:lang w:eastAsia="zh-CN"/>
                    </w:rPr>
                    <w:t>均满足</w:t>
                  </w:r>
                  <w:r>
                    <w:rPr>
                      <w:rFonts w:hint="default" w:ascii="Times New Roman" w:hAnsi="Times New Roman" w:eastAsia="宋体" w:cs="Times New Roman"/>
                      <w:color w:val="auto"/>
                      <w:sz w:val="21"/>
                      <w:szCs w:val="21"/>
                      <w:highlight w:val="none"/>
                    </w:rPr>
                    <w:t>《制药工业大气污染物排放标准》（GB37823-2019）表2中研发机构工艺废气要求，排放速率</w:t>
                  </w:r>
                  <w:r>
                    <w:rPr>
                      <w:rFonts w:hint="default" w:ascii="Times New Roman" w:hAnsi="Times New Roman" w:eastAsia="宋体" w:cs="Times New Roman"/>
                      <w:color w:val="auto"/>
                      <w:sz w:val="21"/>
                      <w:szCs w:val="21"/>
                      <w:highlight w:val="none"/>
                      <w:lang w:eastAsia="zh-CN"/>
                    </w:rPr>
                    <w:t>均满足</w:t>
                  </w:r>
                  <w:r>
                    <w:rPr>
                      <w:rFonts w:hint="default" w:ascii="Times New Roman" w:hAnsi="Times New Roman" w:eastAsia="宋体" w:cs="Times New Roman"/>
                      <w:color w:val="auto"/>
                      <w:sz w:val="21"/>
                      <w:szCs w:val="21"/>
                      <w:highlight w:val="none"/>
                    </w:rPr>
                    <w:t>《大气污染物综合排放标准》(GB16297 - 1996)中表2二级标准的要求</w:t>
                  </w:r>
                  <w:r>
                    <w:rPr>
                      <w:rFonts w:hint="default" w:ascii="Times New Roman" w:hAnsi="Times New Roman" w:eastAsia="宋体" w:cs="Times New Roman"/>
                      <w:color w:val="auto"/>
                      <w:sz w:val="21"/>
                      <w:szCs w:val="21"/>
                      <w:highlight w:val="none"/>
                      <w:lang w:eastAsia="zh-CN"/>
                    </w:rPr>
                    <w:t>。</w:t>
                  </w:r>
                </w:p>
                <w:p>
                  <w:pPr>
                    <w:pStyle w:val="22"/>
                    <w:spacing w:line="240" w:lineRule="auto"/>
                    <w:ind w:firstLine="420" w:firstLineChars="200"/>
                    <w:rPr>
                      <w:rFonts w:hint="default" w:ascii="Times New Roman" w:hAnsi="Times New Roman" w:eastAsia="宋体" w:cs="Times New Roman"/>
                      <w:color w:val="auto"/>
                      <w:sz w:val="21"/>
                      <w:szCs w:val="21"/>
                      <w:highlight w:val="none"/>
                    </w:rPr>
                  </w:pPr>
                </w:p>
              </w:tc>
              <w:tc>
                <w:tcPr>
                  <w:tcW w:w="802" w:type="pct"/>
                  <w:tcBorders>
                    <w:tl2br w:val="nil"/>
                    <w:tr2bl w:val="nil"/>
                  </w:tcBorders>
                  <w:shd w:val="clear" w:color="auto" w:fill="auto"/>
                  <w:vAlign w:val="center"/>
                </w:tcPr>
                <w:p>
                  <w:pPr>
                    <w:pStyle w:val="22"/>
                    <w:jc w:val="center"/>
                    <w:rPr>
                      <w:rFonts w:hint="eastAsia" w:ascii="Times New Roman" w:hAnsi="Times New Roman" w:eastAsia="宋体"/>
                      <w:color w:val="auto"/>
                      <w:sz w:val="21"/>
                      <w:szCs w:val="21"/>
                      <w:highlight w:val="none"/>
                      <w:lang w:eastAsia="zh-CN"/>
                    </w:rPr>
                  </w:pPr>
                  <w:r>
                    <w:rPr>
                      <w:rFonts w:ascii="Times New Roman" w:hAnsi="Times New Roman"/>
                      <w:color w:val="auto"/>
                      <w:sz w:val="21"/>
                      <w:szCs w:val="21"/>
                      <w:highlight w:val="none"/>
                    </w:rPr>
                    <w:t>已落实，</w:t>
                  </w:r>
                  <w:r>
                    <w:rPr>
                      <w:rFonts w:hint="eastAsia"/>
                      <w:color w:val="auto"/>
                      <w:sz w:val="21"/>
                      <w:szCs w:val="21"/>
                      <w:highlight w:val="none"/>
                      <w:lang w:eastAsia="zh-CN" w:bidi="ar"/>
                    </w:rPr>
                    <w:t>试运行验收期间，无水硫酸钠和硫酸暂未使用，故未对其检测。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rFonts w:hint="default" w:ascii="Times New Roman" w:hAnsi="Times New Roman" w:cs="Times New Roman"/>
                      <w:color w:val="auto"/>
                      <w:sz w:val="21"/>
                      <w:szCs w:val="21"/>
                      <w:vertAlign w:val="baseline"/>
                      <w:lang w:eastAsia="zh-CN"/>
                    </w:rPr>
                    <w:t>项目地面清洁废水、实验器皿第三次和第四次清洗废水、生活污水经园区内污水处理站处理，满足《污水排入城镇下水道水质标准》(GB/T31962-2015)标准要求后，经市政污水管网排入林业示范园水质净化厂。</w:t>
                  </w:r>
                </w:p>
              </w:tc>
              <w:tc>
                <w:tcPr>
                  <w:tcW w:w="1923" w:type="pct"/>
                  <w:tcBorders>
                    <w:tl2br w:val="nil"/>
                    <w:tr2bl w:val="nil"/>
                  </w:tcBorders>
                  <w:shd w:val="clear" w:color="auto" w:fill="auto"/>
                  <w:vAlign w:val="center"/>
                </w:tcPr>
                <w:p>
                  <w:pPr>
                    <w:spacing w:line="24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排水主要包括地面清洁废水、实验器皿清洗废水、实验过程废液和生活污水。项目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p>
                  <w:pPr>
                    <w:spacing w:line="24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验收监测期间，企业总排口化学需氧量、氨氮最大日均浓度分别为116mg/L、3.16mg/L，均满足产业园污水处理站进水水质要求。产业园污水处理站主要污染物pH在7.6-7.8之间，化学需氧量、氨氮、五日生化需氧量、悬浮物、总磷、溶解性总固体最大日均浓度分别为179mg/L、10.2mg/L、92.9mg/L、44mg/L、1.04mg/L、828mg/L，均满足《污水排入城镇下水道水质标准》（GB/T 31962-2015）表1中</w:t>
                  </w:r>
                  <w:r>
                    <w:rPr>
                      <w:rFonts w:hint="eastAsia" w:cs="Times New Roman"/>
                      <w:color w:val="auto"/>
                      <w:sz w:val="21"/>
                      <w:szCs w:val="21"/>
                      <w:highlight w:val="none"/>
                      <w:lang w:eastAsia="zh-CN"/>
                    </w:rPr>
                    <w:t>A级</w:t>
                  </w:r>
                  <w:r>
                    <w:rPr>
                      <w:rFonts w:hint="default" w:ascii="Times New Roman" w:hAnsi="Times New Roman" w:eastAsia="宋体" w:cs="Times New Roman"/>
                      <w:color w:val="auto"/>
                      <w:sz w:val="21"/>
                      <w:szCs w:val="21"/>
                      <w:highlight w:val="none"/>
                    </w:rPr>
                    <w:t>标准。</w:t>
                  </w:r>
                </w:p>
              </w:tc>
              <w:tc>
                <w:tcPr>
                  <w:tcW w:w="802" w:type="pct"/>
                  <w:tcBorders>
                    <w:tl2br w:val="nil"/>
                    <w:tr2bl w:val="nil"/>
                  </w:tcBorders>
                  <w:shd w:val="clear" w:color="auto" w:fill="auto"/>
                  <w:vAlign w:val="center"/>
                </w:tcPr>
                <w:p>
                  <w:pPr>
                    <w:pStyle w:val="22"/>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1902" w:type="pct"/>
                  <w:tcBorders>
                    <w:tl2br w:val="nil"/>
                    <w:tr2bl w:val="nil"/>
                  </w:tcBorders>
                  <w:shd w:val="clear" w:color="auto" w:fill="auto"/>
                  <w:vAlign w:val="center"/>
                </w:tcPr>
                <w:p>
                  <w:pPr>
                    <w:spacing w:line="240" w:lineRule="auto"/>
                    <w:ind w:firstLine="420"/>
                    <w:rPr>
                      <w:color w:val="auto"/>
                      <w:sz w:val="21"/>
                      <w:szCs w:val="21"/>
                      <w:highlight w:val="none"/>
                    </w:rPr>
                  </w:pPr>
                  <w:r>
                    <w:rPr>
                      <w:rFonts w:hint="default" w:ascii="Times New Roman" w:hAnsi="Times New Roman" w:cs="Times New Roman"/>
                      <w:color w:val="auto"/>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shd w:val="clear" w:color="auto" w:fill="auto"/>
                  <w:vAlign w:val="center"/>
                </w:tcPr>
                <w:p>
                  <w:pPr>
                    <w:numPr>
                      <w:ilvl w:val="-1"/>
                      <w:numId w:val="0"/>
                    </w:numPr>
                    <w:spacing w:line="240" w:lineRule="auto"/>
                    <w:ind w:firstLine="420" w:firstLineChars="0"/>
                    <w:rPr>
                      <w:rFonts w:hint="default"/>
                      <w:color w:val="auto"/>
                      <w:sz w:val="21"/>
                      <w:szCs w:val="21"/>
                    </w:rPr>
                  </w:pPr>
                  <w:r>
                    <w:rPr>
                      <w:rFonts w:hint="default"/>
                      <w:color w:val="auto"/>
                      <w:sz w:val="21"/>
                      <w:szCs w:val="21"/>
                    </w:rPr>
                    <w:t>本项目噪声源主要为实验设备运转产生的噪声，采取实验设备均布置于室内，采取门窗、墙体隔声，全部设备均选用低噪声设备并采取减振措施。加强管理，经常保养和维护机械设备避免设备在不良状态下运行等措施。</w:t>
                  </w:r>
                </w:p>
                <w:p>
                  <w:pPr>
                    <w:spacing w:line="240" w:lineRule="auto"/>
                    <w:rPr>
                      <w:color w:val="auto"/>
                    </w:rPr>
                  </w:pPr>
                  <w:r>
                    <w:rPr>
                      <w:rFonts w:hint="default"/>
                      <w:color w:val="auto"/>
                      <w:sz w:val="21"/>
                      <w:szCs w:val="21"/>
                    </w:rPr>
                    <w:t>验收监测期间，项目1#东厂界、2#南厂界、3#西厂界、4#北厂界，昼间厂界噪声最大值分别为57.5dB（A）、57.1dB（A）、57.8dB（A）、57.2dB（A），均满足《工业企业厂界环境噪声排放标准》(GB12348-2008)2类昼间标准。项目夜间不运行。</w:t>
                  </w:r>
                </w:p>
              </w:tc>
              <w:tc>
                <w:tcPr>
                  <w:tcW w:w="802" w:type="pct"/>
                  <w:tcBorders>
                    <w:tl2br w:val="nil"/>
                    <w:tr2bl w:val="nil"/>
                  </w:tcBorders>
                  <w:shd w:val="clear" w:color="auto" w:fill="auto"/>
                  <w:vAlign w:val="center"/>
                </w:tcPr>
                <w:p>
                  <w:pPr>
                    <w:pStyle w:val="22"/>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1902" w:type="pct"/>
                  <w:tcBorders>
                    <w:tl2br w:val="nil"/>
                    <w:tr2bl w:val="nil"/>
                  </w:tcBorders>
                  <w:shd w:val="clear" w:color="auto" w:fill="auto"/>
                  <w:vAlign w:val="center"/>
                </w:tcPr>
                <w:p>
                  <w:pPr>
                    <w:spacing w:line="240" w:lineRule="auto"/>
                    <w:ind w:firstLine="420"/>
                    <w:jc w:val="left"/>
                    <w:rPr>
                      <w:color w:val="auto"/>
                      <w:sz w:val="21"/>
                      <w:szCs w:val="21"/>
                      <w:highlight w:val="none"/>
                    </w:rPr>
                  </w:pPr>
                  <w:r>
                    <w:rPr>
                      <w:rFonts w:hint="default" w:ascii="Times New Roman" w:hAnsi="Times New Roman" w:cs="Times New Roman"/>
                      <w:color w:val="auto"/>
                      <w:sz w:val="21"/>
                      <w:szCs w:val="21"/>
                      <w:vertAlign w:val="baseline"/>
                      <w:lang w:eastAsia="zh-CN"/>
                    </w:rPr>
                    <w:t>项目废包装物综合利用，生活垃圾由环卫部门定期清运，废RO膜由厂家回收。建设危险废物贮存场所，实验废物、废活性炭等危险废物委托有资质的单位处置。</w:t>
                  </w:r>
                </w:p>
              </w:tc>
              <w:tc>
                <w:tcPr>
                  <w:tcW w:w="1923"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项目产生的固体废物主要是实验废物（废试剂瓶、废实验耗材、称量废物、分析实验废渣等）、实验废液（配制试剂废液、实验过程废液、实验器皿首次和二次清洗废液等）、废活性炭、生活垃圾、废包装材料（废纸箱、废纸盒等，来自试剂外包装、实验耗材包装，未沾染化学试剂）。</w:t>
                  </w:r>
                </w:p>
                <w:p>
                  <w:pPr>
                    <w:spacing w:line="240" w:lineRule="auto"/>
                    <w:ind w:firstLine="420"/>
                    <w:jc w:val="left"/>
                    <w:rPr>
                      <w:rFonts w:hint="eastAsia"/>
                      <w:color w:val="auto"/>
                      <w:sz w:val="21"/>
                      <w:szCs w:val="21"/>
                      <w:highlight w:val="none"/>
                    </w:rPr>
                  </w:pPr>
                  <w:r>
                    <w:rPr>
                      <w:rFonts w:hint="eastAsia"/>
                      <w:color w:val="auto"/>
                      <w:sz w:val="21"/>
                      <w:szCs w:val="21"/>
                      <w:highlight w:val="none"/>
                    </w:rPr>
                    <w:t>废包装材料收集后外售物资回收单位，生活垃圾由环卫部门定期清运处理；实验废物（废试剂瓶、废实验耗材、称量废物、分析实验废渣等）、实验废液（配制试剂废液、实验过程废液、实验器皿首次和二次清洗废液等）、废活性炭收集后暂存于危废间，委托山东敬诚环保科技有限公司处置。</w:t>
                  </w:r>
                </w:p>
                <w:p>
                  <w:pPr>
                    <w:spacing w:line="240" w:lineRule="auto"/>
                    <w:ind w:firstLine="420"/>
                    <w:jc w:val="left"/>
                    <w:rPr>
                      <w:rFonts w:hint="eastAsia"/>
                      <w:color w:val="auto"/>
                      <w:sz w:val="21"/>
                      <w:szCs w:val="21"/>
                      <w:highlight w:val="none"/>
                    </w:rPr>
                  </w:pPr>
                  <w:r>
                    <w:rPr>
                      <w:rFonts w:hint="eastAsia"/>
                      <w:color w:val="auto"/>
                      <w:sz w:val="21"/>
                      <w:szCs w:val="21"/>
                      <w:highlight w:val="none"/>
                    </w:rPr>
                    <w:t>建设单位已与山东敬诚环保科技有限公司签订危废委托处理协议。</w:t>
                  </w:r>
                </w:p>
                <w:p>
                  <w:pPr>
                    <w:spacing w:line="240" w:lineRule="auto"/>
                    <w:ind w:firstLine="420"/>
                    <w:jc w:val="left"/>
                    <w:rPr>
                      <w:color w:val="auto"/>
                      <w:sz w:val="21"/>
                      <w:szCs w:val="21"/>
                      <w:highlight w:val="none"/>
                    </w:rPr>
                  </w:pPr>
                  <w:r>
                    <w:rPr>
                      <w:rFonts w:hint="eastAsia"/>
                      <w:color w:val="auto"/>
                      <w:sz w:val="21"/>
                      <w:szCs w:val="21"/>
                      <w:highlight w:val="none"/>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shd w:val="clear" w:color="auto" w:fill="auto"/>
                  <w:vAlign w:val="center"/>
                </w:tcPr>
                <w:p>
                  <w:pPr>
                    <w:pStyle w:val="22"/>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shd w:val="clear" w:color="auto" w:fill="auto"/>
                  <w:vAlign w:val="center"/>
                </w:tcPr>
                <w:p>
                  <w:pPr>
                    <w:pStyle w:val="22"/>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902"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按国家有关规定申领排污许可证</w:t>
                  </w:r>
                </w:p>
              </w:tc>
              <w:tc>
                <w:tcPr>
                  <w:tcW w:w="1923"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根据《固定污染源排污许可分类管理名录（2019 年版）》，项目行业类别属于M7340医学研究和试验发展，不在固定污染源排污许可分类管理名录之内，无需申请排污许可证。</w:t>
                  </w:r>
                </w:p>
              </w:tc>
              <w:tc>
                <w:tcPr>
                  <w:tcW w:w="802" w:type="pct"/>
                  <w:tcBorders>
                    <w:tl2br w:val="nil"/>
                    <w:tr2bl w:val="nil"/>
                  </w:tcBorders>
                  <w:shd w:val="clear" w:color="auto" w:fill="auto"/>
                  <w:vAlign w:val="center"/>
                </w:tcPr>
                <w:p>
                  <w:pPr>
                    <w:pStyle w:val="22"/>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bl>
          <w:p>
            <w:pPr>
              <w:pStyle w:val="33"/>
              <w:snapToGrid w:val="0"/>
              <w:ind w:firstLine="0" w:firstLineChars="0"/>
              <w:rPr>
                <w:rFonts w:cs="Times New Roman"/>
                <w:color w:val="auto"/>
                <w:highlight w:val="none"/>
              </w:rPr>
            </w:pPr>
          </w:p>
        </w:tc>
      </w:tr>
    </w:tbl>
    <w:p>
      <w:pPr>
        <w:snapToGrid w:val="0"/>
        <w:spacing w:line="240" w:lineRule="auto"/>
        <w:ind w:firstLine="0" w:firstLineChars="0"/>
        <w:outlineLvl w:val="0"/>
        <w:rPr>
          <w:b/>
          <w:bCs/>
          <w:color w:val="auto"/>
          <w:sz w:val="30"/>
          <w:szCs w:val="30"/>
          <w:highlight w:val="none"/>
        </w:rPr>
      </w:pPr>
      <w:r>
        <w:rPr>
          <w:b/>
          <w:bCs/>
          <w:color w:val="auto"/>
          <w:sz w:val="30"/>
          <w:szCs w:val="30"/>
          <w:highlight w:val="none"/>
        </w:rPr>
        <w:br w:type="page"/>
      </w:r>
      <w:bookmarkStart w:id="124" w:name="_Toc13392"/>
      <w:bookmarkStart w:id="125" w:name="_Toc4390"/>
      <w:bookmarkStart w:id="126" w:name="_Toc26225"/>
      <w:bookmarkStart w:id="127" w:name="_Toc25374"/>
      <w:bookmarkStart w:id="128" w:name="_Toc5106"/>
      <w:bookmarkStart w:id="129" w:name="_Toc30130"/>
      <w:bookmarkStart w:id="130" w:name="_Toc26691"/>
      <w:bookmarkStart w:id="131" w:name="_Toc16569"/>
      <w:bookmarkStart w:id="132" w:name="_Toc12266"/>
      <w:bookmarkStart w:id="133" w:name="_Toc16806"/>
      <w:bookmarkStart w:id="134" w:name="_Toc2153"/>
      <w:bookmarkStart w:id="135" w:name="_Toc31674"/>
      <w:bookmarkStart w:id="136" w:name="_Toc11706"/>
      <w:bookmarkStart w:id="137" w:name="_Toc6555"/>
      <w:bookmarkStart w:id="138" w:name="_Toc13152"/>
      <w:bookmarkStart w:id="139" w:name="_Toc19690"/>
      <w:bookmarkStart w:id="140" w:name="_Toc31378"/>
      <w:bookmarkStart w:id="141" w:name="_Toc8210"/>
      <w:bookmarkStart w:id="142" w:name="_Toc30812"/>
      <w:bookmarkStart w:id="143" w:name="_Toc22565"/>
      <w:bookmarkStart w:id="144" w:name="_Toc19902"/>
      <w:bookmarkStart w:id="145" w:name="_Toc20283"/>
      <w:bookmarkStart w:id="146" w:name="_Toc530"/>
      <w:bookmarkStart w:id="147" w:name="_Toc32635"/>
      <w:bookmarkStart w:id="148" w:name="_Toc12294"/>
      <w:bookmarkStart w:id="149" w:name="_Toc845"/>
      <w:bookmarkStart w:id="150" w:name="_Toc1643"/>
      <w:bookmarkStart w:id="151" w:name="_Toc25472"/>
      <w:r>
        <w:rPr>
          <w:b/>
          <w:bCs/>
          <w:color w:val="auto"/>
          <w:sz w:val="30"/>
          <w:szCs w:val="30"/>
          <w:highlight w:val="none"/>
        </w:rPr>
        <w:t>表5  验收监测质量保证及质量控制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21" w:hRule="atLeast"/>
        </w:trPr>
        <w:tc>
          <w:tcPr>
            <w:tcW w:w="5000" w:type="pct"/>
            <w:tcBorders>
              <w:top w:val="single" w:color="000000" w:sz="12" w:space="0"/>
              <w:bottom w:val="single" w:color="000000" w:sz="12" w:space="0"/>
            </w:tcBorders>
          </w:tcPr>
          <w:p>
            <w:pPr>
              <w:widowControl/>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由厂方提供验收监测期间的工况条件，验收监测工况负荷达到额定负荷</w:t>
            </w:r>
            <w:r>
              <w:rPr>
                <w:rFonts w:hint="default" w:ascii="Times New Roman" w:hAnsi="Times New Roman" w:eastAsia="宋体" w:cs="Times New Roman"/>
                <w:color w:val="auto"/>
                <w:sz w:val="24"/>
                <w:szCs w:val="24"/>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采样分析及分析结果按国家标准和监测技术规范的相关要求进行数据处理和填报。</w:t>
            </w:r>
          </w:p>
          <w:p>
            <w:pPr>
              <w:widowControl/>
              <w:numPr>
                <w:ilvl w:val="0"/>
                <w:numId w:val="4"/>
              </w:numPr>
              <w:spacing w:line="360" w:lineRule="auto"/>
              <w:ind w:firstLine="480" w:firstLineChars="2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监测数据和报告严格执行三级审核制度。</w:t>
            </w:r>
          </w:p>
          <w:p>
            <w:pPr>
              <w:ind w:firstLine="480"/>
              <w:rPr>
                <w:rFonts w:hint="eastAsia"/>
                <w:b/>
                <w:bCs/>
                <w:color w:val="auto"/>
                <w:sz w:val="24"/>
                <w:szCs w:val="24"/>
              </w:rPr>
            </w:pPr>
            <w:r>
              <w:rPr>
                <w:rFonts w:hint="eastAsia"/>
                <w:b/>
                <w:bCs/>
                <w:color w:val="auto"/>
                <w:sz w:val="24"/>
                <w:szCs w:val="24"/>
                <w:lang w:val="en-US" w:eastAsia="zh-CN"/>
              </w:rPr>
              <w:t>1、</w:t>
            </w:r>
            <w:r>
              <w:rPr>
                <w:rFonts w:hint="eastAsia"/>
                <w:b/>
                <w:bCs/>
                <w:color w:val="auto"/>
                <w:sz w:val="24"/>
                <w:szCs w:val="24"/>
              </w:rPr>
              <w:t>气体监测分析过程中的质量保证和质量控制</w:t>
            </w:r>
          </w:p>
          <w:p>
            <w:pPr>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监测质量保证和质量控制按照《固定污染源监测质量保证与质量控制技术规范（试行）》（HJ/T373-2007）、《大气污染物无组织排放监测技术导则》（HJ/T 55-2000）的相关要求进行。</w:t>
            </w:r>
          </w:p>
          <w:p>
            <w:pPr>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（2）采样员在采样前认真检查并确认了废气采样管、滤料、吸收瓶的清洁度，确保采样设备及容器符合采样要求。</w:t>
            </w:r>
          </w:p>
          <w:p>
            <w:pPr>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（3）现场监测设备在投入使用前，采样员对仪器设备都进行了检查和校准，并保持检查和校准记录。</w:t>
            </w:r>
          </w:p>
          <w:p>
            <w:pPr>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（4）废气采样系统连接好后对其进行了气密性检查，确保整体系统不漏气。</w:t>
            </w:r>
          </w:p>
          <w:p>
            <w:pPr>
              <w:autoSpaceDE w:val="0"/>
              <w:autoSpaceDN w:val="0"/>
              <w:spacing w:line="500" w:lineRule="exact"/>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（5）监测数据和技术报告执行了三级审核制度。</w:t>
            </w:r>
          </w:p>
          <w:p>
            <w:pPr>
              <w:pStyle w:val="71"/>
              <w:spacing w:line="500" w:lineRule="exact"/>
              <w:ind w:firstLine="480"/>
              <w:jc w:val="left"/>
              <w:rPr>
                <w:color w:val="auto"/>
                <w:sz w:val="24"/>
                <w:szCs w:val="24"/>
              </w:rPr>
            </w:pPr>
            <w:r>
              <w:rPr>
                <w:rFonts w:hint="eastAsia"/>
                <w:color w:val="auto"/>
                <w:sz w:val="24"/>
                <w:szCs w:val="24"/>
              </w:rPr>
              <w:t>本项目废气质量质量保证和质量控制见下表。</w:t>
            </w:r>
          </w:p>
          <w:p>
            <w:pPr>
              <w:pStyle w:val="46"/>
              <w:spacing w:before="0" w:beforeAutospacing="0" w:after="0" w:afterAutospacing="0" w:line="500" w:lineRule="exact"/>
              <w:ind w:firstLine="482"/>
              <w:jc w:val="center"/>
              <w:rPr>
                <w:rFonts w:ascii="Times New Roman" w:hAnsi="Times New Roman" w:cs="Times New Roman"/>
                <w:b/>
                <w:bCs/>
                <w:color w:val="auto"/>
              </w:rPr>
            </w:pPr>
            <w:r>
              <w:rPr>
                <w:rFonts w:ascii="Times New Roman" w:hAnsi="Times New Roman" w:cs="Times New Roman"/>
                <w:b/>
                <w:bCs/>
                <w:color w:val="auto"/>
              </w:rPr>
              <w:t>表</w:t>
            </w:r>
            <w:r>
              <w:rPr>
                <w:rFonts w:hint="eastAsia" w:ascii="Times New Roman" w:hAnsi="Times New Roman" w:cs="Times New Roman"/>
                <w:b/>
                <w:bCs/>
                <w:color w:val="auto"/>
              </w:rPr>
              <w:t>5-</w:t>
            </w:r>
            <w:r>
              <w:rPr>
                <w:rFonts w:hint="eastAsia" w:ascii="Times New Roman" w:hAnsi="Times New Roman" w:cs="Times New Roman"/>
                <w:b/>
                <w:bCs/>
                <w:color w:val="auto"/>
                <w:lang w:val="en-US" w:eastAsia="zh-CN"/>
              </w:rPr>
              <w:t>1</w:t>
            </w:r>
            <w:r>
              <w:rPr>
                <w:rFonts w:ascii="Times New Roman" w:hAnsi="Times New Roman" w:cs="Times New Roman"/>
                <w:b/>
                <w:bCs/>
                <w:color w:val="auto"/>
              </w:rPr>
              <w:t xml:space="preserve"> </w:t>
            </w:r>
            <w:r>
              <w:rPr>
                <w:rFonts w:hint="eastAsia" w:ascii="Times New Roman" w:hAnsi="Times New Roman" w:cs="Times New Roman"/>
                <w:b/>
                <w:bCs/>
                <w:color w:val="auto"/>
                <w:lang w:val="en-US" w:eastAsia="zh-CN"/>
              </w:rPr>
              <w:t xml:space="preserve"> </w:t>
            </w:r>
            <w:r>
              <w:rPr>
                <w:rFonts w:ascii="Times New Roman" w:hAnsi="Times New Roman" w:cs="Times New Roman"/>
                <w:b/>
                <w:bCs/>
                <w:color w:val="auto"/>
              </w:rPr>
              <w:t>废气监测分析质量控制表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1111"/>
              <w:gridCol w:w="1526"/>
              <w:gridCol w:w="1557"/>
              <w:gridCol w:w="1318"/>
              <w:gridCol w:w="1109"/>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质控参数</w:t>
                  </w:r>
                </w:p>
              </w:tc>
              <w:tc>
                <w:tcPr>
                  <w:tcW w:w="623"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质控方式</w:t>
                  </w:r>
                </w:p>
              </w:tc>
              <w:tc>
                <w:tcPr>
                  <w:tcW w:w="856"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测量结果</w:t>
                  </w:r>
                </w:p>
                <w:p>
                  <w:pPr>
                    <w:pStyle w:val="33"/>
                    <w:snapToGrid w:val="0"/>
                    <w:spacing w:line="240" w:lineRule="auto"/>
                    <w:ind w:firstLine="0" w:firstLineChars="0"/>
                    <w:jc w:val="center"/>
                    <w:rPr>
                      <w:rFonts w:cs="Times New Roman"/>
                      <w:b/>
                      <w:bCs/>
                      <w:color w:val="auto"/>
                      <w:sz w:val="21"/>
                      <w:szCs w:val="21"/>
                    </w:rPr>
                  </w:pPr>
                  <w:r>
                    <w:rPr>
                      <w:rFonts w:hint="eastAsia" w:cs="Times New Roman"/>
                      <w:b/>
                      <w:bCs/>
                      <w:color w:val="auto"/>
                      <w:sz w:val="21"/>
                      <w:szCs w:val="21"/>
                    </w:rPr>
                    <w:t>（mg/m</w:t>
                  </w:r>
                  <w:r>
                    <w:rPr>
                      <w:rFonts w:hint="eastAsia" w:cs="Times New Roman"/>
                      <w:b/>
                      <w:bCs/>
                      <w:color w:val="auto"/>
                      <w:sz w:val="21"/>
                      <w:szCs w:val="21"/>
                      <w:vertAlign w:val="superscript"/>
                    </w:rPr>
                    <w:t>3</w:t>
                  </w:r>
                  <w:r>
                    <w:rPr>
                      <w:rFonts w:hint="eastAsia" w:cs="Times New Roman"/>
                      <w:b/>
                      <w:bCs/>
                      <w:color w:val="auto"/>
                      <w:sz w:val="21"/>
                      <w:szCs w:val="21"/>
                    </w:rPr>
                    <w:t>）</w:t>
                  </w:r>
                </w:p>
              </w:tc>
              <w:tc>
                <w:tcPr>
                  <w:tcW w:w="873"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参考结果</w:t>
                  </w:r>
                  <w:r>
                    <w:rPr>
                      <w:rFonts w:hint="eastAsia" w:cs="Times New Roman"/>
                      <w:b/>
                      <w:bCs/>
                      <w:color w:val="auto"/>
                      <w:sz w:val="21"/>
                      <w:szCs w:val="21"/>
                    </w:rPr>
                    <w:t>（mg/m</w:t>
                  </w:r>
                  <w:r>
                    <w:rPr>
                      <w:rFonts w:hint="eastAsia" w:cs="Times New Roman"/>
                      <w:b/>
                      <w:bCs/>
                      <w:color w:val="auto"/>
                      <w:sz w:val="21"/>
                      <w:szCs w:val="21"/>
                      <w:vertAlign w:val="superscript"/>
                    </w:rPr>
                    <w:t>3</w:t>
                  </w:r>
                  <w:r>
                    <w:rPr>
                      <w:rFonts w:hint="eastAsia" w:cs="Times New Roman"/>
                      <w:b/>
                      <w:bCs/>
                      <w:color w:val="auto"/>
                      <w:sz w:val="21"/>
                      <w:szCs w:val="21"/>
                    </w:rPr>
                    <w:t>）</w:t>
                  </w:r>
                </w:p>
              </w:tc>
              <w:tc>
                <w:tcPr>
                  <w:tcW w:w="739" w:type="pct"/>
                  <w:tcBorders>
                    <w:bottom w:val="single" w:color="auto" w:sz="4" w:space="0"/>
                  </w:tcBorders>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评价依据</w:t>
                  </w:r>
                </w:p>
              </w:tc>
              <w:tc>
                <w:tcPr>
                  <w:tcW w:w="622" w:type="pct"/>
                  <w:tcBorders>
                    <w:top w:val="single" w:color="auto" w:sz="6" w:space="0"/>
                    <w:bottom w:val="single" w:color="auto" w:sz="4" w:space="0"/>
                  </w:tcBorders>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结果分析（%）</w:t>
                  </w:r>
                </w:p>
              </w:tc>
              <w:tc>
                <w:tcPr>
                  <w:tcW w:w="626" w:type="pct"/>
                  <w:tcBorders>
                    <w:top w:val="single" w:color="auto" w:sz="6" w:space="0"/>
                  </w:tcBorders>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总烃</w:t>
                  </w:r>
                </w:p>
              </w:tc>
              <w:tc>
                <w:tcPr>
                  <w:tcW w:w="623"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有证标气</w:t>
                  </w:r>
                </w:p>
              </w:tc>
              <w:tc>
                <w:tcPr>
                  <w:tcW w:w="856" w:type="pc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8.08</w:t>
                  </w:r>
                </w:p>
              </w:tc>
              <w:tc>
                <w:tcPr>
                  <w:tcW w:w="873"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8.00</w:t>
                  </w:r>
                </w:p>
              </w:tc>
              <w:tc>
                <w:tcPr>
                  <w:tcW w:w="739"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相对误差</w:t>
                  </w:r>
                </w:p>
              </w:tc>
              <w:tc>
                <w:tcPr>
                  <w:tcW w:w="622" w:type="pc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1.00</w:t>
                  </w:r>
                </w:p>
              </w:tc>
              <w:tc>
                <w:tcPr>
                  <w:tcW w:w="626" w:type="pct"/>
                  <w:vAlign w:val="center"/>
                </w:tcPr>
                <w:p>
                  <w:pPr>
                    <w:pStyle w:val="33"/>
                    <w:snapToGrid w:val="0"/>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33"/>
                    <w:snapToGrid w:val="0"/>
                    <w:spacing w:line="240" w:lineRule="auto"/>
                    <w:ind w:firstLine="0" w:firstLineChars="0"/>
                    <w:jc w:val="center"/>
                    <w:rPr>
                      <w:rFonts w:cs="Times New Roman"/>
                      <w:color w:val="auto"/>
                      <w:sz w:val="21"/>
                      <w:szCs w:val="21"/>
                    </w:rPr>
                  </w:pPr>
                  <w:r>
                    <w:rPr>
                      <w:rFonts w:hint="eastAsia" w:cs="Times New Roman"/>
                      <w:color w:val="auto"/>
                      <w:sz w:val="21"/>
                      <w:szCs w:val="21"/>
                    </w:rPr>
                    <w:t>甲烷</w:t>
                  </w:r>
                </w:p>
              </w:tc>
              <w:tc>
                <w:tcPr>
                  <w:tcW w:w="623"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有证标气</w:t>
                  </w:r>
                </w:p>
              </w:tc>
              <w:tc>
                <w:tcPr>
                  <w:tcW w:w="856" w:type="pc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7.96</w:t>
                  </w:r>
                </w:p>
              </w:tc>
              <w:tc>
                <w:tcPr>
                  <w:tcW w:w="873"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8.00</w:t>
                  </w:r>
                </w:p>
              </w:tc>
              <w:tc>
                <w:tcPr>
                  <w:tcW w:w="739" w:type="pct"/>
                  <w:vAlign w:val="center"/>
                </w:tcPr>
                <w:p>
                  <w:pPr>
                    <w:pStyle w:val="33"/>
                    <w:snapToGrid w:val="0"/>
                    <w:spacing w:line="240" w:lineRule="auto"/>
                    <w:ind w:firstLine="0" w:firstLineChars="0"/>
                    <w:jc w:val="center"/>
                    <w:rPr>
                      <w:rFonts w:cs="Times New Roman"/>
                      <w:color w:val="auto"/>
                      <w:sz w:val="21"/>
                      <w:szCs w:val="21"/>
                    </w:rPr>
                  </w:pPr>
                  <w:r>
                    <w:rPr>
                      <w:rFonts w:cs="Times New Roman"/>
                      <w:color w:val="auto"/>
                      <w:sz w:val="21"/>
                      <w:szCs w:val="21"/>
                    </w:rPr>
                    <w:t>相对误差</w:t>
                  </w:r>
                </w:p>
              </w:tc>
              <w:tc>
                <w:tcPr>
                  <w:tcW w:w="622" w:type="pc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-0.50</w:t>
                  </w:r>
                </w:p>
              </w:tc>
              <w:tc>
                <w:tcPr>
                  <w:tcW w:w="626" w:type="pct"/>
                  <w:vAlign w:val="center"/>
                </w:tcPr>
                <w:p>
                  <w:pPr>
                    <w:pStyle w:val="33"/>
                    <w:snapToGrid w:val="0"/>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符合要求</w:t>
                  </w:r>
                </w:p>
              </w:tc>
            </w:tr>
          </w:tbl>
          <w:p>
            <w:pPr>
              <w:ind w:firstLine="482" w:firstLineChars="200"/>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lang w:val="en-US" w:eastAsia="zh-CN"/>
              </w:rPr>
              <w:t>2、</w:t>
            </w:r>
            <w:r>
              <w:rPr>
                <w:rFonts w:hint="default" w:ascii="Times New Roman" w:hAnsi="Times New Roman" w:eastAsia="宋体" w:cs="Times New Roman"/>
                <w:b/>
                <w:color w:val="auto"/>
                <w:sz w:val="24"/>
                <w:szCs w:val="24"/>
              </w:rPr>
              <w:t>水质监测分析过程中的质量保证和质量控制</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为保证监测分析结果准确可靠，在监测期间，样品采集、运输、保存按照原国家环境保护总局《污水监测技术规范》（HJ/T91.1-2019）、《地表水环境质量监测技术规范》（HJ/T91.2-2022）和《水质 样品的保存和管理技术规定》（HJ 493-2009）等的技术要求进行。</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（1）监测期间及时了解工况情况，确保监测过程中生产负荷满足要求。</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（2）监测点位、监测因子与频率及抽样率设置合理规范，保证监测数据具备科学性和代表性。</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（4）按照规范对样品的采集、保存以及运输采取质量控制措施。选用合适的采样容器，并对容器进行洗涤；水样运输前将容器盖盖紧，确认所采水样全部装箱；运输时有专门押运人员；水样交</w:t>
            </w:r>
            <w:r>
              <w:rPr>
                <w:rFonts w:hint="eastAsia" w:ascii="Times New Roman" w:hAnsi="Times New Roman" w:eastAsia="宋体" w:cs="Times New Roman"/>
                <w:color w:val="auto"/>
                <w:sz w:val="24"/>
                <w:szCs w:val="24"/>
                <w:lang w:eastAsia="zh-CN"/>
              </w:rPr>
              <w:t>检测部</w:t>
            </w:r>
            <w:r>
              <w:rPr>
                <w:rFonts w:hint="default" w:ascii="Times New Roman" w:hAnsi="Times New Roman" w:eastAsia="宋体" w:cs="Times New Roman"/>
                <w:color w:val="auto"/>
                <w:sz w:val="24"/>
                <w:szCs w:val="24"/>
              </w:rPr>
              <w:t>时，办理交接手续。</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（5）监测数据和技术报告执行三级审核制度。</w:t>
            </w:r>
          </w:p>
          <w:p>
            <w:pPr>
              <w:pStyle w:val="33"/>
              <w:numPr>
                <w:ilvl w:val="-1"/>
                <w:numId w:val="0"/>
              </w:numPr>
              <w:ind w:firstLine="480" w:firstLineChars="200"/>
              <w:rPr>
                <w:rFonts w:hint="eastAsia"/>
                <w:color w:val="auto"/>
                <w:szCs w:val="21"/>
              </w:rPr>
            </w:pPr>
            <w:r>
              <w:rPr>
                <w:color w:val="auto"/>
                <w:szCs w:val="21"/>
              </w:rPr>
              <w:t>废水监测质量控制结果统计见</w:t>
            </w:r>
            <w:r>
              <w:rPr>
                <w:rFonts w:hint="eastAsia"/>
                <w:color w:val="auto"/>
                <w:szCs w:val="21"/>
              </w:rPr>
              <w:t>下表。</w:t>
            </w:r>
          </w:p>
          <w:p>
            <w:pPr>
              <w:pStyle w:val="46"/>
              <w:spacing w:before="0" w:beforeAutospacing="0" w:after="0" w:afterAutospacing="0" w:line="500" w:lineRule="exact"/>
              <w:ind w:firstLine="482"/>
              <w:jc w:val="center"/>
              <w:rPr>
                <w:rFonts w:ascii="Times New Roman" w:hAnsi="Times New Roman" w:cs="Times New Roman"/>
                <w:b/>
                <w:bCs/>
                <w:color w:val="auto"/>
              </w:rPr>
            </w:pPr>
            <w:r>
              <w:rPr>
                <w:rFonts w:ascii="Times New Roman" w:hAnsi="Times New Roman" w:cs="Times New Roman"/>
                <w:b/>
                <w:bCs/>
                <w:color w:val="auto"/>
              </w:rPr>
              <w:t>表5-</w:t>
            </w:r>
            <w:r>
              <w:rPr>
                <w:rFonts w:hint="eastAsia" w:ascii="Times New Roman" w:hAnsi="Times New Roman" w:cs="Times New Roman"/>
                <w:b/>
                <w:bCs/>
                <w:color w:val="auto"/>
                <w:lang w:val="en-US" w:eastAsia="zh-CN"/>
              </w:rPr>
              <w:t xml:space="preserve">2  </w:t>
            </w:r>
            <w:r>
              <w:rPr>
                <w:rFonts w:ascii="Times New Roman" w:hAnsi="Times New Roman" w:cs="Times New Roman"/>
                <w:b/>
                <w:bCs/>
                <w:color w:val="auto"/>
              </w:rPr>
              <w:t>水质分析质量控制表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155"/>
              <w:gridCol w:w="975"/>
              <w:gridCol w:w="765"/>
              <w:gridCol w:w="1170"/>
              <w:gridCol w:w="1215"/>
              <w:gridCol w:w="840"/>
              <w:gridCol w:w="1200"/>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Align w:val="center"/>
                </w:tcPr>
                <w:p>
                  <w:pPr>
                    <w:pStyle w:val="33"/>
                    <w:snapToGrid w:val="0"/>
                    <w:spacing w:line="240" w:lineRule="auto"/>
                    <w:ind w:firstLine="0" w:firstLineChars="0"/>
                    <w:jc w:val="center"/>
                    <w:rPr>
                      <w:rFonts w:hint="default" w:eastAsia="宋体" w:cs="Times New Roman"/>
                      <w:b/>
                      <w:bCs/>
                      <w:color w:val="auto"/>
                      <w:sz w:val="21"/>
                      <w:szCs w:val="21"/>
                      <w:lang w:val="en-US" w:eastAsia="zh-CN"/>
                    </w:rPr>
                  </w:pPr>
                  <w:r>
                    <w:rPr>
                      <w:rFonts w:hint="eastAsia" w:cs="Times New Roman"/>
                      <w:b/>
                      <w:bCs/>
                      <w:color w:val="auto"/>
                      <w:sz w:val="21"/>
                      <w:szCs w:val="21"/>
                      <w:lang w:val="en-US" w:eastAsia="zh-CN"/>
                    </w:rPr>
                    <w:t>分析日期</w:t>
                  </w:r>
                </w:p>
              </w:tc>
              <w:tc>
                <w:tcPr>
                  <w:tcW w:w="648"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样品编号</w:t>
                  </w:r>
                </w:p>
              </w:tc>
              <w:tc>
                <w:tcPr>
                  <w:tcW w:w="547" w:type="pct"/>
                  <w:vAlign w:val="center"/>
                </w:tcPr>
                <w:p>
                  <w:pPr>
                    <w:pStyle w:val="33"/>
                    <w:snapToGrid w:val="0"/>
                    <w:spacing w:line="240" w:lineRule="auto"/>
                    <w:ind w:firstLine="0" w:firstLineChars="0"/>
                    <w:jc w:val="center"/>
                    <w:rPr>
                      <w:rFonts w:cs="Times New Roman"/>
                      <w:b/>
                      <w:bCs/>
                      <w:color w:val="auto"/>
                      <w:sz w:val="21"/>
                      <w:szCs w:val="21"/>
                    </w:rPr>
                  </w:pPr>
                  <w:r>
                    <w:rPr>
                      <w:rFonts w:cs="Times New Roman"/>
                      <w:b/>
                      <w:bCs/>
                      <w:color w:val="auto"/>
                      <w:sz w:val="21"/>
                      <w:szCs w:val="21"/>
                    </w:rPr>
                    <w:t>质控</w:t>
                  </w:r>
                </w:p>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cs="Times New Roman"/>
                      <w:b/>
                      <w:bCs/>
                      <w:color w:val="auto"/>
                      <w:sz w:val="21"/>
                      <w:szCs w:val="21"/>
                    </w:rPr>
                    <w:t>参数</w:t>
                  </w:r>
                </w:p>
              </w:tc>
              <w:tc>
                <w:tcPr>
                  <w:tcW w:w="429" w:type="pct"/>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cs="Times New Roman"/>
                      <w:b/>
                      <w:bCs/>
                      <w:color w:val="auto"/>
                      <w:sz w:val="21"/>
                      <w:szCs w:val="21"/>
                    </w:rPr>
                    <w:t>质控方式</w:t>
                  </w:r>
                </w:p>
              </w:tc>
              <w:tc>
                <w:tcPr>
                  <w:tcW w:w="656" w:type="pct"/>
                  <w:tcBorders>
                    <w:bottom w:val="single" w:color="auto" w:sz="4" w:space="0"/>
                  </w:tcBorders>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eastAsia="zh-CN"/>
                    </w:rPr>
                    <w:t>样品测定值</w:t>
                  </w:r>
                  <w:r>
                    <w:rPr>
                      <w:rFonts w:cs="Times New Roman"/>
                      <w:b/>
                      <w:bCs/>
                      <w:color w:val="auto"/>
                      <w:sz w:val="21"/>
                      <w:szCs w:val="21"/>
                    </w:rPr>
                    <w:t>（mg/L）</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eastAsia="zh-CN"/>
                    </w:rPr>
                    <w:t>密码平行样测定值</w:t>
                  </w:r>
                  <w:r>
                    <w:rPr>
                      <w:rFonts w:cs="Times New Roman"/>
                      <w:b/>
                      <w:bCs/>
                      <w:color w:val="auto"/>
                      <w:sz w:val="21"/>
                      <w:szCs w:val="21"/>
                    </w:rPr>
                    <w:t>（mg/L）</w:t>
                  </w:r>
                </w:p>
              </w:tc>
              <w:tc>
                <w:tcPr>
                  <w:tcW w:w="471" w:type="pct"/>
                  <w:tcBorders>
                    <w:top w:val="single" w:color="auto" w:sz="6" w:space="0"/>
                  </w:tcBorders>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cs="Times New Roman"/>
                      <w:b/>
                      <w:bCs/>
                      <w:color w:val="auto"/>
                      <w:sz w:val="21"/>
                      <w:szCs w:val="21"/>
                    </w:rPr>
                    <w:t>评价依据</w:t>
                  </w:r>
                </w:p>
              </w:tc>
              <w:tc>
                <w:tcPr>
                  <w:tcW w:w="673" w:type="pct"/>
                  <w:tcBorders>
                    <w:top w:val="single" w:color="auto" w:sz="6" w:space="0"/>
                  </w:tcBorders>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eastAsia="zh-CN"/>
                    </w:rPr>
                    <w:t>相对偏差</w:t>
                  </w:r>
                  <w:r>
                    <w:rPr>
                      <w:rFonts w:cs="Times New Roman"/>
                      <w:b/>
                      <w:bCs/>
                      <w:color w:val="auto"/>
                      <w:sz w:val="21"/>
                      <w:szCs w:val="21"/>
                    </w:rPr>
                    <w:t>（%）</w:t>
                  </w:r>
                </w:p>
              </w:tc>
              <w:tc>
                <w:tcPr>
                  <w:tcW w:w="449" w:type="pct"/>
                  <w:tcBorders>
                    <w:top w:val="single" w:color="auto" w:sz="6" w:space="0"/>
                  </w:tcBorders>
                  <w:vAlign w:val="center"/>
                </w:tcPr>
                <w:p>
                  <w:pPr>
                    <w:pStyle w:val="33"/>
                    <w:snapToGrid w:val="0"/>
                    <w:spacing w:line="240" w:lineRule="auto"/>
                    <w:ind w:firstLine="0" w:firstLineChars="0"/>
                    <w:jc w:val="center"/>
                    <w:rPr>
                      <w:rFonts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eastAsia="zh-CN"/>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Merge w:val="restar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2021.10.26</w:t>
                  </w:r>
                </w:p>
              </w:tc>
              <w:tc>
                <w:tcPr>
                  <w:tcW w:w="648"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总磷</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3.28</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3.30</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-0.30</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cs="Times New Roman"/>
                      <w:b/>
                      <w:bCs/>
                      <w:color w:val="auto"/>
                      <w:sz w:val="21"/>
                      <w:szCs w:val="21"/>
                      <w:lang w:eastAsia="zh-CN"/>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Merge w:val="continue"/>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p>
              </w:tc>
              <w:tc>
                <w:tcPr>
                  <w:tcW w:w="648"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溶解性总固体</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1066</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1063</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0.14</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cs="Times New Roman"/>
                      <w:b/>
                      <w:bCs/>
                      <w:color w:val="auto"/>
                      <w:sz w:val="21"/>
                      <w:szCs w:val="21"/>
                      <w:lang w:eastAsia="zh-CN"/>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Merge w:val="restar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2021.10.27</w:t>
                  </w:r>
                </w:p>
              </w:tc>
              <w:tc>
                <w:tcPr>
                  <w:tcW w:w="648"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COD</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244</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242</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0.41</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cs="Times New Roman"/>
                      <w:b/>
                      <w:bCs/>
                      <w:color w:val="auto"/>
                      <w:sz w:val="21"/>
                      <w:szCs w:val="21"/>
                      <w:lang w:eastAsia="zh-CN"/>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Merge w:val="continue"/>
                  <w:vAlign w:val="center"/>
                </w:tcPr>
                <w:p>
                  <w:pPr>
                    <w:pStyle w:val="33"/>
                    <w:snapToGrid w:val="0"/>
                    <w:spacing w:line="240" w:lineRule="auto"/>
                    <w:ind w:firstLine="0" w:firstLineChars="0"/>
                    <w:jc w:val="center"/>
                    <w:rPr>
                      <w:rFonts w:hint="eastAsia" w:cs="Times New Roman"/>
                      <w:b/>
                      <w:bCs/>
                      <w:color w:val="auto"/>
                      <w:sz w:val="21"/>
                      <w:szCs w:val="21"/>
                      <w:lang w:val="en-US" w:eastAsia="zh-CN"/>
                    </w:rPr>
                  </w:pPr>
                </w:p>
              </w:tc>
              <w:tc>
                <w:tcPr>
                  <w:tcW w:w="648"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氨氮</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28.3</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28.2</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0.18</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cs="Times New Roman"/>
                      <w:b/>
                      <w:bCs/>
                      <w:color w:val="auto"/>
                      <w:sz w:val="21"/>
                      <w:szCs w:val="21"/>
                      <w:lang w:eastAsia="zh-CN"/>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2021.10.28</w:t>
                  </w:r>
                </w:p>
              </w:tc>
              <w:tc>
                <w:tcPr>
                  <w:tcW w:w="648"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悬浮物</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69</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68</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0.73</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442"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2021.10.25-2021.10.30</w:t>
                  </w:r>
                </w:p>
              </w:tc>
              <w:tc>
                <w:tcPr>
                  <w:tcW w:w="648"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2110020PX1-1004</w:t>
                  </w:r>
                </w:p>
              </w:tc>
              <w:tc>
                <w:tcPr>
                  <w:tcW w:w="547" w:type="pct"/>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生化需氧量</w:t>
                  </w:r>
                </w:p>
              </w:tc>
              <w:tc>
                <w:tcPr>
                  <w:tcW w:w="765" w:type="dxa"/>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tcBorders>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109</w:t>
                  </w:r>
                </w:p>
              </w:tc>
              <w:tc>
                <w:tcPr>
                  <w:tcW w:w="681" w:type="pct"/>
                  <w:tcBorders>
                    <w:top w:val="single" w:color="auto" w:sz="6" w:space="0"/>
                    <w:bottom w:val="single" w:color="auto" w:sz="4"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112</w:t>
                  </w:r>
                </w:p>
              </w:tc>
              <w:tc>
                <w:tcPr>
                  <w:tcW w:w="840"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-1.36</w:t>
                  </w:r>
                </w:p>
              </w:tc>
              <w:tc>
                <w:tcPr>
                  <w:tcW w:w="801" w:type="dxa"/>
                  <w:tcBorders>
                    <w:top w:val="single" w:color="auto" w:sz="6" w:space="0"/>
                  </w:tcBorders>
                  <w:vAlign w:val="center"/>
                </w:tcPr>
                <w:p>
                  <w:pPr>
                    <w:pStyle w:val="33"/>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2" w:type="pct"/>
                  <w:vMerge w:val="restar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2022.8.2</w:t>
                  </w:r>
                </w:p>
              </w:tc>
              <w:tc>
                <w:tcPr>
                  <w:tcW w:w="648" w:type="pct"/>
                  <w:vAlign w:val="center"/>
                </w:tcPr>
                <w:p>
                  <w:pPr>
                    <w:pStyle w:val="33"/>
                    <w:snapToGrid w:val="0"/>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2207028PX1-1004</w:t>
                  </w:r>
                </w:p>
              </w:tc>
              <w:tc>
                <w:tcPr>
                  <w:tcW w:w="547"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vertAlign w:val="baseline"/>
                      <w:lang w:val="en-US" w:eastAsia="zh-CN" w:bidi="ar-SA"/>
                    </w:rPr>
                  </w:pPr>
                  <w:r>
                    <w:rPr>
                      <w:rFonts w:hint="eastAsia" w:cs="Times New Roman"/>
                      <w:color w:val="auto"/>
                      <w:kern w:val="2"/>
                      <w:sz w:val="21"/>
                      <w:szCs w:val="21"/>
                      <w:vertAlign w:val="baseline"/>
                      <w:lang w:val="en-US" w:eastAsia="zh-CN" w:bidi="ar-SA"/>
                    </w:rPr>
                    <w:t>氨氮</w:t>
                  </w:r>
                </w:p>
              </w:tc>
              <w:tc>
                <w:tcPr>
                  <w:tcW w:w="429"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2.14</w:t>
                  </w:r>
                </w:p>
              </w:tc>
              <w:tc>
                <w:tcPr>
                  <w:tcW w:w="681"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2.12</w:t>
                  </w:r>
                </w:p>
              </w:tc>
              <w:tc>
                <w:tcPr>
                  <w:tcW w:w="471"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0.47</w:t>
                  </w:r>
                </w:p>
              </w:tc>
              <w:tc>
                <w:tcPr>
                  <w:tcW w:w="449"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2" w:type="pct"/>
                  <w:vMerge w:val="continue"/>
                  <w:vAlign w:val="center"/>
                </w:tcPr>
                <w:p>
                  <w:pPr>
                    <w:pStyle w:val="33"/>
                    <w:snapToGrid w:val="0"/>
                    <w:spacing w:line="240" w:lineRule="auto"/>
                    <w:ind w:firstLine="0" w:firstLineChars="0"/>
                    <w:jc w:val="center"/>
                    <w:rPr>
                      <w:rFonts w:cs="Times New Roman"/>
                      <w:color w:val="auto"/>
                      <w:sz w:val="21"/>
                      <w:szCs w:val="21"/>
                    </w:rPr>
                  </w:pPr>
                </w:p>
              </w:tc>
              <w:tc>
                <w:tcPr>
                  <w:tcW w:w="648" w:type="pct"/>
                  <w:vAlign w:val="center"/>
                </w:tcPr>
                <w:p>
                  <w:pPr>
                    <w:pStyle w:val="33"/>
                    <w:snapToGrid w:val="0"/>
                    <w:spacing w:line="240" w:lineRule="auto"/>
                    <w:ind w:firstLine="0" w:firstLineChars="0"/>
                    <w:jc w:val="center"/>
                    <w:rPr>
                      <w:rFonts w:cs="Times New Roman"/>
                      <w:color w:val="auto"/>
                      <w:sz w:val="21"/>
                      <w:szCs w:val="21"/>
                    </w:rPr>
                  </w:pPr>
                  <w:r>
                    <w:rPr>
                      <w:rFonts w:hint="eastAsia" w:cs="Times New Roman"/>
                      <w:color w:val="auto"/>
                      <w:sz w:val="21"/>
                      <w:szCs w:val="21"/>
                      <w:lang w:val="en-US" w:eastAsia="zh-CN"/>
                    </w:rPr>
                    <w:t>2207028PX1-1004</w:t>
                  </w:r>
                </w:p>
              </w:tc>
              <w:tc>
                <w:tcPr>
                  <w:tcW w:w="547"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vertAlign w:val="baseline"/>
                      <w:lang w:val="en-US" w:eastAsia="zh-CN" w:bidi="ar-SA"/>
                    </w:rPr>
                  </w:pPr>
                  <w:r>
                    <w:rPr>
                      <w:rFonts w:hint="eastAsia" w:cs="Times New Roman"/>
                      <w:color w:val="auto"/>
                      <w:kern w:val="2"/>
                      <w:sz w:val="21"/>
                      <w:szCs w:val="21"/>
                      <w:vertAlign w:val="baseline"/>
                      <w:lang w:val="en-US" w:eastAsia="zh-CN" w:bidi="ar-SA"/>
                    </w:rPr>
                    <w:t>COD</w:t>
                  </w:r>
                </w:p>
              </w:tc>
              <w:tc>
                <w:tcPr>
                  <w:tcW w:w="429"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密码平行</w:t>
                  </w:r>
                </w:p>
              </w:tc>
              <w:tc>
                <w:tcPr>
                  <w:tcW w:w="656"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109</w:t>
                  </w:r>
                </w:p>
              </w:tc>
              <w:tc>
                <w:tcPr>
                  <w:tcW w:w="681"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108</w:t>
                  </w:r>
                </w:p>
              </w:tc>
              <w:tc>
                <w:tcPr>
                  <w:tcW w:w="471" w:type="pct"/>
                  <w:vAlign w:val="center"/>
                </w:tcPr>
                <w:p>
                  <w:pPr>
                    <w:pStyle w:val="33"/>
                    <w:snapToGrid w:val="0"/>
                    <w:spacing w:line="240" w:lineRule="auto"/>
                    <w:ind w:firstLine="0" w:firstLineChars="0"/>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相对偏差</w:t>
                  </w:r>
                </w:p>
              </w:tc>
              <w:tc>
                <w:tcPr>
                  <w:tcW w:w="673"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0.46</w:t>
                  </w:r>
                </w:p>
              </w:tc>
              <w:tc>
                <w:tcPr>
                  <w:tcW w:w="449" w:type="pct"/>
                  <w:vAlign w:val="center"/>
                </w:tcPr>
                <w:p>
                  <w:pPr>
                    <w:pStyle w:val="33"/>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eastAsia="zh-CN"/>
                    </w:rPr>
                    <w:t>是</w:t>
                  </w:r>
                </w:p>
              </w:tc>
            </w:tr>
          </w:tbl>
          <w:p>
            <w:pPr>
              <w:ind w:firstLine="482"/>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3、</w:t>
            </w:r>
            <w:r>
              <w:rPr>
                <w:rFonts w:ascii="Times New Roman" w:hAnsi="Times New Roman" w:eastAsia="宋体" w:cs="Times New Roman"/>
                <w:b/>
                <w:color w:val="auto"/>
                <w:sz w:val="24"/>
                <w:szCs w:val="24"/>
              </w:rPr>
              <w:t>噪声监测分析过程中的质量保证和质量控制</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噪声测量质量保证与质量控制按《环境噪声监测技术规范噪声测量值修正》</w:t>
            </w:r>
            <w:r>
              <w:rPr>
                <w:rFonts w:hint="eastAsia" w:ascii="Times New Roman" w:hAnsi="Times New Roman" w:eastAsia="宋体" w:cs="Times New Roman"/>
                <w:color w:val="auto"/>
                <w:sz w:val="24"/>
                <w:szCs w:val="24"/>
                <w:lang w:eastAsia="zh-CN"/>
              </w:rPr>
              <w:t>（HJ 706-2014）</w:t>
            </w:r>
            <w:r>
              <w:rPr>
                <w:rFonts w:hint="default" w:ascii="Times New Roman" w:hAnsi="Times New Roman" w:eastAsia="宋体" w:cs="Times New Roman"/>
                <w:color w:val="auto"/>
                <w:sz w:val="24"/>
                <w:szCs w:val="24"/>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（1）合理规范地设置监测点位、监测因子与频率，保证监测数据具备科学性和代表性。</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（3）测量时传声器加设防风罩。</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（4）测量在无风雪、无雷电天气，风速</w:t>
            </w:r>
            <w:r>
              <w:rPr>
                <w:rFonts w:hint="eastAsia" w:ascii="Times New Roman" w:hAnsi="Times New Roman" w:eastAsia="宋体" w:cs="Times New Roman"/>
                <w:color w:val="auto"/>
                <w:sz w:val="24"/>
                <w:szCs w:val="24"/>
                <w:lang w:eastAsia="zh-CN"/>
              </w:rPr>
              <w:t>均</w:t>
            </w:r>
            <w:r>
              <w:rPr>
                <w:rFonts w:hint="default" w:ascii="Times New Roman" w:hAnsi="Times New Roman" w:eastAsia="宋体" w:cs="Times New Roman"/>
                <w:color w:val="auto"/>
                <w:sz w:val="24"/>
                <w:szCs w:val="24"/>
              </w:rPr>
              <w:t>小于5m/s，满足要求。</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（5）监测数据和技术报告执行三级审核制度。 </w:t>
            </w:r>
          </w:p>
          <w:p>
            <w:pPr>
              <w:autoSpaceDE w:val="0"/>
              <w:autoSpaceDN w:val="0"/>
              <w:spacing w:line="500" w:lineRule="exact"/>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（6）声级计在测试前后用标准声源进行校准，测量前后仪器的灵敏度相差不大于0.5dB。</w:t>
            </w:r>
          </w:p>
          <w:p>
            <w:pPr>
              <w:autoSpaceDE w:val="0"/>
              <w:autoSpaceDN w:val="0"/>
              <w:spacing w:line="500" w:lineRule="exact"/>
              <w:ind w:firstLine="480"/>
              <w:rPr>
                <w:rFonts w:hint="eastAsia" w:eastAsia="宋体"/>
                <w:b/>
                <w:color w:val="auto"/>
                <w:lang w:eastAsia="zh-CN"/>
              </w:rPr>
            </w:pPr>
            <w:r>
              <w:rPr>
                <w:color w:val="auto"/>
                <w:szCs w:val="20"/>
              </w:rPr>
              <w:t>噪声监测分析质量控制表见</w:t>
            </w:r>
            <w:r>
              <w:rPr>
                <w:rFonts w:hint="eastAsia"/>
                <w:color w:val="auto"/>
                <w:szCs w:val="20"/>
                <w:lang w:eastAsia="zh-CN"/>
              </w:rPr>
              <w:t>下</w:t>
            </w:r>
            <w:r>
              <w:rPr>
                <w:color w:val="auto"/>
                <w:szCs w:val="20"/>
              </w:rPr>
              <w:t>表</w:t>
            </w:r>
            <w:r>
              <w:rPr>
                <w:rFonts w:hint="eastAsia"/>
                <w:color w:val="auto"/>
                <w:szCs w:val="20"/>
                <w:lang w:eastAsia="zh-CN"/>
              </w:rPr>
              <w:t>。</w:t>
            </w:r>
          </w:p>
          <w:p>
            <w:pPr>
              <w:pStyle w:val="33"/>
              <w:snapToGrid w:val="0"/>
              <w:ind w:firstLine="0" w:firstLineChars="0"/>
              <w:jc w:val="center"/>
              <w:rPr>
                <w:rFonts w:hint="default"/>
                <w:b/>
                <w:bCs/>
                <w:color w:val="auto"/>
              </w:rPr>
            </w:pPr>
            <w:r>
              <w:rPr>
                <w:rFonts w:hint="default"/>
                <w:b/>
                <w:bCs/>
                <w:color w:val="auto"/>
              </w:rPr>
              <w:t>表5-3  噪声质量控制表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930"/>
              <w:gridCol w:w="1485"/>
              <w:gridCol w:w="1155"/>
              <w:gridCol w:w="1845"/>
              <w:gridCol w:w="1065"/>
              <w:gridCol w:w="1050"/>
              <w:gridCol w:w="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blHeader/>
                <w:jc w:val="center"/>
              </w:trPr>
              <w:tc>
                <w:tcPr>
                  <w:tcW w:w="38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监测项目</w:t>
                  </w:r>
                </w:p>
              </w:tc>
              <w:tc>
                <w:tcPr>
                  <w:tcW w:w="521"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83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仪器名称</w:t>
                  </w:r>
                </w:p>
                <w:p>
                  <w:pPr>
                    <w:pStyle w:val="33"/>
                    <w:snapToGrid w:val="0"/>
                    <w:spacing w:line="240" w:lineRule="auto"/>
                    <w:ind w:firstLine="0" w:firstLineChars="0"/>
                    <w:jc w:val="center"/>
                    <w:rPr>
                      <w:rFonts w:cs="Times New Roman"/>
                      <w:b/>
                      <w:bCs/>
                      <w:sz w:val="21"/>
                      <w:szCs w:val="21"/>
                    </w:rPr>
                  </w:pPr>
                  <w:r>
                    <w:rPr>
                      <w:rFonts w:cs="Times New Roman"/>
                      <w:b/>
                      <w:bCs/>
                      <w:sz w:val="21"/>
                      <w:szCs w:val="21"/>
                    </w:rPr>
                    <w:t>及型号</w:t>
                  </w:r>
                </w:p>
              </w:tc>
              <w:tc>
                <w:tcPr>
                  <w:tcW w:w="64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仪器编号</w:t>
                  </w:r>
                </w:p>
              </w:tc>
              <w:tc>
                <w:tcPr>
                  <w:tcW w:w="103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59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仪器显示dB(A）</w:t>
                  </w:r>
                </w:p>
              </w:tc>
              <w:tc>
                <w:tcPr>
                  <w:tcW w:w="58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示值偏差dB(A）</w:t>
                  </w:r>
                </w:p>
              </w:tc>
              <w:tc>
                <w:tcPr>
                  <w:tcW w:w="39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4" w:type="pct"/>
                  <w:vMerge w:val="restar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噪声</w:t>
                  </w:r>
                </w:p>
              </w:tc>
              <w:tc>
                <w:tcPr>
                  <w:tcW w:w="521" w:type="pct"/>
                  <w:vMerge w:val="restar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94.0</w:t>
                  </w:r>
                </w:p>
                <w:p>
                  <w:pPr>
                    <w:pStyle w:val="33"/>
                    <w:snapToGrid w:val="0"/>
                    <w:spacing w:line="240" w:lineRule="auto"/>
                    <w:ind w:firstLine="0" w:firstLineChars="0"/>
                    <w:jc w:val="center"/>
                    <w:rPr>
                      <w:rFonts w:cs="Times New Roman"/>
                      <w:sz w:val="21"/>
                      <w:szCs w:val="21"/>
                    </w:rPr>
                  </w:pPr>
                  <w:r>
                    <w:rPr>
                      <w:rFonts w:cs="Times New Roman"/>
                      <w:sz w:val="21"/>
                      <w:szCs w:val="21"/>
                    </w:rPr>
                    <w:t>（标准声源）</w:t>
                  </w:r>
                </w:p>
              </w:tc>
              <w:tc>
                <w:tcPr>
                  <w:tcW w:w="832" w:type="pct"/>
                  <w:vMerge w:val="restar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多功能声级计（</w:t>
                  </w:r>
                  <w:r>
                    <w:rPr>
                      <w:rFonts w:hint="eastAsia" w:cs="Times New Roman"/>
                      <w:sz w:val="21"/>
                      <w:szCs w:val="21"/>
                    </w:rPr>
                    <w:t>AWA5688</w:t>
                  </w:r>
                  <w:r>
                    <w:rPr>
                      <w:rFonts w:cs="Times New Roman"/>
                      <w:sz w:val="21"/>
                      <w:szCs w:val="21"/>
                    </w:rPr>
                    <w:t>）</w:t>
                  </w:r>
                </w:p>
              </w:tc>
              <w:tc>
                <w:tcPr>
                  <w:tcW w:w="647"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SDKK/SB-148</w:t>
                  </w:r>
                </w:p>
              </w:tc>
              <w:tc>
                <w:tcPr>
                  <w:tcW w:w="103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val="en-US" w:eastAsia="zh-CN"/>
                    </w:rPr>
                    <w:t>2022.8.1</w:t>
                  </w:r>
                  <w:r>
                    <w:rPr>
                      <w:rFonts w:cs="Times New Roman"/>
                      <w:sz w:val="21"/>
                      <w:szCs w:val="21"/>
                    </w:rPr>
                    <w:t>测量前</w:t>
                  </w:r>
                </w:p>
              </w:tc>
              <w:tc>
                <w:tcPr>
                  <w:tcW w:w="59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93.8</w:t>
                  </w:r>
                </w:p>
              </w:tc>
              <w:tc>
                <w:tcPr>
                  <w:tcW w:w="588"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-0.2</w:t>
                  </w:r>
                </w:p>
              </w:tc>
              <w:tc>
                <w:tcPr>
                  <w:tcW w:w="392"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64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val="en-US" w:eastAsia="zh-CN"/>
                    </w:rPr>
                    <w:t>2022.8.1</w:t>
                  </w:r>
                  <w:r>
                    <w:rPr>
                      <w:rFonts w:cs="Times New Roman"/>
                      <w:sz w:val="21"/>
                      <w:szCs w:val="21"/>
                    </w:rPr>
                    <w:t>测量后</w:t>
                  </w:r>
                </w:p>
              </w:tc>
              <w:tc>
                <w:tcPr>
                  <w:tcW w:w="59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93.9</w:t>
                  </w:r>
                </w:p>
              </w:tc>
              <w:tc>
                <w:tcPr>
                  <w:tcW w:w="588"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-0.</w:t>
                  </w:r>
                  <w:r>
                    <w:rPr>
                      <w:rFonts w:hint="eastAsia" w:cs="Times New Roman"/>
                      <w:sz w:val="21"/>
                      <w:szCs w:val="21"/>
                      <w:lang w:val="en-US" w:eastAsia="zh-CN"/>
                    </w:rPr>
                    <w:t>1</w:t>
                  </w:r>
                </w:p>
              </w:tc>
              <w:tc>
                <w:tcPr>
                  <w:tcW w:w="392"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64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val="en-US" w:eastAsia="zh-CN"/>
                    </w:rPr>
                    <w:t>2022.8.2</w:t>
                  </w:r>
                  <w:r>
                    <w:rPr>
                      <w:rFonts w:cs="Times New Roman"/>
                      <w:sz w:val="21"/>
                      <w:szCs w:val="21"/>
                    </w:rPr>
                    <w:t>测量前</w:t>
                  </w:r>
                </w:p>
              </w:tc>
              <w:tc>
                <w:tcPr>
                  <w:tcW w:w="59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cs="Times New Roman"/>
                      <w:sz w:val="21"/>
                      <w:szCs w:val="21"/>
                      <w:lang w:val="en-US" w:eastAsia="zh-CN"/>
                    </w:rPr>
                    <w:t>-0.3</w:t>
                  </w:r>
                </w:p>
              </w:tc>
              <w:tc>
                <w:tcPr>
                  <w:tcW w:w="392"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21"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32"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647"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1034"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lang w:val="en-US" w:eastAsia="zh-CN"/>
                    </w:rPr>
                    <w:t>2022.8.2</w:t>
                  </w:r>
                  <w:r>
                    <w:rPr>
                      <w:rFonts w:cs="Times New Roman"/>
                      <w:sz w:val="21"/>
                      <w:szCs w:val="21"/>
                    </w:rPr>
                    <w:t>测量后</w:t>
                  </w:r>
                </w:p>
              </w:tc>
              <w:tc>
                <w:tcPr>
                  <w:tcW w:w="59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93.7</w:t>
                  </w:r>
                </w:p>
              </w:tc>
              <w:tc>
                <w:tcPr>
                  <w:tcW w:w="588"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hint="default" w:eastAsia="宋体" w:cs="Times New Roman"/>
                      <w:sz w:val="21"/>
                      <w:szCs w:val="21"/>
                      <w:lang w:val="en-US" w:eastAsia="zh-CN"/>
                    </w:rPr>
                  </w:pPr>
                  <w:r>
                    <w:rPr>
                      <w:rFonts w:hint="eastAsia" w:eastAsia="宋体" w:cs="Times New Roman"/>
                      <w:sz w:val="21"/>
                      <w:szCs w:val="21"/>
                      <w:lang w:val="en-US" w:eastAsia="zh-CN"/>
                    </w:rPr>
                    <w:t>-0.3</w:t>
                  </w:r>
                </w:p>
              </w:tc>
              <w:tc>
                <w:tcPr>
                  <w:tcW w:w="392"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pPr>
                    <w:spacing w:line="240" w:lineRule="auto"/>
                    <w:ind w:left="0" w:leftChars="0" w:right="0" w:rightChars="0" w:firstLine="0" w:firstLineChars="0"/>
                    <w:rPr>
                      <w:sz w:val="21"/>
                      <w:szCs w:val="21"/>
                    </w:rPr>
                  </w:pPr>
                  <w:r>
                    <w:rPr>
                      <w:rFonts w:hint="eastAsia"/>
                      <w:sz w:val="21"/>
                      <w:szCs w:val="21"/>
                    </w:rPr>
                    <w:t>声校准器</w:t>
                  </w:r>
                  <w:r>
                    <w:rPr>
                      <w:sz w:val="21"/>
                      <w:szCs w:val="21"/>
                    </w:rPr>
                    <w:t xml:space="preserve">：型号 </w:t>
                  </w:r>
                  <w:r>
                    <w:rPr>
                      <w:rFonts w:hint="eastAsia"/>
                      <w:color w:val="000000"/>
                      <w:kern w:val="0"/>
                      <w:sz w:val="22"/>
                      <w:szCs w:val="22"/>
                    </w:rPr>
                    <w:t>AWA6022A</w:t>
                  </w:r>
                  <w:r>
                    <w:rPr>
                      <w:sz w:val="21"/>
                      <w:szCs w:val="21"/>
                    </w:rPr>
                    <w:t>，编号</w:t>
                  </w:r>
                  <w:r>
                    <w:rPr>
                      <w:rFonts w:hint="eastAsia" w:cs="Times New Roman"/>
                      <w:sz w:val="21"/>
                      <w:szCs w:val="21"/>
                      <w:lang w:val="en-US" w:eastAsia="zh-CN"/>
                    </w:rPr>
                    <w:t>SDKK/SB-149</w:t>
                  </w:r>
                  <w:r>
                    <w:rPr>
                      <w:sz w:val="21"/>
                      <w:szCs w:val="21"/>
                    </w:rPr>
                    <w:t>；前、后校准示值偏差允许范围：</w:t>
                  </w:r>
                  <w:r>
                    <w:rPr>
                      <w:bCs/>
                      <w:sz w:val="21"/>
                      <w:szCs w:val="21"/>
                    </w:rPr>
                    <w:t>±0.5</w:t>
                  </w:r>
                  <w:r>
                    <w:rPr>
                      <w:sz w:val="21"/>
                      <w:szCs w:val="21"/>
                    </w:rPr>
                    <w:t xml:space="preserve"> dB(A）。</w:t>
                  </w:r>
                </w:p>
              </w:tc>
            </w:tr>
          </w:tbl>
          <w:p>
            <w:pPr>
              <w:pStyle w:val="33"/>
              <w:snapToGrid w:val="0"/>
              <w:ind w:firstLine="0" w:firstLineChars="0"/>
              <w:jc w:val="center"/>
              <w:rPr>
                <w:rFonts w:hint="default"/>
                <w:b/>
                <w:bCs/>
                <w:color w:val="auto"/>
              </w:rPr>
            </w:pPr>
          </w:p>
        </w:tc>
      </w:tr>
    </w:tbl>
    <w:p>
      <w:pPr>
        <w:snapToGrid w:val="0"/>
        <w:ind w:firstLine="0" w:firstLineChars="0"/>
        <w:outlineLvl w:val="0"/>
        <w:rPr>
          <w:b/>
          <w:bCs/>
          <w:color w:val="auto"/>
          <w:sz w:val="30"/>
          <w:szCs w:val="30"/>
          <w:highlight w:val="none"/>
        </w:rPr>
      </w:pPr>
      <w:bookmarkStart w:id="152" w:name="_Toc32636"/>
      <w:bookmarkStart w:id="153" w:name="_Toc7926"/>
      <w:bookmarkStart w:id="154" w:name="_Toc9381"/>
      <w:bookmarkStart w:id="155" w:name="_Toc11512"/>
      <w:bookmarkStart w:id="156" w:name="_Toc16311"/>
      <w:bookmarkStart w:id="157" w:name="_Toc22283"/>
      <w:bookmarkStart w:id="158" w:name="_Toc32687"/>
      <w:bookmarkStart w:id="159" w:name="_Toc8940"/>
      <w:bookmarkStart w:id="160" w:name="_Toc24915"/>
      <w:bookmarkStart w:id="161" w:name="_Toc18624"/>
      <w:bookmarkStart w:id="162" w:name="_Toc21732"/>
      <w:bookmarkStart w:id="163" w:name="_Toc23110"/>
      <w:bookmarkStart w:id="164" w:name="_Toc32634"/>
      <w:r>
        <w:rPr>
          <w:b/>
          <w:bCs/>
          <w:color w:val="auto"/>
          <w:sz w:val="30"/>
          <w:szCs w:val="30"/>
          <w:highlight w:val="none"/>
        </w:rPr>
        <w:br w:type="page"/>
      </w:r>
      <w:bookmarkStart w:id="165" w:name="_Toc19384"/>
      <w:bookmarkStart w:id="166" w:name="_Toc22417"/>
      <w:bookmarkStart w:id="167" w:name="_Toc21826"/>
      <w:bookmarkStart w:id="168" w:name="_Toc1176"/>
      <w:bookmarkStart w:id="169" w:name="_Toc26933"/>
      <w:bookmarkStart w:id="170" w:name="_Toc24079"/>
      <w:bookmarkStart w:id="171" w:name="_Toc30352"/>
      <w:bookmarkStart w:id="172" w:name="_Toc12193"/>
      <w:bookmarkStart w:id="173" w:name="_Toc1880"/>
      <w:bookmarkStart w:id="174" w:name="_Toc22992"/>
      <w:bookmarkStart w:id="175" w:name="_Toc1236"/>
      <w:bookmarkStart w:id="176" w:name="_Toc8068"/>
      <w:bookmarkStart w:id="177" w:name="_Toc17067"/>
      <w:bookmarkStart w:id="178" w:name="_Toc28050"/>
      <w:bookmarkStart w:id="179" w:name="_Toc4355"/>
      <w:r>
        <w:rPr>
          <w:b/>
          <w:bCs/>
          <w:color w:val="auto"/>
          <w:sz w:val="30"/>
          <w:szCs w:val="30"/>
          <w:highlight w:val="none"/>
        </w:rPr>
        <w:t>表6  验收监测内容</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1、废气检测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①检测因子、点位和频次</w:t>
            </w:r>
          </w:p>
          <w:p>
            <w:pPr>
              <w:ind w:firstLine="480"/>
              <w:rPr>
                <w:color w:val="auto"/>
                <w:highlight w:val="none"/>
              </w:rPr>
            </w:pPr>
            <w:r>
              <w:rPr>
                <w:color w:val="auto"/>
                <w:highlight w:val="none"/>
              </w:rPr>
              <w:t>本项目有组织废气监测内容、频次见</w:t>
            </w:r>
            <w:r>
              <w:rPr>
                <w:rFonts w:hint="eastAsia"/>
                <w:color w:val="auto"/>
                <w:highlight w:val="none"/>
                <w:lang w:eastAsia="zh-CN"/>
              </w:rPr>
              <w:t>下</w:t>
            </w:r>
            <w:r>
              <w:rPr>
                <w:color w:val="auto"/>
                <w:highlight w:val="none"/>
              </w:rPr>
              <w:t>表。</w:t>
            </w:r>
          </w:p>
          <w:p>
            <w:pPr>
              <w:pStyle w:val="33"/>
              <w:ind w:firstLine="0" w:firstLineChars="0"/>
              <w:jc w:val="center"/>
              <w:rPr>
                <w:rFonts w:cs="Times New Roman"/>
                <w:color w:val="auto"/>
                <w:highlight w:val="none"/>
              </w:rPr>
            </w:pPr>
            <w:r>
              <w:rPr>
                <w:rFonts w:cs="Times New Roman"/>
                <w:b/>
                <w:bCs/>
                <w:color w:val="auto"/>
                <w:highlight w:val="none"/>
              </w:rPr>
              <w:t>表6-1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696"/>
              <w:gridCol w:w="1604"/>
              <w:gridCol w:w="1702"/>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Align w:val="center"/>
                </w:tcPr>
                <w:p>
                  <w:pPr>
                    <w:pStyle w:val="50"/>
                    <w:adjustRightInd w:val="0"/>
                    <w:snapToGrid w:val="0"/>
                    <w:spacing w:line="240" w:lineRule="auto"/>
                    <w:ind w:firstLine="0" w:firstLineChars="0"/>
                    <w:rPr>
                      <w:b/>
                      <w:bCs/>
                      <w:color w:val="auto"/>
                      <w:sz w:val="21"/>
                      <w:szCs w:val="21"/>
                      <w:highlight w:val="none"/>
                    </w:rPr>
                  </w:pPr>
                  <w:r>
                    <w:rPr>
                      <w:b/>
                      <w:bCs/>
                      <w:color w:val="auto"/>
                      <w:sz w:val="21"/>
                      <w:szCs w:val="21"/>
                      <w:highlight w:val="none"/>
                    </w:rPr>
                    <w:t>编号</w:t>
                  </w:r>
                </w:p>
              </w:tc>
              <w:tc>
                <w:tcPr>
                  <w:tcW w:w="1513" w:type="pct"/>
                  <w:vAlign w:val="center"/>
                </w:tcPr>
                <w:p>
                  <w:pPr>
                    <w:pStyle w:val="50"/>
                    <w:adjustRightInd w:val="0"/>
                    <w:snapToGrid w:val="0"/>
                    <w:spacing w:line="240" w:lineRule="auto"/>
                    <w:ind w:firstLine="0" w:firstLineChars="0"/>
                    <w:rPr>
                      <w:b/>
                      <w:bCs/>
                      <w:color w:val="auto"/>
                      <w:sz w:val="21"/>
                      <w:szCs w:val="21"/>
                      <w:highlight w:val="none"/>
                    </w:rPr>
                  </w:pPr>
                  <w:r>
                    <w:rPr>
                      <w:b/>
                      <w:bCs/>
                      <w:color w:val="auto"/>
                      <w:sz w:val="21"/>
                      <w:szCs w:val="21"/>
                      <w:highlight w:val="none"/>
                    </w:rPr>
                    <w:t>点位名称</w:t>
                  </w:r>
                </w:p>
              </w:tc>
              <w:tc>
                <w:tcPr>
                  <w:tcW w:w="900" w:type="pct"/>
                  <w:vAlign w:val="center"/>
                </w:tcPr>
                <w:p>
                  <w:pPr>
                    <w:pStyle w:val="50"/>
                    <w:adjustRightInd w:val="0"/>
                    <w:snapToGrid w:val="0"/>
                    <w:spacing w:line="240" w:lineRule="auto"/>
                    <w:ind w:firstLine="0" w:firstLineChars="0"/>
                    <w:rPr>
                      <w:b/>
                      <w:bCs/>
                      <w:color w:val="auto"/>
                      <w:sz w:val="21"/>
                      <w:szCs w:val="21"/>
                      <w:highlight w:val="none"/>
                    </w:rPr>
                  </w:pPr>
                  <w:r>
                    <w:rPr>
                      <w:b/>
                      <w:bCs/>
                      <w:color w:val="auto"/>
                      <w:sz w:val="21"/>
                      <w:szCs w:val="21"/>
                      <w:highlight w:val="none"/>
                    </w:rPr>
                    <w:t>处理措施</w:t>
                  </w:r>
                </w:p>
              </w:tc>
              <w:tc>
                <w:tcPr>
                  <w:tcW w:w="955" w:type="pct"/>
                  <w:vAlign w:val="center"/>
                </w:tcPr>
                <w:p>
                  <w:pPr>
                    <w:pStyle w:val="50"/>
                    <w:adjustRightInd w:val="0"/>
                    <w:snapToGrid w:val="0"/>
                    <w:spacing w:line="240" w:lineRule="auto"/>
                    <w:ind w:firstLine="0" w:firstLineChars="0"/>
                    <w:rPr>
                      <w:b/>
                      <w:bCs/>
                      <w:color w:val="auto"/>
                      <w:sz w:val="21"/>
                      <w:szCs w:val="21"/>
                      <w:highlight w:val="none"/>
                    </w:rPr>
                  </w:pPr>
                  <w:r>
                    <w:rPr>
                      <w:b/>
                      <w:bCs/>
                      <w:color w:val="auto"/>
                      <w:sz w:val="21"/>
                      <w:szCs w:val="21"/>
                      <w:highlight w:val="none"/>
                    </w:rPr>
                    <w:t>监测项目</w:t>
                  </w:r>
                </w:p>
              </w:tc>
              <w:tc>
                <w:tcPr>
                  <w:tcW w:w="1171" w:type="pct"/>
                  <w:vAlign w:val="center"/>
                </w:tcPr>
                <w:p>
                  <w:pPr>
                    <w:pStyle w:val="50"/>
                    <w:adjustRightInd w:val="0"/>
                    <w:snapToGrid w:val="0"/>
                    <w:spacing w:line="240" w:lineRule="auto"/>
                    <w:ind w:firstLine="0" w:firstLineChars="0"/>
                    <w:rPr>
                      <w:b/>
                      <w:bCs/>
                      <w:color w:val="auto"/>
                      <w:sz w:val="21"/>
                      <w:szCs w:val="21"/>
                      <w:highlight w:val="none"/>
                    </w:rPr>
                  </w:pPr>
                  <w:r>
                    <w:rPr>
                      <w:b/>
                      <w:bCs/>
                      <w:color w:val="auto"/>
                      <w:sz w:val="21"/>
                      <w:szCs w:val="21"/>
                      <w:highlight w:val="none"/>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restart"/>
                  <w:vAlign w:val="center"/>
                </w:tcPr>
                <w:p>
                  <w:pPr>
                    <w:pStyle w:val="33"/>
                    <w:snapToGrid w:val="0"/>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r>
                    <w:rPr>
                      <w:rFonts w:ascii="Times New Roman" w:hAnsi="Times New Roman" w:eastAsia="宋体" w:cs="Times New Roman"/>
                      <w:color w:val="auto"/>
                      <w:sz w:val="21"/>
                      <w:szCs w:val="21"/>
                      <w:highlight w:val="none"/>
                      <w:shd w:val="clear" w:color="auto" w:fill="FFFFFF"/>
                      <w:lang w:bidi="ar"/>
                    </w:rPr>
                    <w:t>1</w:t>
                  </w: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kern w:val="2"/>
                      <w:sz w:val="21"/>
                      <w:szCs w:val="21"/>
                      <w:highlight w:val="none"/>
                      <w:shd w:val="clear" w:color="auto" w:fill="FFFFFF"/>
                      <w:lang w:val="en-US" w:eastAsia="zh-CN" w:bidi="ar"/>
                    </w:rPr>
                    <w:t>实验操作+危废间+试剂库废气排气筒DA001</w:t>
                  </w:r>
                  <w:r>
                    <w:rPr>
                      <w:rFonts w:hint="eastAsia" w:ascii="Times New Roman" w:hAnsi="Times New Roman" w:eastAsia="宋体" w:cs="Times New Roman"/>
                      <w:color w:val="auto"/>
                      <w:kern w:val="2"/>
                      <w:sz w:val="21"/>
                      <w:szCs w:val="21"/>
                      <w:highlight w:val="none"/>
                      <w:shd w:val="clear" w:color="auto" w:fill="FFFFFF"/>
                      <w:lang w:val="en-US" w:eastAsia="zh-CN" w:bidi="ar"/>
                    </w:rPr>
                    <w:t>进口</w:t>
                  </w:r>
                </w:p>
              </w:tc>
              <w:tc>
                <w:tcPr>
                  <w:tcW w:w="900"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1#二级活性炭吸附</w:t>
                  </w:r>
                </w:p>
              </w:tc>
              <w:tc>
                <w:tcPr>
                  <w:tcW w:w="955"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r>
                    <w:rPr>
                      <w:rFonts w:hint="default" w:ascii="Times New Roman" w:hAnsi="Times New Roman" w:eastAsia="宋体" w:cs="Times New Roman"/>
                      <w:color w:val="auto"/>
                      <w:spacing w:val="0"/>
                      <w:sz w:val="21"/>
                      <w:szCs w:val="21"/>
                      <w:highlight w:val="none"/>
                      <w:shd w:val="clear" w:color="auto" w:fill="FFFFFF"/>
                      <w:lang w:val="en-US" w:eastAsia="zh-CN" w:bidi="ar"/>
                    </w:rPr>
                    <w:t>氯化氢、VOCs</w:t>
                  </w:r>
                </w:p>
              </w:tc>
              <w:tc>
                <w:tcPr>
                  <w:tcW w:w="1171" w:type="pct"/>
                  <w:vAlign w:val="center"/>
                </w:tcPr>
                <w:p>
                  <w:pPr>
                    <w:pStyle w:val="33"/>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r>
                    <w:rPr>
                      <w:rFonts w:ascii="Times New Roman" w:hAnsi="Times New Roman" w:eastAsia="宋体" w:cs="Times New Roman"/>
                      <w:color w:val="auto"/>
                      <w:sz w:val="21"/>
                      <w:szCs w:val="21"/>
                      <w:highlight w:val="none"/>
                      <w:shd w:val="clear" w:color="auto" w:fill="FFFFFF"/>
                      <w:lang w:bidi="ar"/>
                    </w:rPr>
                    <w:t>监测2天，</w:t>
                  </w:r>
                  <w:r>
                    <w:rPr>
                      <w:rFonts w:hint="eastAsia" w:cs="Times New Roman"/>
                      <w:color w:val="auto"/>
                      <w:sz w:val="21"/>
                      <w:szCs w:val="21"/>
                      <w:highlight w:val="none"/>
                      <w:shd w:val="clear" w:color="auto" w:fill="FFFFFF"/>
                      <w:lang w:val="en-US" w:eastAsia="zh-CN" w:bidi="ar"/>
                    </w:rPr>
                    <w:t>1</w:t>
                  </w:r>
                  <w:r>
                    <w:rPr>
                      <w:rFonts w:ascii="Times New Roman" w:hAnsi="Times New Roman" w:eastAsia="宋体" w:cs="Times New Roman"/>
                      <w:color w:val="auto"/>
                      <w:sz w:val="21"/>
                      <w:szCs w:val="21"/>
                      <w:highlight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continue"/>
                  <w:tcBorders/>
                  <w:vAlign w:val="center"/>
                </w:tcPr>
                <w:p>
                  <w:pPr>
                    <w:pStyle w:val="33"/>
                    <w:snapToGrid w:val="0"/>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kern w:val="2"/>
                      <w:sz w:val="21"/>
                      <w:szCs w:val="21"/>
                      <w:highlight w:val="none"/>
                      <w:shd w:val="clear" w:color="auto" w:fill="FFFFFF"/>
                      <w:lang w:val="en-US" w:eastAsia="zh-CN" w:bidi="ar"/>
                    </w:rPr>
                    <w:t>实验操作+危废间+试剂库废气排气筒DA001</w:t>
                  </w:r>
                  <w:r>
                    <w:rPr>
                      <w:rFonts w:hint="eastAsia" w:ascii="Times New Roman" w:hAnsi="Times New Roman" w:eastAsia="宋体" w:cs="Times New Roman"/>
                      <w:color w:val="auto"/>
                      <w:kern w:val="2"/>
                      <w:sz w:val="21"/>
                      <w:szCs w:val="21"/>
                      <w:highlight w:val="none"/>
                      <w:shd w:val="clear" w:color="auto" w:fill="FFFFFF"/>
                      <w:lang w:val="en-US" w:eastAsia="zh-CN" w:bidi="ar"/>
                    </w:rPr>
                    <w:t>出口</w:t>
                  </w:r>
                </w:p>
              </w:tc>
              <w:tc>
                <w:tcPr>
                  <w:tcW w:w="900"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p>
              </w:tc>
              <w:tc>
                <w:tcPr>
                  <w:tcW w:w="955"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p>
              </w:tc>
              <w:tc>
                <w:tcPr>
                  <w:tcW w:w="1171" w:type="pct"/>
                  <w:vAlign w:val="center"/>
                </w:tcPr>
                <w:p>
                  <w:pPr>
                    <w:pStyle w:val="33"/>
                    <w:spacing w:line="240" w:lineRule="auto"/>
                    <w:ind w:firstLine="0" w:firstLineChars="0"/>
                    <w:jc w:val="center"/>
                    <w:rPr>
                      <w:rFonts w:ascii="Times New Roman" w:hAnsi="Times New Roman" w:eastAsia="宋体" w:cs="Times New Roman"/>
                      <w:color w:val="auto"/>
                      <w:kern w:val="2"/>
                      <w:sz w:val="21"/>
                      <w:szCs w:val="21"/>
                      <w:highlight w:val="none"/>
                      <w:shd w:val="clear" w:color="auto" w:fill="FFFFFF"/>
                      <w:lang w:val="en-US" w:eastAsia="zh-CN" w:bidi="ar"/>
                    </w:rPr>
                  </w:pPr>
                  <w:r>
                    <w:rPr>
                      <w:rFonts w:ascii="Times New Roman" w:hAnsi="Times New Roman" w:eastAsia="宋体" w:cs="Times New Roman"/>
                      <w:color w:val="auto"/>
                      <w:sz w:val="21"/>
                      <w:szCs w:val="21"/>
                      <w:highlight w:val="none"/>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restart"/>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val="en-US" w:eastAsia="zh-CN" w:bidi="ar"/>
                    </w:rPr>
                    <w:t>2</w:t>
                  </w: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实验操作废气排气筒DA002</w:t>
                  </w:r>
                  <w:r>
                    <w:rPr>
                      <w:rFonts w:hint="eastAsia" w:ascii="Times New Roman" w:hAnsi="Times New Roman" w:eastAsia="宋体" w:cs="Times New Roman"/>
                      <w:color w:val="auto"/>
                      <w:kern w:val="2"/>
                      <w:sz w:val="21"/>
                      <w:szCs w:val="21"/>
                      <w:highlight w:val="none"/>
                      <w:shd w:val="clear" w:color="auto" w:fill="FFFFFF"/>
                      <w:lang w:val="en-US" w:eastAsia="zh-CN" w:bidi="ar"/>
                    </w:rPr>
                    <w:t>进口</w:t>
                  </w:r>
                </w:p>
              </w:tc>
              <w:tc>
                <w:tcPr>
                  <w:tcW w:w="900"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2#二级活性炭吸附</w:t>
                  </w:r>
                </w:p>
              </w:tc>
              <w:tc>
                <w:tcPr>
                  <w:tcW w:w="955"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r>
                    <w:rPr>
                      <w:rFonts w:hint="default" w:ascii="Times New Roman" w:hAnsi="Times New Roman" w:eastAsia="宋体" w:cs="Times New Roman"/>
                      <w:color w:val="auto"/>
                      <w:spacing w:val="0"/>
                      <w:sz w:val="21"/>
                      <w:szCs w:val="21"/>
                      <w:highlight w:val="none"/>
                      <w:shd w:val="clear" w:color="auto" w:fill="FFFFFF"/>
                      <w:lang w:val="en-US" w:eastAsia="zh-CN" w:bidi="ar"/>
                    </w:rPr>
                    <w:t>氯化氢、VOCs</w:t>
                  </w:r>
                </w:p>
              </w:tc>
              <w:tc>
                <w:tcPr>
                  <w:tcW w:w="1171" w:type="pct"/>
                  <w:vAlign w:val="center"/>
                </w:tcPr>
                <w:p>
                  <w:pPr>
                    <w:pStyle w:val="33"/>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r>
                    <w:rPr>
                      <w:rFonts w:ascii="Times New Roman" w:hAnsi="Times New Roman" w:eastAsia="宋体" w:cs="Times New Roman"/>
                      <w:color w:val="auto"/>
                      <w:sz w:val="21"/>
                      <w:szCs w:val="21"/>
                      <w:highlight w:val="none"/>
                      <w:shd w:val="clear" w:color="auto" w:fill="FFFFFF"/>
                      <w:lang w:bidi="ar"/>
                    </w:rPr>
                    <w:t>监测2天，</w:t>
                  </w:r>
                  <w:r>
                    <w:rPr>
                      <w:rFonts w:hint="eastAsia" w:cs="Times New Roman"/>
                      <w:color w:val="auto"/>
                      <w:sz w:val="21"/>
                      <w:szCs w:val="21"/>
                      <w:highlight w:val="none"/>
                      <w:shd w:val="clear" w:color="auto" w:fill="FFFFFF"/>
                      <w:lang w:val="en-US" w:eastAsia="zh-CN" w:bidi="ar"/>
                    </w:rPr>
                    <w:t>1</w:t>
                  </w:r>
                  <w:r>
                    <w:rPr>
                      <w:rFonts w:ascii="Times New Roman" w:hAnsi="Times New Roman" w:eastAsia="宋体" w:cs="Times New Roman"/>
                      <w:color w:val="auto"/>
                      <w:sz w:val="21"/>
                      <w:szCs w:val="21"/>
                      <w:highlight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continue"/>
                  <w:tcBorders/>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实验操作废气排气筒DA002</w:t>
                  </w:r>
                  <w:r>
                    <w:rPr>
                      <w:rFonts w:hint="eastAsia" w:ascii="Times New Roman" w:hAnsi="Times New Roman" w:eastAsia="宋体" w:cs="Times New Roman"/>
                      <w:color w:val="auto"/>
                      <w:kern w:val="2"/>
                      <w:sz w:val="21"/>
                      <w:szCs w:val="21"/>
                      <w:highlight w:val="none"/>
                      <w:shd w:val="clear" w:color="auto" w:fill="FFFFFF"/>
                      <w:lang w:val="en-US" w:eastAsia="zh-CN" w:bidi="ar"/>
                    </w:rPr>
                    <w:t>出口</w:t>
                  </w:r>
                </w:p>
              </w:tc>
              <w:tc>
                <w:tcPr>
                  <w:tcW w:w="900"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p>
              </w:tc>
              <w:tc>
                <w:tcPr>
                  <w:tcW w:w="955"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p>
              </w:tc>
              <w:tc>
                <w:tcPr>
                  <w:tcW w:w="1171" w:type="pct"/>
                  <w:vAlign w:val="center"/>
                </w:tcPr>
                <w:p>
                  <w:pPr>
                    <w:pStyle w:val="33"/>
                    <w:spacing w:line="240" w:lineRule="auto"/>
                    <w:ind w:firstLine="0" w:firstLineChars="0"/>
                    <w:jc w:val="center"/>
                    <w:rPr>
                      <w:rFonts w:ascii="Times New Roman" w:hAnsi="Times New Roman" w:eastAsia="宋体" w:cs="Times New Roman"/>
                      <w:color w:val="auto"/>
                      <w:kern w:val="2"/>
                      <w:sz w:val="21"/>
                      <w:szCs w:val="21"/>
                      <w:highlight w:val="none"/>
                      <w:shd w:val="clear" w:color="auto" w:fill="FFFFFF"/>
                      <w:lang w:val="en-US" w:eastAsia="zh-CN" w:bidi="ar"/>
                    </w:rPr>
                  </w:pPr>
                  <w:r>
                    <w:rPr>
                      <w:rFonts w:ascii="Times New Roman" w:hAnsi="Times New Roman" w:eastAsia="宋体" w:cs="Times New Roman"/>
                      <w:color w:val="auto"/>
                      <w:sz w:val="21"/>
                      <w:szCs w:val="21"/>
                      <w:highlight w:val="none"/>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restart"/>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val="en-US" w:eastAsia="zh-CN" w:bidi="ar"/>
                    </w:rPr>
                    <w:t>3</w:t>
                  </w: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实验操作废气排气筒DA003</w:t>
                  </w:r>
                  <w:r>
                    <w:rPr>
                      <w:rFonts w:hint="eastAsia" w:ascii="Times New Roman" w:hAnsi="Times New Roman" w:eastAsia="宋体" w:cs="Times New Roman"/>
                      <w:color w:val="auto"/>
                      <w:kern w:val="2"/>
                      <w:sz w:val="21"/>
                      <w:szCs w:val="21"/>
                      <w:highlight w:val="none"/>
                      <w:shd w:val="clear" w:color="auto" w:fill="FFFFFF"/>
                      <w:lang w:val="en-US" w:eastAsia="zh-CN" w:bidi="ar"/>
                    </w:rPr>
                    <w:t>进口</w:t>
                  </w:r>
                </w:p>
              </w:tc>
              <w:tc>
                <w:tcPr>
                  <w:tcW w:w="900"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3#二级活性炭吸附</w:t>
                  </w:r>
                </w:p>
              </w:tc>
              <w:tc>
                <w:tcPr>
                  <w:tcW w:w="955"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r>
                    <w:rPr>
                      <w:rFonts w:hint="default" w:ascii="Times New Roman" w:hAnsi="Times New Roman" w:eastAsia="宋体" w:cs="Times New Roman"/>
                      <w:color w:val="auto"/>
                      <w:spacing w:val="0"/>
                      <w:sz w:val="21"/>
                      <w:szCs w:val="21"/>
                      <w:highlight w:val="none"/>
                      <w:shd w:val="clear" w:color="auto" w:fill="FFFFFF"/>
                      <w:lang w:val="en-US" w:eastAsia="zh-CN" w:bidi="ar"/>
                    </w:rPr>
                    <w:t>氯化氢、VOCs</w:t>
                  </w:r>
                </w:p>
              </w:tc>
              <w:tc>
                <w:tcPr>
                  <w:tcW w:w="1171" w:type="pct"/>
                  <w:vAlign w:val="center"/>
                </w:tcPr>
                <w:p>
                  <w:pPr>
                    <w:pStyle w:val="33"/>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r>
                    <w:rPr>
                      <w:rFonts w:ascii="Times New Roman" w:hAnsi="Times New Roman" w:eastAsia="宋体" w:cs="Times New Roman"/>
                      <w:color w:val="auto"/>
                      <w:sz w:val="21"/>
                      <w:szCs w:val="21"/>
                      <w:highlight w:val="none"/>
                      <w:shd w:val="clear" w:color="auto" w:fill="FFFFFF"/>
                      <w:lang w:bidi="ar"/>
                    </w:rPr>
                    <w:t>监测2天，</w:t>
                  </w:r>
                  <w:r>
                    <w:rPr>
                      <w:rFonts w:hint="eastAsia" w:cs="Times New Roman"/>
                      <w:color w:val="auto"/>
                      <w:sz w:val="21"/>
                      <w:szCs w:val="21"/>
                      <w:highlight w:val="none"/>
                      <w:shd w:val="clear" w:color="auto" w:fill="FFFFFF"/>
                      <w:lang w:val="en-US" w:eastAsia="zh-CN" w:bidi="ar"/>
                    </w:rPr>
                    <w:t>1</w:t>
                  </w:r>
                  <w:r>
                    <w:rPr>
                      <w:rFonts w:ascii="Times New Roman" w:hAnsi="Times New Roman" w:eastAsia="宋体" w:cs="Times New Roman"/>
                      <w:color w:val="auto"/>
                      <w:sz w:val="21"/>
                      <w:szCs w:val="21"/>
                      <w:highlight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continue"/>
                  <w:tcBorders/>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实验操作废气排气筒DA003</w:t>
                  </w:r>
                  <w:r>
                    <w:rPr>
                      <w:rFonts w:hint="eastAsia" w:ascii="Times New Roman" w:hAnsi="Times New Roman" w:eastAsia="宋体" w:cs="Times New Roman"/>
                      <w:color w:val="auto"/>
                      <w:kern w:val="2"/>
                      <w:sz w:val="21"/>
                      <w:szCs w:val="21"/>
                      <w:highlight w:val="none"/>
                      <w:shd w:val="clear" w:color="auto" w:fill="FFFFFF"/>
                      <w:lang w:val="en-US" w:eastAsia="zh-CN" w:bidi="ar"/>
                    </w:rPr>
                    <w:t>出口</w:t>
                  </w:r>
                </w:p>
              </w:tc>
              <w:tc>
                <w:tcPr>
                  <w:tcW w:w="900"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p>
              </w:tc>
              <w:tc>
                <w:tcPr>
                  <w:tcW w:w="955"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spacing w:val="0"/>
                      <w:kern w:val="2"/>
                      <w:sz w:val="21"/>
                      <w:szCs w:val="21"/>
                      <w:highlight w:val="none"/>
                      <w:shd w:val="clear" w:color="auto" w:fill="FFFFFF"/>
                      <w:lang w:val="en-US" w:eastAsia="zh-CN" w:bidi="ar"/>
                    </w:rPr>
                  </w:pPr>
                </w:p>
              </w:tc>
              <w:tc>
                <w:tcPr>
                  <w:tcW w:w="1171" w:type="pct"/>
                  <w:vAlign w:val="center"/>
                </w:tcPr>
                <w:p>
                  <w:pPr>
                    <w:pStyle w:val="33"/>
                    <w:spacing w:line="240" w:lineRule="auto"/>
                    <w:ind w:firstLine="0" w:firstLineChars="0"/>
                    <w:jc w:val="center"/>
                    <w:rPr>
                      <w:rFonts w:ascii="Times New Roman" w:hAnsi="Times New Roman" w:eastAsia="宋体" w:cs="Times New Roman"/>
                      <w:color w:val="auto"/>
                      <w:kern w:val="2"/>
                      <w:sz w:val="21"/>
                      <w:szCs w:val="21"/>
                      <w:highlight w:val="none"/>
                      <w:shd w:val="clear" w:color="auto" w:fill="FFFFFF"/>
                      <w:lang w:val="en-US" w:eastAsia="zh-CN" w:bidi="ar"/>
                    </w:rPr>
                  </w:pPr>
                  <w:r>
                    <w:rPr>
                      <w:rFonts w:ascii="Times New Roman" w:hAnsi="Times New Roman" w:eastAsia="宋体" w:cs="Times New Roman"/>
                      <w:color w:val="auto"/>
                      <w:sz w:val="21"/>
                      <w:szCs w:val="21"/>
                      <w:highlight w:val="none"/>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restart"/>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val="en-US" w:eastAsia="zh-CN" w:bidi="ar"/>
                    </w:rPr>
                    <w:t>4</w:t>
                  </w: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实验操作废气排气筒DA004</w:t>
                  </w:r>
                  <w:r>
                    <w:rPr>
                      <w:rFonts w:hint="eastAsia" w:ascii="Times New Roman" w:hAnsi="Times New Roman" w:eastAsia="宋体" w:cs="Times New Roman"/>
                      <w:color w:val="auto"/>
                      <w:kern w:val="2"/>
                      <w:sz w:val="21"/>
                      <w:szCs w:val="21"/>
                      <w:highlight w:val="none"/>
                      <w:shd w:val="clear" w:color="auto" w:fill="FFFFFF"/>
                      <w:lang w:val="en-US" w:eastAsia="zh-CN" w:bidi="ar"/>
                    </w:rPr>
                    <w:t>进口</w:t>
                  </w:r>
                </w:p>
              </w:tc>
              <w:tc>
                <w:tcPr>
                  <w:tcW w:w="900" w:type="pct"/>
                  <w:vMerge w:val="restar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4#二级活性炭吸附</w:t>
                  </w:r>
                </w:p>
              </w:tc>
              <w:tc>
                <w:tcPr>
                  <w:tcW w:w="955" w:type="pct"/>
                  <w:vMerge w:val="restart"/>
                  <w:vAlign w:val="center"/>
                </w:tcPr>
                <w:p>
                  <w:pPr>
                    <w:pStyle w:val="33"/>
                    <w:spacing w:line="240" w:lineRule="auto"/>
                    <w:ind w:firstLine="0" w:firstLineChars="0"/>
                    <w:jc w:val="center"/>
                    <w:rPr>
                      <w:rFonts w:hint="default" w:ascii="Times New Roman" w:hAnsi="Times New Roman" w:eastAsia="宋体" w:cs="Times New Roman"/>
                      <w:b w:val="0"/>
                      <w:bCs w:val="0"/>
                      <w:color w:val="auto"/>
                      <w:spacing w:val="0"/>
                      <w:kern w:val="2"/>
                      <w:sz w:val="21"/>
                      <w:szCs w:val="21"/>
                      <w:highlight w:val="none"/>
                      <w:shd w:val="clear" w:color="auto" w:fill="FFFFFF"/>
                      <w:lang w:val="en-US" w:eastAsia="zh-CN" w:bidi="ar"/>
                    </w:rPr>
                  </w:pPr>
                  <w:r>
                    <w:rPr>
                      <w:rFonts w:hint="default" w:ascii="Times New Roman" w:hAnsi="Times New Roman" w:eastAsia="宋体" w:cs="Times New Roman"/>
                      <w:color w:val="auto"/>
                      <w:spacing w:val="0"/>
                      <w:sz w:val="21"/>
                      <w:szCs w:val="21"/>
                      <w:highlight w:val="none"/>
                      <w:shd w:val="clear" w:color="auto" w:fill="FFFFFF"/>
                      <w:lang w:val="en-US" w:eastAsia="zh-CN" w:bidi="ar"/>
                    </w:rPr>
                    <w:t>氯化氢、VOCs</w:t>
                  </w:r>
                </w:p>
              </w:tc>
              <w:tc>
                <w:tcPr>
                  <w:tcW w:w="1171" w:type="pct"/>
                  <w:vAlign w:val="center"/>
                </w:tcPr>
                <w:p>
                  <w:pPr>
                    <w:pStyle w:val="33"/>
                    <w:spacing w:line="240" w:lineRule="auto"/>
                    <w:ind w:firstLine="0" w:firstLineChars="0"/>
                    <w:jc w:val="center"/>
                    <w:rPr>
                      <w:rFonts w:ascii="Times New Roman" w:hAnsi="Times New Roman" w:eastAsia="宋体" w:cs="Times New Roman"/>
                      <w:color w:val="auto"/>
                      <w:sz w:val="21"/>
                      <w:szCs w:val="21"/>
                      <w:highlight w:val="none"/>
                      <w:shd w:val="clear" w:color="auto" w:fill="FFFFFF"/>
                      <w:lang w:bidi="ar"/>
                    </w:rPr>
                  </w:pPr>
                  <w:r>
                    <w:rPr>
                      <w:rFonts w:ascii="Times New Roman" w:hAnsi="Times New Roman" w:eastAsia="宋体" w:cs="Times New Roman"/>
                      <w:color w:val="auto"/>
                      <w:sz w:val="21"/>
                      <w:szCs w:val="21"/>
                      <w:highlight w:val="none"/>
                      <w:shd w:val="clear" w:color="auto" w:fill="FFFFFF"/>
                      <w:lang w:bidi="ar"/>
                    </w:rPr>
                    <w:t>监测2天，</w:t>
                  </w:r>
                  <w:r>
                    <w:rPr>
                      <w:rFonts w:hint="eastAsia" w:cs="Times New Roman"/>
                      <w:color w:val="auto"/>
                      <w:sz w:val="21"/>
                      <w:szCs w:val="21"/>
                      <w:highlight w:val="none"/>
                      <w:shd w:val="clear" w:color="auto" w:fill="FFFFFF"/>
                      <w:lang w:val="en-US" w:eastAsia="zh-CN" w:bidi="ar"/>
                    </w:rPr>
                    <w:t>1</w:t>
                  </w:r>
                  <w:r>
                    <w:rPr>
                      <w:rFonts w:ascii="Times New Roman" w:hAnsi="Times New Roman" w:eastAsia="宋体" w:cs="Times New Roman"/>
                      <w:color w:val="auto"/>
                      <w:sz w:val="21"/>
                      <w:szCs w:val="21"/>
                      <w:highlight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9" w:type="pct"/>
                  <w:vMerge w:val="continue"/>
                  <w:tcBorders/>
                  <w:vAlign w:val="center"/>
                </w:tcPr>
                <w:p>
                  <w:pPr>
                    <w:pStyle w:val="33"/>
                    <w:snapToGrid w:val="0"/>
                    <w:spacing w:line="240" w:lineRule="auto"/>
                    <w:ind w:firstLine="0" w:firstLineChars="0"/>
                    <w:jc w:val="center"/>
                    <w:rPr>
                      <w:rFonts w:hint="default" w:ascii="Times New Roman" w:hAnsi="Times New Roman" w:eastAsia="宋体" w:cs="Times New Roman"/>
                      <w:color w:val="auto"/>
                      <w:sz w:val="21"/>
                      <w:szCs w:val="21"/>
                      <w:highlight w:val="none"/>
                      <w:shd w:val="clear" w:color="auto" w:fill="FFFFFF"/>
                      <w:lang w:val="en-US" w:eastAsia="zh-CN" w:bidi="ar"/>
                    </w:rPr>
                  </w:pPr>
                </w:p>
              </w:tc>
              <w:tc>
                <w:tcPr>
                  <w:tcW w:w="1513" w:type="pct"/>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r>
                    <w:rPr>
                      <w:rFonts w:hint="default" w:ascii="Times New Roman" w:hAnsi="Times New Roman" w:eastAsia="宋体" w:cs="Times New Roman"/>
                      <w:color w:val="auto"/>
                      <w:sz w:val="21"/>
                      <w:szCs w:val="21"/>
                      <w:highlight w:val="none"/>
                      <w:shd w:val="clear" w:color="auto" w:fill="FFFFFF"/>
                      <w:lang w:val="en-US" w:eastAsia="zh-CN" w:bidi="ar"/>
                    </w:rPr>
                    <w:t>实验操作废气排气筒DA004</w:t>
                  </w:r>
                  <w:r>
                    <w:rPr>
                      <w:rFonts w:hint="eastAsia" w:ascii="Times New Roman" w:hAnsi="Times New Roman" w:eastAsia="宋体" w:cs="Times New Roman"/>
                      <w:color w:val="auto"/>
                      <w:kern w:val="2"/>
                      <w:sz w:val="21"/>
                      <w:szCs w:val="21"/>
                      <w:highlight w:val="none"/>
                      <w:shd w:val="clear" w:color="auto" w:fill="FFFFFF"/>
                      <w:lang w:val="en-US" w:eastAsia="zh-CN" w:bidi="ar"/>
                    </w:rPr>
                    <w:t>出口</w:t>
                  </w:r>
                </w:p>
              </w:tc>
              <w:tc>
                <w:tcPr>
                  <w:tcW w:w="900" w:type="pct"/>
                  <w:vMerge w:val="continue"/>
                  <w:tcBorders/>
                  <w:vAlign w:val="center"/>
                </w:tcPr>
                <w:p>
                  <w:pPr>
                    <w:pStyle w:val="33"/>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
                    </w:rPr>
                  </w:pPr>
                </w:p>
              </w:tc>
              <w:tc>
                <w:tcPr>
                  <w:tcW w:w="955" w:type="pct"/>
                  <w:vMerge w:val="continue"/>
                  <w:tcBorders/>
                  <w:vAlign w:val="center"/>
                </w:tcPr>
                <w:p>
                  <w:pPr>
                    <w:pStyle w:val="33"/>
                    <w:spacing w:line="240" w:lineRule="auto"/>
                    <w:ind w:firstLine="0" w:firstLineChars="0"/>
                    <w:jc w:val="center"/>
                    <w:rPr>
                      <w:rFonts w:hint="default" w:ascii="Times New Roman" w:hAnsi="Times New Roman" w:eastAsia="宋体" w:cs="Times New Roman"/>
                      <w:b w:val="0"/>
                      <w:bCs w:val="0"/>
                      <w:color w:val="auto"/>
                      <w:spacing w:val="0"/>
                      <w:kern w:val="2"/>
                      <w:sz w:val="21"/>
                      <w:szCs w:val="21"/>
                      <w:highlight w:val="none"/>
                      <w:shd w:val="clear" w:color="auto" w:fill="FFFFFF"/>
                      <w:lang w:val="en-US" w:eastAsia="zh-CN" w:bidi="ar"/>
                    </w:rPr>
                  </w:pPr>
                </w:p>
              </w:tc>
              <w:tc>
                <w:tcPr>
                  <w:tcW w:w="1171" w:type="pct"/>
                  <w:vAlign w:val="center"/>
                </w:tcPr>
                <w:p>
                  <w:pPr>
                    <w:pStyle w:val="33"/>
                    <w:spacing w:line="240" w:lineRule="auto"/>
                    <w:ind w:firstLine="0" w:firstLineChars="0"/>
                    <w:jc w:val="center"/>
                    <w:rPr>
                      <w:rFonts w:ascii="Times New Roman" w:hAnsi="Times New Roman" w:eastAsia="宋体" w:cs="Times New Roman"/>
                      <w:color w:val="auto"/>
                      <w:kern w:val="2"/>
                      <w:sz w:val="21"/>
                      <w:szCs w:val="21"/>
                      <w:highlight w:val="none"/>
                      <w:shd w:val="clear" w:color="auto" w:fill="FFFFFF"/>
                      <w:lang w:val="en-US" w:eastAsia="zh-CN" w:bidi="ar"/>
                    </w:rPr>
                  </w:pPr>
                  <w:r>
                    <w:rPr>
                      <w:rFonts w:ascii="Times New Roman" w:hAnsi="Times New Roman" w:eastAsia="宋体" w:cs="Times New Roman"/>
                      <w:color w:val="auto"/>
                      <w:sz w:val="21"/>
                      <w:szCs w:val="21"/>
                      <w:highlight w:val="none"/>
                      <w:shd w:val="clear" w:color="auto" w:fill="FFFFFF"/>
                      <w:lang w:bidi="ar"/>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pStyle w:val="33"/>
                    <w:spacing w:line="240" w:lineRule="auto"/>
                    <w:ind w:firstLine="0" w:firstLineChars="0"/>
                    <w:jc w:val="both"/>
                    <w:rPr>
                      <w:rFonts w:hint="eastAsia" w:eastAsia="宋体" w:cs="Times New Roman"/>
                      <w:color w:val="auto"/>
                      <w:sz w:val="21"/>
                      <w:szCs w:val="21"/>
                      <w:highlight w:val="none"/>
                      <w:shd w:val="clear" w:color="auto" w:fill="FFFFFF"/>
                      <w:lang w:eastAsia="zh-CN"/>
                    </w:rPr>
                  </w:pPr>
                  <w:r>
                    <w:rPr>
                      <w:rFonts w:hint="eastAsia" w:cs="Times New Roman"/>
                      <w:color w:val="auto"/>
                      <w:sz w:val="21"/>
                      <w:szCs w:val="21"/>
                      <w:highlight w:val="none"/>
                      <w:shd w:val="clear" w:color="auto" w:fill="FFFFFF"/>
                    </w:rPr>
                    <w:t>备注：</w:t>
                  </w:r>
                  <w:r>
                    <w:rPr>
                      <w:rFonts w:hint="eastAsia" w:cs="Times New Roman"/>
                      <w:color w:val="auto"/>
                      <w:sz w:val="21"/>
                      <w:szCs w:val="21"/>
                      <w:highlight w:val="none"/>
                      <w:shd w:val="clear" w:color="auto" w:fill="FFFFFF"/>
                      <w:lang w:eastAsia="zh-CN"/>
                    </w:rPr>
                    <w:t>试运行验收期间，无水硫酸钠和硫酸暂未使用，故未对其监测。</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33"/>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6"/>
              <w:gridCol w:w="2325"/>
              <w:gridCol w:w="2475"/>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06"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2325"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2475"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10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mg/m</w:t>
                  </w:r>
                  <w:r>
                    <w:rPr>
                      <w:b/>
                      <w:bCs/>
                      <w:color w:val="auto"/>
                      <w:sz w:val="21"/>
                      <w:szCs w:val="21"/>
                      <w:highlight w:val="none"/>
                      <w:vertAlign w:val="superscript"/>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06"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VOCs（非甲烷总烃）</w:t>
                  </w:r>
                </w:p>
              </w:tc>
              <w:tc>
                <w:tcPr>
                  <w:tcW w:w="2325"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气相色谱法</w:t>
                  </w:r>
                </w:p>
              </w:tc>
              <w:tc>
                <w:tcPr>
                  <w:tcW w:w="2475"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HJ 38-2017</w:t>
                  </w:r>
                </w:p>
              </w:tc>
              <w:tc>
                <w:tcPr>
                  <w:tcW w:w="2108"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06"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氯化氢</w:t>
                  </w:r>
                </w:p>
              </w:tc>
              <w:tc>
                <w:tcPr>
                  <w:tcW w:w="2325"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硝酸银容量法</w:t>
                  </w:r>
                </w:p>
              </w:tc>
              <w:tc>
                <w:tcPr>
                  <w:tcW w:w="2475"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lang w:bidi="ar"/>
                    </w:rPr>
                    <w:t>HJ 548-2016</w:t>
                  </w:r>
                </w:p>
              </w:tc>
              <w:tc>
                <w:tcPr>
                  <w:tcW w:w="2108"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2</w:t>
                  </w:r>
                </w:p>
              </w:tc>
            </w:tr>
          </w:tbl>
          <w:p>
            <w:pPr>
              <w:ind w:firstLine="480"/>
              <w:rPr>
                <w:color w:val="auto"/>
                <w:highlight w:val="none"/>
              </w:rPr>
            </w:pPr>
            <w:r>
              <w:rPr>
                <w:color w:val="auto"/>
                <w:highlight w:val="none"/>
              </w:rPr>
              <w:t>（2）厂界无组织废气检测</w:t>
            </w:r>
          </w:p>
          <w:p>
            <w:pPr>
              <w:ind w:firstLine="480"/>
              <w:rPr>
                <w:color w:val="auto"/>
                <w:highlight w:val="none"/>
              </w:rPr>
            </w:pPr>
            <w:r>
              <w:rPr>
                <w:color w:val="auto"/>
                <w:highlight w:val="none"/>
              </w:rPr>
              <w:t>①检测因子、点位和频次</w:t>
            </w:r>
          </w:p>
          <w:p>
            <w:pPr>
              <w:ind w:firstLine="480"/>
              <w:jc w:val="left"/>
              <w:rPr>
                <w:color w:val="auto"/>
                <w:highlight w:val="none"/>
              </w:rPr>
            </w:pPr>
            <w:r>
              <w:rPr>
                <w:color w:val="auto"/>
                <w:highlight w:val="none"/>
              </w:rPr>
              <w:t>本项目考虑污染物产生源和平面布置图，本项目在上风向设置1个检测点位，下风向设置3个检测点位，厂房门窗或通风口外设置1个检测点位</w:t>
            </w:r>
            <w:r>
              <w:rPr>
                <w:rFonts w:hint="eastAsia"/>
                <w:color w:val="auto"/>
                <w:highlight w:val="none"/>
              </w:rPr>
              <w:t>，</w:t>
            </w:r>
            <w:r>
              <w:rPr>
                <w:color w:val="auto"/>
                <w:highlight w:val="none"/>
              </w:rPr>
              <w:t>共</w:t>
            </w:r>
            <w:r>
              <w:rPr>
                <w:rFonts w:hint="eastAsia"/>
                <w:color w:val="auto"/>
                <w:highlight w:val="none"/>
              </w:rPr>
              <w:t>五</w:t>
            </w:r>
            <w:r>
              <w:rPr>
                <w:color w:val="auto"/>
                <w:highlight w:val="none"/>
              </w:rPr>
              <w:t>个检测点位。本项目无组织废气检测点位和频次见表6-3。无组织废气监测点位图见下图6-1。</w:t>
            </w:r>
          </w:p>
          <w:p>
            <w:pPr>
              <w:pStyle w:val="33"/>
              <w:ind w:firstLine="0" w:firstLineChars="0"/>
              <w:jc w:val="center"/>
              <w:rPr>
                <w:rFonts w:cs="Times New Roman"/>
                <w:b/>
                <w:bCs/>
                <w:color w:val="auto"/>
                <w:highlight w:val="none"/>
              </w:rPr>
            </w:pPr>
            <w:r>
              <w:rPr>
                <w:rFonts w:cs="Times New Roman"/>
                <w:b/>
                <w:bCs/>
                <w:color w:val="auto"/>
                <w:highlight w:val="none"/>
              </w:rPr>
              <w:t>表6-3  无组织废气检测内容、频次一览表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5"/>
              <w:gridCol w:w="2763"/>
              <w:gridCol w:w="1826"/>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74"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1550"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检测点位</w:t>
                  </w:r>
                </w:p>
              </w:tc>
              <w:tc>
                <w:tcPr>
                  <w:tcW w:w="1024"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频次</w:t>
                  </w:r>
                </w:p>
              </w:tc>
              <w:tc>
                <w:tcPr>
                  <w:tcW w:w="1350"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74" w:type="pct"/>
                  <w:vAlign w:val="center"/>
                </w:tcPr>
                <w:p>
                  <w:pPr>
                    <w:pStyle w:val="33"/>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shd w:val="clear" w:color="auto" w:fill="FFFFFF"/>
                    </w:rPr>
                    <w:t>VOCs、氯化氢</w:t>
                  </w:r>
                </w:p>
              </w:tc>
              <w:tc>
                <w:tcPr>
                  <w:tcW w:w="1550" w:type="pct"/>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上风向设置1个检测点，下风向设置3个检测点</w:t>
                  </w:r>
                </w:p>
              </w:tc>
              <w:tc>
                <w:tcPr>
                  <w:tcW w:w="1024" w:type="pct"/>
                  <w:vMerge w:val="restar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50" w:type="pct"/>
                  <w:vMerge w:val="restar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74" w:type="pct"/>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NMHC</w:t>
                  </w:r>
                </w:p>
              </w:tc>
              <w:tc>
                <w:tcPr>
                  <w:tcW w:w="1550" w:type="pct"/>
                  <w:vAlign w:val="center"/>
                </w:tcPr>
                <w:p>
                  <w:pPr>
                    <w:pStyle w:val="33"/>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shd w:val="clear" w:color="auto" w:fill="FFFFFF"/>
                    </w:rPr>
                    <w:t>厂房门窗或通风口外 1m</w:t>
                  </w:r>
                </w:p>
              </w:tc>
              <w:tc>
                <w:tcPr>
                  <w:tcW w:w="1024" w:type="pct"/>
                  <w:vMerge w:val="continue"/>
                  <w:vAlign w:val="center"/>
                </w:tcPr>
                <w:p>
                  <w:pPr>
                    <w:spacing w:line="240" w:lineRule="auto"/>
                    <w:ind w:firstLine="0" w:firstLineChars="0"/>
                    <w:jc w:val="center"/>
                    <w:rPr>
                      <w:color w:val="auto"/>
                      <w:sz w:val="21"/>
                      <w:szCs w:val="21"/>
                      <w:highlight w:val="none"/>
                    </w:rPr>
                  </w:pPr>
                </w:p>
              </w:tc>
              <w:tc>
                <w:tcPr>
                  <w:tcW w:w="1350" w:type="pct"/>
                  <w:vMerge w:val="continue"/>
                  <w:vAlign w:val="center"/>
                </w:tcPr>
                <w:p>
                  <w:pPr>
                    <w:spacing w:line="240" w:lineRule="auto"/>
                    <w:ind w:firstLine="0" w:firstLineChars="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pPr>
                    <w:spacing w:line="240" w:lineRule="auto"/>
                    <w:ind w:firstLine="0" w:firstLineChars="0"/>
                    <w:rPr>
                      <w:color w:val="auto"/>
                      <w:sz w:val="21"/>
                      <w:szCs w:val="21"/>
                      <w:highlight w:val="none"/>
                    </w:rPr>
                  </w:pPr>
                  <w:r>
                    <w:rPr>
                      <w:rFonts w:hint="eastAsia"/>
                      <w:color w:val="auto"/>
                      <w:sz w:val="21"/>
                      <w:szCs w:val="21"/>
                      <w:highlight w:val="none"/>
                    </w:rPr>
                    <w:t>备注：</w:t>
                  </w:r>
                  <w:r>
                    <w:rPr>
                      <w:rFonts w:hint="eastAsia"/>
                      <w:color w:val="auto"/>
                      <w:sz w:val="21"/>
                      <w:szCs w:val="21"/>
                      <w:highlight w:val="none"/>
                      <w:lang w:eastAsia="zh-CN" w:bidi="ar"/>
                    </w:rPr>
                    <w:t>试运行验收期间，无水硫酸钠和硫酸暂未使用，故未对其检测。</w:t>
                  </w:r>
                  <w:r>
                    <w:rPr>
                      <w:rFonts w:hint="eastAsia"/>
                      <w:color w:val="auto"/>
                      <w:sz w:val="21"/>
                      <w:szCs w:val="21"/>
                      <w:highlight w:val="none"/>
                      <w:lang w:bidi="ar"/>
                    </w:rPr>
                    <w:t>。</w:t>
                  </w:r>
                </w:p>
              </w:tc>
            </w:tr>
          </w:tbl>
          <w:p>
            <w:pPr>
              <w:ind w:firstLine="480"/>
              <w:rPr>
                <w:color w:val="auto"/>
                <w:highlight w:val="none"/>
              </w:rPr>
            </w:pPr>
            <w:r>
              <w:rPr>
                <w:color w:val="auto"/>
                <w:highlight w:val="none"/>
              </w:rPr>
              <w:t>②检测分析方法</w:t>
            </w:r>
          </w:p>
          <w:p>
            <w:pPr>
              <w:pStyle w:val="33"/>
              <w:jc w:val="both"/>
              <w:rPr>
                <w:rFonts w:cs="Times New Roman"/>
                <w:color w:val="auto"/>
                <w:szCs w:val="24"/>
                <w:highlight w:val="none"/>
              </w:rPr>
            </w:pPr>
            <w:r>
              <w:rPr>
                <w:rFonts w:cs="Times New Roman"/>
                <w:color w:val="auto"/>
                <w:szCs w:val="24"/>
                <w:highlight w:val="none"/>
              </w:rPr>
              <w:t>本项目无组织废气检测分析方法见表6-4。</w:t>
            </w:r>
          </w:p>
          <w:p>
            <w:pPr>
              <w:pStyle w:val="33"/>
              <w:ind w:firstLine="0" w:firstLineChars="0"/>
              <w:jc w:val="center"/>
              <w:rPr>
                <w:rFonts w:cs="Times New Roman"/>
                <w:color w:val="auto"/>
                <w:highlight w:val="none"/>
              </w:rPr>
            </w:pPr>
            <w:r>
              <w:rPr>
                <w:rFonts w:cs="Times New Roman"/>
                <w:b/>
                <w:bCs/>
                <w:color w:val="auto"/>
                <w:highlight w:val="none"/>
              </w:rPr>
              <w:t>表6-4  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1"/>
              <w:gridCol w:w="2442"/>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21"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2442"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2595"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1856"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mg/m</w:t>
                  </w:r>
                  <w:r>
                    <w:rPr>
                      <w:b/>
                      <w:bCs/>
                      <w:color w:val="auto"/>
                      <w:sz w:val="21"/>
                      <w:szCs w:val="21"/>
                      <w:highlight w:val="none"/>
                      <w:vertAlign w:val="superscript"/>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21" w:type="dxa"/>
                  <w:vAlign w:val="center"/>
                </w:tcPr>
                <w:p>
                  <w:pPr>
                    <w:pStyle w:val="33"/>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VOCs（非甲烷总烃）</w:t>
                  </w:r>
                </w:p>
              </w:tc>
              <w:tc>
                <w:tcPr>
                  <w:tcW w:w="2442" w:type="dxa"/>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气相色谱法</w:t>
                  </w:r>
                </w:p>
              </w:tc>
              <w:tc>
                <w:tcPr>
                  <w:tcW w:w="2595" w:type="dxa"/>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 604-2017</w:t>
                  </w:r>
                </w:p>
              </w:tc>
              <w:tc>
                <w:tcPr>
                  <w:tcW w:w="1856"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21" w:type="dxa"/>
                  <w:vAlign w:val="center"/>
                </w:tcPr>
                <w:p>
                  <w:pPr>
                    <w:pStyle w:val="33"/>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氯化氢</w:t>
                  </w:r>
                </w:p>
              </w:tc>
              <w:tc>
                <w:tcPr>
                  <w:tcW w:w="2442" w:type="dxa"/>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硫氰酸汞分光光度法</w:t>
                  </w:r>
                </w:p>
              </w:tc>
              <w:tc>
                <w:tcPr>
                  <w:tcW w:w="2595" w:type="dxa"/>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HJ/T 27-1999</w:t>
                  </w:r>
                </w:p>
              </w:tc>
              <w:tc>
                <w:tcPr>
                  <w:tcW w:w="1856" w:type="dxa"/>
                  <w:vAlign w:val="center"/>
                </w:tcPr>
                <w:p>
                  <w:pPr>
                    <w:pStyle w:val="33"/>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 xml:space="preserve">0.05 </w:t>
                  </w:r>
                </w:p>
              </w:tc>
            </w:tr>
          </w:tbl>
          <w:p>
            <w:pPr>
              <w:pStyle w:val="33"/>
              <w:jc w:val="both"/>
              <w:rPr>
                <w:rFonts w:cs="Times New Roman"/>
                <w:color w:val="auto"/>
                <w:highlight w:val="none"/>
              </w:rPr>
            </w:pPr>
            <w:r>
              <w:rPr>
                <w:rFonts w:cs="Times New Roman"/>
                <w:color w:val="auto"/>
                <w:szCs w:val="24"/>
                <w:highlight w:val="none"/>
              </w:rPr>
              <w:t>无组织点位布置图如下：</w:t>
            </w:r>
          </w:p>
          <w:p>
            <w:pPr>
              <w:tabs>
                <w:tab w:val="left" w:pos="2565"/>
                <w:tab w:val="center" w:pos="4812"/>
              </w:tabs>
              <w:ind w:firstLine="0" w:firstLineChars="0"/>
              <w:jc w:val="center"/>
              <w:rPr>
                <w:color w:val="auto"/>
                <w:highlight w:val="none"/>
              </w:rPr>
            </w:pPr>
            <w:r>
              <w:rPr>
                <w:color w:val="auto"/>
              </w:rPr>
              <w:pict>
                <v:shape id="_x0000_i1030" o:spt="75" type="#_x0000_t75" style="height:331.5pt;width:440.25pt;" filled="f" stroked="f" coordsize="21600,21600">
                  <v:path/>
                  <v:fill on="f" focussize="0,0"/>
                  <v:stroke on="f"/>
                  <v:imagedata r:id="rId12" o:title=""/>
                  <o:lock v:ext="edit" aspectratio="t"/>
                  <w10:wrap type="none"/>
                  <w10:anchorlock/>
                </v:shape>
              </w:pict>
            </w:r>
          </w:p>
          <w:p>
            <w:pPr>
              <w:tabs>
                <w:tab w:val="left" w:pos="2565"/>
                <w:tab w:val="center" w:pos="4812"/>
              </w:tabs>
              <w:ind w:firstLine="482"/>
              <w:jc w:val="center"/>
              <w:rPr>
                <w:rFonts w:hint="eastAsia" w:eastAsia="宋体"/>
                <w:color w:val="auto"/>
                <w:highlight w:val="none"/>
                <w:lang w:eastAsia="zh-CN"/>
              </w:rPr>
            </w:pPr>
            <w:r>
              <w:rPr>
                <w:b/>
                <w:bCs/>
                <w:color w:val="auto"/>
                <w:highlight w:val="none"/>
              </w:rPr>
              <w:pict>
                <v:shape id="文本框 47" o:spid="_x0000_s2068"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b/>
                            <w:bCs/>
                          </w:rPr>
                        </w:pPr>
                        <w:r>
                          <w:rPr>
                            <w:rFonts w:hint="eastAsia"/>
                            <w:b/>
                            <w:bCs/>
                          </w:rPr>
                          <w:t>N</w:t>
                        </w:r>
                      </w:p>
                    </w:txbxContent>
                  </v:textbox>
                </v:shape>
              </w:pict>
            </w:r>
            <w:r>
              <w:rPr>
                <w:b/>
                <w:bCs/>
                <w:color w:val="auto"/>
                <w:highlight w:val="none"/>
              </w:rPr>
              <w:t>图6-1 无组织检测点位</w:t>
            </w:r>
            <w:r>
              <w:rPr>
                <w:rFonts w:hint="eastAsia"/>
                <w:b/>
                <w:bCs/>
                <w:color w:val="auto"/>
                <w:highlight w:val="none"/>
                <w:lang w:eastAsia="zh-CN"/>
              </w:rPr>
              <w:t>（南风）</w:t>
            </w:r>
          </w:p>
          <w:p>
            <w:pPr>
              <w:ind w:firstLine="482"/>
              <w:rPr>
                <w:b/>
                <w:bCs/>
                <w:color w:val="auto"/>
                <w:highlight w:val="none"/>
              </w:rPr>
            </w:pPr>
            <w:r>
              <w:rPr>
                <w:b/>
                <w:bCs/>
                <w:color w:val="auto"/>
                <w:highlight w:val="none"/>
              </w:rPr>
              <w:t>2、废水检测</w:t>
            </w:r>
          </w:p>
          <w:p>
            <w:pPr>
              <w:ind w:firstLine="480"/>
              <w:rPr>
                <w:color w:val="auto"/>
                <w:highlight w:val="none"/>
              </w:rPr>
            </w:pPr>
            <w:r>
              <w:rPr>
                <w:color w:val="auto"/>
                <w:highlight w:val="none"/>
              </w:rPr>
              <w:t>（1）废水检测点位和频次</w:t>
            </w:r>
          </w:p>
          <w:p>
            <w:pPr>
              <w:ind w:firstLine="480"/>
              <w:rPr>
                <w:color w:val="auto"/>
                <w:highlight w:val="none"/>
              </w:rPr>
            </w:pPr>
            <w:r>
              <w:rPr>
                <w:color w:val="auto"/>
                <w:highlight w:val="none"/>
              </w:rPr>
              <w:t>本次废水监测</w:t>
            </w:r>
            <w:r>
              <w:rPr>
                <w:rFonts w:hint="eastAsia"/>
                <w:color w:val="auto"/>
                <w:highlight w:val="none"/>
                <w:lang w:eastAsia="zh-CN"/>
              </w:rPr>
              <w:t>企业污水总排口和</w:t>
            </w:r>
            <w:r>
              <w:rPr>
                <w:rFonts w:hint="default" w:cs="Times New Roman"/>
                <w:color w:val="auto"/>
                <w:spacing w:val="0"/>
                <w:sz w:val="24"/>
                <w:szCs w:val="24"/>
              </w:rPr>
              <w:t>产业园污水处理站</w:t>
            </w:r>
            <w:r>
              <w:rPr>
                <w:rFonts w:hint="eastAsia" w:cs="Times New Roman"/>
                <w:color w:val="auto"/>
                <w:spacing w:val="0"/>
                <w:sz w:val="24"/>
                <w:szCs w:val="24"/>
                <w:lang w:eastAsia="zh-CN"/>
              </w:rPr>
              <w:t>进、出口，</w:t>
            </w:r>
            <w:r>
              <w:rPr>
                <w:color w:val="auto"/>
                <w:highlight w:val="none"/>
              </w:rPr>
              <w:t>监测内容、频次见</w:t>
            </w:r>
            <w:r>
              <w:rPr>
                <w:rFonts w:hint="eastAsia"/>
                <w:color w:val="auto"/>
                <w:highlight w:val="none"/>
                <w:lang w:eastAsia="zh-CN"/>
              </w:rPr>
              <w:t>下</w:t>
            </w:r>
            <w:r>
              <w:rPr>
                <w:color w:val="auto"/>
                <w:highlight w:val="none"/>
              </w:rPr>
              <w:t>表。</w:t>
            </w:r>
          </w:p>
          <w:p>
            <w:pPr>
              <w:pStyle w:val="22"/>
              <w:jc w:val="center"/>
              <w:rPr>
                <w:rFonts w:ascii="Times New Roman" w:hAnsi="Times New Roman"/>
                <w:b/>
                <w:bCs/>
                <w:color w:val="auto"/>
                <w:highlight w:val="none"/>
              </w:rPr>
            </w:pPr>
            <w:r>
              <w:rPr>
                <w:rFonts w:ascii="Times New Roman" w:hAnsi="Times New Roman"/>
                <w:b/>
                <w:bCs/>
                <w:color w:val="auto"/>
                <w:highlight w:val="none"/>
              </w:rPr>
              <w:t>表6-5  废水监测情况一览表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335"/>
              <w:gridCol w:w="2872"/>
              <w:gridCol w:w="1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监测点位</w:t>
                  </w:r>
                </w:p>
              </w:tc>
              <w:tc>
                <w:tcPr>
                  <w:tcW w:w="1310"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污染物</w:t>
                  </w:r>
                </w:p>
              </w:tc>
              <w:tc>
                <w:tcPr>
                  <w:tcW w:w="1611"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监测项目</w:t>
                  </w:r>
                </w:p>
              </w:tc>
              <w:tc>
                <w:tcPr>
                  <w:tcW w:w="1089" w:type="pct"/>
                  <w:tcBorders>
                    <w:bottom w:val="single" w:color="auto" w:sz="4" w:space="0"/>
                  </w:tcBorders>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lang w:bidi="ar"/>
                    </w:rPr>
                    <w:t>企业污水总排口</w:t>
                  </w:r>
                </w:p>
              </w:tc>
              <w:tc>
                <w:tcPr>
                  <w:tcW w:w="1310" w:type="pct"/>
                  <w:vMerge w:val="restar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lang w:bidi="ar"/>
                    </w:rPr>
                    <w:t>地面清洁废水、实验器皿清洗废水（实验器皿第三次和第四次清洗废水）和生活污水</w:t>
                  </w:r>
                </w:p>
              </w:tc>
              <w:tc>
                <w:tcPr>
                  <w:tcW w:w="1611"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lang w:eastAsia="zh-CN" w:bidi="ar"/>
                    </w:rPr>
                    <w:t>化学需氧量、氨氮</w:t>
                  </w:r>
                </w:p>
              </w:tc>
              <w:tc>
                <w:tcPr>
                  <w:tcW w:w="1089"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监测2天，每天采样4次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lang w:bidi="ar"/>
                    </w:rPr>
                    <w:t>产业园污水处理站</w:t>
                  </w:r>
                  <w:r>
                    <w:rPr>
                      <w:rFonts w:hint="eastAsia" w:cs="Times New Roman"/>
                      <w:color w:val="auto"/>
                      <w:sz w:val="21"/>
                      <w:szCs w:val="21"/>
                      <w:highlight w:val="none"/>
                      <w:shd w:val="clear" w:color="auto" w:fill="FFFFFF"/>
                      <w:lang w:eastAsia="zh-CN" w:bidi="ar"/>
                    </w:rPr>
                    <w:t>进</w:t>
                  </w:r>
                  <w:r>
                    <w:rPr>
                      <w:rFonts w:hint="eastAsia" w:cs="Times New Roman"/>
                      <w:color w:val="auto"/>
                      <w:sz w:val="21"/>
                      <w:szCs w:val="21"/>
                      <w:highlight w:val="none"/>
                      <w:shd w:val="clear" w:color="auto" w:fill="FFFFFF"/>
                      <w:lang w:bidi="ar"/>
                    </w:rPr>
                    <w:t>口</w:t>
                  </w:r>
                </w:p>
              </w:tc>
              <w:tc>
                <w:tcPr>
                  <w:tcW w:w="1310" w:type="pct"/>
                  <w:vMerge w:val="continue"/>
                  <w:tcBorders/>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p>
              </w:tc>
              <w:tc>
                <w:tcPr>
                  <w:tcW w:w="1611" w:type="pct"/>
                  <w:vAlign w:val="center"/>
                </w:tcPr>
                <w:p>
                  <w:pPr>
                    <w:pStyle w:val="33"/>
                    <w:widowControl/>
                    <w:spacing w:line="240" w:lineRule="auto"/>
                    <w:ind w:firstLine="0" w:firstLineChars="0"/>
                    <w:jc w:val="center"/>
                    <w:rPr>
                      <w:rFonts w:hint="default" w:eastAsia="宋体"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eastAsia="zh-CN" w:bidi="ar"/>
                    </w:rPr>
                    <w:t>化学需氧量、氨氮</w:t>
                  </w:r>
                </w:p>
              </w:tc>
              <w:tc>
                <w:tcPr>
                  <w:tcW w:w="1089"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监测</w:t>
                  </w:r>
                  <w:r>
                    <w:rPr>
                      <w:rFonts w:hint="eastAsia" w:cs="Times New Roman"/>
                      <w:color w:val="auto"/>
                      <w:sz w:val="21"/>
                      <w:szCs w:val="21"/>
                      <w:highlight w:val="none"/>
                      <w:shd w:val="clear" w:color="auto" w:fill="FFFFFF"/>
                      <w:lang w:val="en-US" w:eastAsia="zh-CN" w:bidi="ar"/>
                    </w:rPr>
                    <w:t>1</w:t>
                  </w:r>
                  <w:r>
                    <w:rPr>
                      <w:rFonts w:cs="Times New Roman"/>
                      <w:color w:val="auto"/>
                      <w:sz w:val="21"/>
                      <w:szCs w:val="21"/>
                      <w:highlight w:val="none"/>
                      <w:shd w:val="clear" w:color="auto" w:fill="FFFFFF"/>
                      <w:lang w:bidi="ar"/>
                    </w:rPr>
                    <w:t>天，每天采样</w:t>
                  </w:r>
                  <w:r>
                    <w:rPr>
                      <w:rFonts w:hint="eastAsia" w:cs="Times New Roman"/>
                      <w:color w:val="auto"/>
                      <w:sz w:val="21"/>
                      <w:szCs w:val="21"/>
                      <w:highlight w:val="none"/>
                      <w:shd w:val="clear" w:color="auto" w:fill="FFFFFF"/>
                      <w:lang w:val="en-US" w:eastAsia="zh-CN" w:bidi="ar"/>
                    </w:rPr>
                    <w:t>1</w:t>
                  </w:r>
                  <w:r>
                    <w:rPr>
                      <w:rFonts w:cs="Times New Roman"/>
                      <w:color w:val="auto"/>
                      <w:sz w:val="21"/>
                      <w:szCs w:val="21"/>
                      <w:highlight w:val="none"/>
                      <w:shd w:val="clear" w:color="auto" w:fill="FFFFFF"/>
                      <w:lang w:bidi="ar"/>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vAlign w:val="center"/>
                </w:tcPr>
                <w:p>
                  <w:pPr>
                    <w:pStyle w:val="33"/>
                    <w:widowControl/>
                    <w:spacing w:line="240" w:lineRule="auto"/>
                    <w:ind w:firstLine="0" w:firstLineChars="0"/>
                    <w:jc w:val="center"/>
                    <w:rPr>
                      <w:rFonts w:hint="eastAsia" w:cs="Times New Roman"/>
                      <w:color w:val="auto"/>
                      <w:sz w:val="21"/>
                      <w:szCs w:val="21"/>
                      <w:highlight w:val="none"/>
                      <w:shd w:val="clear" w:color="auto" w:fill="FFFFFF"/>
                      <w:lang w:bidi="ar"/>
                    </w:rPr>
                  </w:pPr>
                  <w:r>
                    <w:rPr>
                      <w:rFonts w:hint="eastAsia" w:cs="Times New Roman"/>
                      <w:color w:val="auto"/>
                      <w:sz w:val="21"/>
                      <w:szCs w:val="21"/>
                      <w:highlight w:val="none"/>
                      <w:shd w:val="clear" w:color="auto" w:fill="FFFFFF"/>
                      <w:lang w:bidi="ar"/>
                    </w:rPr>
                    <w:t>产业园污水处理站出口</w:t>
                  </w:r>
                </w:p>
              </w:tc>
              <w:tc>
                <w:tcPr>
                  <w:tcW w:w="1310" w:type="pct"/>
                  <w:vMerge w:val="continue"/>
                  <w:tcBorders/>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p>
              </w:tc>
              <w:tc>
                <w:tcPr>
                  <w:tcW w:w="1611" w:type="pct"/>
                  <w:vAlign w:val="center"/>
                </w:tcPr>
                <w:p>
                  <w:pPr>
                    <w:pStyle w:val="33"/>
                    <w:widowControl/>
                    <w:spacing w:line="240" w:lineRule="auto"/>
                    <w:ind w:firstLine="0" w:firstLineChars="0"/>
                    <w:jc w:val="center"/>
                    <w:rPr>
                      <w:rFonts w:hint="eastAsia"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val="en-US" w:eastAsia="zh-CN" w:bidi="ar"/>
                    </w:rPr>
                    <w:t>pH值、氨氮、悬浮物、总磷、化学需氧量、五日生化需氧量、溶解性总固体</w:t>
                  </w:r>
                </w:p>
              </w:tc>
              <w:tc>
                <w:tcPr>
                  <w:tcW w:w="1089" w:type="pct"/>
                  <w:vAlign w:val="center"/>
                </w:tcPr>
                <w:p>
                  <w:pPr>
                    <w:pStyle w:val="33"/>
                    <w:widowControl/>
                    <w:spacing w:line="240" w:lineRule="auto"/>
                    <w:ind w:firstLine="0" w:firstLineChars="0"/>
                    <w:jc w:val="center"/>
                    <w:rPr>
                      <w:rFonts w:cs="Times New Roman"/>
                      <w:color w:val="auto"/>
                      <w:sz w:val="21"/>
                      <w:szCs w:val="21"/>
                      <w:highlight w:val="none"/>
                      <w:shd w:val="clear" w:color="auto" w:fill="FFFFFF"/>
                      <w:lang w:bidi="ar"/>
                    </w:rPr>
                  </w:pPr>
                  <w:r>
                    <w:rPr>
                      <w:rFonts w:cs="Times New Roman"/>
                      <w:color w:val="auto"/>
                      <w:sz w:val="21"/>
                      <w:szCs w:val="21"/>
                      <w:highlight w:val="none"/>
                      <w:shd w:val="clear" w:color="auto" w:fill="FFFFFF"/>
                      <w:lang w:bidi="ar"/>
                    </w:rPr>
                    <w:t>监测2天，每天采样4次</w:t>
                  </w:r>
                </w:p>
              </w:tc>
            </w:tr>
          </w:tbl>
          <w:p>
            <w:pPr>
              <w:ind w:firstLine="480"/>
              <w:rPr>
                <w:color w:val="auto"/>
                <w:highlight w:val="none"/>
              </w:rPr>
            </w:pPr>
            <w:r>
              <w:rPr>
                <w:color w:val="auto"/>
                <w:highlight w:val="none"/>
              </w:rPr>
              <w:t>（2）检测分析方法</w:t>
            </w:r>
          </w:p>
          <w:p>
            <w:pPr>
              <w:pStyle w:val="22"/>
              <w:ind w:left="480" w:leftChars="200"/>
              <w:jc w:val="center"/>
              <w:rPr>
                <w:rFonts w:ascii="Times New Roman" w:hAnsi="Times New Roman"/>
                <w:b/>
                <w:bCs/>
                <w:color w:val="auto"/>
                <w:highlight w:val="none"/>
              </w:rPr>
            </w:pPr>
            <w:r>
              <w:rPr>
                <w:rFonts w:ascii="Times New Roman" w:hAnsi="Times New Roman"/>
                <w:b/>
                <w:bCs/>
                <w:color w:val="auto"/>
                <w:highlight w:val="none"/>
              </w:rPr>
              <w:t>表6-6 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51"/>
                    <w:rPr>
                      <w:b/>
                      <w:bCs/>
                      <w:color w:val="auto"/>
                      <w:highlight w:val="none"/>
                    </w:rPr>
                  </w:pPr>
                  <w:r>
                    <w:rPr>
                      <w:b/>
                      <w:bCs/>
                      <w:color w:val="auto"/>
                      <w:highlight w:val="none"/>
                    </w:rPr>
                    <w:t>监测项目</w:t>
                  </w:r>
                </w:p>
              </w:tc>
              <w:tc>
                <w:tcPr>
                  <w:tcW w:w="1592" w:type="pct"/>
                  <w:vAlign w:val="center"/>
                </w:tcPr>
                <w:p>
                  <w:pPr>
                    <w:pStyle w:val="51"/>
                    <w:rPr>
                      <w:b/>
                      <w:bCs/>
                      <w:color w:val="auto"/>
                      <w:highlight w:val="none"/>
                    </w:rPr>
                  </w:pPr>
                  <w:r>
                    <w:rPr>
                      <w:b/>
                      <w:bCs/>
                      <w:color w:val="auto"/>
                      <w:highlight w:val="none"/>
                    </w:rPr>
                    <w:t>检测方法</w:t>
                  </w:r>
                </w:p>
              </w:tc>
              <w:tc>
                <w:tcPr>
                  <w:tcW w:w="1158" w:type="pct"/>
                  <w:vAlign w:val="center"/>
                </w:tcPr>
                <w:p>
                  <w:pPr>
                    <w:pStyle w:val="51"/>
                    <w:rPr>
                      <w:b/>
                      <w:bCs/>
                      <w:color w:val="auto"/>
                      <w:highlight w:val="none"/>
                    </w:rPr>
                  </w:pPr>
                  <w:r>
                    <w:rPr>
                      <w:b/>
                      <w:bCs/>
                      <w:color w:val="auto"/>
                      <w:highlight w:val="none"/>
                    </w:rPr>
                    <w:t>方法依据</w:t>
                  </w:r>
                </w:p>
              </w:tc>
              <w:tc>
                <w:tcPr>
                  <w:tcW w:w="1052" w:type="pct"/>
                  <w:vAlign w:val="center"/>
                </w:tcPr>
                <w:p>
                  <w:pPr>
                    <w:pStyle w:val="51"/>
                    <w:rPr>
                      <w:b/>
                      <w:bCs/>
                      <w:color w:val="auto"/>
                      <w:highlight w:val="none"/>
                    </w:rPr>
                  </w:pPr>
                  <w:r>
                    <w:rPr>
                      <w:b/>
                      <w:bCs/>
                      <w:color w:val="auto"/>
                      <w:highlight w:val="none"/>
                    </w:rPr>
                    <w:t>检出限</w:t>
                  </w:r>
                  <w:r>
                    <w:rPr>
                      <w:rFonts w:hint="eastAsia"/>
                      <w:b/>
                      <w:bCs/>
                      <w:color w:val="auto"/>
                      <w:highlight w:val="none"/>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pH值</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电极法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1147-2020</w:t>
                  </w:r>
                </w:p>
              </w:tc>
              <w:tc>
                <w:tcPr>
                  <w:tcW w:w="1052" w:type="pct"/>
                  <w:vAlign w:val="center"/>
                </w:tcPr>
                <w:p>
                  <w:pPr>
                    <w:pStyle w:val="6"/>
                    <w:spacing w:after="0"/>
                    <w:ind w:firstLine="0" w:firstLineChars="0"/>
                    <w:jc w:val="center"/>
                    <w:rPr>
                      <w:rFonts w:hint="default" w:eastAsia="宋体"/>
                      <w:color w:val="auto"/>
                      <w:sz w:val="21"/>
                      <w:szCs w:val="21"/>
                      <w:highlight w:val="none"/>
                    </w:rPr>
                  </w:pPr>
                  <w:r>
                    <w:rPr>
                      <w:rFonts w:hint="default" w:eastAsia="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氨氮</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纳氏试剂分光光度法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535-2009</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悬浮物</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重量法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GB/T 11901-1989</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总磷</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钼酸铵分光光度法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GB 11893-1989</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化学需氧量</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重铬酸盐法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828-2017</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生化需氧量</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稀释与接种法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HJ 505-2009</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 xml:space="preserve">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溶解性总固体</w:t>
                  </w:r>
                </w:p>
              </w:tc>
              <w:tc>
                <w:tcPr>
                  <w:tcW w:w="1592"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重量法</w:t>
                  </w:r>
                </w:p>
              </w:tc>
              <w:tc>
                <w:tcPr>
                  <w:tcW w:w="1158" w:type="pct"/>
                  <w:vAlign w:val="center"/>
                </w:tcPr>
                <w:p>
                  <w:pPr>
                    <w:pStyle w:val="6"/>
                    <w:spacing w:after="0" w:line="240" w:lineRule="auto"/>
                    <w:ind w:firstLine="0" w:firstLineChars="0"/>
                    <w:jc w:val="center"/>
                    <w:rPr>
                      <w:rFonts w:hint="default" w:eastAsia="宋体"/>
                      <w:color w:val="auto"/>
                      <w:sz w:val="21"/>
                      <w:szCs w:val="21"/>
                      <w:highlight w:val="none"/>
                    </w:rPr>
                  </w:pPr>
                  <w:r>
                    <w:rPr>
                      <w:rFonts w:hint="default" w:eastAsia="宋体"/>
                      <w:color w:val="auto"/>
                      <w:sz w:val="21"/>
                      <w:szCs w:val="21"/>
                      <w:highlight w:val="none"/>
                    </w:rPr>
                    <w:t>CJ/T 51-2018</w:t>
                  </w:r>
                </w:p>
              </w:tc>
              <w:tc>
                <w:tcPr>
                  <w:tcW w:w="1052" w:type="pct"/>
                  <w:vAlign w:val="center"/>
                </w:tcPr>
                <w:p>
                  <w:pPr>
                    <w:pStyle w:val="6"/>
                    <w:spacing w:after="0" w:line="240" w:lineRule="auto"/>
                    <w:ind w:firstLine="0" w:firstLineChars="0"/>
                    <w:jc w:val="center"/>
                    <w:rPr>
                      <w:rFonts w:hint="default" w:eastAsia="宋体"/>
                      <w:color w:val="auto"/>
                      <w:sz w:val="21"/>
                      <w:szCs w:val="21"/>
                      <w:highlight w:val="none"/>
                    </w:rPr>
                  </w:pPr>
                  <w:r>
                    <w:rPr>
                      <w:rFonts w:eastAsia="宋体"/>
                      <w:color w:val="auto"/>
                      <w:sz w:val="21"/>
                      <w:szCs w:val="21"/>
                      <w:highlight w:val="none"/>
                    </w:rPr>
                    <w:t>/</w:t>
                  </w:r>
                </w:p>
              </w:tc>
            </w:tr>
          </w:tbl>
          <w:p>
            <w:pPr>
              <w:ind w:firstLine="482"/>
              <w:rPr>
                <w:b/>
                <w:bCs/>
                <w:color w:val="auto"/>
                <w:highlight w:val="none"/>
              </w:rPr>
            </w:pPr>
            <w:r>
              <w:rPr>
                <w:b/>
                <w:bCs/>
                <w:color w:val="auto"/>
                <w:highlight w:val="none"/>
              </w:rPr>
              <w:t>3、噪声检测</w:t>
            </w:r>
          </w:p>
          <w:p>
            <w:pPr>
              <w:ind w:firstLine="480"/>
              <w:rPr>
                <w:color w:val="auto"/>
                <w:highlight w:val="none"/>
              </w:rPr>
            </w:pPr>
            <w:r>
              <w:rPr>
                <w:color w:val="auto"/>
                <w:highlight w:val="none"/>
              </w:rPr>
              <w:t>（1）噪声检测点位和频次</w:t>
            </w:r>
          </w:p>
          <w:p>
            <w:pPr>
              <w:ind w:firstLine="480"/>
              <w:rPr>
                <w:color w:val="auto"/>
                <w:highlight w:val="none"/>
              </w:rPr>
            </w:pPr>
            <w:r>
              <w:rPr>
                <w:color w:val="auto"/>
                <w:highlight w:val="none"/>
              </w:rPr>
              <w:t>本项目厂界</w:t>
            </w:r>
            <w:r>
              <w:rPr>
                <w:rFonts w:hint="eastAsia"/>
                <w:color w:val="auto"/>
                <w:highlight w:val="none"/>
                <w:lang w:eastAsia="zh-CN"/>
              </w:rPr>
              <w:t>四周</w:t>
            </w:r>
            <w:r>
              <w:rPr>
                <w:color w:val="auto"/>
                <w:highlight w:val="none"/>
              </w:rPr>
              <w:t>共布设个监测点位，每天昼间监测一次，监测两天。</w:t>
            </w:r>
          </w:p>
          <w:p>
            <w:pPr>
              <w:ind w:firstLine="480"/>
              <w:rPr>
                <w:color w:val="auto"/>
                <w:highlight w:val="none"/>
              </w:rPr>
            </w:pPr>
            <w:r>
              <w:rPr>
                <w:color w:val="auto"/>
                <w:highlight w:val="none"/>
              </w:rPr>
              <w:t>噪声检测点位见下图6-2所示。</w:t>
            </w:r>
          </w:p>
          <w:p>
            <w:pPr>
              <w:ind w:firstLine="480"/>
              <w:rPr>
                <w:color w:val="auto"/>
                <w:highlight w:val="none"/>
              </w:rPr>
            </w:pPr>
            <w:r>
              <w:rPr>
                <w:color w:val="auto"/>
                <w:highlight w:val="none"/>
              </w:rPr>
              <w:t>（2）检测分析方法</w:t>
            </w:r>
          </w:p>
          <w:p>
            <w:pPr>
              <w:ind w:firstLine="480"/>
              <w:rPr>
                <w:color w:val="auto"/>
                <w:highlight w:val="none"/>
              </w:rPr>
            </w:pPr>
            <w:r>
              <w:rPr>
                <w:color w:val="auto"/>
                <w:highlight w:val="none"/>
              </w:rPr>
              <w:t>本项目噪声检测分析方法见表6-7。</w:t>
            </w:r>
          </w:p>
          <w:p>
            <w:pPr>
              <w:ind w:firstLine="482"/>
              <w:jc w:val="center"/>
              <w:rPr>
                <w:b/>
                <w:bCs/>
                <w:color w:val="auto"/>
                <w:highlight w:val="none"/>
              </w:rPr>
            </w:pPr>
            <w:r>
              <w:rPr>
                <w:b/>
                <w:bCs/>
                <w:color w:val="auto"/>
                <w:highlight w:val="none"/>
              </w:rPr>
              <w:t>表6-7  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项目名称</w:t>
                  </w:r>
                </w:p>
              </w:tc>
              <w:tc>
                <w:tcPr>
                  <w:tcW w:w="17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174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color w:val="auto"/>
                      <w:sz w:val="21"/>
                      <w:szCs w:val="21"/>
                      <w:highlight w:val="none"/>
                    </w:rPr>
                    <w:t>---</w:t>
                  </w:r>
                </w:p>
              </w:tc>
            </w:tr>
          </w:tbl>
          <w:p>
            <w:pPr>
              <w:widowControl/>
              <w:ind w:firstLine="480"/>
              <w:jc w:val="left"/>
              <w:rPr>
                <w:color w:val="auto"/>
                <w:highlight w:val="none"/>
              </w:rPr>
            </w:pPr>
            <w:r>
              <w:rPr>
                <w:color w:val="auto"/>
                <w:highlight w:val="none"/>
              </w:rPr>
              <w:t>噪声点位布置图如下：</w:t>
            </w:r>
          </w:p>
          <w:p>
            <w:pPr>
              <w:pStyle w:val="2"/>
              <w:ind w:firstLine="0" w:firstLineChars="0"/>
              <w:rPr>
                <w:color w:val="auto"/>
                <w:highlight w:val="none"/>
              </w:rPr>
            </w:pPr>
            <w:r>
              <w:rPr>
                <w:color w:val="auto"/>
              </w:rPr>
              <w:pict>
                <v:shape id="_x0000_i1031" o:spt="75" type="#_x0000_t75" style="height:359.05pt;width:445.85pt;" filled="f" stroked="f" coordsize="21600,21600">
                  <v:path/>
                  <v:fill on="f" focussize="0,0"/>
                  <v:stroke on="f"/>
                  <v:imagedata r:id="rId13" o:title=""/>
                  <o:lock v:ext="edit" aspectratio="t"/>
                  <w10:wrap type="none"/>
                  <w10:anchorlock/>
                </v:shape>
              </w:pict>
            </w:r>
          </w:p>
          <w:p>
            <w:pPr>
              <w:ind w:firstLine="482"/>
              <w:jc w:val="center"/>
              <w:rPr>
                <w:b/>
                <w:bCs/>
                <w:color w:val="auto"/>
                <w:highlight w:val="none"/>
              </w:rPr>
            </w:pPr>
            <w:r>
              <w:rPr>
                <w:b/>
                <w:bCs/>
                <w:color w:val="auto"/>
                <w:highlight w:val="none"/>
              </w:rPr>
              <w:t>图6-2  噪声检测点位</w:t>
            </w: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180" w:name="_Toc13478"/>
      <w:bookmarkStart w:id="181" w:name="_Toc30610"/>
      <w:bookmarkStart w:id="182" w:name="_Toc12263"/>
      <w:bookmarkStart w:id="183" w:name="_Toc3339"/>
      <w:bookmarkStart w:id="184" w:name="_Toc8531"/>
      <w:bookmarkStart w:id="185" w:name="_Toc2590"/>
      <w:bookmarkStart w:id="186" w:name="_Toc32675"/>
      <w:bookmarkStart w:id="187" w:name="_Toc31087"/>
      <w:bookmarkStart w:id="188" w:name="_Toc1251"/>
      <w:bookmarkStart w:id="189" w:name="_Toc11106"/>
      <w:bookmarkStart w:id="190" w:name="_Toc23240"/>
      <w:bookmarkStart w:id="191" w:name="_Toc3289"/>
      <w:bookmarkStart w:id="192" w:name="_Toc2686"/>
      <w:bookmarkStart w:id="193" w:name="_Toc24934"/>
      <w:bookmarkStart w:id="194" w:name="_Toc19794"/>
      <w:bookmarkStart w:id="195" w:name="_Toc6702"/>
      <w:bookmarkStart w:id="196" w:name="_Toc7949"/>
      <w:bookmarkStart w:id="197" w:name="_Toc12335"/>
      <w:bookmarkStart w:id="198" w:name="_Toc2666"/>
      <w:bookmarkStart w:id="199" w:name="_Toc22505"/>
      <w:bookmarkStart w:id="200" w:name="_Toc27756"/>
      <w:bookmarkStart w:id="201" w:name="_Toc29175"/>
      <w:bookmarkStart w:id="202" w:name="_Toc10042"/>
      <w:bookmarkStart w:id="203" w:name="_Toc9124"/>
      <w:bookmarkStart w:id="204" w:name="_Toc16511"/>
      <w:bookmarkStart w:id="205" w:name="_Toc28368"/>
      <w:bookmarkStart w:id="206" w:name="_Toc6434"/>
      <w:bookmarkStart w:id="207" w:name="_Toc3960"/>
      <w:r>
        <w:rPr>
          <w:b/>
          <w:bCs/>
          <w:color w:val="auto"/>
          <w:sz w:val="32"/>
          <w:szCs w:val="32"/>
          <w:highlight w:val="none"/>
        </w:rPr>
        <w:t>表7  验收监测期间工况记录及验收监测结果</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tbl>
      <w:tblPr>
        <w:tblStyle w:val="28"/>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spacing w:line="360" w:lineRule="auto"/>
              <w:ind w:firstLine="480" w:firstLineChars="200"/>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监测</w:t>
            </w:r>
            <w:r>
              <w:rPr>
                <w:rFonts w:hint="default" w:ascii="Times New Roman" w:hAnsi="Times New Roman" w:eastAsia="宋体" w:cs="Times New Roman"/>
                <w:color w:val="auto"/>
                <w:sz w:val="24"/>
                <w:szCs w:val="24"/>
                <w:lang w:eastAsia="zh-CN"/>
              </w:rPr>
              <w:t>期间本项目运行正常。</w:t>
            </w:r>
          </w:p>
          <w:p>
            <w:pPr>
              <w:ind w:firstLine="480"/>
              <w:rPr>
                <w:color w:val="auto"/>
                <w:highlight w:val="none"/>
              </w:rPr>
            </w:pPr>
            <w:r>
              <w:rPr>
                <w:color w:val="auto"/>
                <w:highlight w:val="none"/>
              </w:rPr>
              <w:t>监测期间气象情况见表7-</w:t>
            </w:r>
            <w:r>
              <w:rPr>
                <w:rFonts w:hint="eastAsia"/>
                <w:color w:val="auto"/>
                <w:highlight w:val="none"/>
                <w:lang w:val="en-US" w:eastAsia="zh-CN"/>
              </w:rPr>
              <w:t>1</w:t>
            </w:r>
            <w:r>
              <w:rPr>
                <w:color w:val="auto"/>
                <w:highlight w:val="none"/>
              </w:rPr>
              <w:t>。</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1</w:t>
            </w:r>
            <w:r>
              <w:rPr>
                <w:b/>
                <w:bCs/>
                <w:color w:val="auto"/>
                <w:highlight w:val="none"/>
              </w:rPr>
              <w:t xml:space="preserve">  监测期间气象表</w:t>
            </w:r>
          </w:p>
          <w:tbl>
            <w:tblPr>
              <w:tblStyle w:val="28"/>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1185"/>
              <w:gridCol w:w="1095"/>
              <w:gridCol w:w="1035"/>
              <w:gridCol w:w="1193"/>
              <w:gridCol w:w="881"/>
              <w:gridCol w:w="1219"/>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00" w:type="dxa"/>
                  <w:gridSpan w:val="2"/>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日期</w:t>
                  </w:r>
                </w:p>
              </w:tc>
              <w:tc>
                <w:tcPr>
                  <w:tcW w:w="1095"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温度</w:t>
                  </w:r>
                </w:p>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w:t>
                  </w:r>
                </w:p>
              </w:tc>
              <w:tc>
                <w:tcPr>
                  <w:tcW w:w="1035"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eastAsia="zh-CN"/>
                    </w:rPr>
                  </w:pPr>
                  <w:r>
                    <w:rPr>
                      <w:rFonts w:ascii="Times New Roman" w:hAnsi="Times New Roman" w:eastAsia="宋体" w:cs="Times New Roman"/>
                      <w:b/>
                      <w:bCs/>
                      <w:color w:val="auto"/>
                      <w:sz w:val="21"/>
                      <w:szCs w:val="21"/>
                      <w:highlight w:val="none"/>
                      <w:lang w:val="de-DE" w:eastAsia="zh-CN"/>
                    </w:rPr>
                    <w:t>湿度</w:t>
                  </w:r>
                </w:p>
                <w:p>
                  <w:pPr>
                    <w:pStyle w:val="51"/>
                    <w:widowControl w:val="0"/>
                    <w:bidi w:val="0"/>
                    <w:snapToGrid w:val="0"/>
                    <w:jc w:val="center"/>
                    <w:rPr>
                      <w:rFonts w:ascii="Times New Roman" w:hAnsi="Times New Roman" w:eastAsia="宋体" w:cs="Times New Roman"/>
                      <w:b/>
                      <w:bCs/>
                      <w:color w:val="auto"/>
                      <w:szCs w:val="21"/>
                      <w:highlight w:val="none"/>
                      <w:lang w:val="de-DE" w:eastAsia="zh-CN"/>
                    </w:rPr>
                  </w:pPr>
                  <w:r>
                    <w:rPr>
                      <w:rFonts w:ascii="Times New Roman" w:hAnsi="Times New Roman" w:eastAsia="宋体" w:cs="Times New Roman"/>
                      <w:b/>
                      <w:bCs/>
                      <w:color w:val="auto"/>
                      <w:sz w:val="21"/>
                      <w:szCs w:val="21"/>
                      <w:highlight w:val="none"/>
                      <w:lang w:val="de-DE"/>
                    </w:rPr>
                    <w:t>(</w:t>
                  </w:r>
                  <w:r>
                    <w:rPr>
                      <w:rFonts w:ascii="Times New Roman" w:hAnsi="Times New Roman" w:eastAsia="宋体" w:cs="Times New Roman"/>
                      <w:b/>
                      <w:bCs/>
                      <w:color w:val="auto"/>
                      <w:sz w:val="21"/>
                      <w:szCs w:val="21"/>
                      <w:highlight w:val="none"/>
                      <w:lang w:val="en-US" w:eastAsia="zh-CN"/>
                    </w:rPr>
                    <w:t>%</w:t>
                  </w:r>
                  <w:r>
                    <w:rPr>
                      <w:rFonts w:ascii="Times New Roman" w:hAnsi="Times New Roman" w:eastAsia="宋体" w:cs="Times New Roman"/>
                      <w:b/>
                      <w:bCs/>
                      <w:color w:val="auto"/>
                      <w:sz w:val="21"/>
                      <w:szCs w:val="21"/>
                      <w:highlight w:val="none"/>
                      <w:lang w:val="de-DE"/>
                    </w:rPr>
                    <w:t>)</w:t>
                  </w:r>
                </w:p>
              </w:tc>
              <w:tc>
                <w:tcPr>
                  <w:tcW w:w="1193"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总云</w:t>
                  </w:r>
                  <w:r>
                    <w:rPr>
                      <w:rFonts w:ascii="Times New Roman" w:hAnsi="Times New Roman" w:eastAsia="宋体" w:cs="Times New Roman"/>
                      <w:b/>
                      <w:bCs/>
                      <w:color w:val="auto"/>
                      <w:sz w:val="21"/>
                      <w:szCs w:val="21"/>
                      <w:highlight w:val="none"/>
                    </w:rPr>
                    <w:t>/低云</w:t>
                  </w:r>
                </w:p>
              </w:tc>
              <w:tc>
                <w:tcPr>
                  <w:tcW w:w="881"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风向</w:t>
                  </w:r>
                </w:p>
              </w:tc>
              <w:tc>
                <w:tcPr>
                  <w:tcW w:w="1219"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风速</w:t>
                  </w:r>
                </w:p>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(m/s)</w:t>
                  </w:r>
                </w:p>
              </w:tc>
              <w:tc>
                <w:tcPr>
                  <w:tcW w:w="1326" w:type="dxa"/>
                  <w:vAlign w:val="center"/>
                </w:tcPr>
                <w:p>
                  <w:pPr>
                    <w:pStyle w:val="51"/>
                    <w:widowControl w:val="0"/>
                    <w:bidi w:val="0"/>
                    <w:snapToGrid w:val="0"/>
                    <w:jc w:val="center"/>
                    <w:rPr>
                      <w:rFonts w:ascii="Times New Roman" w:hAnsi="Times New Roman" w:eastAsia="宋体" w:cs="Times New Roman"/>
                      <w:b/>
                      <w:bCs/>
                      <w:color w:val="auto"/>
                      <w:sz w:val="21"/>
                      <w:szCs w:val="21"/>
                      <w:highlight w:val="none"/>
                      <w:lang w:val="de-DE"/>
                    </w:rPr>
                  </w:pPr>
                  <w:r>
                    <w:rPr>
                      <w:rFonts w:ascii="Times New Roman" w:hAnsi="Times New Roman" w:eastAsia="宋体" w:cs="Times New Roman"/>
                      <w:b/>
                      <w:bCs/>
                      <w:color w:val="auto"/>
                      <w:sz w:val="21"/>
                      <w:szCs w:val="21"/>
                      <w:highlight w:val="none"/>
                      <w:lang w:val="de-DE"/>
                    </w:rPr>
                    <w:t>大气压(</w:t>
                  </w:r>
                  <w:r>
                    <w:rPr>
                      <w:rFonts w:ascii="Times New Roman" w:hAnsi="Times New Roman" w:eastAsia="宋体" w:cs="Times New Roman"/>
                      <w:b/>
                      <w:bCs/>
                      <w:color w:val="auto"/>
                      <w:sz w:val="21"/>
                      <w:szCs w:val="21"/>
                      <w:highlight w:val="none"/>
                      <w:lang w:val="en-US" w:eastAsia="zh-CN"/>
                    </w:rPr>
                    <w:t>k</w:t>
                  </w:r>
                  <w:r>
                    <w:rPr>
                      <w:rFonts w:ascii="Times New Roman" w:hAnsi="Times New Roman" w:eastAsia="宋体" w:cs="Times New Roman"/>
                      <w:b/>
                      <w:bCs/>
                      <w:color w:val="auto"/>
                      <w:sz w:val="21"/>
                      <w:szCs w:val="21"/>
                      <w:highlight w:val="none"/>
                      <w:lang w:val="de-DE"/>
                    </w:rPr>
                    <w:t>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restart"/>
                  <w:vAlign w:val="center"/>
                </w:tcPr>
                <w:p>
                  <w:pPr>
                    <w:pStyle w:val="51"/>
                    <w:widowControl w:val="0"/>
                    <w:bidi w:val="0"/>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2022.</w:t>
                  </w:r>
                </w:p>
                <w:p>
                  <w:pPr>
                    <w:pStyle w:val="51"/>
                    <w:widowControl w:val="0"/>
                    <w:bidi w:val="0"/>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08.01</w:t>
                  </w: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13:35</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30.2</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46</w:t>
                  </w:r>
                </w:p>
              </w:tc>
              <w:tc>
                <w:tcPr>
                  <w:tcW w:w="1193"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continue"/>
                  <w:vAlign w:val="center"/>
                </w:tcPr>
                <w:p>
                  <w:pPr>
                    <w:pStyle w:val="51"/>
                    <w:widowControl w:val="0"/>
                    <w:bidi w:val="0"/>
                    <w:spacing w:line="360" w:lineRule="auto"/>
                    <w:jc w:val="center"/>
                    <w:rPr>
                      <w:rFonts w:hint="default" w:ascii="Times New Roman" w:hAnsi="Times New Roman" w:eastAsia="宋体" w:cs="Times New Roman"/>
                      <w:bCs w:val="0"/>
                      <w:color w:val="auto"/>
                      <w:sz w:val="21"/>
                      <w:szCs w:val="21"/>
                      <w:highlight w:val="none"/>
                      <w:lang w:val="en-US" w:eastAsia="zh-CN"/>
                    </w:rPr>
                  </w:pP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14:56</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31.2</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47</w:t>
                  </w:r>
                </w:p>
              </w:tc>
              <w:tc>
                <w:tcPr>
                  <w:tcW w:w="1193"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continue"/>
                  <w:vAlign w:val="center"/>
                </w:tcPr>
                <w:p>
                  <w:pPr>
                    <w:pStyle w:val="51"/>
                    <w:widowControl w:val="0"/>
                    <w:bidi w:val="0"/>
                    <w:spacing w:line="360" w:lineRule="auto"/>
                    <w:jc w:val="center"/>
                    <w:rPr>
                      <w:rFonts w:hint="default" w:ascii="Times New Roman" w:hAnsi="Times New Roman" w:eastAsia="宋体" w:cs="Times New Roman"/>
                      <w:bCs w:val="0"/>
                      <w:color w:val="auto"/>
                      <w:sz w:val="21"/>
                      <w:szCs w:val="21"/>
                      <w:highlight w:val="none"/>
                      <w:lang w:val="en-US" w:eastAsia="zh-CN"/>
                    </w:rPr>
                  </w:pP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16:02</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31.7</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48</w:t>
                  </w:r>
                </w:p>
              </w:tc>
              <w:tc>
                <w:tcPr>
                  <w:tcW w:w="1193"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restart"/>
                  <w:vAlign w:val="center"/>
                </w:tcPr>
                <w:p>
                  <w:pPr>
                    <w:pStyle w:val="51"/>
                    <w:widowControl w:val="0"/>
                    <w:bidi w:val="0"/>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2022.</w:t>
                  </w:r>
                </w:p>
                <w:p>
                  <w:pPr>
                    <w:pStyle w:val="51"/>
                    <w:widowControl w:val="0"/>
                    <w:bidi w:val="0"/>
                    <w:spacing w:line="36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08.02</w:t>
                  </w: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9:11</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32.4</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42</w:t>
                  </w:r>
                </w:p>
              </w:tc>
              <w:tc>
                <w:tcPr>
                  <w:tcW w:w="1193"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3/1</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continue"/>
                  <w:vAlign w:val="center"/>
                </w:tcPr>
                <w:p>
                  <w:pPr>
                    <w:pStyle w:val="51"/>
                    <w:widowControl w:val="0"/>
                    <w:bidi w:val="0"/>
                    <w:spacing w:line="360" w:lineRule="auto"/>
                    <w:jc w:val="center"/>
                    <w:rPr>
                      <w:rFonts w:hint="default" w:ascii="Times New Roman" w:hAnsi="Times New Roman" w:eastAsia="宋体" w:cs="Times New Roman"/>
                      <w:bCs w:val="0"/>
                      <w:color w:val="auto"/>
                      <w:sz w:val="21"/>
                      <w:szCs w:val="21"/>
                      <w:highlight w:val="none"/>
                      <w:lang w:val="en-US" w:eastAsia="zh-CN"/>
                    </w:rPr>
                  </w:pP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10:50</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32.6</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41</w:t>
                  </w:r>
                </w:p>
              </w:tc>
              <w:tc>
                <w:tcPr>
                  <w:tcW w:w="1193"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3/1</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5" w:type="dxa"/>
                  <w:vMerge w:val="continue"/>
                  <w:vAlign w:val="center"/>
                </w:tcPr>
                <w:p>
                  <w:pPr>
                    <w:pStyle w:val="51"/>
                    <w:widowControl w:val="0"/>
                    <w:bidi w:val="0"/>
                    <w:spacing w:line="360" w:lineRule="auto"/>
                    <w:jc w:val="center"/>
                    <w:rPr>
                      <w:rFonts w:hint="default" w:ascii="Times New Roman" w:hAnsi="Times New Roman" w:eastAsia="宋体" w:cs="Times New Roman"/>
                      <w:bCs w:val="0"/>
                      <w:color w:val="auto"/>
                      <w:sz w:val="21"/>
                      <w:szCs w:val="21"/>
                      <w:highlight w:val="none"/>
                      <w:lang w:val="en-US" w:eastAsia="zh-CN"/>
                    </w:rPr>
                  </w:pPr>
                </w:p>
              </w:tc>
              <w:tc>
                <w:tcPr>
                  <w:tcW w:w="118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14:05</w:t>
                  </w:r>
                </w:p>
              </w:tc>
              <w:tc>
                <w:tcPr>
                  <w:tcW w:w="109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33.2</w:t>
                  </w:r>
                </w:p>
              </w:tc>
              <w:tc>
                <w:tcPr>
                  <w:tcW w:w="1035"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43</w:t>
                  </w:r>
                </w:p>
              </w:tc>
              <w:tc>
                <w:tcPr>
                  <w:tcW w:w="1193"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3/2</w:t>
                  </w:r>
                </w:p>
              </w:tc>
              <w:tc>
                <w:tcPr>
                  <w:tcW w:w="881" w:type="dxa"/>
                  <w:vAlign w:val="center"/>
                </w:tcPr>
                <w:p>
                  <w:pPr>
                    <w:pStyle w:val="51"/>
                    <w:widowControl w:val="0"/>
                    <w:bidi w:val="0"/>
                    <w:spacing w:line="42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S</w:t>
                  </w:r>
                </w:p>
              </w:tc>
              <w:tc>
                <w:tcPr>
                  <w:tcW w:w="1219" w:type="dxa"/>
                  <w:vAlign w:val="center"/>
                </w:tcPr>
                <w:p>
                  <w:pPr>
                    <w:pStyle w:val="51"/>
                    <w:widowControl w:val="0"/>
                    <w:bidi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w:t>
                  </w:r>
                </w:p>
              </w:tc>
              <w:tc>
                <w:tcPr>
                  <w:tcW w:w="1326" w:type="dxa"/>
                  <w:vAlign w:val="center"/>
                </w:tcPr>
                <w:p>
                  <w:pPr>
                    <w:pStyle w:val="51"/>
                    <w:widowControl w:val="0"/>
                    <w:bidi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100.01</w:t>
                  </w:r>
                </w:p>
              </w:tc>
            </w:tr>
          </w:tbl>
          <w:p>
            <w:pPr>
              <w:pStyle w:val="33"/>
              <w:numPr>
                <w:ilvl w:val="0"/>
                <w:numId w:val="5"/>
              </w:numPr>
              <w:ind w:firstLine="482"/>
              <w:rPr>
                <w:rFonts w:cs="Times New Roman"/>
                <w:b/>
                <w:bCs/>
                <w:color w:val="auto"/>
                <w:szCs w:val="24"/>
                <w:highlight w:val="none"/>
              </w:rPr>
            </w:pPr>
            <w:r>
              <w:rPr>
                <w:rFonts w:cs="Times New Roman"/>
                <w:b/>
                <w:bCs/>
                <w:color w:val="auto"/>
                <w:szCs w:val="24"/>
                <w:highlight w:val="none"/>
              </w:rPr>
              <w:t>验收监测结果</w:t>
            </w:r>
          </w:p>
          <w:p>
            <w:pPr>
              <w:numPr>
                <w:ilvl w:val="0"/>
                <w:numId w:val="6"/>
              </w:numPr>
              <w:snapToGrid w:val="0"/>
              <w:ind w:firstLine="482"/>
              <w:rPr>
                <w:b/>
                <w:bCs/>
                <w:color w:val="auto"/>
                <w:highlight w:val="none"/>
              </w:rPr>
            </w:pPr>
            <w:r>
              <w:rPr>
                <w:b/>
                <w:bCs/>
                <w:color w:val="auto"/>
                <w:highlight w:val="none"/>
              </w:rPr>
              <w:t>废气</w:t>
            </w:r>
          </w:p>
          <w:p>
            <w:pPr>
              <w:pStyle w:val="33"/>
              <w:jc w:val="both"/>
              <w:rPr>
                <w:rFonts w:hint="eastAsia" w:cs="Times New Roman"/>
                <w:color w:val="auto"/>
                <w:szCs w:val="24"/>
                <w:highlight w:val="none"/>
              </w:rPr>
            </w:pPr>
            <w:r>
              <w:rPr>
                <w:rFonts w:hint="eastAsia" w:cs="Times New Roman"/>
                <w:color w:val="auto"/>
                <w:szCs w:val="24"/>
                <w:highlight w:val="none"/>
              </w:rPr>
              <w:t>本项目运营期废气主要为</w:t>
            </w:r>
            <w:r>
              <w:rPr>
                <w:rFonts w:hint="eastAsia" w:cs="Times New Roman"/>
                <w:b w:val="0"/>
                <w:bCs w:val="0"/>
                <w:color w:val="auto"/>
                <w:sz w:val="24"/>
                <w:szCs w:val="24"/>
                <w:highlight w:val="none"/>
                <w:lang w:eastAsia="zh-CN"/>
              </w:rPr>
              <w:t>合成、</w:t>
            </w:r>
            <w:r>
              <w:rPr>
                <w:rFonts w:hint="eastAsia" w:cs="Times New Roman"/>
                <w:color w:val="auto"/>
                <w:szCs w:val="24"/>
                <w:highlight w:val="none"/>
              </w:rPr>
              <w:t>分析实验过程产生的废气，主要包括称配工序中产生的酸性废气和有机废气。</w:t>
            </w:r>
          </w:p>
          <w:p>
            <w:pPr>
              <w:pStyle w:val="33"/>
              <w:jc w:val="both"/>
              <w:rPr>
                <w:rFonts w:hint="eastAsia" w:cs="Times New Roman"/>
                <w:color w:val="auto"/>
                <w:szCs w:val="24"/>
                <w:highlight w:val="none"/>
              </w:rPr>
            </w:pPr>
            <w:r>
              <w:rPr>
                <w:rFonts w:hint="eastAsia" w:cs="Times New Roman"/>
                <w:color w:val="auto"/>
                <w:szCs w:val="24"/>
                <w:highlight w:val="none"/>
              </w:rPr>
              <w:t>①有组织废气</w:t>
            </w:r>
          </w:p>
          <w:p>
            <w:pPr>
              <w:pStyle w:val="33"/>
              <w:jc w:val="both"/>
              <w:rPr>
                <w:rFonts w:hint="eastAsia" w:cs="Times New Roman"/>
                <w:color w:val="auto"/>
                <w:szCs w:val="24"/>
                <w:highlight w:val="none"/>
              </w:rPr>
            </w:pPr>
            <w:r>
              <w:rPr>
                <w:rFonts w:hint="eastAsia" w:cs="Times New Roman"/>
                <w:color w:val="auto"/>
                <w:szCs w:val="24"/>
                <w:highlight w:val="none"/>
              </w:rPr>
              <w:t>本项目的实验操作过程均在通风橱内进行，挥发出的废气经通风橱收集；分析仪器配备专用吸风罩收集废气；试剂库、样品库、危废间均为密闭房间，内设吸风口；收集的废气经专用管道引至4套二级活性炭吸附装置，处理后由4根楼顶（距地面25m）的排气筒（DA001-DA004）排放。项目废气收集排导系统见附图4。</w:t>
            </w:r>
          </w:p>
          <w:p>
            <w:pPr>
              <w:pStyle w:val="33"/>
              <w:jc w:val="both"/>
              <w:rPr>
                <w:rFonts w:hint="eastAsia" w:cs="Times New Roman"/>
                <w:color w:val="auto"/>
                <w:szCs w:val="24"/>
                <w:highlight w:val="none"/>
              </w:rPr>
            </w:pPr>
            <w:r>
              <w:rPr>
                <w:rFonts w:hint="eastAsia" w:cs="Times New Roman"/>
                <w:color w:val="auto"/>
                <w:szCs w:val="24"/>
                <w:highlight w:val="none"/>
              </w:rPr>
              <w:t>②无组织废气</w:t>
            </w:r>
          </w:p>
          <w:p>
            <w:pPr>
              <w:pStyle w:val="33"/>
              <w:jc w:val="both"/>
              <w:rPr>
                <w:rFonts w:hint="eastAsia" w:cs="Times New Roman"/>
                <w:color w:val="auto"/>
                <w:szCs w:val="24"/>
                <w:highlight w:val="none"/>
              </w:rPr>
            </w:pPr>
            <w:r>
              <w:rPr>
                <w:rFonts w:hint="eastAsia" w:cs="Times New Roman"/>
                <w:color w:val="auto"/>
                <w:szCs w:val="24"/>
                <w:highlight w:val="none"/>
              </w:rPr>
              <w:t>未收集的废气随车间通风后无组织排放。</w:t>
            </w:r>
          </w:p>
          <w:p>
            <w:pPr>
              <w:pStyle w:val="33"/>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lang w:val="en-US" w:eastAsia="zh-CN"/>
              </w:rPr>
              <w:t>4</w:t>
            </w:r>
            <w:r>
              <w:rPr>
                <w:rFonts w:cs="Times New Roman"/>
                <w:color w:val="auto"/>
                <w:szCs w:val="24"/>
                <w:highlight w:val="none"/>
              </w:rPr>
              <w:t>根排气筒，此次验收共对</w:t>
            </w:r>
            <w:r>
              <w:rPr>
                <w:rFonts w:hint="eastAsia" w:cs="Times New Roman"/>
                <w:color w:val="auto"/>
                <w:szCs w:val="24"/>
                <w:highlight w:val="none"/>
                <w:lang w:val="en-US" w:eastAsia="zh-CN"/>
              </w:rPr>
              <w:t>4</w:t>
            </w:r>
            <w:r>
              <w:rPr>
                <w:rFonts w:cs="Times New Roman"/>
                <w:color w:val="auto"/>
                <w:szCs w:val="24"/>
                <w:highlight w:val="none"/>
              </w:rPr>
              <w:t>根排气筒的废气排放情况进行了监测。</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2</w:t>
            </w:r>
            <w:r>
              <w:rPr>
                <w:b/>
                <w:bCs/>
                <w:color w:val="auto"/>
                <w:highlight w:val="none"/>
              </w:rPr>
              <w:t xml:space="preserve">  有组织废气监测结果表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590"/>
              <w:gridCol w:w="2062"/>
              <w:gridCol w:w="849"/>
              <w:gridCol w:w="1219"/>
              <w:gridCol w:w="1260"/>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采样</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时间</w:t>
                  </w:r>
                </w:p>
              </w:tc>
              <w:tc>
                <w:tcPr>
                  <w:tcW w:w="890"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采样</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点位</w:t>
                  </w:r>
                </w:p>
              </w:tc>
              <w:tc>
                <w:tcPr>
                  <w:tcW w:w="1154"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检测</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w:t>
                  </w:r>
                </w:p>
              </w:tc>
              <w:tc>
                <w:tcPr>
                  <w:tcW w:w="475" w:type="pct"/>
                  <w:vAlign w:val="center"/>
                </w:tcPr>
                <w:p>
                  <w:pPr>
                    <w:pStyle w:val="51"/>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检测</w:t>
                  </w:r>
                </w:p>
                <w:p>
                  <w:pPr>
                    <w:pStyle w:val="51"/>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频次</w:t>
                  </w:r>
                </w:p>
              </w:tc>
              <w:tc>
                <w:tcPr>
                  <w:tcW w:w="682"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检测结果</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w:t>
                  </w:r>
                </w:p>
              </w:tc>
              <w:tc>
                <w:tcPr>
                  <w:tcW w:w="705"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标干流量</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（Nm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/h）</w:t>
                  </w:r>
                </w:p>
              </w:tc>
              <w:tc>
                <w:tcPr>
                  <w:tcW w:w="655" w:type="pct"/>
                  <w:vAlign w:val="center"/>
                </w:tcPr>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排放速率</w:t>
                  </w:r>
                </w:p>
                <w:p>
                  <w:pPr>
                    <w:pStyle w:val="51"/>
                    <w:rPr>
                      <w:rFonts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restart"/>
                  <w:vAlign w:val="center"/>
                </w:tcPr>
                <w:p>
                  <w:pPr>
                    <w:pStyle w:val="51"/>
                    <w:rPr>
                      <w:rFonts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w:t>
                  </w:r>
                </w:p>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08.02</w:t>
                  </w:r>
                </w:p>
              </w:tc>
              <w:tc>
                <w:tcPr>
                  <w:tcW w:w="890" w:type="pct"/>
                  <w:vMerge w:val="restart"/>
                  <w:vAlign w:val="center"/>
                </w:tcPr>
                <w:p>
                  <w:pPr>
                    <w:pStyle w:val="51"/>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实验操作+危废间+试剂库废气排气筒</w:t>
                  </w:r>
                  <w:r>
                    <w:rPr>
                      <w:rFonts w:hint="default" w:ascii="Times New Roman" w:hAnsi="Times New Roman" w:eastAsia="宋体" w:cs="Times New Roman"/>
                      <w:color w:val="auto"/>
                      <w:kern w:val="2"/>
                      <w:sz w:val="21"/>
                      <w:szCs w:val="21"/>
                      <w:highlight w:val="none"/>
                      <w:lang w:val="en-US" w:eastAsia="zh-CN" w:bidi="ar-SA"/>
                    </w:rPr>
                    <w:t>DA001</w:t>
                  </w:r>
                  <w:r>
                    <w:rPr>
                      <w:rFonts w:hint="default" w:ascii="Times New Roman" w:hAnsi="Times New Roman" w:eastAsia="宋体" w:cs="Times New Roman"/>
                      <w:b w:val="0"/>
                      <w:bCs w:val="0"/>
                      <w:color w:val="auto"/>
                      <w:sz w:val="21"/>
                      <w:szCs w:val="21"/>
                      <w:highlight w:val="none"/>
                      <w:lang w:val="en-US" w:eastAsia="zh-CN"/>
                    </w:rPr>
                    <w:t>进口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5.82</w:t>
                  </w:r>
                </w:p>
              </w:tc>
              <w:tc>
                <w:tcPr>
                  <w:tcW w:w="705" w:type="pct"/>
                  <w:vMerge w:val="restart"/>
                  <w:vAlign w:val="center"/>
                </w:tcPr>
                <w:p>
                  <w:pPr>
                    <w:pStyle w:val="5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7960</w:t>
                  </w:r>
                </w:p>
              </w:tc>
              <w:tc>
                <w:tcPr>
                  <w:tcW w:w="655" w:type="pct"/>
                  <w:vAlign w:val="center"/>
                </w:tcPr>
                <w:p>
                  <w:pPr>
                    <w:pStyle w:val="5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0.046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b w:val="0"/>
                      <w:bCs w:val="0"/>
                      <w:color w:val="auto"/>
                      <w:sz w:val="21"/>
                      <w:szCs w:val="21"/>
                      <w:highlight w:val="none"/>
                      <w:lang w:val="en-US" w:eastAsia="zh-CN"/>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2.5</w:t>
                  </w:r>
                </w:p>
              </w:tc>
              <w:tc>
                <w:tcPr>
                  <w:tcW w:w="705" w:type="pct"/>
                  <w:vMerge w:val="continue"/>
                  <w:vAlign w:val="center"/>
                </w:tcPr>
                <w:p>
                  <w:pPr>
                    <w:pStyle w:val="51"/>
                    <w:rPr>
                      <w:rFonts w:hint="default" w:ascii="Times New Roman" w:hAnsi="Times New Roman" w:eastAsia="宋体" w:cs="Times New Roman"/>
                      <w:b w:val="0"/>
                      <w:bCs w:val="0"/>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实验操作+危废间+试剂库废气</w:t>
                  </w:r>
                  <w:r>
                    <w:rPr>
                      <w:rFonts w:hint="default" w:ascii="Times New Roman" w:hAnsi="Times New Roman" w:eastAsia="宋体" w:cs="Times New Roman"/>
                      <w:color w:val="auto"/>
                      <w:kern w:val="2"/>
                      <w:sz w:val="21"/>
                      <w:szCs w:val="21"/>
                      <w:highlight w:val="none"/>
                      <w:lang w:val="en-US" w:eastAsia="zh-CN" w:bidi="ar-SA"/>
                    </w:rPr>
                    <w:t>排气筒DA001出口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1.96</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8266</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b w:val="0"/>
                      <w:bCs w:val="0"/>
                      <w:color w:val="auto"/>
                      <w:sz w:val="21"/>
                      <w:szCs w:val="21"/>
                      <w:highlight w:val="none"/>
                      <w:lang w:val="en-US" w:eastAsia="zh-CN"/>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1.88</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1.84</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实验操作废气排气筒DA002进口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5.51</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10725</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0.059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b w:val="0"/>
                      <w:bCs w:val="0"/>
                      <w:color w:val="auto"/>
                      <w:sz w:val="21"/>
                      <w:szCs w:val="21"/>
                      <w:highlight w:val="none"/>
                      <w:lang w:val="en-US" w:eastAsia="zh-CN"/>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0.030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实验操作废气排气筒DA002出口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1.92</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11863</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b w:val="0"/>
                      <w:bCs w:val="0"/>
                      <w:color w:val="auto"/>
                      <w:sz w:val="21"/>
                      <w:szCs w:val="21"/>
                      <w:highlight w:val="none"/>
                      <w:lang w:val="en-US" w:eastAsia="zh-CN"/>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1.86</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2.07</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实验操作废气排气筒DA003进口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4.78</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10431</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实验操作废气排气筒DA003出口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1.96</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11357</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2.06</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2.00</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实验操作废气排气筒DA004进口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5.99</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15110</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实验操作废气排气筒DA004出口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1.99</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15537</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2.03</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1.86</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restart"/>
                  <w:vAlign w:val="center"/>
                </w:tcPr>
                <w:p>
                  <w:pPr>
                    <w:pStyle w:val="51"/>
                    <w:rPr>
                      <w:rFonts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w:t>
                  </w:r>
                </w:p>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08.03</w:t>
                  </w: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实验操作+危废间+试剂库废气排气筒</w:t>
                  </w:r>
                  <w:r>
                    <w:rPr>
                      <w:rFonts w:hint="default" w:ascii="Times New Roman" w:hAnsi="Times New Roman" w:eastAsia="宋体" w:cs="Times New Roman"/>
                      <w:color w:val="auto"/>
                      <w:kern w:val="2"/>
                      <w:sz w:val="21"/>
                      <w:szCs w:val="21"/>
                      <w:highlight w:val="none"/>
                      <w:lang w:val="en-US" w:eastAsia="zh-CN" w:bidi="ar-SA"/>
                    </w:rPr>
                    <w:t>DA001</w:t>
                  </w:r>
                  <w:r>
                    <w:rPr>
                      <w:rFonts w:hint="default" w:ascii="Times New Roman" w:hAnsi="Times New Roman" w:eastAsia="宋体" w:cs="Times New Roman"/>
                      <w:b w:val="0"/>
                      <w:bCs w:val="0"/>
                      <w:color w:val="auto"/>
                      <w:sz w:val="21"/>
                      <w:szCs w:val="21"/>
                      <w:highlight w:val="none"/>
                      <w:lang w:val="en-US" w:eastAsia="zh-CN"/>
                    </w:rPr>
                    <w:t>进口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5.95</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7694</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实验操作+危废间+试剂库废气</w:t>
                  </w:r>
                  <w:r>
                    <w:rPr>
                      <w:rFonts w:hint="default" w:ascii="Times New Roman" w:hAnsi="Times New Roman" w:eastAsia="宋体" w:cs="Times New Roman"/>
                      <w:color w:val="auto"/>
                      <w:kern w:val="2"/>
                      <w:sz w:val="21"/>
                      <w:szCs w:val="21"/>
                      <w:highlight w:val="none"/>
                      <w:lang w:val="en-US" w:eastAsia="zh-CN" w:bidi="ar-SA"/>
                    </w:rPr>
                    <w:t>排气筒DA001出口</w:t>
                  </w: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2.07</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8283</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1.93</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1.90</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实验操作废气排气筒DA002进口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6.24</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10636</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实验操作废气排气筒DA002出口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2.09</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11837</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1.82</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2.01</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实验操作废气排气筒DA003进口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4.72</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10355</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实验操作废气排气筒DA003出口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1.92</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11542</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2.00</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2.04</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实验操作废气排气筒DA004进口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4.84</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15260</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实验操作废气排气筒DA004出口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15478</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1.81</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restart"/>
                  <w:vAlign w:val="center"/>
                </w:tcPr>
                <w:p>
                  <w:pPr>
                    <w:pStyle w:val="51"/>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实验操作废气排气筒DA004出口</w:t>
                  </w: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VOCs（非甲烷总烃）</w:t>
                  </w:r>
                </w:p>
              </w:tc>
              <w:tc>
                <w:tcPr>
                  <w:tcW w:w="475" w:type="pct"/>
                  <w:vMerge w:val="restart"/>
                  <w:vAlign w:val="center"/>
                </w:tcPr>
                <w:p>
                  <w:pPr>
                    <w:pStyle w:val="5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次</w:t>
                  </w: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1.96</w:t>
                  </w:r>
                </w:p>
              </w:tc>
              <w:tc>
                <w:tcPr>
                  <w:tcW w:w="705" w:type="pct"/>
                  <w:vMerge w:val="restar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15478</w:t>
                  </w: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6"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890" w:type="pct"/>
                  <w:vMerge w:val="continue"/>
                  <w:vAlign w:val="center"/>
                </w:tcPr>
                <w:p>
                  <w:pPr>
                    <w:pStyle w:val="51"/>
                    <w:rPr>
                      <w:rFonts w:hint="default" w:ascii="Times New Roman" w:hAnsi="Times New Roman" w:eastAsia="宋体" w:cs="Times New Roman"/>
                      <w:color w:val="auto"/>
                      <w:kern w:val="2"/>
                      <w:sz w:val="21"/>
                      <w:szCs w:val="21"/>
                      <w:highlight w:val="none"/>
                      <w:lang w:val="en-US" w:eastAsia="zh-CN" w:bidi="ar-SA"/>
                    </w:rPr>
                  </w:pPr>
                </w:p>
              </w:tc>
              <w:tc>
                <w:tcPr>
                  <w:tcW w:w="1154"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氯化氢</w:t>
                  </w:r>
                </w:p>
              </w:tc>
              <w:tc>
                <w:tcPr>
                  <w:tcW w:w="475" w:type="pct"/>
                  <w:vMerge w:val="continue"/>
                  <w:vAlign w:val="center"/>
                </w:tcPr>
                <w:p>
                  <w:pPr>
                    <w:pStyle w:val="51"/>
                    <w:rPr>
                      <w:rFonts w:hint="default" w:ascii="Times New Roman" w:hAnsi="Times New Roman" w:eastAsia="宋体" w:cs="Times New Roman"/>
                      <w:color w:val="auto"/>
                      <w:sz w:val="21"/>
                      <w:szCs w:val="21"/>
                      <w:highlight w:val="none"/>
                    </w:rPr>
                  </w:pPr>
                </w:p>
              </w:tc>
              <w:tc>
                <w:tcPr>
                  <w:tcW w:w="682"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05" w:type="pct"/>
                  <w:vMerge w:val="continue"/>
                  <w:vAlign w:val="center"/>
                </w:tcPr>
                <w:p>
                  <w:pPr>
                    <w:pStyle w:val="51"/>
                    <w:rPr>
                      <w:rFonts w:hint="default" w:ascii="Times New Roman" w:hAnsi="Times New Roman" w:eastAsia="宋体" w:cs="Times New Roman"/>
                      <w:color w:val="auto"/>
                      <w:sz w:val="21"/>
                      <w:szCs w:val="21"/>
                      <w:highlight w:val="none"/>
                      <w:lang w:val="en-US" w:eastAsia="zh-CN"/>
                    </w:rPr>
                  </w:pPr>
                </w:p>
              </w:tc>
              <w:tc>
                <w:tcPr>
                  <w:tcW w:w="655" w:type="pct"/>
                  <w:vAlign w:val="center"/>
                </w:tcPr>
                <w:p>
                  <w:pPr>
                    <w:pStyle w:val="5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51"/>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备注：</w:t>
                  </w:r>
                  <w:r>
                    <w:rPr>
                      <w:rFonts w:hint="default" w:ascii="Times New Roman" w:hAnsi="Times New Roman" w:eastAsia="宋体" w:cs="Times New Roman"/>
                      <w:b w:val="0"/>
                      <w:bCs w:val="0"/>
                      <w:color w:val="auto"/>
                      <w:sz w:val="21"/>
                      <w:szCs w:val="21"/>
                      <w:highlight w:val="none"/>
                      <w:lang w:val="en-US" w:eastAsia="zh-CN"/>
                    </w:rPr>
                    <w:t>废气</w:t>
                  </w:r>
                  <w:r>
                    <w:rPr>
                      <w:rFonts w:hint="default" w:ascii="Times New Roman" w:hAnsi="Times New Roman" w:eastAsia="宋体" w:cs="Times New Roman"/>
                      <w:color w:val="auto"/>
                      <w:sz w:val="21"/>
                      <w:szCs w:val="21"/>
                      <w:highlight w:val="none"/>
                    </w:rPr>
                    <w:t>排气筒</w:t>
                  </w:r>
                  <w:r>
                    <w:rPr>
                      <w:rFonts w:hint="default" w:ascii="Times New Roman" w:hAnsi="Times New Roman" w:eastAsia="宋体" w:cs="Times New Roman"/>
                      <w:color w:val="auto"/>
                      <w:sz w:val="21"/>
                      <w:szCs w:val="21"/>
                      <w:highlight w:val="none"/>
                      <w:lang w:val="en-US" w:eastAsia="zh-CN"/>
                    </w:rPr>
                    <w:t>DA00</w:t>
                  </w:r>
                  <w:r>
                    <w:rPr>
                      <w:rFonts w:hint="default" w:ascii="Times New Roman" w:hAnsi="Times New Roman" w:eastAsia="宋体" w:cs="Times New Roman"/>
                      <w:color w:val="auto"/>
                      <w:sz w:val="21"/>
                      <w:szCs w:val="21"/>
                      <w:highlight w:val="none"/>
                    </w:rPr>
                    <w:t>1高度为</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进口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0.75×</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45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出口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0m</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处理措施：</w:t>
                  </w:r>
                  <w:r>
                    <w:rPr>
                      <w:rFonts w:hint="default" w:ascii="Times New Roman" w:hAnsi="Times New Roman" w:eastAsia="宋体" w:cs="Times New Roman"/>
                      <w:color w:val="auto"/>
                      <w:sz w:val="21"/>
                      <w:szCs w:val="21"/>
                      <w:highlight w:val="none"/>
                      <w:lang w:val="en-US" w:eastAsia="zh-CN"/>
                    </w:rPr>
                    <w:t>二级活性炭吸附；</w:t>
                  </w:r>
                </w:p>
                <w:p>
                  <w:pPr>
                    <w:pStyle w:val="51"/>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r>
                    <w:rPr>
                      <w:rFonts w:hint="default" w:ascii="Times New Roman" w:hAnsi="Times New Roman" w:eastAsia="宋体" w:cs="Times New Roman"/>
                      <w:color w:val="auto"/>
                      <w:sz w:val="21"/>
                      <w:szCs w:val="21"/>
                      <w:highlight w:val="none"/>
                    </w:rPr>
                    <w:t>排气筒</w:t>
                  </w:r>
                  <w:r>
                    <w:rPr>
                      <w:rFonts w:hint="default" w:ascii="Times New Roman" w:hAnsi="Times New Roman" w:eastAsia="宋体" w:cs="Times New Roman"/>
                      <w:color w:val="auto"/>
                      <w:sz w:val="21"/>
                      <w:szCs w:val="21"/>
                      <w:highlight w:val="none"/>
                      <w:lang w:val="en-US" w:eastAsia="zh-CN"/>
                    </w:rPr>
                    <w:t>DA002</w:t>
                  </w:r>
                  <w:r>
                    <w:rPr>
                      <w:rFonts w:hint="default" w:ascii="Times New Roman" w:hAnsi="Times New Roman" w:eastAsia="宋体" w:cs="Times New Roman"/>
                      <w:color w:val="auto"/>
                      <w:sz w:val="21"/>
                      <w:szCs w:val="21"/>
                      <w:highlight w:val="none"/>
                    </w:rPr>
                    <w:t>高度为</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进口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0.75×</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出口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0m</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处理措施：</w:t>
                  </w:r>
                  <w:r>
                    <w:rPr>
                      <w:rFonts w:hint="default" w:ascii="Times New Roman" w:hAnsi="Times New Roman" w:eastAsia="宋体" w:cs="Times New Roman"/>
                      <w:color w:val="auto"/>
                      <w:sz w:val="21"/>
                      <w:szCs w:val="21"/>
                      <w:highlight w:val="none"/>
                      <w:lang w:val="en-US" w:eastAsia="zh-CN"/>
                    </w:rPr>
                    <w:t>二级活性炭吸附；</w:t>
                  </w:r>
                </w:p>
                <w:p>
                  <w:pPr>
                    <w:pStyle w:val="51"/>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r>
                    <w:rPr>
                      <w:rFonts w:hint="default" w:ascii="Times New Roman" w:hAnsi="Times New Roman" w:eastAsia="宋体" w:cs="Times New Roman"/>
                      <w:color w:val="auto"/>
                      <w:sz w:val="21"/>
                      <w:szCs w:val="21"/>
                      <w:highlight w:val="none"/>
                    </w:rPr>
                    <w:t>排气筒</w:t>
                  </w:r>
                  <w:r>
                    <w:rPr>
                      <w:rFonts w:hint="default" w:ascii="Times New Roman" w:hAnsi="Times New Roman" w:eastAsia="宋体" w:cs="Times New Roman"/>
                      <w:color w:val="auto"/>
                      <w:sz w:val="21"/>
                      <w:szCs w:val="21"/>
                      <w:highlight w:val="none"/>
                      <w:lang w:val="en-US" w:eastAsia="zh-CN"/>
                    </w:rPr>
                    <w:t>DA003</w:t>
                  </w:r>
                  <w:r>
                    <w:rPr>
                      <w:rFonts w:hint="default" w:ascii="Times New Roman" w:hAnsi="Times New Roman" w:eastAsia="宋体" w:cs="Times New Roman"/>
                      <w:color w:val="auto"/>
                      <w:sz w:val="21"/>
                      <w:szCs w:val="21"/>
                      <w:highlight w:val="none"/>
                    </w:rPr>
                    <w:t>高度为</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进口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0.75×</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出口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0m</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处理措施：</w:t>
                  </w:r>
                  <w:r>
                    <w:rPr>
                      <w:rFonts w:hint="default" w:ascii="Times New Roman" w:hAnsi="Times New Roman" w:eastAsia="宋体" w:cs="Times New Roman"/>
                      <w:color w:val="auto"/>
                      <w:sz w:val="21"/>
                      <w:szCs w:val="21"/>
                      <w:highlight w:val="none"/>
                      <w:lang w:val="en-US" w:eastAsia="zh-CN"/>
                    </w:rPr>
                    <w:t>二级活性炭吸附；</w:t>
                  </w:r>
                </w:p>
                <w:p>
                  <w:pPr>
                    <w:pStyle w:val="51"/>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r>
                    <w:rPr>
                      <w:rFonts w:hint="default" w:ascii="Times New Roman" w:hAnsi="Times New Roman" w:eastAsia="宋体" w:cs="Times New Roman"/>
                      <w:color w:val="auto"/>
                      <w:sz w:val="21"/>
                      <w:szCs w:val="21"/>
                      <w:highlight w:val="none"/>
                    </w:rPr>
                    <w:t>排气筒</w:t>
                  </w:r>
                  <w:r>
                    <w:rPr>
                      <w:rFonts w:hint="default" w:ascii="Times New Roman" w:hAnsi="Times New Roman" w:eastAsia="宋体" w:cs="Times New Roman"/>
                      <w:color w:val="auto"/>
                      <w:sz w:val="21"/>
                      <w:szCs w:val="21"/>
                      <w:highlight w:val="none"/>
                      <w:lang w:val="en-US" w:eastAsia="zh-CN"/>
                    </w:rPr>
                    <w:t>DA004</w:t>
                  </w:r>
                  <w:r>
                    <w:rPr>
                      <w:rFonts w:hint="default" w:ascii="Times New Roman" w:hAnsi="Times New Roman" w:eastAsia="宋体" w:cs="Times New Roman"/>
                      <w:color w:val="auto"/>
                      <w:sz w:val="21"/>
                      <w:szCs w:val="21"/>
                      <w:highlight w:val="none"/>
                    </w:rPr>
                    <w:t>高度为</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进口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45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lang w:eastAsia="zh-CN"/>
                    </w:rPr>
                    <w:t>出口</w:t>
                  </w:r>
                  <w:r>
                    <w:rPr>
                      <w:rFonts w:hint="default" w:ascii="Times New Roman" w:hAnsi="Times New Roman" w:eastAsia="宋体" w:cs="Times New Roman"/>
                      <w:color w:val="auto"/>
                      <w:sz w:val="21"/>
                      <w:szCs w:val="21"/>
                      <w:highlight w:val="none"/>
                    </w:rPr>
                    <w:t>内径</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rPr>
                    <w:t>：0.</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0m</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处理措施：</w:t>
                  </w:r>
                  <w:r>
                    <w:rPr>
                      <w:rFonts w:hint="default" w:ascii="Times New Roman" w:hAnsi="Times New Roman" w:eastAsia="宋体" w:cs="Times New Roman"/>
                      <w:color w:val="auto"/>
                      <w:sz w:val="21"/>
                      <w:szCs w:val="21"/>
                      <w:highlight w:val="none"/>
                      <w:lang w:val="en-US" w:eastAsia="zh-CN"/>
                    </w:rPr>
                    <w:t>二级活性炭吸附；</w:t>
                  </w:r>
                </w:p>
                <w:p>
                  <w:pPr>
                    <w:pStyle w:val="51"/>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标干流量为</w:t>
                  </w:r>
                  <w:r>
                    <w:rPr>
                      <w:rFonts w:hint="default" w:ascii="Times New Roman" w:hAnsi="Times New Roman" w:eastAsia="宋体" w:cs="Times New Roman"/>
                      <w:color w:val="auto"/>
                      <w:sz w:val="21"/>
                      <w:szCs w:val="21"/>
                      <w:highlight w:val="none"/>
                      <w:lang w:eastAsia="zh-CN"/>
                    </w:rPr>
                    <w:t>三次</w:t>
                  </w:r>
                  <w:r>
                    <w:rPr>
                      <w:rFonts w:hint="default" w:ascii="Times New Roman" w:hAnsi="Times New Roman" w:eastAsia="宋体" w:cs="Times New Roman"/>
                      <w:color w:val="auto"/>
                      <w:sz w:val="21"/>
                      <w:szCs w:val="21"/>
                      <w:highlight w:val="none"/>
                    </w:rPr>
                    <w:t>采样标干流量的平均值；</w:t>
                  </w:r>
                </w:p>
                <w:p>
                  <w:pPr>
                    <w:pStyle w:val="51"/>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 w:val="21"/>
                      <w:szCs w:val="21"/>
                      <w:highlight w:val="none"/>
                      <w:lang w:eastAsia="zh-CN"/>
                    </w:rPr>
                    <w:t>未检出表示检测值小于检出限；</w:t>
                  </w:r>
                </w:p>
                <w:p>
                  <w:pPr>
                    <w:pStyle w:val="51"/>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验收检测期间实验室正常运行</w:t>
                  </w:r>
                  <w:r>
                    <w:rPr>
                      <w:rFonts w:hint="default" w:ascii="Times New Roman" w:hAnsi="Times New Roman" w:eastAsia="宋体" w:cs="Times New Roman"/>
                      <w:color w:val="auto"/>
                      <w:sz w:val="21"/>
                      <w:szCs w:val="21"/>
                      <w:highlight w:val="none"/>
                      <w:lang w:val="en-US" w:eastAsia="zh-CN"/>
                    </w:rPr>
                    <w:t>。</w:t>
                  </w:r>
                </w:p>
                <w:p>
                  <w:pPr>
                    <w:pStyle w:val="51"/>
                    <w:jc w:val="left"/>
                    <w:rPr>
                      <w:rFonts w:hint="default" w:ascii="Times New Roman" w:hAnsi="Times New Roman" w:eastAsia="宋体" w:cs="Times New Roman"/>
                      <w:color w:val="auto"/>
                      <w:sz w:val="21"/>
                      <w:szCs w:val="21"/>
                      <w:highlight w:val="none"/>
                      <w:lang w:val="en-US" w:eastAsia="zh-CN"/>
                    </w:rPr>
                  </w:pPr>
                  <w:r>
                    <w:rPr>
                      <w:rFonts w:hint="eastAsia"/>
                      <w:color w:val="auto"/>
                      <w:szCs w:val="21"/>
                      <w:highlight w:val="none"/>
                      <w:lang w:eastAsia="zh-CN" w:bidi="ar"/>
                    </w:rPr>
                    <w:t>试运行验收期间，无水硫酸钠和硫酸暂未使用，故未对其检测。</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1201"/>
              <w:gridCol w:w="1326"/>
              <w:gridCol w:w="1326"/>
              <w:gridCol w:w="1269"/>
              <w:gridCol w:w="1301"/>
              <w:gridCol w:w="1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采样</w:t>
                  </w:r>
                  <w:r>
                    <w:rPr>
                      <w:rFonts w:hint="eastAsia"/>
                      <w:b/>
                      <w:bCs/>
                      <w:color w:val="auto"/>
                      <w:sz w:val="21"/>
                      <w:szCs w:val="21"/>
                      <w:highlight w:val="none"/>
                    </w:rPr>
                    <w:t>点位</w:t>
                  </w:r>
                </w:p>
              </w:tc>
              <w:tc>
                <w:tcPr>
                  <w:tcW w:w="67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1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72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58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2.07</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0.017</w:t>
                  </w:r>
                </w:p>
              </w:tc>
              <w:tc>
                <w:tcPr>
                  <w:tcW w:w="728"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实验操作废气排气筒DA002</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2.09</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0.025</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2.06</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0.024</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实验操作废气排气筒DA004</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2.03</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0.032</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72" w:type="pct"/>
                  <w:shd w:val="clear" w:color="auto" w:fill="auto"/>
                  <w:vAlign w:val="center"/>
                </w:tcPr>
                <w:p>
                  <w:pPr>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shd w:val="clear" w:color="auto" w:fill="auto"/>
                  <w:vAlign w:val="center"/>
                </w:tcPr>
                <w:p>
                  <w:pPr>
                    <w:pStyle w:val="51"/>
                    <w:jc w:val="left"/>
                    <w:rPr>
                      <w:color w:val="auto"/>
                      <w:highlight w:val="none"/>
                    </w:rPr>
                  </w:pPr>
                  <w:r>
                    <w:rPr>
                      <w:color w:val="auto"/>
                      <w:szCs w:val="21"/>
                      <w:highlight w:val="none"/>
                    </w:rPr>
                    <w:t>备注：未检出表示检测值小于检出限</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等效排气筒有关参数</w:t>
            </w:r>
            <w:r>
              <w:rPr>
                <w:rFonts w:ascii="Times New Roman" w:hAnsi="Times New Roman"/>
                <w:b/>
                <w:bCs/>
                <w:color w:val="auto"/>
                <w:sz w:val="24"/>
                <w:highlight w:val="none"/>
              </w:rPr>
              <w:t>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7"/>
              <w:gridCol w:w="1274"/>
              <w:gridCol w:w="1442"/>
              <w:gridCol w:w="1049"/>
              <w:gridCol w:w="1575"/>
              <w:gridCol w:w="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排气筒点位</w:t>
                  </w:r>
                </w:p>
              </w:tc>
              <w:tc>
                <w:tcPr>
                  <w:tcW w:w="713"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80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等效排气筒高度（</w:t>
                  </w:r>
                  <w:r>
                    <w:rPr>
                      <w:rFonts w:hint="eastAsia"/>
                      <w:b/>
                      <w:bCs/>
                      <w:color w:val="auto"/>
                      <w:sz w:val="21"/>
                      <w:szCs w:val="21"/>
                      <w:highlight w:val="none"/>
                      <w:lang w:val="en-US" w:eastAsia="zh-CN"/>
                    </w:rPr>
                    <w:t>m</w:t>
                  </w:r>
                  <w:r>
                    <w:rPr>
                      <w:rFonts w:hint="eastAsia"/>
                      <w:b/>
                      <w:bCs/>
                      <w:color w:val="auto"/>
                      <w:sz w:val="21"/>
                      <w:szCs w:val="21"/>
                      <w:highlight w:val="none"/>
                      <w:lang w:eastAsia="zh-CN"/>
                    </w:rPr>
                    <w:t>）</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463" w:type="pct"/>
                  <w:shd w:val="clear" w:color="auto" w:fill="auto"/>
                  <w:vAlign w:val="center"/>
                </w:tcPr>
                <w:p>
                  <w:pPr>
                    <w:spacing w:line="240" w:lineRule="auto"/>
                    <w:ind w:firstLine="0" w:firstLineChars="0"/>
                    <w:jc w:val="center"/>
                    <w:rPr>
                      <w:rFonts w:hint="eastAsia"/>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8"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p>
              </w:tc>
              <w:tc>
                <w:tcPr>
                  <w:tcW w:w="713"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0.042</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8"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p>
              </w:tc>
              <w:tc>
                <w:tcPr>
                  <w:tcW w:w="713"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0.066</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8"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实验操作废气排气筒DA004</w:t>
                  </w:r>
                </w:p>
              </w:tc>
              <w:tc>
                <w:tcPr>
                  <w:tcW w:w="713"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0.098</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bl>
          <w:p>
            <w:pPr>
              <w:rPr>
                <w:rFonts w:hint="eastAsia" w:eastAsia="宋体"/>
                <w:color w:val="auto"/>
                <w:highlight w:val="none"/>
                <w:lang w:eastAsia="zh-CN"/>
              </w:rPr>
            </w:pPr>
            <w:r>
              <w:rPr>
                <w:rFonts w:hint="eastAsia"/>
                <w:color w:val="auto"/>
                <w:highlight w:val="none"/>
              </w:rPr>
              <w:t>验收监测期间，实验操作+危废间+试剂库废气排气筒DA001</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2.07</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0.017</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w:t>
            </w:r>
            <w:r>
              <w:rPr>
                <w:rFonts w:hint="eastAsia" w:ascii="Times New Roman" w:hAnsi="宋体"/>
                <w:color w:val="auto"/>
                <w:sz w:val="24"/>
                <w:szCs w:val="24"/>
              </w:rPr>
              <w:t xml:space="preserve"> 实验操作废气排气筒DA002</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2.09</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0.025</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；实验操作废气排气筒DA003</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2.06</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0.024</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；实验操作废气排气筒DA004中主要污染物VOCs最大排放浓度为2.0</w:t>
            </w:r>
            <w:r>
              <w:rPr>
                <w:rFonts w:hint="eastAsia" w:hAnsi="宋体"/>
                <w:color w:val="auto"/>
                <w:sz w:val="24"/>
                <w:szCs w:val="24"/>
                <w:lang w:val="en-US" w:eastAsia="zh-CN"/>
              </w:rPr>
              <w:t>3</w:t>
            </w:r>
            <w:r>
              <w:rPr>
                <w:rFonts w:hint="eastAsia" w:hAnsi="宋体"/>
                <w:color w:val="auto"/>
                <w:sz w:val="24"/>
                <w:szCs w:val="24"/>
                <w:lang w:eastAsia="zh-CN"/>
              </w:rPr>
              <w:t>mg/m</w:t>
            </w:r>
            <w:r>
              <w:rPr>
                <w:rFonts w:hint="eastAsia" w:hAnsi="宋体"/>
                <w:color w:val="auto"/>
                <w:sz w:val="24"/>
                <w:szCs w:val="24"/>
                <w:vertAlign w:val="superscript"/>
                <w:lang w:eastAsia="zh-CN"/>
              </w:rPr>
              <w:t>3</w:t>
            </w:r>
            <w:r>
              <w:rPr>
                <w:rFonts w:hint="eastAsia" w:hAnsi="宋体"/>
                <w:color w:val="auto"/>
                <w:sz w:val="24"/>
                <w:szCs w:val="24"/>
                <w:lang w:eastAsia="zh-CN"/>
              </w:rPr>
              <w:t>，最大排放速率为0.0</w:t>
            </w:r>
            <w:r>
              <w:rPr>
                <w:rFonts w:hint="eastAsia" w:hAnsi="宋体"/>
                <w:color w:val="auto"/>
                <w:sz w:val="24"/>
                <w:szCs w:val="24"/>
                <w:lang w:val="en-US" w:eastAsia="zh-CN"/>
              </w:rPr>
              <w:t>32</w:t>
            </w:r>
            <w:r>
              <w:rPr>
                <w:rFonts w:hint="eastAsia" w:hAnsi="宋体"/>
                <w:color w:val="auto"/>
                <w:sz w:val="24"/>
                <w:szCs w:val="24"/>
                <w:lang w:eastAsia="zh-CN"/>
              </w:rPr>
              <w:t>kg/h ；</w:t>
            </w:r>
            <w:r>
              <w:rPr>
                <w:rFonts w:hint="eastAsia" w:hAnsi="宋体"/>
                <w:color w:val="auto"/>
                <w:sz w:val="24"/>
                <w:szCs w:val="24"/>
                <w:lang w:val="en-US" w:eastAsia="zh-CN"/>
              </w:rPr>
              <w:t>VOCs</w:t>
            </w:r>
            <w:r>
              <w:rPr>
                <w:rFonts w:hint="eastAsia"/>
                <w:color w:val="auto"/>
                <w:highlight w:val="none"/>
              </w:rPr>
              <w:t>排放浓度</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部分：其他行业》（DB37/2801.7-2019）表1中非重点行业II时段排放限值、《制药工业大气污染物排放标准》（GB37823-2019）表2中研发机构工艺废气要求，</w:t>
            </w:r>
            <w:r>
              <w:rPr>
                <w:rFonts w:hint="eastAsia"/>
                <w:color w:val="auto"/>
                <w:highlight w:val="none"/>
                <w:lang w:eastAsia="zh-CN"/>
              </w:rPr>
              <w:t>经计算，实验操作+危废间+试剂库废气排气筒DA001-实验操作废气排气筒DA002等效排气筒污染物</w:t>
            </w:r>
            <w:r>
              <w:rPr>
                <w:rFonts w:hint="eastAsia"/>
                <w:color w:val="auto"/>
                <w:highlight w:val="none"/>
                <w:lang w:val="en-US" w:eastAsia="zh-CN"/>
              </w:rPr>
              <w:t>VOCs最大排放速率为0.042kg/h；（实验操作+危废间+试剂库废气排气筒DA001-实验操作废气排气筒DA002-实验操作废气排气筒DA003）</w:t>
            </w:r>
            <w:r>
              <w:rPr>
                <w:rFonts w:hint="eastAsia"/>
                <w:color w:val="auto"/>
                <w:highlight w:val="none"/>
                <w:lang w:eastAsia="zh-CN"/>
              </w:rPr>
              <w:t>等效排气筒污染物</w:t>
            </w:r>
            <w:r>
              <w:rPr>
                <w:rFonts w:hint="eastAsia"/>
                <w:color w:val="auto"/>
                <w:highlight w:val="none"/>
                <w:lang w:val="en-US" w:eastAsia="zh-CN"/>
              </w:rPr>
              <w:t>VOCs最大排放速率为0.066kg/h；（实验操作+危废间+试剂库废气排气筒DA001-实验操作废气排气筒DA002-实验操作废气排气筒DA003）-实验操作废气排气筒DA004</w:t>
            </w:r>
            <w:r>
              <w:rPr>
                <w:rFonts w:hint="eastAsia"/>
                <w:color w:val="auto"/>
                <w:highlight w:val="none"/>
                <w:lang w:eastAsia="zh-CN"/>
              </w:rPr>
              <w:t>等效排气筒污染物</w:t>
            </w:r>
            <w:r>
              <w:rPr>
                <w:rFonts w:hint="eastAsia"/>
                <w:color w:val="auto"/>
                <w:highlight w:val="none"/>
                <w:lang w:val="en-US" w:eastAsia="zh-CN"/>
              </w:rPr>
              <w:t>VOCs最大排放速率为0.098kg/h；</w:t>
            </w:r>
            <w:r>
              <w:rPr>
                <w:rFonts w:hint="eastAsia"/>
                <w:color w:val="auto"/>
                <w:highlight w:val="none"/>
              </w:rPr>
              <w:t>排放速率</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w:t>
            </w:r>
            <w:r>
              <w:rPr>
                <w:rFonts w:hint="default" w:ascii="Times New Roman" w:hAnsi="Times New Roman" w:eastAsia="宋体" w:cs="Times New Roman"/>
                <w:color w:val="auto"/>
                <w:sz w:val="24"/>
                <w:highlight w:val="none"/>
              </w:rPr>
              <w:t>实验操作+危废间+试剂库废气排气筒DA001</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w:t>
            </w:r>
            <w:r>
              <w:rPr>
                <w:rFonts w:hint="default" w:ascii="Times New Roman" w:hAnsi="Times New Roman" w:eastAsia="宋体" w:cs="Times New Roman"/>
                <w:color w:val="auto"/>
                <w:sz w:val="24"/>
                <w:szCs w:val="24"/>
              </w:rPr>
              <w:t xml:space="preserve"> 实验操作废气排气筒DA002</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氯化氢为未检出；实验操作废气排气筒DA003</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氯化氢为未检出；实验操作废气排气筒DA004中主要污染物氯化氢为未检出；</w:t>
            </w:r>
            <w:r>
              <w:rPr>
                <w:rFonts w:hint="eastAsia" w:ascii="Times New Roman" w:hAnsi="Times New Roman" w:eastAsia="宋体" w:cs="Times New Roman"/>
                <w:color w:val="auto"/>
                <w:sz w:val="24"/>
                <w:szCs w:val="24"/>
                <w:lang w:eastAsia="zh-CN"/>
              </w:rPr>
              <w:t>氯化氢</w:t>
            </w:r>
            <w:r>
              <w:rPr>
                <w:rFonts w:hint="eastAsia"/>
                <w:color w:val="auto"/>
                <w:highlight w:val="none"/>
              </w:rPr>
              <w:t>排放浓度</w:t>
            </w:r>
            <w:r>
              <w:rPr>
                <w:rFonts w:hint="eastAsia"/>
                <w:color w:val="auto"/>
                <w:highlight w:val="none"/>
                <w:lang w:eastAsia="zh-CN"/>
              </w:rPr>
              <w:t>均满足</w:t>
            </w:r>
            <w:r>
              <w:rPr>
                <w:rFonts w:hint="eastAsia"/>
                <w:color w:val="auto"/>
                <w:highlight w:val="none"/>
              </w:rPr>
              <w:t>《制药工业大气污染物排放标准》（GB37823-2019）表2中研发机构工艺废气要求，排放速率</w:t>
            </w:r>
            <w:r>
              <w:rPr>
                <w:rFonts w:hint="eastAsia"/>
                <w:color w:val="auto"/>
                <w:highlight w:val="none"/>
                <w:lang w:eastAsia="zh-CN"/>
              </w:rPr>
              <w:t>均满足</w:t>
            </w:r>
            <w:r>
              <w:rPr>
                <w:rFonts w:hint="eastAsia"/>
                <w:color w:val="auto"/>
                <w:highlight w:val="none"/>
              </w:rPr>
              <w:t>《大气污染物综合排放标准》(GB16297 - 1996)中表2二级标准的要求</w:t>
            </w:r>
            <w:r>
              <w:rPr>
                <w:rFonts w:hint="eastAsia"/>
                <w:color w:val="auto"/>
                <w:highlight w:val="none"/>
                <w:lang w:eastAsia="zh-CN"/>
              </w:rPr>
              <w:t>。</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5</w:t>
            </w:r>
            <w:r>
              <w:rPr>
                <w:b/>
                <w:bCs/>
                <w:color w:val="auto"/>
                <w:highlight w:val="none"/>
              </w:rPr>
              <w:t xml:space="preserve">  无组织废气监测结果表</w:t>
            </w:r>
          </w:p>
          <w:tbl>
            <w:tblPr>
              <w:tblStyle w:val="28"/>
              <w:tblpPr w:leftFromText="180" w:rightFromText="180" w:vertAnchor="text" w:tblpXSpec="center" w:tblpY="1"/>
              <w:tblW w:w="8945" w:type="dxa"/>
              <w:jc w:val="center"/>
              <w:tblLayout w:type="autofit"/>
              <w:tblCellMar>
                <w:top w:w="0" w:type="dxa"/>
                <w:left w:w="108" w:type="dxa"/>
                <w:bottom w:w="0" w:type="dxa"/>
                <w:right w:w="108" w:type="dxa"/>
              </w:tblCellMar>
            </w:tblPr>
            <w:tblGrid>
              <w:gridCol w:w="1336"/>
              <w:gridCol w:w="989"/>
              <w:gridCol w:w="1506"/>
              <w:gridCol w:w="1274"/>
              <w:gridCol w:w="1276"/>
              <w:gridCol w:w="1276"/>
              <w:gridCol w:w="1288"/>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采样</w:t>
                  </w:r>
                </w:p>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下风向3#</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pStyle w:val="51"/>
                    <w:rPr>
                      <w:rFonts w:ascii="Times New Roman" w:hAnsi="Times New Roman" w:eastAsia="宋体" w:cs="Times New Roman"/>
                      <w:bCs w:val="0"/>
                      <w:color w:val="auto"/>
                      <w:kern w:val="2"/>
                      <w:sz w:val="21"/>
                      <w:szCs w:val="21"/>
                      <w:highlight w:val="none"/>
                      <w:lang w:val="en-US" w:eastAsia="zh-CN" w:bidi="ar-SA"/>
                    </w:rPr>
                  </w:pPr>
                  <w:r>
                    <w:rPr>
                      <w:rFonts w:ascii="Times New Roman" w:hAnsi="Times New Roman" w:eastAsia="宋体" w:cs="Times New Roman"/>
                      <w:color w:val="auto"/>
                      <w:sz w:val="21"/>
                      <w:szCs w:val="21"/>
                      <w:highlight w:val="none"/>
                      <w:lang w:val="en-US" w:eastAsia="zh-CN"/>
                    </w:rPr>
                    <w:t>VOCs（非甲烷总烃）</w:t>
                  </w:r>
                  <w:r>
                    <w:rPr>
                      <w:rFonts w:ascii="Times New Roman" w:hAnsi="Times New Roman" w:eastAsia="宋体" w:cs="Times New Roman"/>
                      <w:bCs w:val="0"/>
                      <w:color w:val="auto"/>
                      <w:sz w:val="21"/>
                      <w:szCs w:val="21"/>
                      <w:highlight w:val="none"/>
                    </w:rPr>
                    <w:t>（</w:t>
                  </w:r>
                  <w:r>
                    <w:rPr>
                      <w:rFonts w:ascii="Times New Roman" w:hAnsi="Times New Roman" w:eastAsia="宋体" w:cs="Times New Roman"/>
                      <w:color w:val="auto"/>
                      <w:sz w:val="21"/>
                      <w:szCs w:val="21"/>
                      <w:highlight w:val="none"/>
                    </w:rPr>
                    <w:t>mg/m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bCs w:val="0"/>
                      <w:color w:val="auto"/>
                      <w:sz w:val="21"/>
                      <w:szCs w:val="21"/>
                      <w:highlight w:val="none"/>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2</w:t>
                  </w:r>
                  <w:r>
                    <w:rPr>
                      <w:rFonts w:ascii="Times New Roman" w:hAnsi="Times New Roman" w:eastAsia="宋体" w:cs="Times New Roman"/>
                      <w:bCs w:val="0"/>
                      <w:color w:val="auto"/>
                      <w:sz w:val="21"/>
                      <w:szCs w:val="21"/>
                      <w:highlight w:val="none"/>
                      <w:lang w:val="en-US" w:eastAsia="zh-CN"/>
                    </w:rPr>
                    <w:t>.</w:t>
                  </w:r>
                </w:p>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0.80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1.25</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1.18</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0.78</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1.23</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0.61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1.33</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restart"/>
                  <w:tcBorders>
                    <w:top w:val="single" w:color="000000" w:sz="4" w:space="0"/>
                    <w:left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2022.</w:t>
                  </w:r>
                </w:p>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08.02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0.76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1.26</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1.18</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0.84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1.16</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0.66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1.15</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1.21</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1.12</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lang w:eastAsia="zh-CN"/>
                    </w:rPr>
                    <w:t>氯化氢</w:t>
                  </w:r>
                  <w:r>
                    <w:rPr>
                      <w:rFonts w:ascii="Times New Roman" w:hAnsi="Times New Roman" w:eastAsia="宋体" w:cs="Times New Roman"/>
                      <w:bCs w:val="0"/>
                      <w:color w:val="auto"/>
                      <w:sz w:val="21"/>
                      <w:szCs w:val="21"/>
                      <w:highlight w:val="none"/>
                    </w:rPr>
                    <w:t>（</w:t>
                  </w:r>
                  <w:r>
                    <w:rPr>
                      <w:rFonts w:ascii="Times New Roman" w:hAnsi="Times New Roman" w:eastAsia="宋体" w:cs="Times New Roman"/>
                      <w:color w:val="auto"/>
                      <w:sz w:val="21"/>
                      <w:szCs w:val="21"/>
                      <w:highlight w:val="none"/>
                    </w:rPr>
                    <w:t>mg/m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bCs w:val="0"/>
                      <w:color w:val="auto"/>
                      <w:sz w:val="21"/>
                      <w:szCs w:val="21"/>
                      <w:highlight w:val="none"/>
                    </w:rPr>
                    <w:t>）</w:t>
                  </w:r>
                </w:p>
              </w:tc>
              <w:tc>
                <w:tcPr>
                  <w:tcW w:w="553" w:type="pct"/>
                  <w:vMerge w:val="restart"/>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2</w:t>
                  </w:r>
                  <w:r>
                    <w:rPr>
                      <w:rFonts w:ascii="Times New Roman" w:hAnsi="Times New Roman" w:eastAsia="宋体" w:cs="Times New Roman"/>
                      <w:bCs w:val="0"/>
                      <w:color w:val="auto"/>
                      <w:sz w:val="21"/>
                      <w:szCs w:val="21"/>
                      <w:highlight w:val="none"/>
                      <w:lang w:val="en-US" w:eastAsia="zh-CN"/>
                    </w:rPr>
                    <w:t>.</w:t>
                  </w:r>
                </w:p>
                <w:p>
                  <w:pPr>
                    <w:pStyle w:val="51"/>
                    <w:rPr>
                      <w:rFonts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restart"/>
                  <w:tcBorders>
                    <w:left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2022.</w:t>
                  </w:r>
                </w:p>
                <w:p>
                  <w:pPr>
                    <w:pStyle w:val="51"/>
                    <w:rPr>
                      <w:rFonts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08.02</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c>
                <w:tcPr>
                  <w:tcW w:w="718"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auto" w:sz="4" w:space="0"/>
                    <w:left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1"/>
                    <w:rPr>
                      <w:rFonts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sz w:val="21"/>
                      <w:szCs w:val="21"/>
                      <w:highlight w:val="none"/>
                    </w:rPr>
                    <w:t>项目</w:t>
                  </w:r>
                </w:p>
              </w:tc>
              <w:tc>
                <w:tcPr>
                  <w:tcW w:w="553" w:type="pct"/>
                  <w:vMerge w:val="restart"/>
                  <w:tcBorders>
                    <w:top w:val="single" w:color="auto" w:sz="4" w:space="0"/>
                    <w:left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采样</w:t>
                  </w:r>
                </w:p>
                <w:p>
                  <w:pPr>
                    <w:pStyle w:val="51"/>
                    <w:rPr>
                      <w:rFonts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sz w:val="21"/>
                      <w:szCs w:val="21"/>
                      <w:highlight w:val="none"/>
                    </w:rPr>
                    <w:t>日期</w:t>
                  </w:r>
                </w:p>
              </w:tc>
              <w:tc>
                <w:tcPr>
                  <w:tcW w:w="842" w:type="pct"/>
                  <w:vMerge w:val="restart"/>
                  <w:tcBorders>
                    <w:top w:val="single" w:color="auto" w:sz="4" w:space="0"/>
                    <w:left w:val="single" w:color="000000" w:sz="4" w:space="0"/>
                    <w:right w:val="single" w:color="000000" w:sz="4" w:space="0"/>
                  </w:tcBorders>
                  <w:vAlign w:val="center"/>
                </w:tcPr>
                <w:p>
                  <w:pPr>
                    <w:pStyle w:val="51"/>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检测</w:t>
                  </w:r>
                </w:p>
                <w:p>
                  <w:pPr>
                    <w:pStyle w:val="51"/>
                    <w:rPr>
                      <w:rFonts w:hint="default" w:ascii="Times New Roman" w:hAnsi="Times New Roman" w:eastAsia="宋体" w:cs="Times New Roman"/>
                      <w:b/>
                      <w:bCs/>
                      <w:color w:val="auto"/>
                      <w:kern w:val="2"/>
                      <w:sz w:val="21"/>
                      <w:szCs w:val="21"/>
                      <w:highlight w:val="none"/>
                      <w:lang w:val="en-US" w:eastAsia="zh-CN" w:bidi="ar-SA"/>
                    </w:rPr>
                  </w:pPr>
                  <w:r>
                    <w:rPr>
                      <w:rFonts w:ascii="Times New Roman" w:hAnsi="Times New Roman" w:eastAsia="宋体" w:cs="Times New Roman"/>
                      <w:b/>
                      <w:bCs/>
                      <w:color w:val="auto"/>
                      <w:sz w:val="21"/>
                      <w:szCs w:val="21"/>
                      <w:highlight w:val="none"/>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
                      <w:bCs/>
                      <w:color w:val="auto"/>
                      <w:sz w:val="21"/>
                      <w:szCs w:val="21"/>
                      <w:highlight w:val="none"/>
                      <w:lang w:val="en-US" w:eastAsia="zh-CN"/>
                    </w:rPr>
                  </w:pPr>
                  <w:r>
                    <w:rPr>
                      <w:rFonts w:ascii="Times New Roman" w:hAnsi="Times New Roman" w:eastAsia="宋体" w:cs="Times New Roman"/>
                      <w:b/>
                      <w:bCs/>
                      <w:color w:val="auto"/>
                      <w:sz w:val="21"/>
                      <w:szCs w:val="21"/>
                      <w:highlight w:val="none"/>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Cs w:val="21"/>
                      <w:highlight w:val="none"/>
                    </w:rPr>
                  </w:pPr>
                </w:p>
              </w:tc>
              <w:tc>
                <w:tcPr>
                  <w:tcW w:w="842"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
                      <w:bCs/>
                      <w:color w:val="auto"/>
                      <w:szCs w:val="21"/>
                      <w:highlight w:val="none"/>
                    </w:rPr>
                  </w:pP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车间通风口下风向</w:t>
                  </w:r>
                  <w:r>
                    <w:rPr>
                      <w:rFonts w:hint="default" w:ascii="Times New Roman" w:hAnsi="Times New Roman" w:eastAsia="宋体" w:cs="Times New Roman"/>
                      <w:b/>
                      <w:bCs/>
                      <w:color w:val="auto"/>
                      <w:sz w:val="21"/>
                      <w:szCs w:val="21"/>
                      <w:highlight w:val="none"/>
                      <w:lang w:val="en-US" w:eastAsia="zh-CN"/>
                    </w:rPr>
                    <w:t>1m</w:t>
                  </w:r>
                  <w:r>
                    <w:rPr>
                      <w:rFonts w:hint="default" w:ascii="Times New Roman" w:hAnsi="Times New Roman" w:eastAsia="宋体" w:cs="Times New Roman"/>
                      <w:b/>
                      <w:bCs/>
                      <w:color w:val="auto"/>
                      <w:sz w:val="21"/>
                      <w:szCs w:val="21"/>
                      <w:highlight w:val="none"/>
                      <w:lang w:eastAsia="zh-CN"/>
                    </w:rPr>
                    <w:t>处</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r>
                    <w:rPr>
                      <w:rFonts w:ascii="Times New Roman" w:hAnsi="Times New Roman" w:eastAsia="宋体" w:cs="Times New Roman"/>
                      <w:color w:val="auto"/>
                      <w:sz w:val="21"/>
                      <w:szCs w:val="21"/>
                      <w:highlight w:val="none"/>
                      <w:lang w:val="en-US" w:eastAsia="zh-CN"/>
                    </w:rPr>
                    <w:t>非甲烷总烃</w:t>
                  </w:r>
                  <w:r>
                    <w:rPr>
                      <w:rFonts w:ascii="Times New Roman" w:hAnsi="Times New Roman" w:eastAsia="宋体" w:cs="Times New Roman"/>
                      <w:bCs w:val="0"/>
                      <w:color w:val="auto"/>
                      <w:sz w:val="21"/>
                      <w:szCs w:val="21"/>
                      <w:highlight w:val="none"/>
                    </w:rPr>
                    <w:t>（</w:t>
                  </w:r>
                  <w:r>
                    <w:rPr>
                      <w:rFonts w:ascii="Times New Roman" w:hAnsi="Times New Roman" w:eastAsia="宋体" w:cs="Times New Roman"/>
                      <w:color w:val="auto"/>
                      <w:sz w:val="21"/>
                      <w:szCs w:val="21"/>
                      <w:highlight w:val="none"/>
                    </w:rPr>
                    <w:t>mg/m</w:t>
                  </w:r>
                  <w:r>
                    <w:rPr>
                      <w:rFonts w:ascii="Times New Roman" w:hAnsi="Times New Roman" w:eastAsia="宋体" w:cs="Times New Roman"/>
                      <w:color w:val="auto"/>
                      <w:sz w:val="21"/>
                      <w:szCs w:val="21"/>
                      <w:highlight w:val="none"/>
                      <w:vertAlign w:val="superscript"/>
                    </w:rPr>
                    <w:t>3</w:t>
                  </w:r>
                  <w:r>
                    <w:rPr>
                      <w:rFonts w:ascii="Times New Roman" w:hAnsi="Times New Roman" w:eastAsia="宋体" w:cs="Times New Roman"/>
                      <w:bCs w:val="0"/>
                      <w:color w:val="auto"/>
                      <w:sz w:val="21"/>
                      <w:szCs w:val="21"/>
                      <w:highlight w:val="none"/>
                    </w:rPr>
                    <w:t>）</w:t>
                  </w:r>
                </w:p>
              </w:tc>
              <w:tc>
                <w:tcPr>
                  <w:tcW w:w="553" w:type="pct"/>
                  <w:vMerge w:val="restart"/>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2</w:t>
                  </w:r>
                  <w:r>
                    <w:rPr>
                      <w:rFonts w:ascii="Times New Roman" w:hAnsi="Times New Roman" w:eastAsia="宋体" w:cs="Times New Roman"/>
                      <w:bCs w:val="0"/>
                      <w:color w:val="auto"/>
                      <w:sz w:val="21"/>
                      <w:szCs w:val="21"/>
                      <w:highlight w:val="none"/>
                      <w:lang w:val="en-US" w:eastAsia="zh-CN"/>
                    </w:rPr>
                    <w:t>.</w:t>
                  </w:r>
                </w:p>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01</w:t>
                  </w: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2856" w:type="pct"/>
                  <w:gridSpan w:val="4"/>
                  <w:tcBorders>
                    <w:top w:val="single" w:color="000000"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1.29</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bottom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auto"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restart"/>
                  <w:tcBorders>
                    <w:left w:val="single" w:color="000000"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2022.</w:t>
                  </w:r>
                </w:p>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08.02</w:t>
                  </w:r>
                </w:p>
              </w:tc>
              <w:tc>
                <w:tcPr>
                  <w:tcW w:w="842" w:type="pct"/>
                  <w:tcBorders>
                    <w:top w:val="single" w:color="000000" w:sz="4" w:space="0"/>
                    <w:left w:val="single" w:color="000000" w:sz="4" w:space="0"/>
                    <w:bottom w:val="single" w:color="000000" w:sz="4" w:space="0"/>
                    <w:right w:val="single" w:color="auto"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第一次</w:t>
                  </w:r>
                </w:p>
              </w:tc>
              <w:tc>
                <w:tcPr>
                  <w:tcW w:w="2856" w:type="pct"/>
                  <w:gridSpan w:val="4"/>
                  <w:tcBorders>
                    <w:top w:val="single" w:color="auto" w:sz="4" w:space="0"/>
                    <w:left w:val="single" w:color="auto"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第二次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auto"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rPr>
                  </w:pPr>
                </w:p>
              </w:tc>
              <w:tc>
                <w:tcPr>
                  <w:tcW w:w="553" w:type="pct"/>
                  <w:vMerge w:val="continue"/>
                  <w:tcBorders>
                    <w:left w:val="single" w:color="000000" w:sz="4" w:space="0"/>
                    <w:bottom w:val="single" w:color="auto" w:sz="4" w:space="0"/>
                    <w:right w:val="single" w:color="000000" w:sz="4" w:space="0"/>
                  </w:tcBorders>
                  <w:vAlign w:val="center"/>
                </w:tcPr>
                <w:p>
                  <w:pPr>
                    <w:pStyle w:val="51"/>
                    <w:rPr>
                      <w:rFonts w:ascii="Times New Roman" w:hAnsi="Times New Roman" w:eastAsia="宋体" w:cs="Times New Roman"/>
                      <w:bCs w:val="0"/>
                      <w:color w:val="auto"/>
                      <w:sz w:val="21"/>
                      <w:szCs w:val="21"/>
                      <w:highlight w:val="none"/>
                      <w:lang w:val="en-US" w:eastAsia="zh-CN"/>
                    </w:rPr>
                  </w:pPr>
                </w:p>
              </w:tc>
              <w:tc>
                <w:tcPr>
                  <w:tcW w:w="842" w:type="pct"/>
                  <w:tcBorders>
                    <w:top w:val="single" w:color="000000"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kern w:val="2"/>
                      <w:sz w:val="21"/>
                      <w:szCs w:val="21"/>
                      <w:highlight w:val="none"/>
                      <w:lang w:val="en-US" w:eastAsia="zh-CN" w:bidi="ar-SA"/>
                    </w:rPr>
                    <w:t>第三次</w:t>
                  </w:r>
                </w:p>
              </w:tc>
              <w:tc>
                <w:tcPr>
                  <w:tcW w:w="2856" w:type="pct"/>
                  <w:gridSpan w:val="4"/>
                  <w:tcBorders>
                    <w:top w:val="single" w:color="auto" w:sz="4" w:space="0"/>
                    <w:left w:val="single" w:color="000000" w:sz="4" w:space="0"/>
                    <w:bottom w:val="single" w:color="auto" w:sz="4" w:space="0"/>
                    <w:right w:val="single" w:color="000000" w:sz="4" w:space="0"/>
                  </w:tcBorders>
                  <w:vAlign w:val="center"/>
                </w:tcPr>
                <w:p>
                  <w:pPr>
                    <w:pStyle w:val="51"/>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1.34</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pStyle w:val="51"/>
                    <w:jc w:val="both"/>
                    <w:rPr>
                      <w:color w:val="auto"/>
                      <w:szCs w:val="21"/>
                      <w:highlight w:val="none"/>
                    </w:rPr>
                  </w:pPr>
                  <w:r>
                    <w:rPr>
                      <w:color w:val="auto"/>
                      <w:szCs w:val="21"/>
                      <w:highlight w:val="none"/>
                    </w:rPr>
                    <w:t>备注：未检出表示检测值小于检出限</w:t>
                  </w:r>
                </w:p>
                <w:p>
                  <w:pPr>
                    <w:pStyle w:val="51"/>
                    <w:jc w:val="both"/>
                    <w:rPr>
                      <w:rFonts w:hint="default" w:ascii="Times New Roman" w:hAnsi="Times New Roman" w:eastAsia="宋体" w:cs="Times New Roman"/>
                      <w:bCs w:val="0"/>
                      <w:color w:val="auto"/>
                      <w:sz w:val="21"/>
                      <w:szCs w:val="21"/>
                      <w:highlight w:val="none"/>
                      <w:lang w:val="en-US" w:eastAsia="zh-CN"/>
                    </w:rPr>
                  </w:pPr>
                  <w:r>
                    <w:rPr>
                      <w:rFonts w:hint="eastAsia"/>
                      <w:color w:val="auto"/>
                      <w:szCs w:val="21"/>
                      <w:highlight w:val="none"/>
                      <w:lang w:eastAsia="zh-CN" w:bidi="ar"/>
                    </w:rPr>
                    <w:t>试运行验收期间，无水硫酸钠和硫酸暂未使用，故未对其检测。</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6</w:t>
            </w:r>
            <w:r>
              <w:rPr>
                <w:rFonts w:hint="eastAsia" w:ascii="Times New Roman" w:hAnsi="Times New Roman"/>
                <w:b/>
                <w:bCs/>
                <w:color w:val="auto"/>
                <w:sz w:val="24"/>
                <w:highlight w:val="none"/>
              </w:rPr>
              <w:t xml:space="preserve">  无组织废气判定结果表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5"/>
              <w:gridCol w:w="2385"/>
              <w:gridCol w:w="2535"/>
              <w:gridCol w:w="1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周界外浓度最高点浓度值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19"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w:t>
                  </w:r>
                  <w:r>
                    <w:rPr>
                      <w:rFonts w:hint="eastAsia"/>
                      <w:b/>
                      <w:bCs/>
                      <w:color w:val="auto"/>
                      <w:sz w:val="21"/>
                      <w:szCs w:val="21"/>
                      <w:highlight w:val="none"/>
                      <w:lang w:eastAsia="zh-CN"/>
                    </w:rPr>
                    <w:t>限值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7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1.33</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氯化氢</w:t>
                  </w:r>
                </w:p>
              </w:tc>
              <w:tc>
                <w:tcPr>
                  <w:tcW w:w="1335"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未检出</w:t>
                  </w:r>
                </w:p>
              </w:tc>
              <w:tc>
                <w:tcPr>
                  <w:tcW w:w="1419"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0.20</w:t>
                  </w:r>
                </w:p>
              </w:tc>
              <w:tc>
                <w:tcPr>
                  <w:tcW w:w="970"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color w:val="auto"/>
                      <w:sz w:val="21"/>
                      <w:szCs w:val="21"/>
                      <w:highlight w:val="none"/>
                    </w:rPr>
                    <w:t>NMHC</w:t>
                  </w:r>
                  <w:r>
                    <w:rPr>
                      <w:rFonts w:hint="eastAsia"/>
                      <w:color w:val="auto"/>
                      <w:sz w:val="21"/>
                      <w:szCs w:val="21"/>
                      <w:highlight w:val="none"/>
                      <w:lang w:eastAsia="zh-CN"/>
                    </w:rPr>
                    <w:t>（</w:t>
                  </w:r>
                  <w:r>
                    <w:rPr>
                      <w:rFonts w:ascii="Times New Roman" w:hAnsi="Times New Roman" w:eastAsia="宋体" w:cs="Times New Roman"/>
                      <w:color w:val="auto"/>
                      <w:sz w:val="21"/>
                      <w:szCs w:val="21"/>
                      <w:highlight w:val="none"/>
                      <w:lang w:val="en-US" w:eastAsia="zh-CN"/>
                    </w:rPr>
                    <w:t>非甲烷总烃</w:t>
                  </w:r>
                  <w:r>
                    <w:rPr>
                      <w:rFonts w:hint="eastAsia"/>
                      <w:color w:val="auto"/>
                      <w:sz w:val="21"/>
                      <w:szCs w:val="21"/>
                      <w:highlight w:val="none"/>
                      <w:lang w:eastAsia="zh-CN"/>
                    </w:rPr>
                    <w:t>）</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1.34</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pStyle w:val="22"/>
              <w:spacing w:line="360" w:lineRule="auto"/>
              <w:ind w:firstLine="480" w:firstLineChars="200"/>
              <w:rPr>
                <w:rFonts w:hint="eastAsia" w:ascii="Times New Roman" w:hAnsi="Times New Roman" w:eastAsia="宋体"/>
                <w:color w:val="auto"/>
                <w:sz w:val="24"/>
                <w:szCs w:val="24"/>
                <w:lang w:eastAsia="zh-CN"/>
              </w:rPr>
            </w:pPr>
            <w:r>
              <w:rPr>
                <w:rFonts w:hint="eastAsia"/>
                <w:color w:val="auto"/>
                <w:highlight w:val="none"/>
                <w:lang w:eastAsia="zh-CN"/>
              </w:rPr>
              <w:t>验收监测期间，</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VOCs</w:t>
            </w:r>
            <w:r>
              <w:rPr>
                <w:rFonts w:hint="eastAsia" w:ascii="Times New Roman" w:hAnsi="Times New Roman"/>
                <w:color w:val="auto"/>
                <w:sz w:val="24"/>
                <w:szCs w:val="24"/>
              </w:rPr>
              <w:t>最大浓度为</w:t>
            </w:r>
            <w:r>
              <w:rPr>
                <w:rFonts w:ascii="Times New Roman" w:hAnsi="Times New Roman"/>
                <w:color w:val="auto"/>
                <w:sz w:val="24"/>
                <w:szCs w:val="24"/>
              </w:rPr>
              <w:t>1.3</w:t>
            </w:r>
            <w:r>
              <w:rPr>
                <w:rFonts w:hint="eastAsia" w:ascii="Times New Roman" w:hAnsi="Times New Roman"/>
                <w:color w:val="auto"/>
                <w:sz w:val="24"/>
                <w:szCs w:val="24"/>
                <w:lang w:val="en-US" w:eastAsia="zh-CN"/>
              </w:rPr>
              <w:t>3</w:t>
            </w:r>
            <w:r>
              <w:rPr>
                <w:rFonts w:hint="eastAsia" w:ascii="Times New Roman" w:hAnsi="Times New Roman"/>
                <w:color w:val="auto"/>
                <w:sz w:val="24"/>
                <w:szCs w:val="24"/>
              </w:rPr>
              <w:t>mg/m</w:t>
            </w:r>
            <w:r>
              <w:rPr>
                <w:rFonts w:hint="eastAsia" w:ascii="Times New Roman" w:hAnsi="Times New Roman"/>
                <w:color w:val="auto"/>
                <w:sz w:val="24"/>
                <w:szCs w:val="24"/>
                <w:vertAlign w:val="superscript"/>
              </w:rPr>
              <w:t>3</w:t>
            </w:r>
            <w:r>
              <w:rPr>
                <w:rFonts w:hint="eastAsia" w:ascii="Times New Roman" w:hAnsi="Times New Roman"/>
                <w:color w:val="auto"/>
                <w:sz w:val="24"/>
                <w:szCs w:val="24"/>
              </w:rPr>
              <w:t>，</w:t>
            </w:r>
            <w:r>
              <w:rPr>
                <w:rFonts w:hint="eastAsia" w:ascii="Times New Roman" w:hAnsi="Times New Roman"/>
                <w:color w:val="auto"/>
                <w:sz w:val="24"/>
                <w:szCs w:val="24"/>
                <w:lang w:eastAsia="zh-CN"/>
              </w:rPr>
              <w:t>浓度均满足《挥发性有机物排放标准第 7 部分：其他行业》（DB37/2801.7-2019）表2厂界监控点浓度限值、《制药工业大气污染物排放标准》（GB37823-2019）。</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氯化氢为</w:t>
            </w:r>
            <w:r>
              <w:rPr>
                <w:rFonts w:hint="eastAsia" w:ascii="Times New Roman" w:hAnsi="Times New Roman"/>
                <w:color w:val="auto"/>
                <w:sz w:val="24"/>
                <w:szCs w:val="24"/>
              </w:rPr>
              <w:t>未检出</w:t>
            </w:r>
            <w:r>
              <w:rPr>
                <w:rFonts w:hint="eastAsia" w:ascii="Times New Roman" w:hAnsi="Times New Roman"/>
                <w:color w:val="auto"/>
                <w:sz w:val="24"/>
                <w:szCs w:val="24"/>
                <w:lang w:eastAsia="zh-CN"/>
              </w:rPr>
              <w:t>；浓度均满足《制药工业大气污染物排放标准》（GB37823-2019）表4浓度限值及《大气污染物综合排放标准》（GB16297-1996）表2浓度限值要求。</w:t>
            </w:r>
          </w:p>
          <w:p>
            <w:pPr>
              <w:pStyle w:val="22"/>
              <w:spacing w:line="360" w:lineRule="auto"/>
              <w:ind w:firstLine="480" w:firstLineChars="200"/>
              <w:rPr>
                <w:rFonts w:hint="eastAsia" w:ascii="Times New Roman" w:hAnsi="宋体" w:cs="Times New Roman"/>
                <w:bCs/>
                <w:color w:val="auto"/>
                <w:sz w:val="24"/>
                <w:szCs w:val="24"/>
              </w:rPr>
            </w:pPr>
            <w:r>
              <w:rPr>
                <w:rFonts w:hint="eastAsia" w:ascii="Times New Roman"/>
                <w:color w:val="auto"/>
                <w:sz w:val="24"/>
                <w:szCs w:val="24"/>
                <w:lang w:eastAsia="zh-CN"/>
              </w:rPr>
              <w:t>车间</w:t>
            </w:r>
            <w:r>
              <w:rPr>
                <w:rFonts w:hint="eastAsia" w:ascii="Times New Roman" w:hAnsi="宋体"/>
                <w:color w:val="auto"/>
                <w:sz w:val="24"/>
                <w:szCs w:val="24"/>
              </w:rPr>
              <w:t>通风口处非甲烷总烃最大1h平均浓度值为</w:t>
            </w:r>
            <w:r>
              <w:rPr>
                <w:rFonts w:ascii="Times New Roman" w:hAnsi="宋体"/>
                <w:color w:val="auto"/>
                <w:sz w:val="24"/>
                <w:szCs w:val="24"/>
              </w:rPr>
              <w:t>1.</w:t>
            </w:r>
            <w:r>
              <w:rPr>
                <w:rFonts w:hint="eastAsia" w:ascii="Times New Roman"/>
                <w:color w:val="auto"/>
                <w:sz w:val="24"/>
                <w:szCs w:val="24"/>
                <w:lang w:val="en-US" w:eastAsia="zh-CN"/>
              </w:rPr>
              <w:t>34</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s="Times New Roman"/>
                <w:color w:val="auto"/>
                <w:sz w:val="24"/>
                <w:szCs w:val="24"/>
              </w:rPr>
              <w:t>，</w:t>
            </w:r>
            <w:r>
              <w:rPr>
                <w:rFonts w:hint="eastAsia" w:ascii="Times New Roman" w:cs="Times New Roman"/>
                <w:color w:val="auto"/>
                <w:sz w:val="24"/>
                <w:szCs w:val="24"/>
                <w:lang w:eastAsia="zh-CN"/>
              </w:rPr>
              <w:t>均</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ascii="Times New Roman" w:hAnsi="Times New Roman"/>
                      <w:b/>
                      <w:bCs/>
                      <w:color w:val="auto"/>
                      <w:highlight w:val="none"/>
                    </w:rPr>
                  </w:pPr>
                  <w:r>
                    <w:rPr>
                      <w:rFonts w:cs="宋体"/>
                      <w:color w:val="auto"/>
                      <w:highlight w:val="none"/>
                    </w:rPr>
                    <w:pict>
                      <v:shape id="_x0000_i1032" o:spt="75" alt="9da4c8b24631c6b73d4450e4f623182" type="#_x0000_t75" style="height:308.45pt;width:437.15pt;" filled="f" o:preferrelative="t" stroked="f" coordsize="21600,21600">
                        <v:path/>
                        <v:fill on="f" focussize="0,0"/>
                        <v:stroke on="f"/>
                        <v:imagedata r:id="rId14" cropbottom="3915f" o:title="9da4c8b24631c6b73d4450e4f623182"/>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hint="eastAsia" w:eastAsia="宋体" w:cs="宋体"/>
                      <w:color w:val="auto"/>
                      <w:highlight w:val="none"/>
                      <w:lang w:eastAsia="zh-CN"/>
                    </w:rPr>
                  </w:pPr>
                  <w:r>
                    <w:rPr>
                      <w:rFonts w:hint="eastAsia" w:eastAsia="宋体" w:cs="宋体"/>
                      <w:color w:val="auto"/>
                      <w:highlight w:val="none"/>
                      <w:lang w:eastAsia="zh-CN"/>
                    </w:rPr>
                    <w:pict>
                      <v:shape id="_x0000_i1033" o:spt="75" alt="3a3968893da7318d1e64aca27d88431" type="#_x0000_t75" style="height:309.6pt;width:242pt;" filled="f" o:preferrelative="t" stroked="f" coordsize="21600,21600">
                        <v:path/>
                        <v:fill on="f" focussize="0,0"/>
                        <v:stroke on="f"/>
                        <v:imagedata r:id="rId15" cropbottom="2654f" o:title="3a3968893da7318d1e64aca27d88431"/>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hint="eastAsia" w:eastAsia="宋体" w:cs="宋体"/>
                      <w:color w:val="auto"/>
                      <w:highlight w:val="none"/>
                      <w:lang w:eastAsia="zh-CN"/>
                    </w:rPr>
                  </w:pPr>
                  <w:r>
                    <w:rPr>
                      <w:rFonts w:ascii="Times New Roman" w:hAnsi="Times New Roman"/>
                      <w:b/>
                      <w:bCs/>
                      <w:color w:val="auto"/>
                      <w:sz w:val="21"/>
                      <w:szCs w:val="21"/>
                      <w:highlight w:val="none"/>
                    </w:rPr>
                    <w:t>图7-1  废气</w:t>
                  </w:r>
                  <w:r>
                    <w:rPr>
                      <w:rFonts w:hint="eastAsia" w:ascii="Times New Roman" w:hAnsi="Times New Roman"/>
                      <w:b/>
                      <w:bCs/>
                      <w:color w:val="auto"/>
                      <w:sz w:val="21"/>
                      <w:szCs w:val="21"/>
                      <w:highlight w:val="none"/>
                      <w:lang w:eastAsia="zh-CN"/>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cs="宋体"/>
                      <w:color w:val="auto"/>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"http://117.73.252.128:9025/company/20220801/60eafc31-a101-4abd-b440-57425888d052/1659332777221_1659332788192.jpg"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4" o:spt="75" alt="IMG_256" type="#_x0000_t75" style="height:356.4pt;width:247.8pt;" filled="f" o:preferrelative="t" stroked="f" coordsize="21600,21600">
                        <v:path/>
                        <v:fill on="f" focussize="0,0"/>
                        <v:stroke on="f"/>
                        <v:imagedata r:id="rId16"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ascii="Times New Roman" w:hAnsi="Times New Roman"/>
                      <w:b/>
                      <w:bCs/>
                      <w:color w:val="auto"/>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"http://117.73.252.128:9025/company/20220803/2a3cc1bc-29e6-4aff-84e7-1f7dfca0c280/1659493625887_1659493632904.jpg"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5" o:spt="75" alt="IMG_256" type="#_x0000_t75" style="height:291.2pt;width:250.85pt;" filled="f" o:preferrelative="t" stroked="f" coordsize="21600,21600">
                        <v:path/>
                        <v:fill on="f" focussize="0,0"/>
                        <v:stroke on="f"/>
                        <v:imagedata r:id="rId17" croptop="11507f"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lang w:val="en-US" w:eastAsia="zh-CN"/>
                    </w:rPr>
                    <w:t>2</w:t>
                  </w:r>
                  <w:r>
                    <w:rPr>
                      <w:rFonts w:ascii="Times New Roman" w:hAnsi="Times New Roman"/>
                      <w:b/>
                      <w:bCs/>
                      <w:color w:val="auto"/>
                      <w:sz w:val="21"/>
                      <w:szCs w:val="21"/>
                      <w:highlight w:val="none"/>
                    </w:rPr>
                    <w:t xml:space="preserve">  废气监测</w:t>
                  </w:r>
                </w:p>
              </w:tc>
            </w:tr>
          </w:tbl>
          <w:p>
            <w:pPr>
              <w:ind w:firstLine="482"/>
              <w:rPr>
                <w:b/>
                <w:bCs/>
                <w:color w:val="auto"/>
                <w:highlight w:val="none"/>
              </w:rPr>
            </w:pPr>
            <w:r>
              <w:rPr>
                <w:b/>
                <w:bCs/>
                <w:color w:val="auto"/>
                <w:highlight w:val="none"/>
              </w:rPr>
              <w:t xml:space="preserve"> 2、废水</w:t>
            </w:r>
          </w:p>
          <w:p>
            <w:pPr>
              <w:ind w:firstLine="480"/>
              <w:rPr>
                <w:rFonts w:hint="eastAsia"/>
                <w:color w:val="auto"/>
                <w:highlight w:val="none"/>
              </w:rPr>
            </w:pPr>
            <w:r>
              <w:rPr>
                <w:rFonts w:hint="eastAsia"/>
                <w:color w:val="auto"/>
                <w:highlight w:val="none"/>
              </w:rPr>
              <w:t>本项目排水主要包括地面清洁废水、实验器皿清洗废水、实验过程废液和生活污水。项目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p>
            <w:pPr>
              <w:ind w:firstLine="480"/>
              <w:rPr>
                <w:color w:val="auto"/>
                <w:highlight w:val="none"/>
              </w:rPr>
            </w:pPr>
            <w:r>
              <w:rPr>
                <w:color w:val="auto"/>
                <w:highlight w:val="none"/>
              </w:rPr>
              <w:t>此次验收对</w:t>
            </w:r>
            <w:r>
              <w:rPr>
                <w:rFonts w:hint="eastAsia"/>
                <w:color w:val="auto"/>
                <w:highlight w:val="none"/>
                <w:lang w:eastAsia="zh-CN"/>
              </w:rPr>
              <w:t>企业污水总排口和</w:t>
            </w:r>
            <w:r>
              <w:rPr>
                <w:rFonts w:hint="default" w:cs="Times New Roman"/>
                <w:color w:val="auto"/>
                <w:spacing w:val="0"/>
                <w:sz w:val="24"/>
                <w:szCs w:val="24"/>
              </w:rPr>
              <w:t>产业园污水处理站</w:t>
            </w:r>
            <w:r>
              <w:rPr>
                <w:rFonts w:hint="eastAsia" w:cs="Times New Roman"/>
                <w:color w:val="auto"/>
                <w:spacing w:val="0"/>
                <w:sz w:val="24"/>
                <w:szCs w:val="24"/>
                <w:lang w:eastAsia="zh-CN"/>
              </w:rPr>
              <w:t>进、出口</w:t>
            </w:r>
            <w:r>
              <w:rPr>
                <w:rFonts w:hint="eastAsia"/>
                <w:color w:val="auto"/>
                <w:highlight w:val="none"/>
              </w:rPr>
              <w:t>，</w:t>
            </w:r>
            <w:r>
              <w:rPr>
                <w:color w:val="auto"/>
                <w:highlight w:val="none"/>
              </w:rPr>
              <w:t>污染物排放情况进行了监测。</w:t>
            </w:r>
          </w:p>
          <w:p>
            <w:pPr>
              <w:ind w:firstLine="480"/>
              <w:rPr>
                <w:color w:val="auto"/>
                <w:highlight w:val="none"/>
              </w:rPr>
            </w:pPr>
            <w:r>
              <w:rPr>
                <w:color w:val="auto"/>
                <w:highlight w:val="none"/>
              </w:rPr>
              <w:t>监测结果见下表：</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7</w:t>
            </w:r>
            <w:r>
              <w:rPr>
                <w:rFonts w:hint="eastAsia"/>
                <w:b/>
                <w:bCs/>
                <w:color w:val="auto"/>
                <w:highlight w:val="none"/>
              </w:rPr>
              <w:t xml:space="preserve"> </w:t>
            </w:r>
            <w:r>
              <w:rPr>
                <w:b/>
                <w:bCs/>
                <w:color w:val="auto"/>
                <w:highlight w:val="none"/>
              </w:rPr>
              <w:t xml:space="preserve"> 项目废水监测结果表</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2"/>
              <w:gridCol w:w="1255"/>
              <w:gridCol w:w="711"/>
              <w:gridCol w:w="1138"/>
              <w:gridCol w:w="1138"/>
              <w:gridCol w:w="1138"/>
              <w:gridCol w:w="1138"/>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auto"/>
                      <w:spacing w:val="10"/>
                      <w:sz w:val="21"/>
                      <w:szCs w:val="21"/>
                      <w:highlight w:val="none"/>
                      <w:lang w:eastAsia="zh-CN"/>
                    </w:rPr>
                  </w:pPr>
                  <w:r>
                    <w:rPr>
                      <w:rFonts w:hint="eastAsia" w:ascii="Times New Roman" w:hAnsi="Times New Roman" w:eastAsia="宋体" w:cs="Times New Roman"/>
                      <w:b/>
                      <w:bCs/>
                      <w:color w:val="auto"/>
                      <w:spacing w:val="10"/>
                      <w:sz w:val="21"/>
                      <w:szCs w:val="21"/>
                      <w:highlight w:val="none"/>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02</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02</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02</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r>
                    <w:rPr>
                      <w:rFonts w:hint="default"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02</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r>
                    <w:rPr>
                      <w:rFonts w:hint="default" w:ascii="Times New Roman" w:hAnsi="Times New Roman" w:eastAsia="宋体" w:cs="Times New Roman"/>
                      <w:b/>
                      <w:bCs/>
                      <w:color w:val="auto"/>
                      <w:spacing w:val="10"/>
                      <w:sz w:val="21"/>
                      <w:szCs w:val="21"/>
                      <w:highlight w:val="none"/>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eastAsia="zh-CN"/>
                    </w:rPr>
                    <w:t>企业污水总排口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1.45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2.32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1.93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2.13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95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104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108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default" w:ascii="Times New Roman" w:hAnsi="Times New Roman" w:eastAsia="宋体" w:cs="Times New Roman"/>
                      <w:b/>
                      <w:bCs/>
                      <w:color w:val="auto"/>
                      <w:spacing w:val="10"/>
                      <w:sz w:val="21"/>
                      <w:szCs w:val="21"/>
                      <w:highlight w:val="none"/>
                      <w:lang w:val="en-US" w:eastAsia="zh-CN"/>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eastAsia" w:ascii="Times New Roman" w:hAnsi="Times New Roman" w:eastAsia="宋体" w:cs="Times New Roman"/>
                      <w:b/>
                      <w:bCs/>
                      <w:color w:val="auto"/>
                      <w:spacing w:val="10"/>
                      <w:sz w:val="21"/>
                      <w:szCs w:val="21"/>
                      <w:highlight w:val="none"/>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03</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03</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03</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08</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03</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default" w:ascii="Times New Roman" w:hAnsi="Times New Roman" w:eastAsia="宋体" w:cs="Times New Roman"/>
                      <w:b/>
                      <w:bCs/>
                      <w:color w:val="auto"/>
                      <w:spacing w:val="10"/>
                      <w:sz w:val="21"/>
                      <w:szCs w:val="21"/>
                      <w:highlight w:val="none"/>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eastAsia="zh-CN"/>
                    </w:rPr>
                    <w:t>企业污水总排口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3.05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2.77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3.51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3.32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121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lang w:val="en-US" w:eastAsia="zh-CN"/>
                    </w:rPr>
                    <w:t>118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eastAsia="zh-CN"/>
                    </w:rPr>
                  </w:pPr>
                  <w:r>
                    <w:rPr>
                      <w:rFonts w:hint="eastAsia" w:ascii="Times New Roman" w:hAnsi="Times New Roman" w:eastAsia="宋体" w:cs="Times New Roman"/>
                      <w:color w:val="auto"/>
                      <w:spacing w:val="10"/>
                      <w:sz w:val="21"/>
                      <w:szCs w:val="21"/>
                      <w:highlight w:val="none"/>
                      <w:lang w:val="en-US" w:eastAsia="zh-CN"/>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r>
                    <w:rPr>
                      <w:rFonts w:hint="default" w:ascii="Times New Roman" w:hAnsi="Times New Roman" w:eastAsia="宋体" w:cs="Times New Roman"/>
                      <w:b/>
                      <w:bCs/>
                      <w:color w:val="auto"/>
                      <w:spacing w:val="10"/>
                      <w:sz w:val="21"/>
                      <w:szCs w:val="21"/>
                      <w:highlight w:val="none"/>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25</w:t>
                  </w:r>
                  <w:r>
                    <w:rPr>
                      <w:rFonts w:hint="default" w:ascii="Times New Roman" w:hAnsi="Times New Roman" w:eastAsia="宋体" w:cs="Times New Roman"/>
                      <w:b/>
                      <w:bCs/>
                      <w:color w:val="auto"/>
                      <w:spacing w:val="10"/>
                      <w:sz w:val="21"/>
                      <w:szCs w:val="21"/>
                      <w:highlight w:val="none"/>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val="en-US" w:eastAsia="zh-CN"/>
                    </w:rPr>
                    <w:t>园区污水处理站</w:t>
                  </w:r>
                  <w:r>
                    <w:rPr>
                      <w:rFonts w:hint="default" w:ascii="Times New Roman" w:hAnsi="Times New Roman" w:eastAsia="宋体" w:cs="Times New Roman"/>
                      <w:color w:val="auto"/>
                      <w:spacing w:val="10"/>
                      <w:sz w:val="21"/>
                      <w:szCs w:val="21"/>
                      <w:highlight w:val="none"/>
                      <w:lang w:eastAsia="zh-CN"/>
                    </w:rPr>
                    <w:t>进口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282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282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26.5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r>
                    <w:rPr>
                      <w:rFonts w:hint="default" w:ascii="Times New Roman" w:hAnsi="Times New Roman" w:eastAsia="宋体" w:cs="Times New Roman"/>
                      <w:b/>
                      <w:bCs/>
                      <w:color w:val="auto"/>
                      <w:spacing w:val="10"/>
                      <w:sz w:val="21"/>
                      <w:szCs w:val="21"/>
                      <w:highlight w:val="none"/>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25</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25</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25</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25</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val="en-US" w:eastAsia="zh-CN"/>
                    </w:rPr>
                    <w:t>园区污水处理站</w:t>
                  </w:r>
                  <w:r>
                    <w:rPr>
                      <w:rFonts w:hint="default" w:ascii="Times New Roman" w:hAnsi="Times New Roman" w:eastAsia="宋体" w:cs="Times New Roman"/>
                      <w:color w:val="auto"/>
                      <w:spacing w:val="10"/>
                      <w:sz w:val="21"/>
                      <w:szCs w:val="21"/>
                      <w:highlight w:val="none"/>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7.7-7.8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kern w:val="2"/>
                      <w:sz w:val="21"/>
                      <w:szCs w:val="21"/>
                      <w:highlight w:val="none"/>
                      <w:lang w:val="en-US" w:eastAsia="zh-CN" w:bidi="ar-SA"/>
                    </w:rPr>
                    <w:t>9.58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kern w:val="2"/>
                      <w:sz w:val="21"/>
                      <w:szCs w:val="21"/>
                      <w:highlight w:val="none"/>
                      <w:lang w:val="en-US" w:eastAsia="zh-CN" w:bidi="ar-SA"/>
                    </w:rPr>
                    <w:t>8.12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kern w:val="2"/>
                      <w:sz w:val="21"/>
                      <w:szCs w:val="21"/>
                      <w:highlight w:val="none"/>
                      <w:lang w:val="en-US" w:eastAsia="zh-CN" w:bidi="ar-SA"/>
                    </w:rPr>
                    <w:t>10.4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kern w:val="2"/>
                      <w:sz w:val="21"/>
                      <w:szCs w:val="21"/>
                      <w:highlight w:val="none"/>
                      <w:lang w:val="en-US" w:eastAsia="zh-CN" w:bidi="ar-SA"/>
                    </w:rPr>
                    <w:t>12.5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eastAsia" w:ascii="Times New Roman" w:hAnsi="Times New Roman" w:eastAsia="宋体" w:cs="Times New Roman"/>
                      <w:b w:val="0"/>
                      <w:bCs w:val="0"/>
                      <w:color w:val="auto"/>
                      <w:spacing w:val="10"/>
                      <w:kern w:val="2"/>
                      <w:sz w:val="21"/>
                      <w:szCs w:val="21"/>
                      <w:highlight w:val="none"/>
                      <w:lang w:val="en-US" w:eastAsia="zh-CN" w:bidi="ar-SA"/>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35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28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0.76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0.90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0.86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168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159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69.9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85.9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80.9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764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829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853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781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807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val="en-US" w:eastAsia="zh-CN"/>
                    </w:rPr>
                  </w:pPr>
                  <w:r>
                    <w:rPr>
                      <w:rFonts w:hint="default" w:ascii="Times New Roman" w:hAnsi="Times New Roman" w:eastAsia="宋体" w:cs="Times New Roman"/>
                      <w:b/>
                      <w:bCs/>
                      <w:color w:val="auto"/>
                      <w:spacing w:val="10"/>
                      <w:sz w:val="21"/>
                      <w:szCs w:val="21"/>
                      <w:highlight w:val="none"/>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eastAsia" w:ascii="Times New Roman" w:hAnsi="Times New Roman" w:eastAsia="宋体" w:cs="Times New Roman"/>
                      <w:b/>
                      <w:bCs/>
                      <w:color w:val="auto"/>
                      <w:spacing w:val="10"/>
                      <w:sz w:val="21"/>
                      <w:szCs w:val="21"/>
                      <w:highlight w:val="none"/>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26</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26</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26</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rPr>
                  </w:pPr>
                  <w:r>
                    <w:rPr>
                      <w:rFonts w:hint="default" w:ascii="Times New Roman" w:hAnsi="Times New Roman" w:eastAsia="宋体" w:cs="Times New Roman"/>
                      <w:b/>
                      <w:bCs/>
                      <w:color w:val="auto"/>
                      <w:spacing w:val="10"/>
                      <w:sz w:val="21"/>
                      <w:szCs w:val="21"/>
                      <w:highlight w:val="none"/>
                      <w:lang w:val="en-US" w:eastAsia="zh-CN"/>
                    </w:rPr>
                    <w:t>10</w:t>
                  </w:r>
                  <w:r>
                    <w:rPr>
                      <w:rFonts w:hint="default" w:ascii="Times New Roman" w:hAnsi="Times New Roman" w:eastAsia="宋体" w:cs="Times New Roman"/>
                      <w:b/>
                      <w:bCs/>
                      <w:color w:val="auto"/>
                      <w:spacing w:val="10"/>
                      <w:sz w:val="21"/>
                      <w:szCs w:val="21"/>
                      <w:highlight w:val="none"/>
                    </w:rPr>
                    <w:t>月</w:t>
                  </w:r>
                  <w:r>
                    <w:rPr>
                      <w:rFonts w:hint="default" w:ascii="Times New Roman" w:hAnsi="Times New Roman" w:eastAsia="宋体" w:cs="Times New Roman"/>
                      <w:b/>
                      <w:bCs/>
                      <w:color w:val="auto"/>
                      <w:spacing w:val="10"/>
                      <w:sz w:val="21"/>
                      <w:szCs w:val="21"/>
                      <w:highlight w:val="none"/>
                      <w:lang w:val="en-US" w:eastAsia="zh-CN"/>
                    </w:rPr>
                    <w:t>26</w:t>
                  </w:r>
                  <w:r>
                    <w:rPr>
                      <w:rFonts w:hint="default" w:ascii="Times New Roman" w:hAnsi="Times New Roman" w:eastAsia="宋体" w:cs="Times New Roman"/>
                      <w:b/>
                      <w:bCs/>
                      <w:color w:val="auto"/>
                      <w:spacing w:val="10"/>
                      <w:sz w:val="21"/>
                      <w:szCs w:val="21"/>
                      <w:highlight w:val="none"/>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kern w:val="2"/>
                      <w:sz w:val="21"/>
                      <w:szCs w:val="21"/>
                      <w:highlight w:val="none"/>
                      <w:lang w:val="en-US" w:eastAsia="zh-CN" w:bidi="ar-SA"/>
                    </w:rPr>
                  </w:pPr>
                  <w:r>
                    <w:rPr>
                      <w:rFonts w:hint="default" w:ascii="Times New Roman" w:hAnsi="Times New Roman" w:eastAsia="宋体" w:cs="Times New Roman"/>
                      <w:b/>
                      <w:bCs/>
                      <w:color w:val="auto"/>
                      <w:spacing w:val="10"/>
                      <w:sz w:val="21"/>
                      <w:szCs w:val="21"/>
                      <w:highlight w:val="none"/>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auto"/>
                      <w:spacing w:val="10"/>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r>
                    <w:rPr>
                      <w:rFonts w:hint="default" w:ascii="Times New Roman" w:hAnsi="Times New Roman" w:eastAsia="宋体" w:cs="Times New Roman"/>
                      <w:color w:val="auto"/>
                      <w:spacing w:val="10"/>
                      <w:sz w:val="21"/>
                      <w:szCs w:val="21"/>
                      <w:highlight w:val="none"/>
                      <w:lang w:val="en-US" w:eastAsia="zh-CN"/>
                    </w:rPr>
                    <w:t>园区污水处理站</w:t>
                  </w:r>
                  <w:r>
                    <w:rPr>
                      <w:rFonts w:hint="default" w:ascii="Times New Roman" w:hAnsi="Times New Roman" w:eastAsia="宋体" w:cs="Times New Roman"/>
                      <w:color w:val="auto"/>
                      <w:spacing w:val="10"/>
                      <w:sz w:val="21"/>
                      <w:szCs w:val="21"/>
                      <w:highlight w:val="none"/>
                      <w:lang w:eastAsia="zh-CN"/>
                    </w:rPr>
                    <w:t>出口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kern w:val="2"/>
                      <w:sz w:val="21"/>
                      <w:szCs w:val="21"/>
                      <w:highlight w:val="none"/>
                      <w:lang w:val="en-US" w:eastAsia="zh-CN" w:bidi="ar-SA"/>
                    </w:rPr>
                  </w:pPr>
                  <w:r>
                    <w:rPr>
                      <w:rFonts w:hint="default" w:ascii="Times New Roman" w:hAnsi="Times New Roman" w:eastAsia="宋体" w:cs="Times New Roman"/>
                      <w:b w:val="0"/>
                      <w:bCs w:val="0"/>
                      <w:color w:val="auto"/>
                      <w:spacing w:val="10"/>
                      <w:sz w:val="21"/>
                      <w:szCs w:val="21"/>
                      <w:highlight w:val="none"/>
                      <w:lang w:val="en-US" w:eastAsia="zh-CN"/>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7.6-7.7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7.96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10.9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8.86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11.3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9.76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48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55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40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31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0.78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0.92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176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161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180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val="en-US"/>
                    </w:rPr>
                  </w:pPr>
                  <w:r>
                    <w:rPr>
                      <w:rFonts w:hint="default" w:ascii="Times New Roman" w:hAnsi="Times New Roman" w:eastAsia="宋体" w:cs="Times New Roman"/>
                      <w:color w:val="auto"/>
                      <w:spacing w:val="10"/>
                      <w:sz w:val="21"/>
                      <w:szCs w:val="21"/>
                      <w:highlight w:val="none"/>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97.8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87.8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95.8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90.3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ascii="Times New Roman" w:hAnsi="Times New Roman" w:eastAsia="宋体" w:cs="Times New Roman"/>
                      <w:color w:val="auto"/>
                      <w:spacing w:val="10"/>
                      <w:kern w:val="2"/>
                      <w:sz w:val="21"/>
                      <w:szCs w:val="21"/>
                      <w:highlight w:val="none"/>
                      <w:lang w:val="en-US" w:eastAsia="zh-CN" w:bidi="ar-SA"/>
                    </w:rPr>
                    <w:t>92.9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sz w:val="21"/>
                      <w:szCs w:val="21"/>
                      <w:highlight w:val="none"/>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kern w:val="2"/>
                      <w:sz w:val="21"/>
                      <w:szCs w:val="21"/>
                      <w:highlight w:val="none"/>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default" w:ascii="Times New Roman" w:hAnsi="Times New Roman" w:eastAsia="宋体" w:cs="Times New Roman"/>
                      <w:color w:val="auto"/>
                      <w:spacing w:val="10"/>
                      <w:sz w:val="21"/>
                      <w:szCs w:val="21"/>
                      <w:highlight w:val="none"/>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896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847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796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default" w:ascii="Times New Roman" w:hAnsi="Times New Roman" w:eastAsia="宋体" w:cs="Times New Roman"/>
                      <w:b w:val="0"/>
                      <w:bCs w:val="0"/>
                      <w:color w:val="auto"/>
                      <w:spacing w:val="10"/>
                      <w:sz w:val="21"/>
                      <w:szCs w:val="21"/>
                      <w:highlight w:val="none"/>
                      <w:lang w:val="en-US" w:eastAsia="zh-CN"/>
                    </w:rPr>
                    <w:t>771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auto"/>
                      <w:spacing w:val="10"/>
                      <w:sz w:val="21"/>
                      <w:szCs w:val="21"/>
                      <w:highlight w:val="none"/>
                      <w:lang w:val="en-US" w:eastAsia="zh-CN"/>
                    </w:rPr>
                  </w:pPr>
                  <w:r>
                    <w:rPr>
                      <w:rFonts w:hint="eastAsia" w:ascii="Times New Roman" w:hAnsi="Times New Roman" w:eastAsia="宋体" w:cs="Times New Roman"/>
                      <w:b w:val="0"/>
                      <w:bCs w:val="0"/>
                      <w:color w:val="auto"/>
                      <w:spacing w:val="10"/>
                      <w:sz w:val="21"/>
                      <w:szCs w:val="21"/>
                      <w:highlight w:val="none"/>
                      <w:lang w:val="en-US" w:eastAsia="zh-CN"/>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gridSpan w:val="8"/>
                </w:tcPr>
                <w:p>
                  <w:pPr>
                    <w:widowControl/>
                    <w:autoSpaceDE w:val="0"/>
                    <w:autoSpaceDN w:val="0"/>
                    <w:adjustRightInd w:val="0"/>
                    <w:spacing w:line="240" w:lineRule="auto"/>
                    <w:ind w:firstLine="0" w:firstLineChars="0"/>
                    <w:jc w:val="both"/>
                    <w:rPr>
                      <w:rFonts w:hint="default" w:ascii="Times New Roman" w:hAnsi="Times New Roman" w:eastAsia="宋体" w:cs="Times New Roman"/>
                      <w:color w:val="auto"/>
                      <w:spacing w:val="10"/>
                      <w:sz w:val="21"/>
                      <w:szCs w:val="21"/>
                      <w:highlight w:val="none"/>
                      <w:lang w:val="en-US" w:eastAsia="zh-CN"/>
                    </w:rPr>
                  </w:pPr>
                  <w:r>
                    <w:rPr>
                      <w:rFonts w:hint="default" w:ascii="Times New Roman" w:hAnsi="Times New Roman" w:eastAsia="宋体" w:cs="Times New Roman"/>
                      <w:color w:val="auto"/>
                      <w:spacing w:val="10"/>
                      <w:sz w:val="21"/>
                      <w:szCs w:val="21"/>
                      <w:highlight w:val="none"/>
                    </w:rPr>
                    <w:t>备注：企业提供废水流量约为3m</w:t>
                  </w:r>
                  <w:r>
                    <w:rPr>
                      <w:rFonts w:hint="default" w:ascii="Times New Roman" w:hAnsi="Times New Roman" w:eastAsia="宋体" w:cs="Times New Roman"/>
                      <w:color w:val="auto"/>
                      <w:spacing w:val="10"/>
                      <w:sz w:val="21"/>
                      <w:szCs w:val="21"/>
                      <w:highlight w:val="none"/>
                      <w:vertAlign w:val="superscript"/>
                    </w:rPr>
                    <w:t>3</w:t>
                  </w:r>
                  <w:r>
                    <w:rPr>
                      <w:rFonts w:hint="default" w:ascii="Times New Roman" w:hAnsi="Times New Roman" w:eastAsia="宋体" w:cs="Times New Roman"/>
                      <w:color w:val="auto"/>
                      <w:spacing w:val="10"/>
                      <w:sz w:val="21"/>
                      <w:szCs w:val="21"/>
                      <w:highlight w:val="none"/>
                    </w:rPr>
                    <w:t>/天</w:t>
                  </w:r>
                  <w:r>
                    <w:rPr>
                      <w:rFonts w:hint="default" w:ascii="Times New Roman" w:hAnsi="Times New Roman" w:eastAsia="宋体" w:cs="Times New Roman"/>
                      <w:color w:val="auto"/>
                      <w:spacing w:val="1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Pr>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8</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企业总排口</w:t>
                  </w:r>
                  <w:r>
                    <w:rPr>
                      <w:rFonts w:ascii="Times New Roman" w:hAnsi="Times New Roman"/>
                      <w:b/>
                      <w:bCs/>
                      <w:color w:val="auto"/>
                      <w:sz w:val="24"/>
                      <w:highlight w:val="none"/>
                    </w:rPr>
                    <w:t>废水判定结果表</w:t>
                  </w:r>
                </w:p>
                <w:tbl>
                  <w:tblPr>
                    <w:tblStyle w:val="2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0"/>
                    <w:gridCol w:w="1530"/>
                    <w:gridCol w:w="870"/>
                    <w:gridCol w:w="1320"/>
                    <w:gridCol w:w="1977"/>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530"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870" w:type="dxa"/>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单位</w:t>
                        </w:r>
                      </w:p>
                    </w:tc>
                    <w:tc>
                      <w:tcPr>
                        <w:tcW w:w="132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产业园污水处理站进水水质要求</w:t>
                        </w:r>
                        <w:r>
                          <w:rPr>
                            <w:rFonts w:hint="eastAsia"/>
                            <w:b/>
                            <w:bCs/>
                            <w:color w:val="auto"/>
                            <w:sz w:val="21"/>
                            <w:szCs w:val="21"/>
                            <w:highlight w:val="none"/>
                            <w:lang w:eastAsia="zh-CN"/>
                          </w:rPr>
                          <w:t>限值</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企业总排口</w:t>
                        </w: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化学需氧量</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continue"/>
                        <w:shd w:val="clear" w:color="auto" w:fill="auto"/>
                        <w:vAlign w:val="center"/>
                      </w:tcPr>
                      <w:p>
                        <w:pPr>
                          <w:spacing w:line="240" w:lineRule="auto"/>
                          <w:ind w:firstLine="0" w:firstLineChars="0"/>
                          <w:jc w:val="center"/>
                          <w:rPr>
                            <w:color w:val="auto"/>
                            <w:highlight w:val="none"/>
                          </w:rPr>
                        </w:pP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氨氮</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9</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产业园污水处理站</w:t>
                  </w:r>
                  <w:r>
                    <w:rPr>
                      <w:rFonts w:ascii="Times New Roman" w:hAnsi="Times New Roman"/>
                      <w:b/>
                      <w:bCs/>
                      <w:color w:val="auto"/>
                      <w:sz w:val="24"/>
                      <w:highlight w:val="none"/>
                    </w:rPr>
                    <w:t>废水判定结果表</w:t>
                  </w:r>
                </w:p>
                <w:tbl>
                  <w:tblPr>
                    <w:tblStyle w:val="28"/>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890"/>
                    <w:gridCol w:w="1005"/>
                    <w:gridCol w:w="1305"/>
                    <w:gridCol w:w="2667"/>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576" w:type="pct"/>
                        <w:shd w:val="clear" w:color="auto" w:fill="auto"/>
                        <w:vAlign w:val="center"/>
                      </w:tcPr>
                      <w:p>
                        <w:pPr>
                          <w:spacing w:line="240" w:lineRule="auto"/>
                          <w:ind w:firstLine="0" w:firstLineChars="0"/>
                          <w:jc w:val="center"/>
                          <w:rPr>
                            <w:rFonts w:hint="eastAsia"/>
                            <w:b/>
                            <w:color w:val="auto"/>
                            <w:sz w:val="21"/>
                            <w:szCs w:val="21"/>
                            <w:highlight w:val="none"/>
                            <w:lang w:eastAsia="zh-CN"/>
                          </w:rPr>
                        </w:pPr>
                        <w:r>
                          <w:rPr>
                            <w:rFonts w:hint="eastAsia"/>
                            <w:b/>
                            <w:color w:val="auto"/>
                            <w:sz w:val="21"/>
                            <w:szCs w:val="21"/>
                            <w:highlight w:val="none"/>
                            <w:lang w:eastAsia="zh-CN"/>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29"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lang w:eastAsia="zh-CN"/>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产业园污水处理站</w:t>
                        </w: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pH值</w:t>
                        </w:r>
                      </w:p>
                    </w:tc>
                    <w:tc>
                      <w:tcPr>
                        <w:tcW w:w="576" w:type="pct"/>
                        <w:shd w:val="clear" w:color="auto" w:fill="auto"/>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7.6-7.8</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179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10.2</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45</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eastAsia="zh-CN"/>
                          </w:rPr>
                          <w:t>五日</w:t>
                        </w:r>
                        <w:r>
                          <w:rPr>
                            <w:color w:val="auto"/>
                            <w:sz w:val="21"/>
                            <w:szCs w:val="21"/>
                            <w:highlight w:val="none"/>
                          </w:rPr>
                          <w:t>生化需氧量</w:t>
                        </w:r>
                      </w:p>
                    </w:tc>
                    <w:tc>
                      <w:tcPr>
                        <w:tcW w:w="576" w:type="pct"/>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lang w:eastAsia="zh-CN"/>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92.9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350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溶解性总固体</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828</w:t>
                        </w:r>
                      </w:p>
                    </w:tc>
                    <w:tc>
                      <w:tcPr>
                        <w:tcW w:w="1529"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snapToGrid w:val="0"/>
                            <w:color w:val="auto"/>
                            <w:kern w:val="0"/>
                            <w:sz w:val="21"/>
                            <w:szCs w:val="21"/>
                            <w:highlight w:val="none"/>
                            <w:lang w:val="en-US" w:eastAsia="zh-CN"/>
                          </w:rPr>
                          <w:t>1500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widowControl/>
                    <w:autoSpaceDE w:val="0"/>
                    <w:autoSpaceDN w:val="0"/>
                    <w:adjustRightInd w:val="0"/>
                    <w:ind w:firstLine="480"/>
                    <w:jc w:val="left"/>
                    <w:rPr>
                      <w:color w:val="auto"/>
                      <w:spacing w:val="10"/>
                      <w:sz w:val="21"/>
                      <w:szCs w:val="21"/>
                      <w:highlight w:val="none"/>
                    </w:rPr>
                  </w:pPr>
                  <w:r>
                    <w:rPr>
                      <w:rFonts w:hint="default" w:ascii="Times New Roman" w:hAnsi="Times New Roman" w:eastAsia="宋体" w:cs="Times New Roman"/>
                      <w:color w:val="auto"/>
                      <w:highlight w:val="none"/>
                    </w:rPr>
                    <w:t>验收监测期间，企业总排口化学需氧量、氨氮最大日均浓度分别为116mg/L、3.16mg/L，均满足产业园污水处理站进水水质要求。产业园污水处理站主要污染物pH在7.6-7.8之间，化学需氧量、氨氮、五日生化需氧量、悬浮物、总磷、溶解性总固体最大日均浓度分别为179mg/L、10.2mg/L、92.9mg/L、44mg/L、1.04mg/L、828mg/L，均满足《污水排入城镇下水道水质标准》（GB/T 31962-2015）表1中</w:t>
                  </w:r>
                  <w:r>
                    <w:rPr>
                      <w:rFonts w:hint="eastAsia" w:cs="Times New Roman"/>
                      <w:color w:val="auto"/>
                      <w:highlight w:val="none"/>
                      <w:lang w:eastAsia="zh-CN"/>
                    </w:rPr>
                    <w:t>A级</w:t>
                  </w:r>
                  <w:r>
                    <w:rPr>
                      <w:rFonts w:hint="default" w:ascii="Times New Roman" w:hAnsi="Times New Roman" w:eastAsia="宋体" w:cs="Times New Roman"/>
                      <w:color w:val="auto"/>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3"/>
                    <w:ind w:firstLine="0" w:firstLineChars="0"/>
                    <w:jc w:val="center"/>
                    <w:rPr>
                      <w:rFonts w:cs="Times New Roman"/>
                      <w:color w:val="auto"/>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"http://117.73.252.128:9025/company/20220803/19b3de80-b87c-402a-b99b-7b45f124c5ab/1659490752788_1659490763685.jpg"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6" o:spt="75" alt="IMG_256" type="#_x0000_t75" style="height:281.85pt;width:195.85pt;" filled="f" o:preferrelative="t" stroked="f" coordsize="21600,21600">
                        <v:path/>
                        <v:fill on="f" focussize="0,0"/>
                        <v:stroke on="f"/>
                        <v:imagedata r:id="rId18"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3"/>
                    <w:ind w:firstLine="0" w:firstLineChars="0"/>
                    <w:jc w:val="center"/>
                    <w:rPr>
                      <w:rFonts w:ascii="宋体" w:hAnsi="宋体" w:eastAsia="宋体" w:cs="宋体"/>
                      <w:color w:val="auto"/>
                      <w:sz w:val="24"/>
                      <w:szCs w:val="24"/>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"http://117.73.252.128:9025/company/20211026/326a25cc-bc97-44ce-8ae1-c5bc3c215e96/1635227509504_1635227513035.jpg"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7" o:spt="75" alt="IMG_256" type="#_x0000_t75" style="height:284.45pt;width:195.75pt;" filled="f" o:preferrelative="t" stroked="f" coordsize="21600,21600">
                        <v:path/>
                        <v:fill on="f" focussize="0,0"/>
                        <v:stroke on="f"/>
                        <v:imagedata r:id="rId19"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shd w:val="clear" w:color="auto" w:fill="auto"/>
                </w:tcPr>
                <w:p>
                  <w:pPr>
                    <w:pStyle w:val="33"/>
                    <w:ind w:firstLine="0" w:firstLineChars="0"/>
                    <w:jc w:val="center"/>
                    <w:rPr>
                      <w:rFonts w:cs="Times New Roman"/>
                      <w:color w:val="auto"/>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3</w:t>
                  </w:r>
                  <w:r>
                    <w:rPr>
                      <w:rFonts w:cs="Times New Roman"/>
                      <w:b/>
                      <w:bCs/>
                      <w:color w:val="auto"/>
                      <w:sz w:val="21"/>
                      <w:szCs w:val="21"/>
                      <w:highlight w:val="none"/>
                    </w:rPr>
                    <w:t xml:space="preserve">  废水监测</w:t>
                  </w:r>
                </w:p>
              </w:tc>
            </w:tr>
          </w:tbl>
          <w:p>
            <w:pPr>
              <w:ind w:firstLine="482"/>
              <w:rPr>
                <w:b/>
                <w:bCs/>
                <w:color w:val="auto"/>
                <w:highlight w:val="none"/>
              </w:rPr>
            </w:pPr>
            <w:r>
              <w:rPr>
                <w:rFonts w:hint="eastAsia"/>
                <w:b/>
                <w:bCs/>
                <w:color w:val="auto"/>
                <w:highlight w:val="none"/>
              </w:rPr>
              <w:t>3、噪声</w:t>
            </w:r>
          </w:p>
          <w:p>
            <w:pPr>
              <w:ind w:firstLine="480"/>
              <w:rPr>
                <w:rFonts w:hint="eastAsia" w:eastAsia="宋体"/>
                <w:color w:val="auto"/>
                <w:highlight w:val="none"/>
                <w:lang w:eastAsia="zh-CN"/>
              </w:rPr>
            </w:pPr>
            <w:r>
              <w:rPr>
                <w:rFonts w:hint="eastAsia"/>
                <w:color w:val="auto"/>
                <w:highlight w:val="none"/>
                <w:lang w:eastAsia="zh-CN"/>
              </w:rPr>
              <w:t>本项目噪声源主要为实验设备运转产生的噪声，采取实验设备均布置于室内，采取门窗、墙体隔声，全部设备均选用低噪声设备并采取减振措施。加强管理，经常保养和维护机械设备避免设备在不良状态下运行等措施。</w:t>
            </w:r>
          </w:p>
          <w:p>
            <w:pPr>
              <w:ind w:firstLine="480"/>
              <w:rPr>
                <w:color w:val="auto"/>
                <w:highlight w:val="none"/>
              </w:rPr>
            </w:pPr>
            <w:r>
              <w:rPr>
                <w:color w:val="auto"/>
                <w:highlight w:val="none"/>
              </w:rPr>
              <w:t>噪声监测结果见下表：</w:t>
            </w:r>
          </w:p>
          <w:p>
            <w:pPr>
              <w:spacing w:line="240" w:lineRule="atLeast"/>
              <w:ind w:firstLine="482"/>
              <w:jc w:val="center"/>
              <w:rPr>
                <w:b/>
                <w:bCs/>
                <w:color w:val="auto"/>
                <w:highlight w:val="none"/>
              </w:rPr>
            </w:pPr>
            <w:r>
              <w:rPr>
                <w:b/>
                <w:bCs/>
                <w:color w:val="auto"/>
                <w:highlight w:val="none"/>
              </w:rPr>
              <w:t>表7-</w:t>
            </w:r>
            <w:r>
              <w:rPr>
                <w:rFonts w:hint="eastAsia"/>
                <w:b/>
                <w:bCs/>
                <w:color w:val="auto"/>
                <w:highlight w:val="none"/>
                <w:lang w:val="en-US" w:eastAsia="zh-CN"/>
              </w:rPr>
              <w:t>10</w:t>
            </w:r>
            <w:r>
              <w:rPr>
                <w:rFonts w:hint="eastAsia"/>
                <w:b/>
                <w:bCs/>
                <w:color w:val="auto"/>
                <w:highlight w:val="none"/>
              </w:rPr>
              <w:t xml:space="preserve"> </w:t>
            </w:r>
            <w:r>
              <w:rPr>
                <w:b/>
                <w:bCs/>
                <w:color w:val="auto"/>
                <w:highlight w:val="none"/>
              </w:rPr>
              <w:t xml:space="preserve"> 项目噪声监测结果表   单位：dB（A）</w:t>
            </w:r>
          </w:p>
          <w:tbl>
            <w:tblPr>
              <w:tblStyle w:val="28"/>
              <w:tblW w:w="4998" w:type="pct"/>
              <w:jc w:val="center"/>
              <w:tblLayout w:type="autofit"/>
              <w:tblCellMar>
                <w:top w:w="0" w:type="dxa"/>
                <w:left w:w="108" w:type="dxa"/>
                <w:bottom w:w="0" w:type="dxa"/>
                <w:right w:w="108" w:type="dxa"/>
              </w:tblCellMar>
            </w:tblPr>
            <w:tblGrid>
              <w:gridCol w:w="1791"/>
              <w:gridCol w:w="1210"/>
              <w:gridCol w:w="1135"/>
              <w:gridCol w:w="1201"/>
              <w:gridCol w:w="1201"/>
              <w:gridCol w:w="1201"/>
              <w:gridCol w:w="1206"/>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auto" w:sz="4" w:space="0"/>
                    <w:left w:val="single" w:color="000000"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b/>
                      <w:bCs/>
                      <w:i w:val="0"/>
                      <w:iCs w:val="0"/>
                      <w:color w:val="auto"/>
                      <w:kern w:val="2"/>
                      <w:sz w:val="21"/>
                      <w:szCs w:val="21"/>
                      <w:highlight w:val="none"/>
                    </w:rPr>
                  </w:pPr>
                  <w:r>
                    <w:rPr>
                      <w:rFonts w:ascii="Times New Roman" w:hAnsi="Times New Roman" w:eastAsia="宋体" w:cs="Times New Roman"/>
                      <w:b/>
                      <w:bCs/>
                      <w:i w:val="0"/>
                      <w:iCs w:val="0"/>
                      <w:color w:val="auto"/>
                      <w:kern w:val="2"/>
                      <w:sz w:val="21"/>
                      <w:szCs w:val="21"/>
                      <w:highlight w:val="none"/>
                    </w:rPr>
                    <w:t>采样时间</w:t>
                  </w:r>
                </w:p>
              </w:tc>
              <w:tc>
                <w:tcPr>
                  <w:tcW w:w="676" w:type="pct"/>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b/>
                      <w:bCs/>
                      <w:i w:val="0"/>
                      <w:iCs w:val="0"/>
                      <w:color w:val="auto"/>
                      <w:sz w:val="21"/>
                      <w:szCs w:val="21"/>
                      <w:highlight w:val="none"/>
                    </w:rPr>
                  </w:pPr>
                  <w:r>
                    <w:rPr>
                      <w:rFonts w:ascii="Times New Roman" w:hAnsi="Times New Roman" w:eastAsia="宋体" w:cs="Times New Roman"/>
                      <w:b/>
                      <w:bCs/>
                      <w:i w:val="0"/>
                      <w:iCs w:val="0"/>
                      <w:color w:val="auto"/>
                      <w:sz w:val="21"/>
                      <w:szCs w:val="21"/>
                      <w:highlight w:val="none"/>
                    </w:rPr>
                    <w:t>测量</w:t>
                  </w:r>
                </w:p>
                <w:p>
                  <w:pPr>
                    <w:widowControl/>
                    <w:adjustRightInd w:val="0"/>
                    <w:spacing w:line="240" w:lineRule="auto"/>
                    <w:ind w:firstLine="0" w:firstLineChars="0"/>
                    <w:jc w:val="center"/>
                    <w:rPr>
                      <w:rFonts w:ascii="Times New Roman" w:hAnsi="Times New Roman" w:eastAsia="宋体" w:cs="Times New Roman"/>
                      <w:b/>
                      <w:bCs/>
                      <w:i w:val="0"/>
                      <w:iCs w:val="0"/>
                      <w:color w:val="auto"/>
                      <w:kern w:val="2"/>
                      <w:sz w:val="21"/>
                      <w:szCs w:val="21"/>
                      <w:highlight w:val="none"/>
                    </w:rPr>
                  </w:pPr>
                  <w:r>
                    <w:rPr>
                      <w:rFonts w:ascii="Times New Roman" w:hAnsi="Times New Roman" w:eastAsia="宋体" w:cs="Times New Roman"/>
                      <w:b/>
                      <w:bCs/>
                      <w:i w:val="0"/>
                      <w:iCs w:val="0"/>
                      <w:color w:val="auto"/>
                      <w:sz w:val="21"/>
                      <w:szCs w:val="21"/>
                      <w:highlight w:val="none"/>
                    </w:rPr>
                    <w:t>时段</w:t>
                  </w:r>
                </w:p>
              </w:tc>
              <w:tc>
                <w:tcPr>
                  <w:tcW w:w="634" w:type="pct"/>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b/>
                      <w:bCs/>
                      <w:i w:val="0"/>
                      <w:iCs w:val="0"/>
                      <w:color w:val="auto"/>
                      <w:sz w:val="21"/>
                      <w:szCs w:val="21"/>
                      <w:highlight w:val="none"/>
                    </w:rPr>
                  </w:pPr>
                  <w:r>
                    <w:rPr>
                      <w:rFonts w:ascii="Times New Roman" w:hAnsi="Times New Roman" w:eastAsia="宋体" w:cs="Times New Roman"/>
                      <w:b/>
                      <w:bCs/>
                      <w:i w:val="0"/>
                      <w:iCs w:val="0"/>
                      <w:color w:val="auto"/>
                      <w:sz w:val="21"/>
                      <w:szCs w:val="21"/>
                      <w:highlight w:val="none"/>
                    </w:rPr>
                    <w:t>检测</w:t>
                  </w:r>
                </w:p>
                <w:p>
                  <w:pPr>
                    <w:widowControl/>
                    <w:adjustRightInd w:val="0"/>
                    <w:spacing w:line="240" w:lineRule="auto"/>
                    <w:ind w:firstLine="0" w:firstLineChars="0"/>
                    <w:jc w:val="center"/>
                    <w:rPr>
                      <w:rFonts w:ascii="Times New Roman" w:hAnsi="Times New Roman" w:eastAsia="宋体" w:cs="Times New Roman"/>
                      <w:b/>
                      <w:bCs/>
                      <w:i w:val="0"/>
                      <w:iCs w:val="0"/>
                      <w:color w:val="auto"/>
                      <w:sz w:val="21"/>
                      <w:szCs w:val="21"/>
                      <w:highlight w:val="none"/>
                      <w:lang w:eastAsia="zh-CN"/>
                    </w:rPr>
                  </w:pPr>
                  <w:r>
                    <w:rPr>
                      <w:rFonts w:ascii="Times New Roman" w:hAnsi="Times New Roman" w:eastAsia="宋体" w:cs="Times New Roman"/>
                      <w:b/>
                      <w:bCs/>
                      <w:i w:val="0"/>
                      <w:iCs w:val="0"/>
                      <w:color w:val="auto"/>
                      <w:sz w:val="21"/>
                      <w:szCs w:val="21"/>
                      <w:highlight w:val="none"/>
                    </w:rPr>
                    <w:t>项目</w:t>
                  </w:r>
                </w:p>
              </w:tc>
              <w:tc>
                <w:tcPr>
                  <w:tcW w:w="2687" w:type="pct"/>
                  <w:gridSpan w:val="4"/>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Chars="0"/>
                    <w:jc w:val="center"/>
                    <w:rPr>
                      <w:rFonts w:ascii="Times New Roman" w:hAnsi="Times New Roman" w:eastAsia="宋体" w:cs="Times New Roman"/>
                      <w:b/>
                      <w:bCs/>
                      <w:i w:val="0"/>
                      <w:iCs w:val="0"/>
                      <w:color w:val="auto"/>
                      <w:sz w:val="21"/>
                      <w:szCs w:val="21"/>
                      <w:highlight w:val="none"/>
                    </w:rPr>
                  </w:pPr>
                  <w:r>
                    <w:rPr>
                      <w:rFonts w:ascii="Times New Roman" w:hAnsi="Times New Roman" w:eastAsia="宋体" w:cs="Times New Roman"/>
                      <w:b/>
                      <w:bCs/>
                      <w:i w:val="0"/>
                      <w:iCs w:val="0"/>
                      <w:color w:val="auto"/>
                      <w:sz w:val="21"/>
                      <w:szCs w:val="21"/>
                      <w:highlight w:val="none"/>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Chars="0"/>
                    <w:jc w:val="center"/>
                    <w:rPr>
                      <w:rFonts w:ascii="Times New Roman" w:hAnsi="Times New Roman" w:eastAsia="宋体" w:cs="Times New Roman"/>
                      <w:b/>
                      <w:bCs/>
                      <w:i w:val="0"/>
                      <w:iCs w:val="0"/>
                      <w:color w:val="auto"/>
                      <w:kern w:val="2"/>
                      <w:sz w:val="21"/>
                      <w:szCs w:val="21"/>
                      <w:highlight w:val="none"/>
                    </w:rPr>
                  </w:pPr>
                </w:p>
              </w:tc>
              <w:tc>
                <w:tcPr>
                  <w:tcW w:w="676" w:type="pct"/>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Chars="0"/>
                    <w:jc w:val="center"/>
                    <w:rPr>
                      <w:rFonts w:ascii="Times New Roman" w:hAnsi="Times New Roman" w:eastAsia="宋体" w:cs="Times New Roman"/>
                      <w:b/>
                      <w:bCs/>
                      <w:i w:val="0"/>
                      <w:iCs w:val="0"/>
                      <w:color w:val="auto"/>
                      <w:sz w:val="21"/>
                      <w:szCs w:val="21"/>
                      <w:highlight w:val="none"/>
                    </w:rPr>
                  </w:pPr>
                </w:p>
              </w:tc>
              <w:tc>
                <w:tcPr>
                  <w:tcW w:w="634" w:type="pct"/>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Chars="0"/>
                    <w:jc w:val="center"/>
                    <w:rPr>
                      <w:rFonts w:ascii="Times New Roman" w:hAnsi="Times New Roman" w:eastAsia="宋体" w:cs="Times New Roman"/>
                      <w:b/>
                      <w:bCs/>
                      <w:i w:val="0"/>
                      <w:iCs w:val="0"/>
                      <w:color w:val="auto"/>
                      <w:sz w:val="21"/>
                      <w:szCs w:val="21"/>
                      <w:highlight w:val="none"/>
                    </w:rPr>
                  </w:pP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b/>
                      <w:bCs/>
                      <w:i w:val="0"/>
                      <w:iCs w:val="0"/>
                      <w:color w:val="auto"/>
                      <w:sz w:val="21"/>
                      <w:szCs w:val="21"/>
                      <w:highlight w:val="none"/>
                      <w:lang w:val="en-US" w:eastAsia="zh-CN"/>
                    </w:rPr>
                  </w:pPr>
                  <w:r>
                    <w:rPr>
                      <w:rFonts w:ascii="Times New Roman" w:hAnsi="Times New Roman" w:eastAsia="宋体" w:cs="Times New Roman"/>
                      <w:b/>
                      <w:bCs/>
                      <w:i w:val="0"/>
                      <w:iCs w:val="0"/>
                      <w:color w:val="auto"/>
                      <w:sz w:val="21"/>
                      <w:szCs w:val="21"/>
                      <w:highlight w:val="none"/>
                      <w:lang w:val="en-US" w:eastAsia="zh-CN"/>
                    </w:rPr>
                    <w:t>1</w:t>
                  </w:r>
                  <w:r>
                    <w:rPr>
                      <w:rFonts w:ascii="Times New Roman" w:hAnsi="Times New Roman" w:eastAsia="宋体" w:cs="Times New Roman"/>
                      <w:b/>
                      <w:bCs/>
                      <w:i w:val="0"/>
                      <w:iCs w:val="0"/>
                      <w:color w:val="auto"/>
                      <w:sz w:val="21"/>
                      <w:szCs w:val="21"/>
                      <w:highlight w:val="none"/>
                    </w:rPr>
                    <w:t>#</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b/>
                      <w:bCs/>
                      <w:i w:val="0"/>
                      <w:iCs w:val="0"/>
                      <w:color w:val="auto"/>
                      <w:sz w:val="21"/>
                      <w:szCs w:val="21"/>
                      <w:highlight w:val="none"/>
                      <w:lang w:val="en-US" w:eastAsia="zh-CN"/>
                    </w:rPr>
                  </w:pPr>
                  <w:r>
                    <w:rPr>
                      <w:rFonts w:ascii="Times New Roman" w:hAnsi="Times New Roman" w:eastAsia="宋体" w:cs="Times New Roman"/>
                      <w:b/>
                      <w:bCs/>
                      <w:i w:val="0"/>
                      <w:iCs w:val="0"/>
                      <w:color w:val="auto"/>
                      <w:sz w:val="21"/>
                      <w:szCs w:val="21"/>
                      <w:highlight w:val="none"/>
                      <w:lang w:val="en-US" w:eastAsia="zh-CN"/>
                    </w:rPr>
                    <w:t>2#</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b/>
                      <w:bCs/>
                      <w:i w:val="0"/>
                      <w:iCs w:val="0"/>
                      <w:color w:val="auto"/>
                      <w:sz w:val="21"/>
                      <w:szCs w:val="21"/>
                      <w:highlight w:val="none"/>
                      <w:lang w:val="en-US" w:eastAsia="zh-CN"/>
                    </w:rPr>
                  </w:pPr>
                  <w:r>
                    <w:rPr>
                      <w:rFonts w:ascii="Times New Roman" w:hAnsi="Times New Roman" w:eastAsia="宋体" w:cs="Times New Roman"/>
                      <w:b/>
                      <w:bCs/>
                      <w:i w:val="0"/>
                      <w:iCs w:val="0"/>
                      <w:color w:val="auto"/>
                      <w:sz w:val="21"/>
                      <w:szCs w:val="21"/>
                      <w:highlight w:val="none"/>
                      <w:lang w:val="en-US" w:eastAsia="zh-CN"/>
                    </w:rPr>
                    <w:t>3#</w:t>
                  </w:r>
                </w:p>
              </w:tc>
              <w:tc>
                <w:tcPr>
                  <w:tcW w:w="673"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b/>
                      <w:bCs/>
                      <w:i w:val="0"/>
                      <w:iCs w:val="0"/>
                      <w:color w:val="auto"/>
                      <w:sz w:val="21"/>
                      <w:szCs w:val="21"/>
                      <w:highlight w:val="none"/>
                      <w:lang w:val="en-US" w:eastAsia="zh-CN"/>
                    </w:rPr>
                  </w:pPr>
                  <w:r>
                    <w:rPr>
                      <w:rFonts w:hint="default" w:ascii="Times New Roman" w:hAnsi="Times New Roman" w:eastAsia="宋体" w:cs="Times New Roman"/>
                      <w:b/>
                      <w:bCs/>
                      <w:i w:val="0"/>
                      <w:iCs w:val="0"/>
                      <w:color w:val="auto"/>
                      <w:sz w:val="21"/>
                      <w:szCs w:val="21"/>
                      <w:highlight w:val="none"/>
                      <w:lang w:val="en-US" w:eastAsia="zh-CN"/>
                    </w:rPr>
                    <w:t>4#</w:t>
                  </w:r>
                </w:p>
              </w:tc>
            </w:tr>
            <w:tr>
              <w:tblPrEx>
                <w:tblCellMar>
                  <w:top w:w="0" w:type="dxa"/>
                  <w:left w:w="108" w:type="dxa"/>
                  <w:bottom w:w="0" w:type="dxa"/>
                  <w:right w:w="108" w:type="dxa"/>
                </w:tblCellMar>
              </w:tblPrEx>
              <w:trPr>
                <w:trHeight w:val="397" w:hRule="atLeast"/>
                <w:jc w:val="center"/>
              </w:trPr>
              <w:tc>
                <w:tcPr>
                  <w:tcW w:w="100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2</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08</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01</w:t>
                  </w:r>
                </w:p>
              </w:tc>
              <w:tc>
                <w:tcPr>
                  <w:tcW w:w="676"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lang w:eastAsia="zh-CN"/>
                    </w:rPr>
                    <w:t>昼间</w:t>
                  </w:r>
                </w:p>
              </w:tc>
              <w:tc>
                <w:tcPr>
                  <w:tcW w:w="634" w:type="pct"/>
                  <w:vMerge w:val="restar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lang w:eastAsia="zh-CN"/>
                    </w:rPr>
                    <w:t>噪声</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57.5</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57.1</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57.8</w:t>
                  </w:r>
                </w:p>
              </w:tc>
              <w:tc>
                <w:tcPr>
                  <w:tcW w:w="673"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56.5</w:t>
                  </w:r>
                </w:p>
              </w:tc>
            </w:tr>
            <w:tr>
              <w:tblPrEx>
                <w:tblCellMar>
                  <w:top w:w="0" w:type="dxa"/>
                  <w:left w:w="108" w:type="dxa"/>
                  <w:bottom w:w="0" w:type="dxa"/>
                  <w:right w:w="108" w:type="dxa"/>
                </w:tblCellMar>
              </w:tblPrEx>
              <w:trPr>
                <w:trHeight w:val="397" w:hRule="atLeast"/>
                <w:jc w:val="center"/>
              </w:trPr>
              <w:tc>
                <w:tcPr>
                  <w:tcW w:w="100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2022.08.02</w:t>
                  </w:r>
                </w:p>
              </w:tc>
              <w:tc>
                <w:tcPr>
                  <w:tcW w:w="676"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lang w:eastAsia="zh-CN"/>
                    </w:rPr>
                    <w:t>昼间</w:t>
                  </w:r>
                </w:p>
              </w:tc>
              <w:tc>
                <w:tcPr>
                  <w:tcW w:w="634" w:type="pct"/>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ascii="Times New Roman" w:hAnsi="Times New Roman" w:eastAsia="宋体" w:cs="Times New Roman"/>
                      <w:color w:val="auto"/>
                      <w:sz w:val="21"/>
                      <w:szCs w:val="21"/>
                      <w:highlight w:val="none"/>
                      <w:lang w:eastAsia="zh-CN"/>
                    </w:rPr>
                  </w:pP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56.9</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56.1</w:t>
                  </w:r>
                </w:p>
              </w:tc>
              <w:tc>
                <w:tcPr>
                  <w:tcW w:w="671"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54.4</w:t>
                  </w:r>
                </w:p>
              </w:tc>
              <w:tc>
                <w:tcPr>
                  <w:tcW w:w="673" w:type="pct"/>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57.2</w:t>
                  </w:r>
                </w:p>
              </w:tc>
            </w:tr>
          </w:tbl>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11</w:t>
            </w:r>
            <w:r>
              <w:rPr>
                <w:rFonts w:hint="eastAsia" w:ascii="Times New Roman" w:hAnsi="Times New Roman"/>
                <w:b/>
                <w:bCs/>
                <w:color w:val="auto"/>
                <w:sz w:val="24"/>
                <w:highlight w:val="none"/>
              </w:rPr>
              <w:t xml:space="preserve">  噪声判定结果表</w:t>
            </w:r>
          </w:p>
          <w:tbl>
            <w:tblPr>
              <w:tblStyle w:val="28"/>
              <w:tblW w:w="1069393824" w:type="pct"/>
              <w:jc w:val="center"/>
              <w:tblLayout w:type="autofit"/>
              <w:tblCellMar>
                <w:top w:w="0" w:type="dxa"/>
                <w:left w:w="108" w:type="dxa"/>
                <w:bottom w:w="0" w:type="dxa"/>
                <w:right w:w="108" w:type="dxa"/>
              </w:tblCellMar>
            </w:tblPr>
            <w:tblGrid>
              <w:gridCol w:w="1038"/>
              <w:gridCol w:w="1076"/>
              <w:gridCol w:w="1346"/>
              <w:gridCol w:w="1294"/>
              <w:gridCol w:w="1439"/>
              <w:gridCol w:w="1350"/>
              <w:gridCol w:w="1406"/>
            </w:tblGrid>
            <w:tr>
              <w:tblPrEx>
                <w:tblCellMar>
                  <w:top w:w="0" w:type="dxa"/>
                  <w:left w:w="108" w:type="dxa"/>
                  <w:bottom w:w="0" w:type="dxa"/>
                  <w:right w:w="108" w:type="dxa"/>
                </w:tblCellMar>
              </w:tblPrEx>
              <w:trPr>
                <w:trHeight w:val="397" w:hRule="atLeast"/>
                <w:jc w:val="center"/>
              </w:trPr>
              <w:tc>
                <w:tcPr>
                  <w:tcW w:w="580"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600"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3"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5"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2类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0"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600"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5"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0"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600"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2"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57.5</w:t>
                  </w:r>
                </w:p>
              </w:tc>
              <w:tc>
                <w:tcPr>
                  <w:tcW w:w="72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57.1</w:t>
                  </w:r>
                </w:p>
              </w:tc>
              <w:tc>
                <w:tcPr>
                  <w:tcW w:w="804"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57.8</w:t>
                  </w:r>
                </w:p>
              </w:tc>
              <w:tc>
                <w:tcPr>
                  <w:tcW w:w="75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57.2</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rPr>
                <w:color w:val="auto"/>
              </w:rPr>
            </w:pPr>
            <w:r>
              <w:rPr>
                <w:rFonts w:hint="eastAsia"/>
                <w:color w:val="auto"/>
              </w:rPr>
              <w:t>验收监测期间，项目1#东厂界、2#南厂界、3#西厂界、4#北厂界，</w:t>
            </w:r>
            <w:r>
              <w:rPr>
                <w:rFonts w:hint="eastAsia"/>
                <w:color w:val="auto"/>
                <w:lang w:eastAsia="zh-CN"/>
              </w:rPr>
              <w:t>昼间厂界噪声最大值分别为</w:t>
            </w:r>
            <w:r>
              <w:rPr>
                <w:rFonts w:hint="eastAsia" w:ascii="Times New Roman" w:hAnsi="Times New Roman" w:eastAsia="宋体" w:cs="Times New Roman"/>
                <w:color w:val="auto"/>
                <w:sz w:val="24"/>
                <w:szCs w:val="24"/>
                <w:lang w:val="en-US" w:eastAsia="zh-CN"/>
              </w:rPr>
              <w:t>57.5</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57.1</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57.8</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57.2</w:t>
            </w:r>
            <w:r>
              <w:rPr>
                <w:rFonts w:hint="eastAsia" w:cs="Times New Roman"/>
                <w:b w:val="0"/>
                <w:bCs w:val="0"/>
                <w:color w:val="auto"/>
                <w:sz w:val="24"/>
                <w:szCs w:val="24"/>
                <w:lang w:val="en-US" w:eastAsia="zh-CN"/>
              </w:rPr>
              <w:t>dB（A），</w:t>
            </w:r>
            <w:r>
              <w:rPr>
                <w:rFonts w:hint="eastAsia"/>
                <w:color w:val="auto"/>
              </w:rPr>
              <w:t>均满足《工业企业厂界环境噪声排放标准》(GB12348-2008)2类</w:t>
            </w:r>
            <w:r>
              <w:rPr>
                <w:rFonts w:hint="eastAsia"/>
                <w:color w:val="auto"/>
                <w:lang w:eastAsia="zh-CN"/>
              </w:rPr>
              <w:t>昼间</w:t>
            </w:r>
            <w:r>
              <w:rPr>
                <w:rFonts w:hint="eastAsia"/>
                <w:color w:val="auto"/>
              </w:rPr>
              <w:t>标准。</w:t>
            </w:r>
            <w:r>
              <w:rPr>
                <w:rFonts w:hint="eastAsia"/>
                <w:color w:val="auto"/>
                <w:lang w:eastAsia="zh-CN"/>
              </w:rPr>
              <w:t>项目</w:t>
            </w:r>
            <w:r>
              <w:rPr>
                <w:rFonts w:hint="eastAsia"/>
                <w:color w:val="auto"/>
              </w:rPr>
              <w:t>夜间不运行。</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2" w:type="pct"/>
                  <w:shd w:val="clear" w:color="auto" w:fill="auto"/>
                  <w:vAlign w:val="center"/>
                </w:tcPr>
                <w:p>
                  <w:pPr>
                    <w:pStyle w:val="33"/>
                    <w:snapToGrid w:val="0"/>
                    <w:jc w:val="center"/>
                    <w:rPr>
                      <w:rFonts w:cs="Times New Roman"/>
                      <w:b/>
                      <w:bCs/>
                      <w:color w:val="auto"/>
                      <w:szCs w:val="24"/>
                      <w:highlight w:val="none"/>
                    </w:rPr>
                  </w:pPr>
                  <w:r>
                    <w:rPr>
                      <w:rFonts w:ascii="宋体" w:hAnsi="宋体" w:eastAsia="宋体" w:cs="宋体"/>
                      <w:color w:val="auto"/>
                      <w:sz w:val="24"/>
                      <w:szCs w:val="24"/>
                    </w:rPr>
                    <w:fldChar w:fldCharType="begin"/>
                  </w:r>
                  <w:r>
                    <w:rPr>
                      <w:rFonts w:ascii="宋体" w:hAnsi="宋体" w:eastAsia="宋体" w:cs="宋体"/>
                      <w:color w:val="auto"/>
                      <w:sz w:val="24"/>
                      <w:szCs w:val="24"/>
                    </w:rPr>
                    <w:instrText xml:space="preserve">INCLUDEPICTURE \d "http://117.73.252.128:9025/company/20220802/21323e58-88f9-413a-a3f8-a845c456f84e/1659410486600_1659410492809.jpg" \* MERGEFORMATINET </w:instrText>
                  </w:r>
                  <w:r>
                    <w:rPr>
                      <w:rFonts w:ascii="宋体" w:hAnsi="宋体" w:eastAsia="宋体" w:cs="宋体"/>
                      <w:color w:val="auto"/>
                      <w:sz w:val="24"/>
                      <w:szCs w:val="24"/>
                    </w:rPr>
                    <w:fldChar w:fldCharType="separate"/>
                  </w:r>
                  <w:r>
                    <w:rPr>
                      <w:rFonts w:ascii="宋体" w:hAnsi="宋体" w:eastAsia="宋体" w:cs="宋体"/>
                      <w:color w:val="auto"/>
                      <w:sz w:val="24"/>
                      <w:szCs w:val="24"/>
                    </w:rPr>
                    <w:pict>
                      <v:shape id="_x0000_i1038" o:spt="75" alt="IMG_256" type="#_x0000_t75" style="height:271.4pt;width:334.45pt;" filled="f" o:preferrelative="t" stroked="f" coordsize="21600,21600">
                        <v:path/>
                        <v:fill on="f" focussize="0,0"/>
                        <v:stroke on="f"/>
                        <v:imagedata r:id="rId20" o:title="IMG_256"/>
                        <o:lock v:ext="edit" aspectratio="t"/>
                        <w10:wrap type="none"/>
                        <w10:anchorlock/>
                      </v:shape>
                    </w:pict>
                  </w:r>
                  <w:r>
                    <w:rPr>
                      <w:rFonts w:ascii="宋体" w:hAnsi="宋体" w:eastAsia="宋体" w:cs="宋体"/>
                      <w:color w:val="auto"/>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2" w:type="pct"/>
                  <w:shd w:val="clear" w:color="auto" w:fill="auto"/>
                  <w:vAlign w:val="center"/>
                </w:tcPr>
                <w:p>
                  <w:pPr>
                    <w:pStyle w:val="33"/>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4</w:t>
                  </w:r>
                  <w:r>
                    <w:rPr>
                      <w:rFonts w:cs="Times New Roman"/>
                      <w:b/>
                      <w:bCs/>
                      <w:color w:val="auto"/>
                      <w:sz w:val="21"/>
                      <w:szCs w:val="21"/>
                      <w:highlight w:val="none"/>
                    </w:rPr>
                    <w:t xml:space="preserve">  噪声监测</w:t>
                  </w:r>
                </w:p>
              </w:tc>
            </w:tr>
          </w:tbl>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4、固废检查情况</w:t>
            </w:r>
          </w:p>
          <w:p>
            <w:pPr>
              <w:pStyle w:val="33"/>
              <w:widowControl/>
              <w:adjustRightInd/>
              <w:rPr>
                <w:rFonts w:hint="eastAsia" w:cs="Times New Roman"/>
                <w:color w:val="auto"/>
                <w:szCs w:val="24"/>
                <w:highlight w:val="none"/>
              </w:rPr>
            </w:pPr>
            <w:r>
              <w:rPr>
                <w:rFonts w:hint="eastAsia" w:cs="Times New Roman"/>
                <w:color w:val="auto"/>
                <w:sz w:val="24"/>
                <w:szCs w:val="24"/>
                <w:lang w:val="en-US" w:eastAsia="zh-CN"/>
              </w:rPr>
              <w:t>项目产生的固体废物主要是</w:t>
            </w:r>
            <w:r>
              <w:rPr>
                <w:rFonts w:hint="eastAsia" w:cs="Times New Roman"/>
                <w:color w:val="auto"/>
                <w:szCs w:val="24"/>
                <w:highlight w:val="none"/>
              </w:rPr>
              <w:t>实验废物（废试剂瓶、废实验耗材、称量废物、分析实验废渣等）、实验废液（配制试剂废液、实验过程废液、实验器皿首次和二次清洗废液等）、废活性炭</w:t>
            </w:r>
            <w:r>
              <w:rPr>
                <w:rFonts w:hint="eastAsia" w:cs="Times New Roman"/>
                <w:color w:val="auto"/>
                <w:szCs w:val="24"/>
                <w:highlight w:val="none"/>
                <w:lang w:eastAsia="zh-CN"/>
              </w:rPr>
              <w:t>、</w:t>
            </w:r>
            <w:r>
              <w:rPr>
                <w:rFonts w:hint="eastAsia" w:cs="Times New Roman"/>
                <w:color w:val="auto"/>
                <w:szCs w:val="24"/>
                <w:highlight w:val="none"/>
              </w:rPr>
              <w:t>生活垃圾、废包装材料（废纸箱、废纸盒等，来自试剂外包装、实验耗材包装，未沾染化学试剂）。</w:t>
            </w:r>
          </w:p>
          <w:p>
            <w:pPr>
              <w:pStyle w:val="33"/>
              <w:widowControl/>
              <w:numPr>
                <w:ilvl w:val="255"/>
                <w:numId w:val="0"/>
              </w:numPr>
              <w:adjustRightInd/>
              <w:ind w:firstLine="480" w:firstLineChars="200"/>
              <w:rPr>
                <w:rFonts w:hint="eastAsia" w:cs="Times New Roman"/>
                <w:color w:val="auto"/>
                <w:szCs w:val="24"/>
                <w:highlight w:val="none"/>
                <w:lang w:eastAsia="zh-CN"/>
              </w:rPr>
            </w:pPr>
            <w:r>
              <w:rPr>
                <w:rFonts w:hint="eastAsia" w:cs="Times New Roman"/>
                <w:color w:val="auto"/>
                <w:szCs w:val="24"/>
                <w:highlight w:val="none"/>
              </w:rPr>
              <w:t>①废包装材料：主要为废纸箱、废纸盒等，来自试剂外包装、实验耗材包装，未沾染化学试剂，</w:t>
            </w:r>
            <w:r>
              <w:rPr>
                <w:rFonts w:hint="eastAsia" w:cs="Times New Roman"/>
                <w:color w:val="auto"/>
                <w:szCs w:val="24"/>
                <w:highlight w:val="none"/>
                <w:lang w:eastAsia="zh-CN"/>
              </w:rPr>
              <w:t>试运行期间实际产生量</w:t>
            </w:r>
            <w:r>
              <w:rPr>
                <w:rFonts w:hint="eastAsia" w:cs="Times New Roman"/>
                <w:color w:val="auto"/>
                <w:szCs w:val="24"/>
                <w:highlight w:val="none"/>
              </w:rPr>
              <w:t>为</w:t>
            </w:r>
            <w:r>
              <w:rPr>
                <w:rFonts w:hint="eastAsia" w:cs="Times New Roman"/>
                <w:color w:val="auto"/>
                <w:szCs w:val="24"/>
                <w:highlight w:val="none"/>
                <w:lang w:val="en-US" w:eastAsia="zh-CN"/>
              </w:rPr>
              <w:t>0.025</w:t>
            </w:r>
            <w:r>
              <w:rPr>
                <w:rFonts w:hint="eastAsia" w:cs="Times New Roman"/>
                <w:color w:val="auto"/>
                <w:szCs w:val="24"/>
                <w:highlight w:val="none"/>
              </w:rPr>
              <w:t>t/</w:t>
            </w:r>
            <w:r>
              <w:rPr>
                <w:rFonts w:hint="eastAsia" w:cs="Times New Roman"/>
                <w:color w:val="auto"/>
                <w:szCs w:val="24"/>
                <w:highlight w:val="none"/>
                <w:lang w:eastAsia="zh-CN"/>
              </w:rPr>
              <w:t>月，折合年产生量为</w:t>
            </w:r>
            <w:r>
              <w:rPr>
                <w:rFonts w:hint="eastAsia" w:cs="Times New Roman"/>
                <w:color w:val="auto"/>
                <w:szCs w:val="24"/>
                <w:highlight w:val="none"/>
                <w:lang w:val="en-US" w:eastAsia="zh-CN"/>
              </w:rPr>
              <w:t>0.3t/年</w:t>
            </w:r>
            <w:r>
              <w:rPr>
                <w:rFonts w:hint="eastAsia" w:cs="Times New Roman"/>
                <w:color w:val="auto"/>
                <w:szCs w:val="24"/>
                <w:highlight w:val="none"/>
                <w:lang w:eastAsia="zh-CN"/>
              </w:rPr>
              <w:t>。属于一般固废，收集后外售物资回收单位。</w:t>
            </w:r>
          </w:p>
          <w:p>
            <w:pPr>
              <w:pStyle w:val="33"/>
              <w:widowControl/>
              <w:numPr>
                <w:ilvl w:val="255"/>
                <w:numId w:val="0"/>
              </w:numPr>
              <w:adjustRightInd/>
              <w:ind w:firstLine="480" w:firstLineChars="200"/>
              <w:rPr>
                <w:rFonts w:hint="eastAsia" w:cs="Times New Roman"/>
                <w:color w:val="auto"/>
                <w:szCs w:val="24"/>
                <w:highlight w:val="none"/>
              </w:rPr>
            </w:pPr>
            <w:r>
              <w:rPr>
                <w:rFonts w:hint="eastAsia" w:cs="Times New Roman"/>
                <w:color w:val="auto"/>
                <w:szCs w:val="24"/>
                <w:highlight w:val="none"/>
              </w:rPr>
              <w:t>②实验废物：包括称量废物、分析实验废渣、废试剂瓶、废实验耗材等</w:t>
            </w:r>
            <w:r>
              <w:rPr>
                <w:rFonts w:hint="eastAsia" w:cs="Times New Roman"/>
                <w:color w:val="auto"/>
                <w:szCs w:val="24"/>
                <w:highlight w:val="none"/>
                <w:lang w:eastAsia="zh-CN"/>
              </w:rPr>
              <w:t>，试运行期间实际产生量</w:t>
            </w:r>
            <w:r>
              <w:rPr>
                <w:rFonts w:hint="eastAsia" w:cs="Times New Roman"/>
                <w:color w:val="auto"/>
                <w:szCs w:val="24"/>
                <w:highlight w:val="none"/>
              </w:rPr>
              <w:t>为</w:t>
            </w:r>
            <w:r>
              <w:rPr>
                <w:rFonts w:hint="eastAsia" w:cs="Times New Roman"/>
                <w:color w:val="auto"/>
                <w:szCs w:val="24"/>
                <w:highlight w:val="none"/>
                <w:lang w:val="en-US" w:eastAsia="zh-CN"/>
              </w:rPr>
              <w:t>0.008t/月，</w:t>
            </w:r>
            <w:r>
              <w:rPr>
                <w:rFonts w:hint="eastAsia" w:cs="Times New Roman"/>
                <w:color w:val="auto"/>
                <w:szCs w:val="24"/>
                <w:highlight w:val="none"/>
                <w:lang w:eastAsia="zh-CN"/>
              </w:rPr>
              <w:t>折合年产生量为</w:t>
            </w:r>
            <w:r>
              <w:rPr>
                <w:rFonts w:hint="eastAsia" w:cs="Times New Roman"/>
                <w:color w:val="auto"/>
                <w:szCs w:val="24"/>
                <w:highlight w:val="none"/>
                <w:lang w:val="en-US" w:eastAsia="zh-CN"/>
              </w:rPr>
              <w:t>0.096t/年</w:t>
            </w:r>
            <w:r>
              <w:rPr>
                <w:rFonts w:hint="eastAsia" w:cs="Times New Roman"/>
                <w:color w:val="auto"/>
                <w:szCs w:val="24"/>
                <w:highlight w:val="none"/>
                <w:lang w:eastAsia="zh-CN"/>
              </w:rPr>
              <w:t>。</w:t>
            </w:r>
            <w:r>
              <w:rPr>
                <w:rFonts w:hint="eastAsia" w:cs="Times New Roman"/>
                <w:color w:val="auto"/>
                <w:szCs w:val="24"/>
                <w:highlight w:val="none"/>
              </w:rPr>
              <w:t>属于危险废物（HW49，900-041-49），暂存危废间，委托</w:t>
            </w:r>
            <w:r>
              <w:rPr>
                <w:rFonts w:hint="eastAsia" w:cs="Times New Roman"/>
                <w:color w:val="auto"/>
                <w:szCs w:val="24"/>
                <w:highlight w:val="none"/>
                <w:lang w:eastAsia="zh-CN"/>
              </w:rPr>
              <w:t>有资质单位</w:t>
            </w:r>
            <w:r>
              <w:rPr>
                <w:rFonts w:hint="eastAsia" w:cs="Times New Roman"/>
                <w:color w:val="auto"/>
                <w:szCs w:val="24"/>
                <w:highlight w:val="none"/>
              </w:rPr>
              <w:t>处理。</w:t>
            </w:r>
          </w:p>
          <w:p>
            <w:pPr>
              <w:pStyle w:val="33"/>
              <w:widowControl/>
              <w:numPr>
                <w:ilvl w:val="255"/>
                <w:numId w:val="0"/>
              </w:numPr>
              <w:adjustRightInd/>
              <w:ind w:firstLine="480" w:firstLineChars="200"/>
              <w:rPr>
                <w:rFonts w:hint="eastAsia" w:eastAsia="宋体" w:cs="Times New Roman"/>
                <w:color w:val="auto"/>
                <w:szCs w:val="24"/>
                <w:highlight w:val="none"/>
                <w:lang w:eastAsia="zh-CN"/>
              </w:rPr>
            </w:pPr>
            <w:r>
              <w:rPr>
                <w:rFonts w:hint="eastAsia" w:cs="Times New Roman"/>
                <w:color w:val="auto"/>
                <w:szCs w:val="24"/>
                <w:highlight w:val="none"/>
              </w:rPr>
              <w:t>③</w:t>
            </w:r>
            <w:r>
              <w:rPr>
                <w:rFonts w:hint="eastAsia" w:cs="Times New Roman"/>
                <w:color w:val="auto"/>
                <w:szCs w:val="24"/>
                <w:highlight w:val="none"/>
                <w:lang w:eastAsia="zh-CN"/>
              </w:rPr>
              <w:t>实验废液：包括</w:t>
            </w:r>
            <w:r>
              <w:rPr>
                <w:rFonts w:hint="eastAsia" w:cs="Times New Roman"/>
                <w:color w:val="auto"/>
                <w:szCs w:val="24"/>
                <w:highlight w:val="none"/>
              </w:rPr>
              <w:t>配制试剂废液、实验过程废液、实验器皿首次和二次清洗废液</w:t>
            </w:r>
            <w:r>
              <w:rPr>
                <w:rFonts w:hint="eastAsia" w:cs="Times New Roman"/>
                <w:color w:val="auto"/>
                <w:szCs w:val="24"/>
                <w:highlight w:val="none"/>
                <w:lang w:eastAsia="zh-CN"/>
              </w:rPr>
              <w:t>。</w:t>
            </w:r>
            <w:r>
              <w:rPr>
                <w:rFonts w:hint="eastAsia" w:cs="Times New Roman"/>
                <w:color w:val="auto"/>
                <w:szCs w:val="24"/>
                <w:highlight w:val="none"/>
              </w:rPr>
              <w:t>实验过程中使用过的器皿在实验结束后，首先将其残留液体倒入专用废液收集容器中，实验后将器皿首次、二次清洗废液也倒入专用废液收集容器中</w:t>
            </w:r>
            <w:r>
              <w:rPr>
                <w:rFonts w:hint="eastAsia" w:cs="Times New Roman"/>
                <w:color w:val="auto"/>
                <w:szCs w:val="24"/>
                <w:highlight w:val="none"/>
                <w:lang w:eastAsia="zh-CN"/>
              </w:rPr>
              <w:t>，试运行期间实际产生量</w:t>
            </w:r>
            <w:r>
              <w:rPr>
                <w:rFonts w:hint="eastAsia" w:cs="Times New Roman"/>
                <w:color w:val="auto"/>
                <w:szCs w:val="24"/>
                <w:highlight w:val="none"/>
              </w:rPr>
              <w:t>为</w:t>
            </w:r>
            <w:r>
              <w:rPr>
                <w:rFonts w:hint="eastAsia" w:cs="Times New Roman"/>
                <w:color w:val="auto"/>
                <w:szCs w:val="24"/>
                <w:highlight w:val="none"/>
                <w:lang w:val="en-US" w:eastAsia="zh-CN"/>
              </w:rPr>
              <w:t>0.483</w:t>
            </w:r>
            <w:r>
              <w:rPr>
                <w:rFonts w:hint="eastAsia" w:cs="Times New Roman"/>
                <w:color w:val="auto"/>
                <w:szCs w:val="24"/>
                <w:highlight w:val="none"/>
              </w:rPr>
              <w:t>t/</w:t>
            </w:r>
            <w:r>
              <w:rPr>
                <w:rFonts w:hint="eastAsia" w:cs="Times New Roman"/>
                <w:color w:val="auto"/>
                <w:szCs w:val="24"/>
                <w:highlight w:val="none"/>
                <w:lang w:eastAsia="zh-CN"/>
              </w:rPr>
              <w:t>月，折合年产生量为</w:t>
            </w:r>
            <w:r>
              <w:rPr>
                <w:rFonts w:hint="eastAsia" w:cs="Times New Roman"/>
                <w:color w:val="auto"/>
                <w:szCs w:val="24"/>
                <w:highlight w:val="none"/>
                <w:lang w:val="en-US" w:eastAsia="zh-CN"/>
              </w:rPr>
              <w:t>5.796t/年</w:t>
            </w:r>
            <w:r>
              <w:rPr>
                <w:rFonts w:hint="eastAsia" w:cs="Times New Roman"/>
                <w:color w:val="auto"/>
                <w:szCs w:val="24"/>
                <w:highlight w:val="none"/>
                <w:lang w:eastAsia="zh-CN"/>
              </w:rPr>
              <w:t>。</w:t>
            </w:r>
            <w:r>
              <w:rPr>
                <w:rFonts w:hint="eastAsia" w:cs="Times New Roman"/>
                <w:color w:val="auto"/>
                <w:szCs w:val="24"/>
                <w:highlight w:val="none"/>
              </w:rPr>
              <w:t>属于危险废物（HW49，900-047-49），暂存危废间，委托</w:t>
            </w:r>
            <w:r>
              <w:rPr>
                <w:rFonts w:hint="eastAsia" w:cs="Times New Roman"/>
                <w:color w:val="auto"/>
                <w:szCs w:val="24"/>
                <w:highlight w:val="none"/>
                <w:lang w:eastAsia="zh-CN"/>
              </w:rPr>
              <w:t>有资质单位</w:t>
            </w:r>
            <w:r>
              <w:rPr>
                <w:rFonts w:hint="eastAsia" w:cs="Times New Roman"/>
                <w:color w:val="auto"/>
                <w:szCs w:val="24"/>
                <w:highlight w:val="none"/>
              </w:rPr>
              <w:t>处理。</w:t>
            </w:r>
          </w:p>
          <w:p>
            <w:pPr>
              <w:pStyle w:val="33"/>
              <w:widowControl/>
              <w:numPr>
                <w:ilvl w:val="255"/>
                <w:numId w:val="0"/>
              </w:numPr>
              <w:adjustRightInd/>
              <w:ind w:firstLine="480" w:firstLineChars="200"/>
              <w:rPr>
                <w:rFonts w:hint="eastAsia" w:eastAsia="宋体" w:cs="Times New Roman"/>
                <w:color w:val="auto"/>
                <w:szCs w:val="24"/>
                <w:highlight w:val="none"/>
                <w:lang w:eastAsia="zh-CN"/>
              </w:rPr>
            </w:pPr>
            <w:r>
              <w:rPr>
                <w:rFonts w:hint="eastAsia" w:cs="Times New Roman"/>
                <w:color w:val="auto"/>
                <w:szCs w:val="24"/>
                <w:highlight w:val="none"/>
              </w:rPr>
              <w:t>④废活性炭：本项目产生废气经通风橱收集并经活性炭处理</w:t>
            </w:r>
            <w:r>
              <w:rPr>
                <w:rFonts w:hint="eastAsia" w:cs="Times New Roman"/>
                <w:color w:val="auto"/>
                <w:szCs w:val="24"/>
                <w:highlight w:val="none"/>
                <w:lang w:eastAsia="zh-CN"/>
              </w:rPr>
              <w:t>，</w:t>
            </w:r>
            <w:r>
              <w:rPr>
                <w:rFonts w:hint="eastAsia" w:cs="Times New Roman"/>
                <w:color w:val="auto"/>
                <w:szCs w:val="24"/>
                <w:highlight w:val="none"/>
              </w:rPr>
              <w:t>为保证处理效率，活性炭需及时更换，</w:t>
            </w:r>
            <w:r>
              <w:rPr>
                <w:rFonts w:hint="eastAsia" w:cs="Times New Roman"/>
                <w:color w:val="auto"/>
                <w:szCs w:val="24"/>
                <w:highlight w:val="none"/>
                <w:lang w:eastAsia="zh-CN"/>
              </w:rPr>
              <w:t>试运行期间实际产生量</w:t>
            </w:r>
            <w:r>
              <w:rPr>
                <w:rFonts w:hint="eastAsia" w:cs="Times New Roman"/>
                <w:color w:val="auto"/>
                <w:szCs w:val="24"/>
                <w:highlight w:val="none"/>
              </w:rPr>
              <w:t>为</w:t>
            </w:r>
            <w:r>
              <w:rPr>
                <w:rFonts w:hint="eastAsia" w:cs="Times New Roman"/>
                <w:color w:val="auto"/>
                <w:szCs w:val="24"/>
                <w:highlight w:val="none"/>
                <w:lang w:val="en-US" w:eastAsia="zh-CN"/>
              </w:rPr>
              <w:t>0.211</w:t>
            </w:r>
            <w:r>
              <w:rPr>
                <w:rFonts w:hint="eastAsia" w:cs="Times New Roman"/>
                <w:color w:val="auto"/>
                <w:szCs w:val="24"/>
                <w:highlight w:val="none"/>
              </w:rPr>
              <w:t>t/</w:t>
            </w:r>
            <w:r>
              <w:rPr>
                <w:rFonts w:hint="eastAsia" w:cs="Times New Roman"/>
                <w:color w:val="auto"/>
                <w:szCs w:val="24"/>
                <w:highlight w:val="none"/>
                <w:lang w:eastAsia="zh-CN"/>
              </w:rPr>
              <w:t>年。</w:t>
            </w:r>
            <w:r>
              <w:rPr>
                <w:rFonts w:hint="eastAsia" w:cs="Times New Roman"/>
                <w:color w:val="auto"/>
                <w:szCs w:val="24"/>
                <w:highlight w:val="none"/>
              </w:rPr>
              <w:t>属于危险废物（HW49，900-039-49），经收集后暂存于危废间，委托</w:t>
            </w:r>
            <w:r>
              <w:rPr>
                <w:rFonts w:hint="eastAsia" w:cs="Times New Roman"/>
                <w:color w:val="auto"/>
                <w:szCs w:val="24"/>
                <w:highlight w:val="none"/>
                <w:lang w:eastAsia="zh-CN"/>
              </w:rPr>
              <w:t>有资质单位</w:t>
            </w:r>
            <w:r>
              <w:rPr>
                <w:rFonts w:hint="eastAsia" w:cs="Times New Roman"/>
                <w:color w:val="auto"/>
                <w:szCs w:val="24"/>
                <w:highlight w:val="none"/>
              </w:rPr>
              <w:t>处理。</w:t>
            </w:r>
          </w:p>
          <w:p>
            <w:pPr>
              <w:pStyle w:val="33"/>
              <w:widowControl/>
              <w:numPr>
                <w:ilvl w:val="255"/>
                <w:numId w:val="0"/>
              </w:numPr>
              <w:adjustRightInd/>
              <w:ind w:firstLine="480" w:firstLineChars="200"/>
              <w:rPr>
                <w:rFonts w:hint="eastAsia" w:cs="Times New Roman"/>
                <w:color w:val="auto"/>
                <w:szCs w:val="24"/>
                <w:highlight w:val="none"/>
              </w:rPr>
            </w:pPr>
            <w:r>
              <w:rPr>
                <w:rFonts w:hint="eastAsia" w:cs="Times New Roman"/>
                <w:color w:val="auto"/>
                <w:szCs w:val="24"/>
                <w:highlight w:val="none"/>
              </w:rPr>
              <w:t>⑤生活垃圾：</w:t>
            </w:r>
            <w:r>
              <w:rPr>
                <w:rFonts w:hint="eastAsia" w:cs="Times New Roman"/>
                <w:color w:val="auto"/>
                <w:szCs w:val="24"/>
                <w:highlight w:val="none"/>
                <w:lang w:eastAsia="zh-CN"/>
              </w:rPr>
              <w:t>试运行期间实际产生量</w:t>
            </w:r>
            <w:r>
              <w:rPr>
                <w:rFonts w:hint="eastAsia" w:cs="Times New Roman"/>
                <w:color w:val="auto"/>
                <w:szCs w:val="24"/>
                <w:highlight w:val="none"/>
              </w:rPr>
              <w:t>为</w:t>
            </w:r>
            <w:r>
              <w:rPr>
                <w:rFonts w:hint="eastAsia" w:cs="Times New Roman"/>
                <w:color w:val="auto"/>
                <w:szCs w:val="24"/>
                <w:highlight w:val="none"/>
                <w:lang w:val="en-US" w:eastAsia="zh-CN"/>
              </w:rPr>
              <w:t>0.25</w:t>
            </w:r>
            <w:r>
              <w:rPr>
                <w:rFonts w:hint="eastAsia" w:cs="Times New Roman"/>
                <w:color w:val="auto"/>
                <w:szCs w:val="24"/>
                <w:highlight w:val="none"/>
              </w:rPr>
              <w:t>t/</w:t>
            </w:r>
            <w:r>
              <w:rPr>
                <w:rFonts w:hint="eastAsia" w:cs="Times New Roman"/>
                <w:color w:val="auto"/>
                <w:szCs w:val="24"/>
                <w:highlight w:val="none"/>
                <w:lang w:eastAsia="zh-CN"/>
              </w:rPr>
              <w:t>月，折合年产生量为</w:t>
            </w:r>
            <w:r>
              <w:rPr>
                <w:rFonts w:hint="eastAsia" w:cs="Times New Roman"/>
                <w:color w:val="auto"/>
                <w:szCs w:val="24"/>
                <w:highlight w:val="none"/>
                <w:lang w:val="en-US" w:eastAsia="zh-CN"/>
              </w:rPr>
              <w:t>3t/年</w:t>
            </w:r>
            <w:r>
              <w:rPr>
                <w:rFonts w:hint="eastAsia" w:cs="Times New Roman"/>
                <w:color w:val="auto"/>
                <w:szCs w:val="24"/>
                <w:highlight w:val="none"/>
                <w:lang w:eastAsia="zh-CN"/>
              </w:rPr>
              <w:t>。</w:t>
            </w:r>
            <w:r>
              <w:rPr>
                <w:rFonts w:hint="eastAsia" w:cs="Times New Roman"/>
                <w:color w:val="auto"/>
                <w:szCs w:val="24"/>
                <w:highlight w:val="none"/>
              </w:rPr>
              <w:t>由环卫部门定期清运处理。</w:t>
            </w:r>
          </w:p>
          <w:p>
            <w:pPr>
              <w:ind w:firstLine="0" w:firstLineChars="0"/>
              <w:jc w:val="center"/>
              <w:rPr>
                <w:b/>
                <w:color w:val="auto"/>
                <w:highlight w:val="none"/>
              </w:rPr>
            </w:pPr>
            <w:r>
              <w:rPr>
                <w:b/>
                <w:color w:val="auto"/>
                <w:highlight w:val="none"/>
              </w:rPr>
              <w:t>表7-</w:t>
            </w:r>
            <w:r>
              <w:rPr>
                <w:rFonts w:hint="eastAsia"/>
                <w:b/>
                <w:color w:val="auto"/>
                <w:highlight w:val="none"/>
              </w:rPr>
              <w:t>1</w:t>
            </w:r>
            <w:r>
              <w:rPr>
                <w:rFonts w:hint="eastAsia"/>
                <w:b/>
                <w:color w:val="auto"/>
                <w:highlight w:val="none"/>
                <w:lang w:val="en-US" w:eastAsia="zh-CN"/>
              </w:rPr>
              <w:t>2</w:t>
            </w:r>
            <w:r>
              <w:rPr>
                <w:b/>
                <w:color w:val="auto"/>
                <w:highlight w:val="none"/>
              </w:rPr>
              <w:t xml:space="preserve">  本项目固体废物处置情况表</w:t>
            </w:r>
          </w:p>
          <w:tbl>
            <w:tblPr>
              <w:tblStyle w:val="28"/>
              <w:tblW w:w="4997" w:type="pct"/>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1459"/>
              <w:gridCol w:w="1296"/>
              <w:gridCol w:w="1003"/>
              <w:gridCol w:w="1371"/>
              <w:gridCol w:w="1001"/>
              <w:gridCol w:w="790"/>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序号</w:t>
                  </w:r>
                </w:p>
              </w:tc>
              <w:tc>
                <w:tcPr>
                  <w:tcW w:w="816"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固废名称</w:t>
                  </w:r>
                </w:p>
              </w:tc>
              <w:tc>
                <w:tcPr>
                  <w:tcW w:w="725"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废物代码</w:t>
                  </w:r>
                </w:p>
              </w:tc>
              <w:tc>
                <w:tcPr>
                  <w:tcW w:w="561"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b/>
                      <w:bCs/>
                      <w:color w:val="auto"/>
                      <w:spacing w:val="10"/>
                      <w:sz w:val="21"/>
                      <w:szCs w:val="21"/>
                      <w:highlight w:val="none"/>
                    </w:rPr>
                    <w:t>环评预估量（t/a）</w:t>
                  </w:r>
                </w:p>
              </w:tc>
              <w:tc>
                <w:tcPr>
                  <w:tcW w:w="767" w:type="pct"/>
                  <w:vAlign w:val="center"/>
                </w:tcPr>
                <w:p>
                  <w:pPr>
                    <w:widowControl/>
                    <w:autoSpaceDE w:val="0"/>
                    <w:autoSpaceDN w:val="0"/>
                    <w:adjustRightInd w:val="0"/>
                    <w:spacing w:line="240" w:lineRule="auto"/>
                    <w:ind w:firstLine="0" w:firstLineChars="0"/>
                    <w:jc w:val="center"/>
                    <w:rPr>
                      <w:b/>
                      <w:bCs/>
                      <w:color w:val="auto"/>
                      <w:spacing w:val="10"/>
                      <w:sz w:val="21"/>
                      <w:szCs w:val="21"/>
                      <w:highlight w:val="none"/>
                    </w:rPr>
                  </w:pPr>
                  <w:r>
                    <w:rPr>
                      <w:rFonts w:hint="eastAsia"/>
                      <w:b/>
                      <w:bCs/>
                      <w:color w:val="auto"/>
                      <w:spacing w:val="10"/>
                      <w:sz w:val="21"/>
                      <w:szCs w:val="21"/>
                      <w:highlight w:val="none"/>
                      <w:lang w:eastAsia="zh-CN"/>
                    </w:rPr>
                    <w:t>试运行期间实际产生量（</w:t>
                  </w:r>
                  <w:r>
                    <w:rPr>
                      <w:rFonts w:hint="eastAsia"/>
                      <w:b/>
                      <w:bCs/>
                      <w:color w:val="auto"/>
                      <w:spacing w:val="10"/>
                      <w:sz w:val="21"/>
                      <w:szCs w:val="21"/>
                      <w:highlight w:val="none"/>
                      <w:lang w:val="en-US" w:eastAsia="zh-CN"/>
                    </w:rPr>
                    <w:t>t/月</w:t>
                  </w:r>
                  <w:r>
                    <w:rPr>
                      <w:rFonts w:hint="eastAsia"/>
                      <w:b/>
                      <w:bCs/>
                      <w:color w:val="auto"/>
                      <w:spacing w:val="10"/>
                      <w:sz w:val="21"/>
                      <w:szCs w:val="21"/>
                      <w:highlight w:val="none"/>
                      <w:lang w:eastAsia="zh-CN"/>
                    </w:rPr>
                    <w:t>）</w:t>
                  </w:r>
                </w:p>
              </w:tc>
              <w:tc>
                <w:tcPr>
                  <w:tcW w:w="560"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rFonts w:hint="eastAsia" w:cs="Times New Roman"/>
                      <w:b/>
                      <w:bCs/>
                      <w:sz w:val="21"/>
                      <w:szCs w:val="21"/>
                      <w:lang w:val="zh-CN"/>
                    </w:rPr>
                    <w:t>折合年产生量（</w:t>
                  </w:r>
                  <w:r>
                    <w:rPr>
                      <w:rFonts w:hint="eastAsia" w:cs="Times New Roman"/>
                      <w:b/>
                      <w:bCs/>
                      <w:sz w:val="21"/>
                      <w:szCs w:val="21"/>
                      <w:lang w:val="en-US" w:eastAsia="zh-CN"/>
                    </w:rPr>
                    <w:t>t</w:t>
                  </w:r>
                  <w:r>
                    <w:rPr>
                      <w:rFonts w:hint="eastAsia" w:cs="Times New Roman"/>
                      <w:b/>
                      <w:bCs/>
                      <w:sz w:val="21"/>
                      <w:szCs w:val="21"/>
                      <w:lang w:val="zh-CN"/>
                    </w:rPr>
                    <w:t>）</w:t>
                  </w:r>
                </w:p>
              </w:tc>
              <w:tc>
                <w:tcPr>
                  <w:tcW w:w="442"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性质</w:t>
                  </w:r>
                </w:p>
              </w:tc>
              <w:tc>
                <w:tcPr>
                  <w:tcW w:w="852"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w:t>
                  </w:r>
                </w:p>
              </w:tc>
              <w:tc>
                <w:tcPr>
                  <w:tcW w:w="81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实验废液</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rFonts w:hint="eastAsia"/>
                      <w:color w:val="auto"/>
                      <w:spacing w:val="10"/>
                      <w:sz w:val="21"/>
                      <w:szCs w:val="21"/>
                      <w:highlight w:val="none"/>
                    </w:rPr>
                    <w:t>4</w:t>
                  </w:r>
                  <w:r>
                    <w:rPr>
                      <w:color w:val="auto"/>
                      <w:spacing w:val="10"/>
                      <w:sz w:val="21"/>
                      <w:szCs w:val="21"/>
                      <w:highlight w:val="none"/>
                      <w:lang w:val="zh-CN"/>
                    </w:rPr>
                    <w:t>7</w:t>
                  </w:r>
                  <w:r>
                    <w:rPr>
                      <w:color w:val="auto"/>
                      <w:spacing w:val="10"/>
                      <w:sz w:val="21"/>
                      <w:szCs w:val="21"/>
                      <w:highlight w:val="none"/>
                    </w:rPr>
                    <w:t>-49</w:t>
                  </w:r>
                </w:p>
              </w:tc>
              <w:tc>
                <w:tcPr>
                  <w:tcW w:w="56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5.8</w:t>
                  </w:r>
                </w:p>
              </w:tc>
              <w:tc>
                <w:tcPr>
                  <w:tcW w:w="767"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0.483</w:t>
                  </w:r>
                </w:p>
              </w:tc>
              <w:tc>
                <w:tcPr>
                  <w:tcW w:w="56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kern w:val="2"/>
                      <w:sz w:val="21"/>
                      <w:szCs w:val="21"/>
                      <w:highlight w:val="none"/>
                      <w:lang w:val="en-US" w:eastAsia="zh-CN" w:bidi="ar-SA"/>
                    </w:rPr>
                  </w:pPr>
                  <w:r>
                    <w:rPr>
                      <w:rFonts w:hint="eastAsia"/>
                      <w:color w:val="auto"/>
                      <w:spacing w:val="10"/>
                      <w:sz w:val="21"/>
                      <w:szCs w:val="21"/>
                      <w:highlight w:val="none"/>
                      <w:lang w:val="en-US" w:eastAsia="zh-CN"/>
                    </w:rPr>
                    <w:t>5.796</w:t>
                  </w:r>
                </w:p>
              </w:tc>
              <w:tc>
                <w:tcPr>
                  <w:tcW w:w="442" w:type="pct"/>
                  <w:vMerge w:val="restart"/>
                  <w:vAlign w:val="center"/>
                </w:tcPr>
                <w:p>
                  <w:pPr>
                    <w:autoSpaceDE w:val="0"/>
                    <w:autoSpaceDN w:val="0"/>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危险废物</w:t>
                  </w:r>
                </w:p>
                <w:p>
                  <w:pPr>
                    <w:pStyle w:val="33"/>
                    <w:spacing w:line="240" w:lineRule="auto"/>
                    <w:ind w:firstLine="0" w:firstLineChars="0"/>
                    <w:jc w:val="center"/>
                    <w:rPr>
                      <w:rFonts w:cs="Times New Roman"/>
                      <w:color w:val="auto"/>
                      <w:sz w:val="21"/>
                      <w:szCs w:val="21"/>
                      <w:highlight w:val="none"/>
                      <w:lang w:val="zh-CN"/>
                    </w:rPr>
                  </w:pPr>
                </w:p>
              </w:tc>
              <w:tc>
                <w:tcPr>
                  <w:tcW w:w="852" w:type="pct"/>
                  <w:vMerge w:val="restart"/>
                  <w:vAlign w:val="center"/>
                </w:tcPr>
                <w:p>
                  <w:pPr>
                    <w:pStyle w:val="33"/>
                    <w:spacing w:line="240" w:lineRule="auto"/>
                    <w:ind w:firstLine="0" w:firstLineChars="0"/>
                    <w:jc w:val="center"/>
                    <w:rPr>
                      <w:rFonts w:hint="eastAsia" w:cs="Times New Roman"/>
                      <w:color w:val="auto"/>
                      <w:sz w:val="21"/>
                      <w:szCs w:val="21"/>
                      <w:highlight w:val="none"/>
                    </w:rPr>
                  </w:pPr>
                  <w:r>
                    <w:rPr>
                      <w:rFonts w:hint="eastAsia" w:cs="Times New Roman"/>
                      <w:color w:val="auto"/>
                      <w:sz w:val="21"/>
                      <w:szCs w:val="21"/>
                      <w:highlight w:val="none"/>
                    </w:rPr>
                    <w:t>收集后暂存于危废间，委托</w:t>
                  </w:r>
                  <w:r>
                    <w:rPr>
                      <w:rFonts w:hint="eastAsia" w:cs="Times New Roman"/>
                      <w:color w:val="auto"/>
                      <w:sz w:val="21"/>
                      <w:szCs w:val="21"/>
                      <w:highlight w:val="none"/>
                      <w:lang w:eastAsia="zh-CN"/>
                    </w:rPr>
                    <w:t>山东敬诚环保科技有限公司</w:t>
                  </w:r>
                  <w:r>
                    <w:rPr>
                      <w:rFonts w:hint="eastAsia" w:cs="Times New Roman"/>
                      <w:color w:val="auto"/>
                      <w:sz w:val="21"/>
                      <w:szCs w:val="21"/>
                      <w:highlight w:val="none"/>
                    </w:rPr>
                    <w:t>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2</w:t>
                  </w:r>
                </w:p>
              </w:tc>
              <w:tc>
                <w:tcPr>
                  <w:tcW w:w="81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实验废物</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rFonts w:hint="eastAsia"/>
                      <w:color w:val="auto"/>
                      <w:spacing w:val="10"/>
                      <w:sz w:val="21"/>
                      <w:szCs w:val="21"/>
                      <w:highlight w:val="none"/>
                    </w:rPr>
                    <w:t>41</w:t>
                  </w:r>
                  <w:r>
                    <w:rPr>
                      <w:color w:val="auto"/>
                      <w:spacing w:val="10"/>
                      <w:sz w:val="21"/>
                      <w:szCs w:val="21"/>
                      <w:highlight w:val="none"/>
                    </w:rPr>
                    <w:t>-49</w:t>
                  </w:r>
                </w:p>
              </w:tc>
              <w:tc>
                <w:tcPr>
                  <w:tcW w:w="56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0.1</w:t>
                  </w:r>
                </w:p>
              </w:tc>
              <w:tc>
                <w:tcPr>
                  <w:tcW w:w="767"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0.008</w:t>
                  </w:r>
                </w:p>
              </w:tc>
              <w:tc>
                <w:tcPr>
                  <w:tcW w:w="5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color w:val="auto"/>
                      <w:spacing w:val="10"/>
                      <w:sz w:val="21"/>
                      <w:szCs w:val="21"/>
                      <w:highlight w:val="none"/>
                      <w:lang w:val="en-US" w:eastAsia="zh-CN"/>
                    </w:rPr>
                    <w:t>0.096</w:t>
                  </w:r>
                </w:p>
              </w:tc>
              <w:tc>
                <w:tcPr>
                  <w:tcW w:w="442" w:type="pct"/>
                  <w:vMerge w:val="continue"/>
                  <w:vAlign w:val="center"/>
                </w:tcPr>
                <w:p>
                  <w:pPr>
                    <w:pStyle w:val="33"/>
                    <w:spacing w:line="240" w:lineRule="auto"/>
                    <w:ind w:firstLine="0" w:firstLineChars="0"/>
                    <w:jc w:val="center"/>
                    <w:rPr>
                      <w:rFonts w:cs="Times New Roman"/>
                      <w:color w:val="auto"/>
                      <w:sz w:val="21"/>
                      <w:szCs w:val="21"/>
                      <w:highlight w:val="none"/>
                      <w:lang w:val="zh-CN"/>
                    </w:rPr>
                  </w:pPr>
                </w:p>
              </w:tc>
              <w:tc>
                <w:tcPr>
                  <w:tcW w:w="852" w:type="pct"/>
                  <w:vMerge w:val="continue"/>
                  <w:vAlign w:val="center"/>
                </w:tcPr>
                <w:p>
                  <w:pPr>
                    <w:pStyle w:val="33"/>
                    <w:spacing w:line="240" w:lineRule="auto"/>
                    <w:ind w:firstLine="0" w:firstLineChars="0"/>
                    <w:jc w:val="center"/>
                    <w:rPr>
                      <w:rFonts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3</w:t>
                  </w:r>
                </w:p>
              </w:tc>
              <w:tc>
                <w:tcPr>
                  <w:tcW w:w="816" w:type="pct"/>
                  <w:vAlign w:val="center"/>
                </w:tcPr>
                <w:p>
                  <w:pPr>
                    <w:widowControl/>
                    <w:autoSpaceDE w:val="0"/>
                    <w:autoSpaceDN w:val="0"/>
                    <w:adjustRightInd w:val="0"/>
                    <w:spacing w:line="240" w:lineRule="auto"/>
                    <w:ind w:firstLine="0" w:firstLineChars="0"/>
                    <w:jc w:val="center"/>
                    <w:rPr>
                      <w:bCs/>
                      <w:color w:val="auto"/>
                      <w:sz w:val="21"/>
                      <w:szCs w:val="21"/>
                      <w:highlight w:val="none"/>
                    </w:rPr>
                  </w:pPr>
                  <w:r>
                    <w:rPr>
                      <w:rFonts w:hint="eastAsia"/>
                      <w:bCs/>
                      <w:color w:val="auto"/>
                      <w:sz w:val="21"/>
                      <w:szCs w:val="21"/>
                      <w:highlight w:val="none"/>
                    </w:rPr>
                    <w:t>废活性炭</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lang w:val="zh-CN"/>
                    </w:rPr>
                  </w:pPr>
                  <w:r>
                    <w:rPr>
                      <w:color w:val="auto"/>
                      <w:spacing w:val="10"/>
                      <w:sz w:val="21"/>
                      <w:szCs w:val="21"/>
                      <w:highlight w:val="none"/>
                    </w:rPr>
                    <w:t>HW49，900-0</w:t>
                  </w:r>
                  <w:r>
                    <w:rPr>
                      <w:color w:val="auto"/>
                      <w:spacing w:val="10"/>
                      <w:sz w:val="21"/>
                      <w:szCs w:val="21"/>
                      <w:highlight w:val="none"/>
                      <w:lang w:val="zh-CN"/>
                    </w:rPr>
                    <w:t>39-</w:t>
                  </w:r>
                  <w:r>
                    <w:rPr>
                      <w:color w:val="auto"/>
                      <w:spacing w:val="10"/>
                      <w:sz w:val="21"/>
                      <w:szCs w:val="21"/>
                      <w:highlight w:val="none"/>
                    </w:rPr>
                    <w:t>49</w:t>
                  </w:r>
                </w:p>
              </w:tc>
              <w:tc>
                <w:tcPr>
                  <w:tcW w:w="56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0.211</w:t>
                  </w:r>
                </w:p>
              </w:tc>
              <w:tc>
                <w:tcPr>
                  <w:tcW w:w="767"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0.211</w:t>
                  </w:r>
                </w:p>
              </w:tc>
              <w:tc>
                <w:tcPr>
                  <w:tcW w:w="5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auto"/>
                      <w:spacing w:val="10"/>
                      <w:kern w:val="2"/>
                      <w:sz w:val="21"/>
                      <w:szCs w:val="21"/>
                      <w:highlight w:val="none"/>
                      <w:lang w:val="en-US" w:eastAsia="zh-CN" w:bidi="ar-SA"/>
                    </w:rPr>
                  </w:pPr>
                  <w:r>
                    <w:rPr>
                      <w:rFonts w:hint="eastAsia"/>
                      <w:color w:val="auto"/>
                      <w:spacing w:val="10"/>
                      <w:sz w:val="21"/>
                      <w:szCs w:val="21"/>
                      <w:highlight w:val="none"/>
                      <w:lang w:val="en-US" w:eastAsia="zh-CN"/>
                    </w:rPr>
                    <w:t>0.211</w:t>
                  </w:r>
                </w:p>
              </w:tc>
              <w:tc>
                <w:tcPr>
                  <w:tcW w:w="442" w:type="pct"/>
                  <w:vMerge w:val="continue"/>
                  <w:vAlign w:val="center"/>
                </w:tcPr>
                <w:p>
                  <w:pPr>
                    <w:pStyle w:val="33"/>
                    <w:spacing w:line="240" w:lineRule="auto"/>
                    <w:ind w:firstLine="0" w:firstLineChars="0"/>
                    <w:jc w:val="center"/>
                    <w:rPr>
                      <w:rFonts w:cs="Times New Roman"/>
                      <w:color w:val="auto"/>
                      <w:sz w:val="21"/>
                      <w:szCs w:val="21"/>
                      <w:highlight w:val="none"/>
                      <w:lang w:val="zh-CN"/>
                    </w:rPr>
                  </w:pPr>
                </w:p>
              </w:tc>
              <w:tc>
                <w:tcPr>
                  <w:tcW w:w="852" w:type="pct"/>
                  <w:vMerge w:val="continue"/>
                  <w:vAlign w:val="center"/>
                </w:tcPr>
                <w:p>
                  <w:pPr>
                    <w:pStyle w:val="33"/>
                    <w:spacing w:line="240" w:lineRule="auto"/>
                    <w:ind w:firstLine="0" w:firstLineChars="0"/>
                    <w:jc w:val="center"/>
                    <w:rPr>
                      <w:rFonts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4</w:t>
                  </w:r>
                </w:p>
              </w:tc>
              <w:tc>
                <w:tcPr>
                  <w:tcW w:w="81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废包装材料</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w:t>
                  </w:r>
                </w:p>
              </w:tc>
              <w:tc>
                <w:tcPr>
                  <w:tcW w:w="56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0.3</w:t>
                  </w:r>
                </w:p>
              </w:tc>
              <w:tc>
                <w:tcPr>
                  <w:tcW w:w="767"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0.025</w:t>
                  </w:r>
                </w:p>
              </w:tc>
              <w:tc>
                <w:tcPr>
                  <w:tcW w:w="56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kern w:val="2"/>
                      <w:sz w:val="21"/>
                      <w:szCs w:val="21"/>
                      <w:highlight w:val="none"/>
                      <w:lang w:val="en-US" w:eastAsia="zh-CN" w:bidi="ar-SA"/>
                    </w:rPr>
                  </w:pPr>
                  <w:r>
                    <w:rPr>
                      <w:rFonts w:hint="eastAsia"/>
                      <w:color w:val="auto"/>
                      <w:spacing w:val="10"/>
                      <w:sz w:val="21"/>
                      <w:szCs w:val="21"/>
                      <w:highlight w:val="none"/>
                      <w:lang w:val="en-US" w:eastAsia="zh-CN"/>
                    </w:rPr>
                    <w:t>0.3</w:t>
                  </w:r>
                </w:p>
              </w:tc>
              <w:tc>
                <w:tcPr>
                  <w:tcW w:w="442" w:type="pct"/>
                  <w:vMerge w:val="restart"/>
                  <w:vAlign w:val="center"/>
                </w:tcPr>
                <w:p>
                  <w:pPr>
                    <w:autoSpaceDE w:val="0"/>
                    <w:autoSpaceDN w:val="0"/>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zh-CN" w:eastAsia="zh-CN" w:bidi="ar-SA"/>
                    </w:rPr>
                  </w:pPr>
                  <w:r>
                    <w:rPr>
                      <w:rFonts w:hint="eastAsia"/>
                      <w:color w:val="auto"/>
                      <w:sz w:val="21"/>
                      <w:szCs w:val="21"/>
                      <w:highlight w:val="none"/>
                    </w:rPr>
                    <w:t>一般固废</w:t>
                  </w:r>
                </w:p>
              </w:tc>
              <w:tc>
                <w:tcPr>
                  <w:tcW w:w="852" w:type="pct"/>
                  <w:vAlign w:val="center"/>
                </w:tcPr>
                <w:p>
                  <w:pPr>
                    <w:pStyle w:val="33"/>
                    <w:spacing w:line="240" w:lineRule="auto"/>
                    <w:ind w:firstLine="0" w:firstLineChars="0"/>
                    <w:jc w:val="center"/>
                    <w:rPr>
                      <w:rFonts w:cs="Times New Roman"/>
                      <w:color w:val="auto"/>
                      <w:sz w:val="21"/>
                      <w:szCs w:val="21"/>
                      <w:highlight w:val="none"/>
                      <w:lang w:val="zh-CN"/>
                    </w:rPr>
                  </w:pPr>
                  <w:r>
                    <w:rPr>
                      <w:rFonts w:cs="Times New Roman"/>
                      <w:color w:val="auto"/>
                      <w:sz w:val="21"/>
                      <w:szCs w:val="21"/>
                      <w:highlight w:val="none"/>
                      <w:lang w:val="zh-CN"/>
                    </w:rPr>
                    <w:t>外售物资回收单位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74"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w:t>
                  </w:r>
                </w:p>
              </w:tc>
              <w:tc>
                <w:tcPr>
                  <w:tcW w:w="816"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bCs/>
                      <w:color w:val="auto"/>
                      <w:sz w:val="21"/>
                      <w:szCs w:val="21"/>
                      <w:highlight w:val="none"/>
                    </w:rPr>
                    <w:t>生活垃圾</w:t>
                  </w:r>
                </w:p>
              </w:tc>
              <w:tc>
                <w:tcPr>
                  <w:tcW w:w="725"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w:t>
                  </w:r>
                </w:p>
              </w:tc>
              <w:tc>
                <w:tcPr>
                  <w:tcW w:w="561"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3</w:t>
                  </w:r>
                </w:p>
              </w:tc>
              <w:tc>
                <w:tcPr>
                  <w:tcW w:w="767" w:type="pct"/>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val="en-US" w:eastAsia="zh-CN"/>
                    </w:rPr>
                    <w:t>0.25</w:t>
                  </w:r>
                </w:p>
              </w:tc>
              <w:tc>
                <w:tcPr>
                  <w:tcW w:w="56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auto"/>
                      <w:spacing w:val="10"/>
                      <w:kern w:val="2"/>
                      <w:sz w:val="21"/>
                      <w:szCs w:val="21"/>
                      <w:highlight w:val="none"/>
                      <w:lang w:val="en-US" w:eastAsia="zh-CN" w:bidi="ar-SA"/>
                    </w:rPr>
                  </w:pPr>
                  <w:r>
                    <w:rPr>
                      <w:rFonts w:hint="eastAsia"/>
                      <w:color w:val="auto"/>
                      <w:spacing w:val="10"/>
                      <w:sz w:val="21"/>
                      <w:szCs w:val="21"/>
                      <w:highlight w:val="none"/>
                      <w:lang w:val="en-US" w:eastAsia="zh-CN"/>
                    </w:rPr>
                    <w:t>3</w:t>
                  </w:r>
                </w:p>
              </w:tc>
              <w:tc>
                <w:tcPr>
                  <w:tcW w:w="442" w:type="pct"/>
                  <w:vMerge w:val="continue"/>
                  <w:vAlign w:val="center"/>
                </w:tcPr>
                <w:p>
                  <w:pPr>
                    <w:pStyle w:val="33"/>
                    <w:spacing w:line="240" w:lineRule="auto"/>
                    <w:ind w:firstLine="0" w:firstLineChars="0"/>
                    <w:jc w:val="center"/>
                    <w:rPr>
                      <w:rFonts w:cs="Times New Roman"/>
                      <w:color w:val="auto"/>
                      <w:sz w:val="21"/>
                      <w:szCs w:val="21"/>
                      <w:highlight w:val="none"/>
                      <w:lang w:val="zh-CN"/>
                    </w:rPr>
                  </w:pPr>
                </w:p>
              </w:tc>
              <w:tc>
                <w:tcPr>
                  <w:tcW w:w="852" w:type="pct"/>
                  <w:vAlign w:val="center"/>
                </w:tcPr>
                <w:p>
                  <w:pPr>
                    <w:pStyle w:val="33"/>
                    <w:spacing w:line="240" w:lineRule="auto"/>
                    <w:ind w:firstLine="0" w:firstLineChars="0"/>
                    <w:jc w:val="center"/>
                    <w:rPr>
                      <w:rFonts w:cs="Times New Roman"/>
                      <w:color w:val="auto"/>
                      <w:sz w:val="21"/>
                      <w:szCs w:val="21"/>
                      <w:highlight w:val="none"/>
                      <w:lang w:val="zh-CN"/>
                    </w:rPr>
                  </w:pPr>
                  <w:r>
                    <w:rPr>
                      <w:rFonts w:cs="Times New Roman"/>
                      <w:color w:val="auto"/>
                      <w:sz w:val="21"/>
                      <w:szCs w:val="21"/>
                      <w:highlight w:val="none"/>
                      <w:lang w:val="zh-CN"/>
                    </w:rPr>
                    <w:t>由环卫部门定期清运处理</w:t>
                  </w:r>
                </w:p>
              </w:tc>
            </w:tr>
          </w:tbl>
          <w:p>
            <w:pPr>
              <w:pStyle w:val="33"/>
              <w:widowControl/>
              <w:adjustRightInd/>
              <w:rPr>
                <w:rFonts w:hint="eastAsia" w:cs="Times New Roman"/>
                <w:color w:val="auto"/>
                <w:szCs w:val="24"/>
                <w:highlight w:val="none"/>
              </w:rPr>
            </w:pPr>
            <w:r>
              <w:rPr>
                <w:rFonts w:hint="eastAsia" w:cs="Times New Roman"/>
                <w:color w:val="auto"/>
                <w:szCs w:val="24"/>
                <w:highlight w:val="none"/>
              </w:rPr>
              <w:t>废包装材料收集后外售物资回收单位，生活垃圾由环卫部门定期清运处理；实验废物（废试剂瓶、废实验耗材、称量废物、分析实验废渣等）、实验废液（配制试剂废液、实验过程废液、实验器皿首次和二次清洗废液等）、废活性炭收集后暂存于危废间，委托</w:t>
            </w:r>
            <w:r>
              <w:rPr>
                <w:rFonts w:hint="eastAsia" w:cs="Times New Roman"/>
                <w:color w:val="auto"/>
                <w:szCs w:val="24"/>
                <w:highlight w:val="none"/>
                <w:lang w:eastAsia="zh-CN"/>
              </w:rPr>
              <w:t>山东敬诚环保科技有限公司</w:t>
            </w:r>
            <w:r>
              <w:rPr>
                <w:rFonts w:hint="eastAsia" w:cs="Times New Roman"/>
                <w:color w:val="auto"/>
                <w:szCs w:val="24"/>
                <w:highlight w:val="none"/>
              </w:rPr>
              <w:t>处置。</w:t>
            </w:r>
          </w:p>
          <w:p>
            <w:pPr>
              <w:pStyle w:val="33"/>
              <w:widowControl/>
              <w:adjustRightInd/>
              <w:rPr>
                <w:rFonts w:cs="Times New Roman"/>
                <w:color w:val="auto"/>
                <w:szCs w:val="24"/>
                <w:highlight w:val="none"/>
              </w:rPr>
            </w:pPr>
            <w:r>
              <w:rPr>
                <w:rFonts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cs="Times New Roman"/>
                <w:color w:val="auto"/>
                <w:szCs w:val="24"/>
                <w:highlight w:val="none"/>
              </w:rPr>
              <w:t>签订危废委托处理协议。</w:t>
            </w:r>
          </w:p>
          <w:p>
            <w:pPr>
              <w:pStyle w:val="33"/>
              <w:widowControl/>
              <w:adjustRightInd/>
              <w:jc w:val="both"/>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3"/>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9" o:spt="75" alt="1d16f2dbf9a7ec8ecd07feb46b17bfd" type="#_x0000_t75" style="height:325.9pt;width:435.05pt;" filled="f" o:preferrelative="t" stroked="f" coordsize="21600,21600">
                        <v:path/>
                        <v:fill on="f" focussize="0,0"/>
                        <v:stroke on="f"/>
                        <v:imagedata r:id="rId21" o:title="1d16f2dbf9a7ec8ecd07feb46b17bfd"/>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3"/>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40" o:spt="75" alt="bb18e90626ed1bb195fc0d74884721c" type="#_x0000_t75" style="height:325.9pt;width:435.05pt;" filled="f" o:preferrelative="t" stroked="f" coordsize="21600,21600">
                        <v:path/>
                        <v:fill on="f" focussize="0,0"/>
                        <v:stroke on="f"/>
                        <v:imagedata r:id="rId22" o:title="bb18e90626ed1bb195fc0d74884721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3"/>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41" o:spt="75" alt="afb9307b0c602a174d2546be306ee90" type="#_x0000_t75" style="height:316.25pt;width:236.9pt;" filled="f" o:preferrelative="t" stroked="f" coordsize="21600,21600">
                        <v:path/>
                        <v:fill on="f" focussize="0,0"/>
                        <v:stroke on="f"/>
                        <v:imagedata r:id="rId23" o:title="afb9307b0c602a174d2546be306ee9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shd w:val="clear" w:color="auto" w:fill="auto"/>
                  <w:vAlign w:val="center"/>
                </w:tcPr>
                <w:p>
                  <w:pPr>
                    <w:pStyle w:val="33"/>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5</w:t>
                  </w:r>
                  <w:r>
                    <w:rPr>
                      <w:rFonts w:cs="Times New Roman"/>
                      <w:b/>
                      <w:bCs/>
                      <w:color w:val="auto"/>
                      <w:sz w:val="21"/>
                      <w:szCs w:val="21"/>
                      <w:highlight w:val="none"/>
                    </w:rPr>
                    <w:t xml:space="preserve">  </w:t>
                  </w:r>
                  <w:r>
                    <w:rPr>
                      <w:rFonts w:hint="eastAsia" w:cs="Times New Roman"/>
                      <w:b/>
                      <w:bCs/>
                      <w:color w:val="auto"/>
                      <w:sz w:val="21"/>
                      <w:szCs w:val="21"/>
                      <w:highlight w:val="none"/>
                    </w:rPr>
                    <w:t>危废间</w:t>
                  </w:r>
                </w:p>
              </w:tc>
            </w:tr>
          </w:tbl>
          <w:p>
            <w:pPr>
              <w:pStyle w:val="2"/>
              <w:numPr>
                <w:ilvl w:val="255"/>
                <w:numId w:val="0"/>
              </w:numPr>
              <w:ind w:firstLine="482" w:firstLineChars="200"/>
              <w:rPr>
                <w:rFonts w:ascii="Times New Roman" w:hAnsi="Times New Roman"/>
                <w:b/>
                <w:bCs/>
                <w:color w:val="auto"/>
                <w:sz w:val="24"/>
                <w:highlight w:val="none"/>
              </w:rPr>
            </w:pPr>
            <w:r>
              <w:rPr>
                <w:rFonts w:ascii="Times New Roman" w:hAnsi="Times New Roman"/>
                <w:b/>
                <w:bCs/>
                <w:color w:val="auto"/>
                <w:sz w:val="24"/>
                <w:highlight w:val="none"/>
              </w:rPr>
              <w:t>5、污染物排放总量</w:t>
            </w:r>
          </w:p>
          <w:p>
            <w:pPr>
              <w:pStyle w:val="33"/>
              <w:widowControl/>
              <w:adjustRightInd/>
              <w:rPr>
                <w:rFonts w:cs="Times New Roman"/>
                <w:color w:val="auto"/>
                <w:szCs w:val="24"/>
                <w:highlight w:val="none"/>
              </w:rPr>
            </w:pPr>
            <w:r>
              <w:rPr>
                <w:rFonts w:hint="eastAsia" w:cs="Times New Roman"/>
                <w:color w:val="auto"/>
                <w:highlight w:val="none"/>
              </w:rPr>
              <w:t>废气：</w:t>
            </w:r>
            <w:r>
              <w:rPr>
                <w:rFonts w:hint="eastAsia" w:cs="Times New Roman"/>
                <w:color w:val="auto"/>
                <w:highlight w:val="none"/>
                <w:lang w:eastAsia="zh-CN"/>
              </w:rPr>
              <w:t>根据现场调查和实际生产情况，一期项目仅在合成工序、分析工序产生有机废气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w:t>
            </w:r>
            <w:r>
              <w:rPr>
                <w:rFonts w:hint="eastAsia" w:cs="Times New Roman"/>
                <w:color w:val="auto"/>
                <w:highlight w:val="none"/>
                <w:lang w:eastAsia="zh-CN"/>
              </w:rPr>
              <w:t>均</w:t>
            </w:r>
            <w:r>
              <w:rPr>
                <w:rFonts w:hint="eastAsia" w:cs="Times New Roman"/>
                <w:color w:val="auto"/>
                <w:highlight w:val="none"/>
              </w:rPr>
              <w:t>为</w:t>
            </w:r>
            <w:r>
              <w:rPr>
                <w:rFonts w:hint="eastAsia" w:cs="Times New Roman"/>
                <w:color w:val="auto"/>
                <w:highlight w:val="none"/>
                <w:lang w:val="en-US" w:eastAsia="zh-CN"/>
              </w:rPr>
              <w:t>80</w:t>
            </w:r>
            <w:r>
              <w:rPr>
                <w:rFonts w:hint="eastAsia" w:cs="Times New Roman"/>
                <w:color w:val="auto"/>
                <w:highlight w:val="none"/>
              </w:rPr>
              <w:t>小时，根据验收监测结果核算，</w:t>
            </w:r>
            <w:r>
              <w:rPr>
                <w:rFonts w:hint="eastAsia" w:cs="Times New Roman"/>
                <w:color w:val="auto"/>
                <w:highlight w:val="none"/>
                <w:lang w:eastAsia="zh-CN"/>
              </w:rPr>
              <w:t>一期项目VOCs排放量为0.00784</w:t>
            </w:r>
            <w:r>
              <w:rPr>
                <w:rFonts w:hint="eastAsia" w:cs="Times New Roman"/>
                <w:color w:val="auto"/>
                <w:highlight w:val="none"/>
              </w:rPr>
              <w:t>t/a，满足VOCs总量控制要求 0.00874t/a（低于环评文件测算总量）。</w:t>
            </w:r>
          </w:p>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6、环保设施去除效率</w:t>
            </w:r>
          </w:p>
          <w:p>
            <w:pPr>
              <w:pStyle w:val="33"/>
              <w:snapToGrid w:val="0"/>
              <w:rPr>
                <w:rFonts w:hint="eastAsia" w:cs="Times New Roman"/>
                <w:b w:val="0"/>
                <w:bCs w:val="0"/>
                <w:color w:val="auto"/>
                <w:sz w:val="24"/>
                <w:szCs w:val="24"/>
                <w:highlight w:val="none"/>
                <w:lang w:val="en-US" w:eastAsia="zh-CN"/>
              </w:rPr>
            </w:pPr>
            <w:r>
              <w:rPr>
                <w:rFonts w:hint="eastAsia" w:cs="Times New Roman"/>
                <w:color w:val="auto"/>
                <w:szCs w:val="24"/>
                <w:highlight w:val="none"/>
              </w:rPr>
              <w:t>废气：</w:t>
            </w:r>
            <w:r>
              <w:rPr>
                <w:rFonts w:hint="eastAsia" w:cs="Times New Roman"/>
                <w:b w:val="0"/>
                <w:bCs w:val="0"/>
                <w:color w:val="auto"/>
                <w:sz w:val="24"/>
                <w:szCs w:val="24"/>
                <w:highlight w:val="none"/>
                <w:lang w:val="en-US" w:eastAsia="zh-CN"/>
              </w:rPr>
              <w:t>根据验收监测结果核算：</w:t>
            </w:r>
          </w:p>
          <w:p>
            <w:pPr>
              <w:pStyle w:val="33"/>
              <w:snapToGrid w:val="0"/>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①</w:t>
            </w:r>
            <w:r>
              <w:rPr>
                <w:rFonts w:hint="default" w:cs="Times New Roman"/>
                <w:b w:val="0"/>
                <w:bCs w:val="0"/>
                <w:color w:val="auto"/>
                <w:sz w:val="24"/>
                <w:szCs w:val="24"/>
                <w:highlight w:val="none"/>
                <w:lang w:val="en-US" w:eastAsia="zh-CN"/>
              </w:rPr>
              <w:t>实验操作+危废间+试剂库废气排气筒DA001“二级活性炭吸附”装置对废气中主要污染物VOCs的去除效率为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63.0</w:t>
            </w:r>
            <w:r>
              <w:rPr>
                <w:rFonts w:hint="default" w:cs="Times New Roman"/>
                <w:b w:val="0"/>
                <w:bCs w:val="0"/>
                <w:color w:val="auto"/>
                <w:sz w:val="24"/>
                <w:szCs w:val="24"/>
                <w:highlight w:val="none"/>
                <w:lang w:val="en-US" w:eastAsia="zh-CN"/>
              </w:rPr>
              <w:t>%。</w:t>
            </w:r>
          </w:p>
          <w:p>
            <w:pPr>
              <w:pStyle w:val="33"/>
              <w:snapToGrid w:val="0"/>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②实验操作废气排气筒DA002</w:t>
            </w:r>
            <w:r>
              <w:rPr>
                <w:rFonts w:hint="default" w:cs="Times New Roman"/>
                <w:b w:val="0"/>
                <w:bCs w:val="0"/>
                <w:color w:val="auto"/>
                <w:sz w:val="24"/>
                <w:szCs w:val="24"/>
                <w:highlight w:val="none"/>
                <w:lang w:val="en-US" w:eastAsia="zh-CN"/>
              </w:rPr>
              <w:t>“二级活性炭吸附”装置对废气中主要污染物VOCs的去除效率为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62.1</w:t>
            </w:r>
            <w:r>
              <w:rPr>
                <w:rFonts w:hint="default"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w:t>
            </w:r>
          </w:p>
          <w:p>
            <w:pPr>
              <w:pStyle w:val="33"/>
              <w:snapToGrid w:val="0"/>
              <w:rPr>
                <w:rFonts w:hint="default"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③实验操作废气排气筒DA003</w:t>
            </w:r>
            <w:r>
              <w:rPr>
                <w:rFonts w:hint="default" w:cs="Times New Roman"/>
                <w:b w:val="0"/>
                <w:bCs w:val="0"/>
                <w:color w:val="auto"/>
                <w:sz w:val="24"/>
                <w:szCs w:val="24"/>
                <w:highlight w:val="none"/>
                <w:lang w:val="en-US" w:eastAsia="zh-CN"/>
              </w:rPr>
              <w:t>“二级活性炭吸附”装置对废气中主要污染物VOCs的去除效率为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52.0</w:t>
            </w:r>
            <w:r>
              <w:rPr>
                <w:rFonts w:hint="default" w:cs="Times New Roman"/>
                <w:b w:val="0"/>
                <w:bCs w:val="0"/>
                <w:color w:val="auto"/>
                <w:sz w:val="24"/>
                <w:szCs w:val="24"/>
                <w:highlight w:val="none"/>
                <w:lang w:val="en-US" w:eastAsia="zh-CN"/>
              </w:rPr>
              <w:t>%。</w:t>
            </w:r>
          </w:p>
          <w:p>
            <w:pPr>
              <w:pStyle w:val="33"/>
              <w:snapToGrid w:val="0"/>
              <w:rPr>
                <w:rFonts w:hint="default"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④实验操作废气排气筒DA004</w:t>
            </w:r>
            <w:r>
              <w:rPr>
                <w:rFonts w:hint="default" w:cs="Times New Roman"/>
                <w:b w:val="0"/>
                <w:bCs w:val="0"/>
                <w:color w:val="auto"/>
                <w:sz w:val="24"/>
                <w:szCs w:val="24"/>
                <w:highlight w:val="none"/>
                <w:lang w:val="en-US" w:eastAsia="zh-CN"/>
              </w:rPr>
              <w:t>“二级活性炭吸附”装置对废气中主要污染物VOCs的去除效率为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64.8</w:t>
            </w:r>
            <w:r>
              <w:rPr>
                <w:rFonts w:hint="default" w:cs="Times New Roman"/>
                <w:b w:val="0"/>
                <w:bCs w:val="0"/>
                <w:color w:val="auto"/>
                <w:sz w:val="24"/>
                <w:szCs w:val="24"/>
                <w:highlight w:val="none"/>
                <w:lang w:val="en-US" w:eastAsia="zh-CN"/>
              </w:rPr>
              <w:t>%。</w:t>
            </w: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rPr>
                <w:rFonts w:hint="default" w:cs="Times New Roman"/>
                <w:b w:val="0"/>
                <w:bCs w:val="0"/>
                <w:color w:val="auto"/>
                <w:sz w:val="24"/>
                <w:szCs w:val="24"/>
                <w:highlight w:val="none"/>
                <w:lang w:val="en-US" w:eastAsia="zh-CN"/>
              </w:rPr>
            </w:pPr>
          </w:p>
          <w:p>
            <w:pPr>
              <w:pStyle w:val="33"/>
              <w:snapToGrid w:val="0"/>
              <w:ind w:firstLine="0" w:firstLineChars="0"/>
              <w:rPr>
                <w:rFonts w:cs="Times New Roman"/>
                <w:b/>
                <w:bCs/>
                <w:color w:val="auto"/>
                <w:szCs w:val="24"/>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208" w:name="_Toc30700"/>
      <w:bookmarkStart w:id="209" w:name="_Toc2011"/>
      <w:bookmarkStart w:id="210" w:name="_Toc15712"/>
      <w:bookmarkStart w:id="211" w:name="_Toc5315"/>
      <w:bookmarkStart w:id="212" w:name="_Toc996"/>
      <w:bookmarkStart w:id="213" w:name="_Toc7000"/>
      <w:bookmarkStart w:id="214" w:name="_Toc23790"/>
      <w:bookmarkStart w:id="215" w:name="_Toc15377"/>
      <w:bookmarkStart w:id="216" w:name="_Toc12738"/>
      <w:bookmarkStart w:id="217" w:name="_Toc19061"/>
      <w:bookmarkStart w:id="218" w:name="_Toc3640"/>
      <w:bookmarkStart w:id="219" w:name="_Toc8275"/>
      <w:bookmarkStart w:id="220" w:name="_Toc18080"/>
      <w:bookmarkStart w:id="221" w:name="_Toc25412"/>
      <w:bookmarkStart w:id="222" w:name="_Toc4064"/>
      <w:bookmarkStart w:id="223" w:name="_Toc10359"/>
      <w:bookmarkStart w:id="224" w:name="_Toc13767"/>
      <w:bookmarkStart w:id="225" w:name="_Toc26011"/>
      <w:bookmarkStart w:id="226" w:name="_Toc19597"/>
      <w:bookmarkStart w:id="227" w:name="_Toc7673"/>
      <w:bookmarkStart w:id="228" w:name="_Toc16344"/>
      <w:bookmarkStart w:id="229" w:name="_Toc29031"/>
      <w:bookmarkStart w:id="230" w:name="_Toc23727"/>
      <w:bookmarkStart w:id="231" w:name="_Toc27820"/>
      <w:bookmarkStart w:id="232" w:name="_Toc5011"/>
      <w:bookmarkStart w:id="233" w:name="_Toc8144"/>
      <w:bookmarkStart w:id="234" w:name="_Toc7727"/>
      <w:bookmarkStart w:id="235" w:name="_Toc4428"/>
      <w:r>
        <w:rPr>
          <w:b/>
          <w:bCs/>
          <w:color w:val="auto"/>
          <w:sz w:val="30"/>
          <w:szCs w:val="30"/>
          <w:highlight w:val="none"/>
        </w:rPr>
        <w:t xml:space="preserve">表8  </w:t>
      </w:r>
      <w:r>
        <w:rPr>
          <w:b/>
          <w:bCs/>
          <w:color w:val="auto"/>
          <w:sz w:val="32"/>
          <w:szCs w:val="32"/>
          <w:highlight w:val="none"/>
        </w:rPr>
        <w:t>环境管理检查情况</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33"/>
              <w:ind w:firstLine="482"/>
              <w:rPr>
                <w:rFonts w:cs="Times New Roman"/>
                <w:b/>
                <w:bCs/>
                <w:color w:val="auto"/>
                <w:highlight w:val="none"/>
              </w:rPr>
            </w:pPr>
            <w:r>
              <w:rPr>
                <w:rFonts w:cs="Times New Roman"/>
                <w:b/>
                <w:bCs/>
                <w:color w:val="auto"/>
                <w:highlight w:val="none"/>
              </w:rPr>
              <w:t>1、环保审批手续及“三同时”执行情况</w:t>
            </w:r>
          </w:p>
          <w:p>
            <w:pPr>
              <w:pStyle w:val="33"/>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lang w:eastAsia="zh-CN"/>
              </w:rPr>
              <w:t>国鼎药物研究（济南）有限责任公司</w:t>
            </w:r>
            <w:r>
              <w:rPr>
                <w:rFonts w:cs="Times New Roman"/>
                <w:color w:val="auto"/>
                <w:szCs w:val="24"/>
                <w:highlight w:val="none"/>
              </w:rPr>
              <w:t>2021年</w:t>
            </w:r>
            <w:r>
              <w:rPr>
                <w:rFonts w:hint="eastAsia" w:cs="Times New Roman"/>
                <w:color w:val="auto"/>
                <w:szCs w:val="24"/>
                <w:highlight w:val="none"/>
                <w:lang w:val="en-US" w:eastAsia="zh-CN"/>
              </w:rPr>
              <w:t>5</w:t>
            </w:r>
            <w:r>
              <w:rPr>
                <w:rFonts w:cs="Times New Roman"/>
                <w:color w:val="auto"/>
                <w:szCs w:val="24"/>
                <w:highlight w:val="none"/>
              </w:rPr>
              <w:t>月委托</w:t>
            </w:r>
            <w:r>
              <w:rPr>
                <w:rFonts w:hint="eastAsia" w:cs="Times New Roman"/>
                <w:color w:val="auto"/>
                <w:szCs w:val="24"/>
                <w:highlight w:val="none"/>
                <w:lang w:eastAsia="zh-CN"/>
              </w:rPr>
              <w:t>山东博瑞达环保科技有限公司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lang w:eastAsia="zh-CN"/>
              </w:rPr>
              <w:t>国鼎药物研究（济南）有限责任公司国鼎药物研发实验室项目环境影响</w:t>
            </w:r>
            <w:r>
              <w:rPr>
                <w:rFonts w:cs="Times New Roman"/>
                <w:color w:val="auto"/>
                <w:szCs w:val="24"/>
                <w:highlight w:val="none"/>
              </w:rPr>
              <w:t>报告表》，并于</w:t>
            </w:r>
            <w:r>
              <w:rPr>
                <w:rFonts w:hint="eastAsia" w:cs="Times New Roman"/>
                <w:color w:val="auto"/>
                <w:szCs w:val="24"/>
                <w:highlight w:val="none"/>
                <w:lang w:eastAsia="zh-CN"/>
              </w:rPr>
              <w:t>2021年7月20日</w:t>
            </w:r>
            <w:r>
              <w:rPr>
                <w:rFonts w:cs="Times New Roman"/>
                <w:color w:val="auto"/>
                <w:szCs w:val="24"/>
                <w:highlight w:val="none"/>
              </w:rPr>
              <w:t>经济南市生态环境局审批（</w:t>
            </w:r>
            <w:r>
              <w:rPr>
                <w:rFonts w:hint="eastAsia" w:cs="Times New Roman"/>
                <w:color w:val="auto"/>
                <w:szCs w:val="24"/>
                <w:highlight w:val="none"/>
                <w:lang w:eastAsia="zh-CN"/>
              </w:rPr>
              <w:t>济环报告表［2021］G47号</w:t>
            </w:r>
            <w:r>
              <w:rPr>
                <w:rFonts w:cs="Times New Roman"/>
                <w:color w:val="auto"/>
                <w:szCs w:val="24"/>
                <w:highlight w:val="none"/>
              </w:rPr>
              <w:t>）；</w:t>
            </w:r>
            <w:r>
              <w:rPr>
                <w:rFonts w:hint="eastAsia" w:cs="Times New Roman"/>
                <w:color w:val="auto"/>
                <w:highlight w:val="none"/>
                <w:lang w:eastAsia="zh-CN"/>
              </w:rPr>
              <w:t>一期项目于2021年7月开工建设，2021年10月建成并进行调试，</w:t>
            </w:r>
            <w:r>
              <w:rPr>
                <w:color w:val="auto"/>
                <w:highlight w:val="none"/>
              </w:rPr>
              <w:t>环</w:t>
            </w:r>
            <w:r>
              <w:rPr>
                <w:rFonts w:hint="eastAsia"/>
                <w:color w:val="auto"/>
                <w:highlight w:val="none"/>
                <w:lang w:eastAsia="zh-CN"/>
              </w:rPr>
              <w:t>保设施同时设计、同时施工并同时进行调试，调试期间运行状况良好</w:t>
            </w:r>
            <w:r>
              <w:rPr>
                <w:color w:val="auto"/>
                <w:highlight w:val="none"/>
              </w:rPr>
              <w:t>，具备竣工验收条件。</w:t>
            </w:r>
            <w:r>
              <w:rPr>
                <w:rFonts w:hint="eastAsia" w:cs="Times New Roman"/>
                <w:color w:val="auto"/>
                <w:kern w:val="0"/>
                <w:highlight w:val="none"/>
              </w:rPr>
              <w:t>因不具备检测能力，</w:t>
            </w:r>
            <w:r>
              <w:rPr>
                <w:rFonts w:hint="eastAsia" w:cs="Times New Roman"/>
                <w:color w:val="auto"/>
                <w:szCs w:val="24"/>
                <w:highlight w:val="none"/>
                <w:lang w:eastAsia="zh-CN"/>
              </w:rPr>
              <w:t>国鼎药物研究（济南）有限责任公司委托山东华晟环境检测有限公司于</w:t>
            </w:r>
            <w:r>
              <w:rPr>
                <w:rFonts w:hint="eastAsia"/>
                <w:color w:val="auto"/>
                <w:kern w:val="0"/>
                <w:highlight w:val="none"/>
                <w:lang w:eastAsia="zh-CN"/>
              </w:rPr>
              <w:t>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25</w:t>
            </w:r>
            <w:r>
              <w:rPr>
                <w:rFonts w:hint="eastAsia"/>
                <w:color w:val="auto"/>
                <w:kern w:val="0"/>
                <w:highlight w:val="none"/>
                <w:lang w:eastAsia="zh-CN"/>
              </w:rPr>
              <w:t>日~202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26</w:t>
            </w:r>
            <w:r>
              <w:rPr>
                <w:rFonts w:hint="eastAsia"/>
                <w:color w:val="auto"/>
                <w:kern w:val="0"/>
                <w:highlight w:val="none"/>
                <w:lang w:eastAsia="zh-CN"/>
              </w:rPr>
              <w:t>日、</w:t>
            </w:r>
            <w:r>
              <w:rPr>
                <w:rFonts w:hint="eastAsia" w:cs="Times New Roman"/>
                <w:color w:val="auto"/>
                <w:kern w:val="0"/>
                <w:highlight w:val="none"/>
                <w:lang w:eastAsia="zh-CN"/>
              </w:rPr>
              <w:t>2022年8月1日~2022年8月3日</w:t>
            </w:r>
            <w:r>
              <w:rPr>
                <w:rFonts w:hint="eastAsia" w:cs="Times New Roman"/>
                <w:color w:val="auto"/>
                <w:kern w:val="0"/>
                <w:highlight w:val="none"/>
              </w:rPr>
              <w:t>，共计</w:t>
            </w:r>
            <w:r>
              <w:rPr>
                <w:rFonts w:hint="eastAsia" w:cs="Times New Roman"/>
                <w:color w:val="auto"/>
                <w:kern w:val="0"/>
                <w:highlight w:val="none"/>
                <w:lang w:val="en-US" w:eastAsia="zh-CN"/>
              </w:rPr>
              <w:t>5</w:t>
            </w:r>
            <w:r>
              <w:rPr>
                <w:rFonts w:cs="Times New Roman"/>
                <w:color w:val="auto"/>
                <w:kern w:val="0"/>
                <w:highlight w:val="none"/>
              </w:rPr>
              <w:t>天对本项目</w:t>
            </w:r>
            <w:r>
              <w:rPr>
                <w:rFonts w:hint="eastAsia" w:cs="Times New Roman"/>
                <w:color w:val="auto"/>
                <w:kern w:val="0"/>
                <w:highlight w:val="none"/>
              </w:rPr>
              <w:t>废气、废水、噪声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w:t>
            </w:r>
            <w:r>
              <w:rPr>
                <w:rFonts w:hint="eastAsia" w:cs="Times New Roman"/>
                <w:color w:val="auto"/>
                <w:kern w:val="0"/>
                <w:highlight w:val="none"/>
              </w:rPr>
              <w:t>检测并出具检测报告</w:t>
            </w:r>
            <w:r>
              <w:rPr>
                <w:rFonts w:cs="Times New Roman"/>
                <w:bCs/>
                <w:caps/>
                <w:color w:val="auto"/>
                <w:kern w:val="0"/>
                <w:szCs w:val="24"/>
                <w:highlight w:val="none"/>
              </w:rPr>
              <w:t>。</w:t>
            </w:r>
            <w:r>
              <w:rPr>
                <w:rFonts w:cs="Times New Roman"/>
                <w:color w:val="auto"/>
                <w:highlight w:val="none"/>
              </w:rPr>
              <w:t>该项目建设履行了竣工环境保护验收监测审批手续，执行了</w:t>
            </w:r>
            <w:r>
              <w:rPr>
                <w:rFonts w:cs="Times New Roman"/>
                <w:bCs/>
                <w:color w:val="auto"/>
                <w:highlight w:val="none"/>
              </w:rPr>
              <w:t>“三同时”制度，有关环保档案齐全。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color w:val="auto"/>
                <w:highlight w:val="none"/>
              </w:rPr>
              <w:t>该企业重视环保工作，制定了相对完整的环保规章制度，厂区的各个环保设施责任到人，保证环保设施的正常运行。</w:t>
            </w:r>
          </w:p>
          <w:p>
            <w:pPr>
              <w:ind w:firstLine="482"/>
              <w:jc w:val="left"/>
              <w:rPr>
                <w:b/>
                <w:bCs/>
                <w:color w:val="auto"/>
                <w:highlight w:val="none"/>
              </w:rPr>
            </w:pPr>
            <w:r>
              <w:rPr>
                <w:b/>
                <w:bCs/>
                <w:color w:val="auto"/>
                <w:highlight w:val="none"/>
              </w:rPr>
              <w:t>二、环保设施建设、运行、检查、维护情况</w:t>
            </w:r>
          </w:p>
          <w:p>
            <w:pPr>
              <w:pStyle w:val="33"/>
              <w:jc w:val="both"/>
              <w:rPr>
                <w:rFonts w:hint="eastAsia" w:eastAsia="宋体" w:cs="Times New Roman"/>
                <w:color w:val="auto"/>
                <w:szCs w:val="24"/>
                <w:highlight w:val="none"/>
                <w:lang w:eastAsia="zh-CN"/>
              </w:rPr>
            </w:pPr>
            <w:r>
              <w:rPr>
                <w:rFonts w:cs="Times New Roman"/>
                <w:color w:val="auto"/>
                <w:szCs w:val="24"/>
                <w:highlight w:val="none"/>
              </w:rPr>
              <w:t>（1）</w:t>
            </w:r>
            <w:r>
              <w:rPr>
                <w:rFonts w:hint="eastAsia" w:cs="Times New Roman"/>
                <w:color w:val="auto"/>
                <w:szCs w:val="24"/>
                <w:highlight w:val="none"/>
                <w:lang w:eastAsia="zh-CN"/>
              </w:rPr>
              <w:t>废气：</w:t>
            </w:r>
          </w:p>
          <w:p>
            <w:pPr>
              <w:pStyle w:val="33"/>
              <w:jc w:val="both"/>
              <w:rPr>
                <w:rFonts w:hint="eastAsia" w:cs="Times New Roman"/>
                <w:color w:val="auto"/>
                <w:szCs w:val="24"/>
                <w:highlight w:val="none"/>
              </w:rPr>
            </w:pPr>
            <w:r>
              <w:rPr>
                <w:rFonts w:hint="eastAsia" w:cs="Times New Roman"/>
                <w:color w:val="auto"/>
                <w:szCs w:val="24"/>
                <w:highlight w:val="none"/>
              </w:rPr>
              <w:t>本项目运营期废气主要为</w:t>
            </w:r>
            <w:r>
              <w:rPr>
                <w:rFonts w:hint="eastAsia" w:cs="Times New Roman"/>
                <w:b w:val="0"/>
                <w:bCs w:val="0"/>
                <w:color w:val="auto"/>
                <w:sz w:val="24"/>
                <w:szCs w:val="24"/>
                <w:highlight w:val="none"/>
                <w:lang w:eastAsia="zh-CN"/>
              </w:rPr>
              <w:t>合成、</w:t>
            </w:r>
            <w:r>
              <w:rPr>
                <w:rFonts w:hint="eastAsia" w:cs="Times New Roman"/>
                <w:color w:val="auto"/>
                <w:szCs w:val="24"/>
                <w:highlight w:val="none"/>
              </w:rPr>
              <w:t>分析实验过程产生的废气，主要包括称配工序中产生的酸性废气和有机废气。</w:t>
            </w:r>
          </w:p>
          <w:p>
            <w:pPr>
              <w:pStyle w:val="33"/>
              <w:jc w:val="both"/>
              <w:rPr>
                <w:rFonts w:hint="eastAsia" w:cs="Times New Roman"/>
                <w:color w:val="auto"/>
                <w:szCs w:val="24"/>
                <w:highlight w:val="none"/>
              </w:rPr>
            </w:pPr>
            <w:r>
              <w:rPr>
                <w:rFonts w:hint="eastAsia" w:cs="Times New Roman"/>
                <w:color w:val="auto"/>
                <w:szCs w:val="24"/>
                <w:highlight w:val="none"/>
              </w:rPr>
              <w:t>①有组织废气</w:t>
            </w:r>
          </w:p>
          <w:p>
            <w:pPr>
              <w:pStyle w:val="33"/>
              <w:jc w:val="both"/>
              <w:rPr>
                <w:rFonts w:hint="eastAsia" w:cs="Times New Roman"/>
                <w:color w:val="auto"/>
                <w:szCs w:val="24"/>
                <w:highlight w:val="none"/>
              </w:rPr>
            </w:pPr>
            <w:r>
              <w:rPr>
                <w:rFonts w:hint="eastAsia" w:cs="Times New Roman"/>
                <w:color w:val="auto"/>
                <w:szCs w:val="24"/>
                <w:highlight w:val="none"/>
              </w:rPr>
              <w:t>本项目的实验操作过程均在通风橱内进行，挥发出的废气经通风橱收集；分析仪器配备专用吸风罩收集废气；试剂库、样品库、危废间均为密闭房间，内设吸风口；收集的废气经专用管道引至4套二级活性炭吸附装置，处理后由4根楼顶（距地面25m）的排气筒（DA001-DA004）排放。项目废气收集排导系统见附图4。</w:t>
            </w:r>
          </w:p>
          <w:p>
            <w:pPr>
              <w:pStyle w:val="33"/>
              <w:jc w:val="both"/>
              <w:rPr>
                <w:rFonts w:hint="eastAsia" w:cs="Times New Roman"/>
                <w:color w:val="auto"/>
                <w:szCs w:val="24"/>
                <w:highlight w:val="none"/>
              </w:rPr>
            </w:pPr>
            <w:r>
              <w:rPr>
                <w:rFonts w:hint="eastAsia" w:cs="Times New Roman"/>
                <w:color w:val="auto"/>
                <w:szCs w:val="24"/>
                <w:highlight w:val="none"/>
              </w:rPr>
              <w:t>②无组织废气</w:t>
            </w:r>
          </w:p>
          <w:p>
            <w:pPr>
              <w:pStyle w:val="33"/>
              <w:jc w:val="both"/>
              <w:rPr>
                <w:rFonts w:hint="eastAsia" w:cs="Times New Roman"/>
                <w:color w:val="auto"/>
                <w:szCs w:val="24"/>
                <w:highlight w:val="none"/>
              </w:rPr>
            </w:pPr>
            <w:r>
              <w:rPr>
                <w:rFonts w:hint="eastAsia" w:cs="Times New Roman"/>
                <w:color w:val="auto"/>
                <w:szCs w:val="24"/>
                <w:highlight w:val="none"/>
              </w:rPr>
              <w:t>未收集的废气随车间通风后无组织排放。</w:t>
            </w:r>
          </w:p>
          <w:p>
            <w:pPr>
              <w:pStyle w:val="3"/>
              <w:ind w:firstLine="0" w:firstLineChars="0"/>
              <w:jc w:val="center"/>
              <w:rPr>
                <w:rFonts w:ascii="Times New Roman" w:hAnsi="Times New Roman"/>
                <w:b/>
                <w:bCs/>
                <w:color w:val="auto"/>
                <w:sz w:val="24"/>
                <w:highlight w:val="none"/>
              </w:rPr>
            </w:pP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1"/>
              <w:gridCol w:w="1170"/>
              <w:gridCol w:w="1292"/>
              <w:gridCol w:w="1292"/>
              <w:gridCol w:w="1237"/>
              <w:gridCol w:w="1268"/>
              <w:gridCol w:w="1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采样</w:t>
                  </w:r>
                  <w:r>
                    <w:rPr>
                      <w:rFonts w:hint="eastAsia"/>
                      <w:b/>
                      <w:bCs/>
                      <w:color w:val="auto"/>
                      <w:sz w:val="21"/>
                      <w:szCs w:val="21"/>
                      <w:highlight w:val="none"/>
                    </w:rPr>
                    <w:t>点位</w:t>
                  </w:r>
                </w:p>
              </w:tc>
              <w:tc>
                <w:tcPr>
                  <w:tcW w:w="67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1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72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58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2.07</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0.017</w:t>
                  </w:r>
                </w:p>
              </w:tc>
              <w:tc>
                <w:tcPr>
                  <w:tcW w:w="728"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实验操作废气排气筒DA002</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2.09</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0.025</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2.06</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0.024</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实验操作废气排气筒DA004</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2.03</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0.032</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72" w:type="pct"/>
                  <w:shd w:val="clear" w:color="auto" w:fill="auto"/>
                  <w:vAlign w:val="center"/>
                </w:tcPr>
                <w:p>
                  <w:pPr>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shd w:val="clear" w:color="auto" w:fill="auto"/>
                  <w:vAlign w:val="center"/>
                </w:tcPr>
                <w:p>
                  <w:pPr>
                    <w:pStyle w:val="51"/>
                    <w:jc w:val="left"/>
                    <w:rPr>
                      <w:color w:val="auto"/>
                      <w:highlight w:val="none"/>
                    </w:rPr>
                  </w:pPr>
                  <w:r>
                    <w:rPr>
                      <w:color w:val="auto"/>
                      <w:szCs w:val="21"/>
                      <w:highlight w:val="none"/>
                    </w:rPr>
                    <w:t>备注：未检出表示检测值小于检出限</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8-2</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等效排气筒有关参数</w:t>
            </w:r>
            <w:r>
              <w:rPr>
                <w:rFonts w:ascii="Times New Roman" w:hAnsi="Times New Roman"/>
                <w:b/>
                <w:bCs/>
                <w:color w:val="auto"/>
                <w:sz w:val="24"/>
                <w:highlight w:val="none"/>
              </w:rPr>
              <w:t>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9"/>
              <w:gridCol w:w="1159"/>
              <w:gridCol w:w="1406"/>
              <w:gridCol w:w="1023"/>
              <w:gridCol w:w="1535"/>
              <w:gridCol w:w="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排气筒点位</w:t>
                  </w:r>
                </w:p>
              </w:tc>
              <w:tc>
                <w:tcPr>
                  <w:tcW w:w="66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80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等效排气筒高度（</w:t>
                  </w:r>
                  <w:r>
                    <w:rPr>
                      <w:rFonts w:hint="eastAsia"/>
                      <w:b/>
                      <w:bCs/>
                      <w:color w:val="auto"/>
                      <w:sz w:val="21"/>
                      <w:szCs w:val="21"/>
                      <w:highlight w:val="none"/>
                      <w:lang w:val="en-US" w:eastAsia="zh-CN"/>
                    </w:rPr>
                    <w:t>m</w:t>
                  </w:r>
                  <w:r>
                    <w:rPr>
                      <w:rFonts w:hint="eastAsia"/>
                      <w:b/>
                      <w:bCs/>
                      <w:color w:val="auto"/>
                      <w:sz w:val="21"/>
                      <w:szCs w:val="21"/>
                      <w:highlight w:val="none"/>
                      <w:lang w:eastAsia="zh-CN"/>
                    </w:rPr>
                    <w:t>）</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463" w:type="pct"/>
                  <w:shd w:val="clear" w:color="auto" w:fill="auto"/>
                  <w:vAlign w:val="center"/>
                </w:tcPr>
                <w:p>
                  <w:pPr>
                    <w:spacing w:line="240" w:lineRule="auto"/>
                    <w:ind w:firstLine="0" w:firstLineChars="0"/>
                    <w:jc w:val="center"/>
                    <w:rPr>
                      <w:rFonts w:hint="eastAsia"/>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0.042</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0.066</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实验操作废气排气筒DA004</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0.098</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bl>
          <w:p>
            <w:pPr>
              <w:rPr>
                <w:rFonts w:hint="eastAsia" w:eastAsia="宋体"/>
                <w:color w:val="auto"/>
                <w:highlight w:val="none"/>
                <w:lang w:eastAsia="zh-CN"/>
              </w:rPr>
            </w:pPr>
            <w:r>
              <w:rPr>
                <w:rFonts w:hint="eastAsia"/>
                <w:color w:val="auto"/>
                <w:highlight w:val="none"/>
              </w:rPr>
              <w:t>验收监测期间，实验操作+危废间+试剂库废气排气筒DA001</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2.07</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0.017</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w:t>
            </w:r>
            <w:r>
              <w:rPr>
                <w:rFonts w:hint="eastAsia" w:ascii="Times New Roman" w:hAnsi="宋体"/>
                <w:color w:val="auto"/>
                <w:sz w:val="24"/>
                <w:szCs w:val="24"/>
              </w:rPr>
              <w:t xml:space="preserve"> 实验操作废气排气筒DA002</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2.09</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0.025</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；实验操作废气排气筒DA003</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2.06</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0.024</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；实验操作废气排气筒DA004中主要污染物VOCs最大排放浓度为2.0</w:t>
            </w:r>
            <w:r>
              <w:rPr>
                <w:rFonts w:hint="eastAsia" w:hAnsi="宋体"/>
                <w:color w:val="auto"/>
                <w:sz w:val="24"/>
                <w:szCs w:val="24"/>
                <w:lang w:val="en-US" w:eastAsia="zh-CN"/>
              </w:rPr>
              <w:t>3</w:t>
            </w:r>
            <w:r>
              <w:rPr>
                <w:rFonts w:hint="eastAsia" w:hAnsi="宋体"/>
                <w:color w:val="auto"/>
                <w:sz w:val="24"/>
                <w:szCs w:val="24"/>
                <w:lang w:eastAsia="zh-CN"/>
              </w:rPr>
              <w:t>mg/m</w:t>
            </w:r>
            <w:r>
              <w:rPr>
                <w:rFonts w:hint="eastAsia" w:hAnsi="宋体"/>
                <w:color w:val="auto"/>
                <w:sz w:val="24"/>
                <w:szCs w:val="24"/>
                <w:vertAlign w:val="superscript"/>
                <w:lang w:eastAsia="zh-CN"/>
              </w:rPr>
              <w:t>3</w:t>
            </w:r>
            <w:r>
              <w:rPr>
                <w:rFonts w:hint="eastAsia" w:hAnsi="宋体"/>
                <w:color w:val="auto"/>
                <w:sz w:val="24"/>
                <w:szCs w:val="24"/>
                <w:lang w:eastAsia="zh-CN"/>
              </w:rPr>
              <w:t>，最大排放速率为0.0</w:t>
            </w:r>
            <w:r>
              <w:rPr>
                <w:rFonts w:hint="eastAsia" w:hAnsi="宋体"/>
                <w:color w:val="auto"/>
                <w:sz w:val="24"/>
                <w:szCs w:val="24"/>
                <w:lang w:val="en-US" w:eastAsia="zh-CN"/>
              </w:rPr>
              <w:t>32</w:t>
            </w:r>
            <w:r>
              <w:rPr>
                <w:rFonts w:hint="eastAsia" w:hAnsi="宋体"/>
                <w:color w:val="auto"/>
                <w:sz w:val="24"/>
                <w:szCs w:val="24"/>
                <w:lang w:eastAsia="zh-CN"/>
              </w:rPr>
              <w:t>kg/h ；</w:t>
            </w:r>
            <w:r>
              <w:rPr>
                <w:rFonts w:hint="eastAsia" w:hAnsi="宋体"/>
                <w:color w:val="auto"/>
                <w:sz w:val="24"/>
                <w:szCs w:val="24"/>
                <w:lang w:val="en-US" w:eastAsia="zh-CN"/>
              </w:rPr>
              <w:t>VOCs</w:t>
            </w:r>
            <w:r>
              <w:rPr>
                <w:rFonts w:hint="eastAsia"/>
                <w:color w:val="auto"/>
                <w:highlight w:val="none"/>
              </w:rPr>
              <w:t>排放浓度</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部分：其他行业》（DB37/2801.7-2019）表1中非重点行业II时段排放限值、《制药工业大气污染物排放标准》（GB37823-2019）表2中研发机构工艺废气要求，</w:t>
            </w:r>
            <w:r>
              <w:rPr>
                <w:rFonts w:hint="eastAsia"/>
                <w:color w:val="auto"/>
                <w:highlight w:val="none"/>
                <w:lang w:eastAsia="zh-CN"/>
              </w:rPr>
              <w:t>经计算，实验操作+危废间+试剂库废气排气筒DA001-实验操作废气排气筒DA002等效排气筒污染物</w:t>
            </w:r>
            <w:r>
              <w:rPr>
                <w:rFonts w:hint="eastAsia"/>
                <w:color w:val="auto"/>
                <w:highlight w:val="none"/>
                <w:lang w:val="en-US" w:eastAsia="zh-CN"/>
              </w:rPr>
              <w:t>VOCs最大排放速率为0.042kg/h；（实验操作+危废间+试剂库废气排气筒DA001-实验操作废气排气筒DA002-实验操作废气排气筒DA003）</w:t>
            </w:r>
            <w:r>
              <w:rPr>
                <w:rFonts w:hint="eastAsia"/>
                <w:color w:val="auto"/>
                <w:highlight w:val="none"/>
                <w:lang w:eastAsia="zh-CN"/>
              </w:rPr>
              <w:t>等效排气筒污染物</w:t>
            </w:r>
            <w:r>
              <w:rPr>
                <w:rFonts w:hint="eastAsia"/>
                <w:color w:val="auto"/>
                <w:highlight w:val="none"/>
                <w:lang w:val="en-US" w:eastAsia="zh-CN"/>
              </w:rPr>
              <w:t>VOCs最大排放速率为0.066kg/h；（实验操作+危废间+试剂库废气排气筒DA001-实验操作废气排气筒DA002-实验操作废气排气筒DA003）-实验操作废气排气筒DA004</w:t>
            </w:r>
            <w:r>
              <w:rPr>
                <w:rFonts w:hint="eastAsia"/>
                <w:color w:val="auto"/>
                <w:highlight w:val="none"/>
                <w:lang w:eastAsia="zh-CN"/>
              </w:rPr>
              <w:t>等效排气筒污染物</w:t>
            </w:r>
            <w:r>
              <w:rPr>
                <w:rFonts w:hint="eastAsia"/>
                <w:color w:val="auto"/>
                <w:highlight w:val="none"/>
                <w:lang w:val="en-US" w:eastAsia="zh-CN"/>
              </w:rPr>
              <w:t>VOCs最大排放速率为0.098kg/h；</w:t>
            </w:r>
            <w:r>
              <w:rPr>
                <w:rFonts w:hint="eastAsia"/>
                <w:color w:val="auto"/>
                <w:highlight w:val="none"/>
              </w:rPr>
              <w:t>排放速率</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w:t>
            </w:r>
            <w:r>
              <w:rPr>
                <w:rFonts w:hint="default" w:ascii="Times New Roman" w:hAnsi="Times New Roman" w:eastAsia="宋体" w:cs="Times New Roman"/>
                <w:color w:val="auto"/>
                <w:sz w:val="24"/>
                <w:highlight w:val="none"/>
              </w:rPr>
              <w:t>实验操作+危废间+试剂库废气排气筒DA001</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w:t>
            </w:r>
            <w:r>
              <w:rPr>
                <w:rFonts w:hint="default" w:ascii="Times New Roman" w:hAnsi="Times New Roman" w:eastAsia="宋体" w:cs="Times New Roman"/>
                <w:color w:val="auto"/>
                <w:sz w:val="24"/>
                <w:szCs w:val="24"/>
              </w:rPr>
              <w:t xml:space="preserve"> 实验操作废气排气筒DA002</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氯化氢为未检出；实验操作废气排气筒DA003</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氯化氢为未检出；实验操作废气排气筒DA004中主要污染物氯化氢为未检出；</w:t>
            </w:r>
            <w:r>
              <w:rPr>
                <w:rFonts w:hint="eastAsia" w:ascii="Times New Roman" w:hAnsi="Times New Roman" w:eastAsia="宋体" w:cs="Times New Roman"/>
                <w:color w:val="auto"/>
                <w:sz w:val="24"/>
                <w:szCs w:val="24"/>
                <w:lang w:eastAsia="zh-CN"/>
              </w:rPr>
              <w:t>氯化氢</w:t>
            </w:r>
            <w:r>
              <w:rPr>
                <w:rFonts w:hint="eastAsia"/>
                <w:color w:val="auto"/>
                <w:highlight w:val="none"/>
              </w:rPr>
              <w:t>排放浓度</w:t>
            </w:r>
            <w:r>
              <w:rPr>
                <w:rFonts w:hint="eastAsia"/>
                <w:color w:val="auto"/>
                <w:highlight w:val="none"/>
                <w:lang w:eastAsia="zh-CN"/>
              </w:rPr>
              <w:t>均满足</w:t>
            </w:r>
            <w:r>
              <w:rPr>
                <w:rFonts w:hint="eastAsia"/>
                <w:color w:val="auto"/>
                <w:highlight w:val="none"/>
              </w:rPr>
              <w:t>《制药工业大气污染物排放标准》（GB37823-2019）表2中研发机构工艺废气要求，排放速率</w:t>
            </w:r>
            <w:r>
              <w:rPr>
                <w:rFonts w:hint="eastAsia"/>
                <w:color w:val="auto"/>
                <w:highlight w:val="none"/>
                <w:lang w:eastAsia="zh-CN"/>
              </w:rPr>
              <w:t>均满足</w:t>
            </w:r>
            <w:r>
              <w:rPr>
                <w:rFonts w:hint="eastAsia"/>
                <w:color w:val="auto"/>
                <w:highlight w:val="none"/>
              </w:rPr>
              <w:t>《大气污染物综合排放标准》(GB16297 - 1996)中表2二级标准的要求</w:t>
            </w:r>
            <w:r>
              <w:rPr>
                <w:rFonts w:hint="eastAsia"/>
                <w:color w:val="auto"/>
                <w:highlight w:val="none"/>
                <w:lang w:eastAsia="zh-CN"/>
              </w:rPr>
              <w:t>。</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表8-</w:t>
            </w:r>
            <w:r>
              <w:rPr>
                <w:rFonts w:hint="eastAsia" w:ascii="Times New Roman" w:hAnsi="Times New Roman"/>
                <w:b/>
                <w:bCs/>
                <w:color w:val="auto"/>
                <w:sz w:val="24"/>
                <w:highlight w:val="none"/>
                <w:lang w:val="en-US" w:eastAsia="zh-CN"/>
              </w:rPr>
              <w:t>3</w:t>
            </w:r>
            <w:r>
              <w:rPr>
                <w:rFonts w:hint="eastAsia" w:ascii="Times New Roman" w:hAnsi="Times New Roman"/>
                <w:b/>
                <w:bCs/>
                <w:color w:val="auto"/>
                <w:sz w:val="24"/>
                <w:highlight w:val="none"/>
              </w:rPr>
              <w:t xml:space="preserve">  无组织废气判定结果表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2325"/>
              <w:gridCol w:w="2472"/>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周界外浓度最高点浓度值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19"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w:t>
                  </w:r>
                  <w:r>
                    <w:rPr>
                      <w:rFonts w:hint="eastAsia"/>
                      <w:b/>
                      <w:bCs/>
                      <w:color w:val="auto"/>
                      <w:sz w:val="21"/>
                      <w:szCs w:val="21"/>
                      <w:highlight w:val="none"/>
                      <w:lang w:eastAsia="zh-CN"/>
                    </w:rPr>
                    <w:t>限值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7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1.33</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氯化氢</w:t>
                  </w:r>
                </w:p>
              </w:tc>
              <w:tc>
                <w:tcPr>
                  <w:tcW w:w="1335"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未检出</w:t>
                  </w:r>
                </w:p>
              </w:tc>
              <w:tc>
                <w:tcPr>
                  <w:tcW w:w="1419"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0.20</w:t>
                  </w:r>
                </w:p>
              </w:tc>
              <w:tc>
                <w:tcPr>
                  <w:tcW w:w="970"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color w:val="auto"/>
                      <w:sz w:val="21"/>
                      <w:szCs w:val="21"/>
                      <w:highlight w:val="none"/>
                    </w:rPr>
                    <w:t>NMHC</w:t>
                  </w:r>
                  <w:r>
                    <w:rPr>
                      <w:rFonts w:hint="eastAsia"/>
                      <w:color w:val="auto"/>
                      <w:sz w:val="21"/>
                      <w:szCs w:val="21"/>
                      <w:highlight w:val="none"/>
                      <w:lang w:eastAsia="zh-CN"/>
                    </w:rPr>
                    <w:t>（</w:t>
                  </w:r>
                  <w:r>
                    <w:rPr>
                      <w:rFonts w:ascii="Times New Roman" w:hAnsi="Times New Roman" w:eastAsia="宋体" w:cs="Times New Roman"/>
                      <w:color w:val="auto"/>
                      <w:sz w:val="21"/>
                      <w:szCs w:val="21"/>
                      <w:highlight w:val="none"/>
                      <w:lang w:val="en-US" w:eastAsia="zh-CN"/>
                    </w:rPr>
                    <w:t>非甲烷总烃</w:t>
                  </w:r>
                  <w:r>
                    <w:rPr>
                      <w:rFonts w:hint="eastAsia"/>
                      <w:color w:val="auto"/>
                      <w:sz w:val="21"/>
                      <w:szCs w:val="21"/>
                      <w:highlight w:val="none"/>
                      <w:lang w:eastAsia="zh-CN"/>
                    </w:rPr>
                    <w:t>）</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1.34</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pStyle w:val="22"/>
              <w:spacing w:line="360" w:lineRule="auto"/>
              <w:ind w:firstLine="480" w:firstLineChars="200"/>
              <w:rPr>
                <w:rFonts w:hint="eastAsia" w:ascii="Times New Roman" w:hAnsi="Times New Roman" w:eastAsia="宋体"/>
                <w:color w:val="auto"/>
                <w:sz w:val="24"/>
                <w:szCs w:val="24"/>
                <w:lang w:eastAsia="zh-CN"/>
              </w:rPr>
            </w:pPr>
            <w:r>
              <w:rPr>
                <w:rFonts w:hint="eastAsia"/>
                <w:color w:val="auto"/>
                <w:highlight w:val="none"/>
                <w:lang w:eastAsia="zh-CN"/>
              </w:rPr>
              <w:t>验收监测期间，</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VOCs</w:t>
            </w:r>
            <w:r>
              <w:rPr>
                <w:rFonts w:hint="eastAsia" w:ascii="Times New Roman" w:hAnsi="Times New Roman"/>
                <w:color w:val="auto"/>
                <w:sz w:val="24"/>
                <w:szCs w:val="24"/>
              </w:rPr>
              <w:t>最大浓度为</w:t>
            </w:r>
            <w:r>
              <w:rPr>
                <w:rFonts w:ascii="Times New Roman" w:hAnsi="Times New Roman"/>
                <w:color w:val="auto"/>
                <w:sz w:val="24"/>
                <w:szCs w:val="24"/>
              </w:rPr>
              <w:t>1.3</w:t>
            </w:r>
            <w:r>
              <w:rPr>
                <w:rFonts w:hint="eastAsia" w:ascii="Times New Roman" w:hAnsi="Times New Roman"/>
                <w:color w:val="auto"/>
                <w:sz w:val="24"/>
                <w:szCs w:val="24"/>
                <w:lang w:val="en-US" w:eastAsia="zh-CN"/>
              </w:rPr>
              <w:t>3</w:t>
            </w:r>
            <w:r>
              <w:rPr>
                <w:rFonts w:hint="eastAsia" w:ascii="Times New Roman" w:hAnsi="Times New Roman"/>
                <w:color w:val="auto"/>
                <w:sz w:val="24"/>
                <w:szCs w:val="24"/>
              </w:rPr>
              <w:t>mg/m</w:t>
            </w:r>
            <w:r>
              <w:rPr>
                <w:rFonts w:hint="eastAsia" w:ascii="Times New Roman" w:hAnsi="Times New Roman"/>
                <w:color w:val="auto"/>
                <w:sz w:val="24"/>
                <w:szCs w:val="24"/>
                <w:vertAlign w:val="superscript"/>
              </w:rPr>
              <w:t>3</w:t>
            </w:r>
            <w:r>
              <w:rPr>
                <w:rFonts w:hint="eastAsia" w:ascii="Times New Roman" w:hAnsi="Times New Roman"/>
                <w:color w:val="auto"/>
                <w:sz w:val="24"/>
                <w:szCs w:val="24"/>
              </w:rPr>
              <w:t>，</w:t>
            </w:r>
            <w:r>
              <w:rPr>
                <w:rFonts w:hint="eastAsia" w:ascii="Times New Roman" w:hAnsi="Times New Roman"/>
                <w:color w:val="auto"/>
                <w:sz w:val="24"/>
                <w:szCs w:val="24"/>
                <w:lang w:eastAsia="zh-CN"/>
              </w:rPr>
              <w:t>浓度均满足《挥发性有机物排放标准第 7 部分：其他行业》（DB37/2801.7-2019）表2厂界监控点浓度限值、《制药工业大气污染物排放标准》（GB37823-2019）。</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氯化氢为</w:t>
            </w:r>
            <w:r>
              <w:rPr>
                <w:rFonts w:hint="eastAsia" w:ascii="Times New Roman" w:hAnsi="Times New Roman"/>
                <w:color w:val="auto"/>
                <w:sz w:val="24"/>
                <w:szCs w:val="24"/>
              </w:rPr>
              <w:t>未检出</w:t>
            </w:r>
            <w:r>
              <w:rPr>
                <w:rFonts w:hint="eastAsia" w:ascii="Times New Roman" w:hAnsi="Times New Roman"/>
                <w:color w:val="auto"/>
                <w:sz w:val="24"/>
                <w:szCs w:val="24"/>
                <w:lang w:eastAsia="zh-CN"/>
              </w:rPr>
              <w:t>；浓度均满足《制药工业大气污染物排放标准》（GB37823-2019）表4浓度限值及《大气污染物综合排放标准》（GB16297-1996）表2浓度限值要求。</w:t>
            </w:r>
          </w:p>
          <w:p>
            <w:pPr>
              <w:pStyle w:val="22"/>
              <w:spacing w:line="360" w:lineRule="auto"/>
              <w:ind w:firstLine="480" w:firstLineChars="200"/>
              <w:rPr>
                <w:rFonts w:ascii="Times New Roman" w:hAnsi="宋体"/>
                <w:color w:val="auto"/>
                <w:sz w:val="24"/>
                <w:szCs w:val="24"/>
              </w:rPr>
            </w:pPr>
            <w:r>
              <w:rPr>
                <w:rFonts w:hint="eastAsia" w:ascii="Times New Roman"/>
                <w:color w:val="auto"/>
                <w:sz w:val="24"/>
                <w:szCs w:val="24"/>
                <w:lang w:eastAsia="zh-CN"/>
              </w:rPr>
              <w:t>车间</w:t>
            </w:r>
            <w:r>
              <w:rPr>
                <w:rFonts w:hint="eastAsia" w:ascii="Times New Roman" w:hAnsi="宋体"/>
                <w:color w:val="auto"/>
                <w:sz w:val="24"/>
                <w:szCs w:val="24"/>
              </w:rPr>
              <w:t>通风口处非甲烷总烃最大1h平均浓度值为</w:t>
            </w:r>
            <w:r>
              <w:rPr>
                <w:rFonts w:ascii="Times New Roman" w:hAnsi="宋体"/>
                <w:color w:val="auto"/>
                <w:sz w:val="24"/>
                <w:szCs w:val="24"/>
              </w:rPr>
              <w:t>1.</w:t>
            </w:r>
            <w:r>
              <w:rPr>
                <w:rFonts w:hint="eastAsia" w:ascii="Times New Roman"/>
                <w:color w:val="auto"/>
                <w:sz w:val="24"/>
                <w:szCs w:val="24"/>
                <w:lang w:val="en-US" w:eastAsia="zh-CN"/>
              </w:rPr>
              <w:t>34</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s="Times New Roman"/>
                <w:color w:val="auto"/>
                <w:sz w:val="24"/>
                <w:szCs w:val="24"/>
              </w:rPr>
              <w:t>，</w:t>
            </w:r>
            <w:r>
              <w:rPr>
                <w:rFonts w:hint="eastAsia" w:ascii="Times New Roman" w:cs="Times New Roman"/>
                <w:color w:val="auto"/>
                <w:sz w:val="24"/>
                <w:szCs w:val="24"/>
                <w:lang w:eastAsia="zh-CN"/>
              </w:rPr>
              <w:t>均</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p>
            <w:pPr>
              <w:ind w:firstLine="480"/>
              <w:rPr>
                <w:rFonts w:hint="eastAsia" w:eastAsia="宋体"/>
                <w:color w:val="auto"/>
                <w:kern w:val="0"/>
                <w:highlight w:val="none"/>
                <w:lang w:eastAsia="zh-CN" w:bidi="ar"/>
              </w:rPr>
            </w:pPr>
            <w:r>
              <w:rPr>
                <w:rFonts w:hint="eastAsia"/>
                <w:color w:val="auto"/>
                <w:kern w:val="0"/>
                <w:highlight w:val="none"/>
                <w:lang w:bidi="ar"/>
              </w:rPr>
              <w:t>（2）</w:t>
            </w:r>
            <w:r>
              <w:rPr>
                <w:rFonts w:hint="eastAsia"/>
                <w:color w:val="auto"/>
                <w:kern w:val="0"/>
                <w:highlight w:val="none"/>
                <w:lang w:eastAsia="zh-CN" w:bidi="ar"/>
              </w:rPr>
              <w:t>废水：</w:t>
            </w:r>
          </w:p>
          <w:p>
            <w:pPr>
              <w:ind w:firstLine="480"/>
              <w:rPr>
                <w:rFonts w:hint="eastAsia"/>
                <w:color w:val="auto"/>
                <w:highlight w:val="none"/>
              </w:rPr>
            </w:pPr>
            <w:r>
              <w:rPr>
                <w:rFonts w:hint="eastAsia"/>
                <w:color w:val="auto"/>
                <w:highlight w:val="none"/>
              </w:rPr>
              <w:t>本项目排水主要包括地面清洁废水、实验器皿清洗废水、实验过程废液和生活污水。项目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w:t>
            </w:r>
            <w:r>
              <w:rPr>
                <w:rFonts w:hint="eastAsia" w:ascii="Times New Roman" w:hAnsi="Times New Roman"/>
                <w:b/>
                <w:bCs/>
                <w:color w:val="auto"/>
                <w:sz w:val="24"/>
                <w:highlight w:val="none"/>
                <w:lang w:val="en-US" w:eastAsia="zh-CN"/>
              </w:rPr>
              <w:t>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企业总排口</w:t>
            </w:r>
            <w:r>
              <w:rPr>
                <w:rFonts w:ascii="Times New Roman" w:hAnsi="Times New Roman"/>
                <w:b/>
                <w:bCs/>
                <w:color w:val="auto"/>
                <w:sz w:val="24"/>
                <w:highlight w:val="none"/>
              </w:rPr>
              <w:t>废水判定结果表</w:t>
            </w:r>
          </w:p>
          <w:tbl>
            <w:tblPr>
              <w:tblStyle w:val="2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0"/>
              <w:gridCol w:w="1530"/>
              <w:gridCol w:w="870"/>
              <w:gridCol w:w="1320"/>
              <w:gridCol w:w="1977"/>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530"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870" w:type="dxa"/>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单位</w:t>
                  </w:r>
                </w:p>
              </w:tc>
              <w:tc>
                <w:tcPr>
                  <w:tcW w:w="132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产业园污水处理站进水水质要求</w:t>
                  </w:r>
                  <w:r>
                    <w:rPr>
                      <w:rFonts w:hint="eastAsia"/>
                      <w:b/>
                      <w:bCs/>
                      <w:color w:val="auto"/>
                      <w:sz w:val="21"/>
                      <w:szCs w:val="21"/>
                      <w:highlight w:val="none"/>
                      <w:lang w:eastAsia="zh-CN"/>
                    </w:rPr>
                    <w:t>限值</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企业总排口</w:t>
                  </w: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化学需氧量</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continue"/>
                  <w:shd w:val="clear" w:color="auto" w:fill="auto"/>
                  <w:vAlign w:val="center"/>
                </w:tcPr>
                <w:p>
                  <w:pPr>
                    <w:spacing w:line="240" w:lineRule="auto"/>
                    <w:ind w:firstLine="0" w:firstLineChars="0"/>
                    <w:jc w:val="center"/>
                    <w:rPr>
                      <w:color w:val="auto"/>
                      <w:highlight w:val="none"/>
                    </w:rPr>
                  </w:pP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氨氮</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w:t>
            </w:r>
            <w:r>
              <w:rPr>
                <w:rFonts w:hint="eastAsia" w:ascii="Times New Roman" w:hAnsi="Times New Roman"/>
                <w:b/>
                <w:bCs/>
                <w:color w:val="auto"/>
                <w:sz w:val="24"/>
                <w:highlight w:val="none"/>
                <w:lang w:val="en-US" w:eastAsia="zh-CN"/>
              </w:rPr>
              <w:t>5</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产业园污水处理站</w:t>
            </w:r>
            <w:r>
              <w:rPr>
                <w:rFonts w:ascii="Times New Roman" w:hAnsi="Times New Roman"/>
                <w:b/>
                <w:bCs/>
                <w:color w:val="auto"/>
                <w:sz w:val="24"/>
                <w:highlight w:val="none"/>
              </w:rPr>
              <w:t>废水判定结果表</w:t>
            </w:r>
          </w:p>
          <w:tbl>
            <w:tblPr>
              <w:tblStyle w:val="28"/>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890"/>
              <w:gridCol w:w="1005"/>
              <w:gridCol w:w="1305"/>
              <w:gridCol w:w="2667"/>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576" w:type="pct"/>
                  <w:shd w:val="clear" w:color="auto" w:fill="auto"/>
                  <w:vAlign w:val="center"/>
                </w:tcPr>
                <w:p>
                  <w:pPr>
                    <w:spacing w:line="240" w:lineRule="auto"/>
                    <w:ind w:firstLine="0" w:firstLineChars="0"/>
                    <w:jc w:val="center"/>
                    <w:rPr>
                      <w:rFonts w:hint="eastAsia"/>
                      <w:b/>
                      <w:color w:val="auto"/>
                      <w:sz w:val="21"/>
                      <w:szCs w:val="21"/>
                      <w:highlight w:val="none"/>
                      <w:lang w:eastAsia="zh-CN"/>
                    </w:rPr>
                  </w:pPr>
                  <w:r>
                    <w:rPr>
                      <w:rFonts w:hint="eastAsia"/>
                      <w:b/>
                      <w:color w:val="auto"/>
                      <w:sz w:val="21"/>
                      <w:szCs w:val="21"/>
                      <w:highlight w:val="none"/>
                      <w:lang w:eastAsia="zh-CN"/>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29"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lang w:eastAsia="zh-CN"/>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产业园污水处理站</w:t>
                  </w: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pH值</w:t>
                  </w:r>
                </w:p>
              </w:tc>
              <w:tc>
                <w:tcPr>
                  <w:tcW w:w="576" w:type="pct"/>
                  <w:shd w:val="clear" w:color="auto" w:fill="auto"/>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7.6-7.8</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179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10.2</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45</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eastAsia="zh-CN"/>
                    </w:rPr>
                    <w:t>五日</w:t>
                  </w:r>
                  <w:r>
                    <w:rPr>
                      <w:color w:val="auto"/>
                      <w:sz w:val="21"/>
                      <w:szCs w:val="21"/>
                      <w:highlight w:val="none"/>
                    </w:rPr>
                    <w:t>生化需氧量</w:t>
                  </w:r>
                </w:p>
              </w:tc>
              <w:tc>
                <w:tcPr>
                  <w:tcW w:w="576" w:type="pct"/>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lang w:eastAsia="zh-CN"/>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92.9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350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溶解性总固体</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828</w:t>
                  </w:r>
                </w:p>
              </w:tc>
              <w:tc>
                <w:tcPr>
                  <w:tcW w:w="1529"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snapToGrid w:val="0"/>
                      <w:color w:val="auto"/>
                      <w:kern w:val="0"/>
                      <w:sz w:val="21"/>
                      <w:szCs w:val="21"/>
                      <w:highlight w:val="none"/>
                      <w:lang w:val="en-US" w:eastAsia="zh-CN"/>
                    </w:rPr>
                    <w:t>1500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验收监测期间，企业总排口化学需氧量、氨氮最大日均浓度分别为116mg/L、3.16mg/L，均满足产业园污水处理站进水水质要求。产业园污水处理站主要污染物pH在7.6-7.8之间，化学需氧量、氨氮、五日生化需氧量、悬浮物、总磷、溶解性总固体最大日均浓度分别为179mg/L、10.2mg/L、92.9mg/L、44mg/L、1.04mg/L、828mg/L，均满足《污水排入城镇下水道水质标准》（GB/T 31962-2015）表1中</w:t>
            </w:r>
            <w:r>
              <w:rPr>
                <w:rFonts w:hint="eastAsia" w:cs="Times New Roman"/>
                <w:color w:val="auto"/>
                <w:highlight w:val="none"/>
                <w:lang w:eastAsia="zh-CN"/>
              </w:rPr>
              <w:t>A级</w:t>
            </w:r>
            <w:r>
              <w:rPr>
                <w:rFonts w:hint="default" w:ascii="Times New Roman" w:hAnsi="Times New Roman" w:eastAsia="宋体" w:cs="Times New Roman"/>
                <w:color w:val="auto"/>
                <w:highlight w:val="none"/>
              </w:rPr>
              <w:t>标准。</w:t>
            </w:r>
          </w:p>
          <w:p>
            <w:pPr>
              <w:pStyle w:val="33"/>
              <w:rPr>
                <w:rFonts w:hint="eastAsia" w:eastAsia="宋体" w:cs="Times New Roman"/>
                <w:color w:val="auto"/>
                <w:szCs w:val="24"/>
                <w:highlight w:val="none"/>
                <w:lang w:eastAsia="zh-CN"/>
              </w:rPr>
            </w:pPr>
            <w:r>
              <w:rPr>
                <w:rFonts w:hint="eastAsia" w:cs="Times New Roman"/>
                <w:color w:val="auto"/>
                <w:szCs w:val="24"/>
                <w:highlight w:val="none"/>
              </w:rPr>
              <w:t>（3）</w:t>
            </w:r>
            <w:r>
              <w:rPr>
                <w:rFonts w:hint="eastAsia" w:cs="Times New Roman"/>
                <w:color w:val="auto"/>
                <w:szCs w:val="24"/>
                <w:highlight w:val="none"/>
                <w:lang w:eastAsia="zh-CN"/>
              </w:rPr>
              <w:t>噪声：</w:t>
            </w:r>
          </w:p>
          <w:p>
            <w:pPr>
              <w:ind w:firstLine="480"/>
              <w:rPr>
                <w:rFonts w:hint="eastAsia" w:eastAsia="宋体"/>
                <w:color w:val="auto"/>
                <w:highlight w:val="none"/>
                <w:lang w:eastAsia="zh-CN"/>
              </w:rPr>
            </w:pPr>
            <w:r>
              <w:rPr>
                <w:rFonts w:hint="eastAsia"/>
                <w:color w:val="auto"/>
                <w:highlight w:val="none"/>
                <w:lang w:eastAsia="zh-CN"/>
              </w:rPr>
              <w:t>本项目噪声源主要为实验设备运转产生的噪声，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表8-</w:t>
            </w:r>
            <w:r>
              <w:rPr>
                <w:rFonts w:hint="eastAsia" w:ascii="Times New Roman" w:hAnsi="Times New Roman"/>
                <w:b/>
                <w:bCs/>
                <w:color w:val="auto"/>
                <w:sz w:val="24"/>
                <w:highlight w:val="none"/>
                <w:lang w:val="en-US" w:eastAsia="zh-CN"/>
              </w:rPr>
              <w:t>6</w:t>
            </w:r>
            <w:r>
              <w:rPr>
                <w:rFonts w:hint="eastAsia" w:ascii="Times New Roman" w:hAnsi="Times New Roman"/>
                <w:b/>
                <w:bCs/>
                <w:color w:val="auto"/>
                <w:sz w:val="24"/>
                <w:highlight w:val="none"/>
              </w:rPr>
              <w:t xml:space="preserve">  噪声判定结果表</w:t>
            </w:r>
          </w:p>
          <w:tbl>
            <w:tblPr>
              <w:tblStyle w:val="28"/>
              <w:tblW w:w="1069393824" w:type="pct"/>
              <w:jc w:val="center"/>
              <w:tblLayout w:type="autofit"/>
              <w:tblCellMar>
                <w:top w:w="0" w:type="dxa"/>
                <w:left w:w="108" w:type="dxa"/>
                <w:bottom w:w="0" w:type="dxa"/>
                <w:right w:w="108" w:type="dxa"/>
              </w:tblCellMar>
            </w:tblPr>
            <w:tblGrid>
              <w:gridCol w:w="1012"/>
              <w:gridCol w:w="1049"/>
              <w:gridCol w:w="1312"/>
              <w:gridCol w:w="1262"/>
              <w:gridCol w:w="1403"/>
              <w:gridCol w:w="1316"/>
              <w:gridCol w:w="1370"/>
            </w:tblGrid>
            <w:tr>
              <w:tblPrEx>
                <w:tblCellMar>
                  <w:top w:w="0" w:type="dxa"/>
                  <w:left w:w="108" w:type="dxa"/>
                  <w:bottom w:w="0" w:type="dxa"/>
                  <w:right w:w="108" w:type="dxa"/>
                </w:tblCellMar>
              </w:tblPrEx>
              <w:trPr>
                <w:trHeight w:val="397" w:hRule="atLeast"/>
                <w:jc w:val="center"/>
              </w:trPr>
              <w:tc>
                <w:tcPr>
                  <w:tcW w:w="580"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600"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3"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5"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2类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0"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600"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5"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0"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600"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2"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57.5</w:t>
                  </w:r>
                </w:p>
              </w:tc>
              <w:tc>
                <w:tcPr>
                  <w:tcW w:w="72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57.1</w:t>
                  </w:r>
                </w:p>
              </w:tc>
              <w:tc>
                <w:tcPr>
                  <w:tcW w:w="804"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57.8</w:t>
                  </w:r>
                </w:p>
              </w:tc>
              <w:tc>
                <w:tcPr>
                  <w:tcW w:w="75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57.2</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rPr>
                <w:color w:val="auto"/>
              </w:rPr>
            </w:pPr>
            <w:r>
              <w:rPr>
                <w:rFonts w:hint="eastAsia"/>
                <w:color w:val="auto"/>
              </w:rPr>
              <w:t>验收监测期间，项目1#东厂界、2#南厂界、3#西厂界、4#北厂界，</w:t>
            </w:r>
            <w:r>
              <w:rPr>
                <w:rFonts w:hint="eastAsia"/>
                <w:color w:val="auto"/>
                <w:lang w:eastAsia="zh-CN"/>
              </w:rPr>
              <w:t>昼间厂界噪声最大值分别为</w:t>
            </w:r>
            <w:r>
              <w:rPr>
                <w:rFonts w:hint="eastAsia" w:ascii="Times New Roman" w:hAnsi="Times New Roman" w:eastAsia="宋体" w:cs="Times New Roman"/>
                <w:color w:val="auto"/>
                <w:sz w:val="24"/>
                <w:szCs w:val="24"/>
                <w:lang w:val="en-US" w:eastAsia="zh-CN"/>
              </w:rPr>
              <w:t>57.5</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57.1</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57.8</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57.2</w:t>
            </w:r>
            <w:r>
              <w:rPr>
                <w:rFonts w:hint="eastAsia" w:cs="Times New Roman"/>
                <w:b w:val="0"/>
                <w:bCs w:val="0"/>
                <w:color w:val="auto"/>
                <w:sz w:val="24"/>
                <w:szCs w:val="24"/>
                <w:lang w:val="en-US" w:eastAsia="zh-CN"/>
              </w:rPr>
              <w:t>dB（A），</w:t>
            </w:r>
            <w:r>
              <w:rPr>
                <w:rFonts w:hint="eastAsia"/>
                <w:color w:val="auto"/>
              </w:rPr>
              <w:t>均满足《工业企业厂界环境噪声排放标准》(GB12348-2008)2类</w:t>
            </w:r>
            <w:r>
              <w:rPr>
                <w:rFonts w:hint="eastAsia"/>
                <w:color w:val="auto"/>
                <w:lang w:eastAsia="zh-CN"/>
              </w:rPr>
              <w:t>昼间</w:t>
            </w:r>
            <w:r>
              <w:rPr>
                <w:rFonts w:hint="eastAsia"/>
                <w:color w:val="auto"/>
              </w:rPr>
              <w:t>标准。</w:t>
            </w:r>
            <w:r>
              <w:rPr>
                <w:rFonts w:hint="eastAsia"/>
                <w:color w:val="auto"/>
                <w:lang w:eastAsia="zh-CN"/>
              </w:rPr>
              <w:t>项目</w:t>
            </w:r>
            <w:r>
              <w:rPr>
                <w:rFonts w:hint="eastAsia"/>
                <w:color w:val="auto"/>
              </w:rPr>
              <w:t>夜间不运行。</w:t>
            </w:r>
          </w:p>
          <w:p>
            <w:pPr>
              <w:pStyle w:val="33"/>
              <w:widowControl/>
              <w:adjustRightInd/>
              <w:rPr>
                <w:rFonts w:hint="eastAsia" w:eastAsia="宋体" w:cs="Times New Roman"/>
                <w:color w:val="auto"/>
                <w:szCs w:val="24"/>
                <w:highlight w:val="none"/>
                <w:lang w:eastAsia="zh-CN"/>
              </w:rPr>
            </w:pPr>
            <w:r>
              <w:rPr>
                <w:rFonts w:cs="Times New Roman"/>
                <w:color w:val="auto"/>
                <w:szCs w:val="24"/>
                <w:highlight w:val="none"/>
              </w:rPr>
              <w:t>（4）</w:t>
            </w:r>
            <w:r>
              <w:rPr>
                <w:rFonts w:hint="eastAsia" w:cs="Times New Roman"/>
                <w:color w:val="auto"/>
                <w:szCs w:val="24"/>
                <w:highlight w:val="none"/>
                <w:lang w:eastAsia="zh-CN"/>
              </w:rPr>
              <w:t>固废：</w:t>
            </w:r>
          </w:p>
          <w:p>
            <w:pPr>
              <w:pStyle w:val="33"/>
              <w:widowControl/>
              <w:adjustRightInd/>
              <w:rPr>
                <w:rFonts w:hint="eastAsia" w:cs="Times New Roman"/>
                <w:color w:val="auto"/>
                <w:szCs w:val="24"/>
                <w:highlight w:val="none"/>
              </w:rPr>
            </w:pPr>
            <w:r>
              <w:rPr>
                <w:rFonts w:hint="eastAsia" w:cs="Times New Roman"/>
                <w:color w:val="auto"/>
                <w:sz w:val="24"/>
                <w:szCs w:val="24"/>
                <w:lang w:val="en-US" w:eastAsia="zh-CN"/>
              </w:rPr>
              <w:t>项目产生的固体废物主要是</w:t>
            </w:r>
            <w:r>
              <w:rPr>
                <w:rFonts w:hint="eastAsia" w:cs="Times New Roman"/>
                <w:color w:val="auto"/>
                <w:szCs w:val="24"/>
                <w:highlight w:val="none"/>
              </w:rPr>
              <w:t>实验废物（废试剂瓶、废实验耗材、称量废物、分析实验废渣等）、实验废液（配制试剂废液、实验过程废液、实验器皿首次和二次清洗废液等）、废活性炭</w:t>
            </w:r>
            <w:r>
              <w:rPr>
                <w:rFonts w:hint="eastAsia" w:cs="Times New Roman"/>
                <w:color w:val="auto"/>
                <w:szCs w:val="24"/>
                <w:highlight w:val="none"/>
                <w:lang w:eastAsia="zh-CN"/>
              </w:rPr>
              <w:t>、</w:t>
            </w:r>
            <w:r>
              <w:rPr>
                <w:rFonts w:hint="eastAsia" w:cs="Times New Roman"/>
                <w:color w:val="auto"/>
                <w:szCs w:val="24"/>
                <w:highlight w:val="none"/>
              </w:rPr>
              <w:t>生活垃圾、废包装材料（废纸箱、废纸盒等，来自试剂外包装、实验耗材包装，未沾染化学试剂）。</w:t>
            </w:r>
          </w:p>
          <w:p>
            <w:pPr>
              <w:pStyle w:val="33"/>
              <w:widowControl/>
              <w:adjustRightInd/>
              <w:rPr>
                <w:rFonts w:hint="eastAsia" w:cs="Times New Roman"/>
                <w:color w:val="auto"/>
                <w:szCs w:val="24"/>
                <w:highlight w:val="none"/>
              </w:rPr>
            </w:pPr>
            <w:r>
              <w:rPr>
                <w:rFonts w:hint="eastAsia" w:cs="Times New Roman"/>
                <w:color w:val="auto"/>
                <w:szCs w:val="24"/>
                <w:highlight w:val="none"/>
              </w:rPr>
              <w:t>废包装材料收集后外售物资回收单位，生活垃圾由环卫部门定期清运处理；实验废物（废试剂瓶、废实验耗材、称量废物、分析实验废渣等）、实验废液（配制试剂废液、实验过程废液、实验器皿首次和二次清洗废液等）、废活性炭收集后暂存于危废间，委托</w:t>
            </w:r>
            <w:r>
              <w:rPr>
                <w:rFonts w:hint="eastAsia" w:cs="Times New Roman"/>
                <w:color w:val="auto"/>
                <w:szCs w:val="24"/>
                <w:highlight w:val="none"/>
                <w:lang w:eastAsia="zh-CN"/>
              </w:rPr>
              <w:t>山东敬诚环保科技有限公司</w:t>
            </w:r>
            <w:r>
              <w:rPr>
                <w:rFonts w:hint="eastAsia" w:cs="Times New Roman"/>
                <w:color w:val="auto"/>
                <w:szCs w:val="24"/>
                <w:highlight w:val="none"/>
              </w:rPr>
              <w:t>处置。</w:t>
            </w:r>
          </w:p>
          <w:p>
            <w:pPr>
              <w:pStyle w:val="33"/>
              <w:widowControl/>
              <w:adjustRightInd/>
              <w:rPr>
                <w:rFonts w:cs="Times New Roman"/>
                <w:color w:val="auto"/>
                <w:szCs w:val="24"/>
                <w:highlight w:val="none"/>
              </w:rPr>
            </w:pPr>
            <w:r>
              <w:rPr>
                <w:rFonts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cs="Times New Roman"/>
                <w:color w:val="auto"/>
                <w:szCs w:val="24"/>
                <w:highlight w:val="none"/>
              </w:rPr>
              <w:t>签订危废委托处理协议。</w:t>
            </w:r>
          </w:p>
          <w:p>
            <w:pPr>
              <w:pStyle w:val="33"/>
              <w:widowControl/>
              <w:adjustRightInd/>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widowControl/>
              <w:adjustRightInd/>
              <w:rPr>
                <w:rFonts w:cs="Times New Roman"/>
                <w:color w:val="auto"/>
                <w:szCs w:val="24"/>
                <w:highlight w:val="none"/>
              </w:rPr>
            </w:pPr>
          </w:p>
          <w:p>
            <w:pPr>
              <w:pStyle w:val="33"/>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236" w:name="_Toc16551"/>
      <w:bookmarkStart w:id="237" w:name="_Toc16011"/>
      <w:bookmarkStart w:id="238" w:name="_Toc5731"/>
      <w:bookmarkStart w:id="239" w:name="_Toc4249"/>
      <w:bookmarkStart w:id="240" w:name="_Toc8603"/>
      <w:bookmarkStart w:id="241" w:name="_Toc17725"/>
      <w:bookmarkStart w:id="242" w:name="_Toc20604"/>
      <w:bookmarkStart w:id="243" w:name="_Toc23936"/>
      <w:bookmarkStart w:id="244" w:name="_Toc14702"/>
      <w:bookmarkStart w:id="245" w:name="_Toc7178"/>
      <w:bookmarkStart w:id="246" w:name="_Toc23621"/>
      <w:bookmarkStart w:id="247" w:name="_Toc15923"/>
      <w:bookmarkStart w:id="248" w:name="_Toc29560"/>
      <w:bookmarkStart w:id="249" w:name="_Toc7922"/>
      <w:bookmarkStart w:id="250" w:name="_Toc31702"/>
      <w:bookmarkStart w:id="251" w:name="_Toc4233"/>
      <w:bookmarkStart w:id="252" w:name="_Toc8828"/>
      <w:bookmarkStart w:id="253" w:name="_Toc12064"/>
      <w:bookmarkStart w:id="254" w:name="_Toc9734"/>
      <w:bookmarkStart w:id="255" w:name="_Toc27342"/>
      <w:bookmarkStart w:id="256" w:name="_Toc20926"/>
      <w:bookmarkStart w:id="257" w:name="_Toc18005"/>
      <w:bookmarkStart w:id="258" w:name="_Toc5757"/>
      <w:bookmarkStart w:id="259" w:name="_Toc29505"/>
      <w:bookmarkStart w:id="260" w:name="_Toc24245"/>
      <w:bookmarkStart w:id="261" w:name="_Toc1295"/>
      <w:bookmarkStart w:id="262" w:name="_Toc18646"/>
      <w:bookmarkStart w:id="263" w:name="_Toc7589"/>
      <w:r>
        <w:rPr>
          <w:b/>
          <w:bCs/>
          <w:color w:val="auto"/>
          <w:sz w:val="30"/>
          <w:szCs w:val="30"/>
          <w:highlight w:val="none"/>
        </w:rPr>
        <w:t>表9  验收监测结论及建议</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Style w:val="28"/>
        <w:tblW w:w="4997" w:type="pct"/>
        <w:tblInd w:w="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3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color w:val="auto"/>
                <w:szCs w:val="24"/>
                <w:highlight w:val="none"/>
              </w:rPr>
            </w:pPr>
            <w:r>
              <w:rPr>
                <w:rFonts w:cs="Times New Roman"/>
                <w:b/>
                <w:bCs/>
                <w:color w:val="auto"/>
                <w:szCs w:val="24"/>
                <w:highlight w:val="none"/>
              </w:rPr>
              <w:t>一、验收监测结论：</w:t>
            </w:r>
          </w:p>
          <w:p>
            <w:pPr>
              <w:pStyle w:val="33"/>
              <w:rPr>
                <w:rFonts w:hint="eastAsia" w:cs="Times New Roman"/>
                <w:color w:val="auto"/>
                <w:spacing w:val="0"/>
                <w:kern w:val="21"/>
                <w:sz w:val="24"/>
                <w:szCs w:val="24"/>
                <w:lang w:eastAsia="zh-CN"/>
              </w:rPr>
            </w:pPr>
            <w:r>
              <w:rPr>
                <w:rFonts w:hint="eastAsia" w:cs="Times New Roman"/>
                <w:color w:val="auto"/>
                <w:szCs w:val="24"/>
                <w:lang w:val="en-US" w:eastAsia="zh-CN"/>
              </w:rPr>
              <w:t>国鼎药物研究（济南）有限责任公司</w:t>
            </w:r>
            <w:r>
              <w:rPr>
                <w:rFonts w:hint="default" w:cs="Times New Roman"/>
                <w:color w:val="auto"/>
                <w:szCs w:val="24"/>
                <w:lang w:val="en-US" w:eastAsia="zh-CN"/>
              </w:rPr>
              <w:t>成立于2020年07月10日，注册地位于山东省济南市高新区世纪大道2566号迪亚双创产业园G栋503室，法定代表人为马崇雷。经营范围包括医药、生物、药品、化工领域内的技术开发；生产、批发、零售：化学试剂、医药中间体、原料药、药用辅料、食品添加剂、饲料添加剂、化工产品</w:t>
            </w:r>
            <w:r>
              <w:rPr>
                <w:rFonts w:hint="eastAsia" w:cs="Times New Roman"/>
                <w:color w:val="auto"/>
                <w:szCs w:val="24"/>
                <w:lang w:val="en-US" w:eastAsia="zh-CN"/>
              </w:rPr>
              <w:t>等。</w:t>
            </w:r>
          </w:p>
          <w:p>
            <w:pPr>
              <w:pStyle w:val="33"/>
              <w:rPr>
                <w:rFonts w:hint="eastAsia" w:cs="Times New Roman"/>
                <w:color w:val="auto"/>
                <w:sz w:val="24"/>
                <w:szCs w:val="24"/>
                <w:highlight w:val="none"/>
                <w:lang w:val="en-US" w:eastAsia="zh-CN"/>
              </w:rPr>
            </w:pPr>
            <w:r>
              <w:rPr>
                <w:rFonts w:hint="eastAsia" w:cs="Times New Roman"/>
                <w:color w:val="auto"/>
                <w:spacing w:val="0"/>
                <w:kern w:val="21"/>
                <w:sz w:val="24"/>
                <w:szCs w:val="24"/>
                <w:lang w:eastAsia="zh-CN"/>
              </w:rPr>
              <w:t>国鼎药物研究（济南）有限责任公司国鼎药物研发实验室项目（一期）</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山东省济南市高新区世纪大道2566号迪亚双创产业园7号楼5层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，总建筑面积为1223.56</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项目主要包括实验室、办公室、会议室、试剂库（固体库、液体库、易制毒库）、成品库、危废暂存间等。实验室配备各类精密仪器设备，如气相色谱仪、液相色谱仪、水分测定仪等精密仪器设备。项目主要为新药研发化学合成与分析报告、新药样品。规划年产</w:t>
            </w:r>
            <w:r>
              <w:rPr>
                <w:rFonts w:hint="eastAsia" w:cs="Times New Roman"/>
                <w:color w:val="auto"/>
                <w:kern w:val="2"/>
                <w:sz w:val="24"/>
                <w:szCs w:val="24"/>
                <w:highlight w:val="none"/>
                <w:lang w:val="en-US" w:eastAsia="zh-CN" w:bidi="ar-SA"/>
              </w:rPr>
              <w:t>试验报告500份、新药样品100kg。</w:t>
            </w:r>
          </w:p>
          <w:p>
            <w:pPr>
              <w:pStyle w:val="33"/>
              <w:rPr>
                <w:rFonts w:hint="default" w:ascii="Times New Roman" w:hAnsi="Times New Roman" w:eastAsia="宋体" w:cs="Times New Roman"/>
                <w:color w:val="auto"/>
                <w:spacing w:val="8"/>
                <w:sz w:val="24"/>
              </w:rPr>
            </w:pPr>
            <w:r>
              <w:rPr>
                <w:rFonts w:hint="eastAsia" w:cs="Times New Roman"/>
                <w:color w:val="auto"/>
                <w:sz w:val="24"/>
                <w:szCs w:val="24"/>
                <w:highlight w:val="none"/>
                <w:lang w:eastAsia="zh-CN"/>
              </w:rPr>
              <w:t>截至目前，因资质认定和资金不足等问题，项目尚有部分设备未到位（设备设置情况见表2-3），实际</w:t>
            </w:r>
            <w:r>
              <w:rPr>
                <w:rFonts w:hint="eastAsia" w:cs="Times New Roman"/>
                <w:color w:val="auto"/>
                <w:sz w:val="24"/>
                <w:szCs w:val="24"/>
                <w:highlight w:val="none"/>
                <w:lang w:val="en-US" w:eastAsia="zh-CN"/>
              </w:rPr>
              <w:t>年产</w:t>
            </w:r>
            <w:r>
              <w:rPr>
                <w:rFonts w:hint="eastAsia" w:cs="Times New Roman"/>
                <w:color w:val="auto"/>
                <w:kern w:val="2"/>
                <w:sz w:val="24"/>
                <w:szCs w:val="24"/>
                <w:highlight w:val="none"/>
                <w:lang w:val="en-US" w:eastAsia="zh-CN" w:bidi="ar-SA"/>
              </w:rPr>
              <w:t>试验报告450份、新药样品90kg</w:t>
            </w:r>
            <w:r>
              <w:rPr>
                <w:rFonts w:hint="eastAsia" w:cs="Times New Roman"/>
                <w:color w:val="auto"/>
                <w:sz w:val="24"/>
                <w:szCs w:val="24"/>
                <w:highlight w:val="none"/>
                <w:lang w:eastAsia="zh-CN"/>
              </w:rPr>
              <w:t>，故本次按一期验收。</w:t>
            </w:r>
            <w:r>
              <w:rPr>
                <w:rFonts w:hint="eastAsia" w:cs="Times New Roman"/>
                <w:color w:val="auto"/>
                <w:szCs w:val="24"/>
                <w:lang w:val="en-US" w:eastAsia="zh-CN"/>
              </w:rPr>
              <w:t>一期项目</w:t>
            </w:r>
            <w:r>
              <w:rPr>
                <w:rFonts w:hint="default" w:cs="Times New Roman"/>
                <w:color w:val="auto"/>
                <w:szCs w:val="24"/>
                <w:lang w:val="en-US" w:eastAsia="zh-CN"/>
              </w:rPr>
              <w:t>总投资</w:t>
            </w:r>
            <w:r>
              <w:rPr>
                <w:rFonts w:hint="eastAsia" w:cs="Times New Roman"/>
                <w:color w:val="auto"/>
                <w:szCs w:val="24"/>
                <w:lang w:val="en-US" w:eastAsia="zh-CN"/>
              </w:rPr>
              <w:t>450</w:t>
            </w:r>
            <w:r>
              <w:rPr>
                <w:rFonts w:hint="default" w:cs="Times New Roman"/>
                <w:color w:val="auto"/>
                <w:szCs w:val="24"/>
                <w:lang w:val="en-US" w:eastAsia="zh-CN"/>
              </w:rPr>
              <w:t>万元，其中环保投资</w:t>
            </w:r>
            <w:r>
              <w:rPr>
                <w:rFonts w:hint="eastAsia" w:cs="Times New Roman"/>
                <w:color w:val="auto"/>
                <w:szCs w:val="24"/>
                <w:lang w:val="en-US" w:eastAsia="zh-CN"/>
              </w:rPr>
              <w:t>42</w:t>
            </w:r>
            <w:r>
              <w:rPr>
                <w:rFonts w:hint="default" w:cs="Times New Roman"/>
                <w:color w:val="auto"/>
                <w:szCs w:val="24"/>
                <w:lang w:val="en-US" w:eastAsia="zh-CN"/>
              </w:rPr>
              <w:t>万元</w:t>
            </w:r>
            <w:r>
              <w:rPr>
                <w:rFonts w:hint="default" w:cs="Times New Roman"/>
                <w:color w:val="auto"/>
                <w:szCs w:val="24"/>
                <w:lang w:eastAsia="zh-CN"/>
              </w:rPr>
              <w:t>，</w:t>
            </w:r>
            <w:r>
              <w:rPr>
                <w:rFonts w:hint="eastAsia" w:cs="Times New Roman"/>
                <w:color w:val="auto"/>
                <w:szCs w:val="24"/>
                <w:lang w:eastAsia="zh-CN"/>
              </w:rPr>
              <w:t>一期</w:t>
            </w:r>
            <w:r>
              <w:rPr>
                <w:rFonts w:hint="eastAsia" w:cs="Times New Roman"/>
                <w:color w:val="auto"/>
                <w:sz w:val="24"/>
                <w:szCs w:val="24"/>
                <w:lang w:eastAsia="zh-CN"/>
              </w:rPr>
              <w:t>项目职工定员</w:t>
            </w:r>
            <w:r>
              <w:rPr>
                <w:rFonts w:hint="eastAsia" w:cs="Times New Roman"/>
                <w:color w:val="auto"/>
                <w:sz w:val="24"/>
                <w:szCs w:val="24"/>
                <w:lang w:val="en-US" w:eastAsia="zh-CN"/>
              </w:rPr>
              <w:t>40</w:t>
            </w:r>
            <w:r>
              <w:rPr>
                <w:rFonts w:hint="eastAsia" w:cs="Times New Roman"/>
                <w:color w:val="auto"/>
                <w:sz w:val="24"/>
                <w:szCs w:val="24"/>
                <w:lang w:eastAsia="zh-CN"/>
              </w:rPr>
              <w:t>人</w:t>
            </w:r>
            <w:r>
              <w:rPr>
                <w:rFonts w:hint="default" w:ascii="Times New Roman" w:hAnsi="Times New Roman" w:cs="Times New Roman"/>
                <w:color w:val="auto"/>
                <w:sz w:val="24"/>
                <w:szCs w:val="24"/>
              </w:rPr>
              <w:t>，</w:t>
            </w:r>
            <w:r>
              <w:rPr>
                <w:rFonts w:hint="default" w:ascii="Times New Roman" w:hAnsi="Times New Roman" w:eastAsia="宋体" w:cs="Times New Roman"/>
                <w:color w:val="auto"/>
                <w:szCs w:val="24"/>
                <w:highlight w:val="none"/>
                <w:lang w:val="en-US" w:eastAsia="zh-CN"/>
              </w:rPr>
              <w:t>每天工作8小时</w:t>
            </w:r>
            <w:r>
              <w:rPr>
                <w:rFonts w:hint="default" w:ascii="Times New Roman" w:hAnsi="Times New Roman" w:cs="Times New Roman"/>
                <w:color w:val="auto"/>
                <w:sz w:val="24"/>
                <w:szCs w:val="24"/>
              </w:rPr>
              <w:t>，年工作</w:t>
            </w:r>
            <w:r>
              <w:rPr>
                <w:rFonts w:hint="eastAsia" w:cs="Times New Roman"/>
                <w:color w:val="auto"/>
                <w:sz w:val="24"/>
                <w:szCs w:val="24"/>
                <w:lang w:eastAsia="zh-CN"/>
              </w:rPr>
              <w:t>约</w:t>
            </w:r>
            <w:r>
              <w:rPr>
                <w:rFonts w:hint="eastAsia" w:cs="Times New Roman"/>
                <w:color w:val="auto"/>
                <w:sz w:val="24"/>
                <w:szCs w:val="24"/>
                <w:lang w:val="en-US" w:eastAsia="zh-CN"/>
              </w:rPr>
              <w:t>300</w:t>
            </w:r>
            <w:r>
              <w:rPr>
                <w:rFonts w:hint="default" w:ascii="Times New Roman" w:hAnsi="Times New Roman" w:cs="Times New Roman"/>
                <w:color w:val="auto"/>
                <w:sz w:val="24"/>
                <w:szCs w:val="24"/>
              </w:rPr>
              <w:t>天</w:t>
            </w:r>
            <w:r>
              <w:rPr>
                <w:rFonts w:hint="default"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夜间不生产</w:t>
            </w:r>
            <w:r>
              <w:rPr>
                <w:rFonts w:hint="default" w:ascii="Times New Roman" w:hAnsi="Times New Roman" w:eastAsia="宋体" w:cs="Times New Roman"/>
                <w:color w:val="auto"/>
                <w:sz w:val="24"/>
                <w:szCs w:val="24"/>
                <w:lang w:eastAsia="zh-CN"/>
              </w:rPr>
              <w:t>。</w:t>
            </w:r>
          </w:p>
          <w:p>
            <w:pPr>
              <w:ind w:firstLine="480"/>
              <w:rPr>
                <w:color w:val="auto"/>
                <w:highlight w:val="none"/>
              </w:rPr>
            </w:pPr>
            <w:r>
              <w:rPr>
                <w:rFonts w:hint="eastAsia"/>
                <w:color w:val="auto"/>
                <w:highlight w:val="none"/>
                <w:lang w:eastAsia="zh-CN"/>
              </w:rPr>
              <w:t>国鼎药物研究（济南）有限责任公司</w:t>
            </w:r>
            <w:r>
              <w:rPr>
                <w:color w:val="auto"/>
                <w:highlight w:val="none"/>
              </w:rPr>
              <w:t>2021年</w:t>
            </w:r>
            <w:r>
              <w:rPr>
                <w:rFonts w:hint="eastAsia"/>
                <w:color w:val="auto"/>
                <w:highlight w:val="none"/>
                <w:lang w:val="en-US" w:eastAsia="zh-CN"/>
              </w:rPr>
              <w:t>5</w:t>
            </w:r>
            <w:r>
              <w:rPr>
                <w:color w:val="auto"/>
                <w:highlight w:val="none"/>
              </w:rPr>
              <w:t>月委托</w:t>
            </w:r>
            <w:r>
              <w:rPr>
                <w:rFonts w:hint="eastAsia"/>
                <w:color w:val="auto"/>
                <w:highlight w:val="none"/>
                <w:lang w:eastAsia="zh-CN"/>
              </w:rPr>
              <w:t>山东博瑞达环保科技有限公司</w:t>
            </w:r>
            <w:r>
              <w:rPr>
                <w:color w:val="auto"/>
                <w:kern w:val="21"/>
                <w:highlight w:val="none"/>
              </w:rPr>
              <w:t>编制完成了</w:t>
            </w:r>
            <w:r>
              <w:rPr>
                <w:color w:val="auto"/>
                <w:highlight w:val="none"/>
              </w:rPr>
              <w:t>《</w:t>
            </w:r>
            <w:r>
              <w:rPr>
                <w:rFonts w:hint="eastAsia"/>
                <w:color w:val="auto"/>
                <w:highlight w:val="none"/>
                <w:lang w:eastAsia="zh-CN"/>
              </w:rPr>
              <w:t>国鼎药物研究（济南）有限责任公司国鼎药物研发实验室项目环境影响</w:t>
            </w:r>
            <w:r>
              <w:rPr>
                <w:color w:val="auto"/>
                <w:highlight w:val="none"/>
              </w:rPr>
              <w:t>报告表》，并于</w:t>
            </w:r>
            <w:r>
              <w:rPr>
                <w:rFonts w:hint="eastAsia"/>
                <w:color w:val="auto"/>
                <w:highlight w:val="none"/>
                <w:lang w:eastAsia="zh-CN"/>
              </w:rPr>
              <w:t>2021年7月20日</w:t>
            </w:r>
            <w:r>
              <w:rPr>
                <w:color w:val="auto"/>
                <w:highlight w:val="none"/>
              </w:rPr>
              <w:t>经济南市生态环境局审批（</w:t>
            </w:r>
            <w:r>
              <w:rPr>
                <w:rFonts w:hint="eastAsia"/>
                <w:color w:val="auto"/>
                <w:highlight w:val="none"/>
                <w:lang w:eastAsia="zh-CN"/>
              </w:rPr>
              <w:t>济环报告表［2021］G47号</w:t>
            </w:r>
            <w:r>
              <w:rPr>
                <w:color w:val="auto"/>
                <w:highlight w:val="none"/>
              </w:rPr>
              <w:t>）。</w:t>
            </w:r>
          </w:p>
          <w:p>
            <w:pPr>
              <w:pStyle w:val="33"/>
              <w:rPr>
                <w:color w:val="auto"/>
                <w:highlight w:val="none"/>
              </w:rPr>
            </w:pPr>
            <w:r>
              <w:rPr>
                <w:rFonts w:hint="eastAsia" w:cs="Times New Roman"/>
                <w:color w:val="auto"/>
                <w:highlight w:val="none"/>
                <w:lang w:eastAsia="zh-CN"/>
              </w:rPr>
              <w:t>一期项目于2021年7月开工建设，2021年10月建成并进行调试，</w:t>
            </w:r>
            <w:r>
              <w:rPr>
                <w:color w:val="auto"/>
                <w:highlight w:val="none"/>
              </w:rPr>
              <w:t>环</w:t>
            </w:r>
            <w:r>
              <w:rPr>
                <w:rFonts w:hint="eastAsia"/>
                <w:color w:val="auto"/>
                <w:highlight w:val="none"/>
                <w:lang w:eastAsia="zh-CN"/>
              </w:rPr>
              <w:t>保设施同时设计、同时施工并同时进行调试，调试期间运行状况良好</w:t>
            </w:r>
            <w:r>
              <w:rPr>
                <w:color w:val="auto"/>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国鼎药物研究（济南）有限责任公司国鼎药物研发实验室项目（一期）</w:t>
            </w:r>
            <w:r>
              <w:rPr>
                <w:color w:val="auto"/>
                <w:kern w:val="21"/>
                <w:highlight w:val="none"/>
              </w:rPr>
              <w:t>建成后的全部内容。</w:t>
            </w:r>
          </w:p>
          <w:p>
            <w:pPr>
              <w:pStyle w:val="33"/>
              <w:rPr>
                <w:rFonts w:cs="Times New Roman"/>
                <w:color w:val="auto"/>
                <w:szCs w:val="24"/>
                <w:highlight w:val="none"/>
              </w:rPr>
            </w:pPr>
            <w:r>
              <w:rPr>
                <w:color w:val="auto"/>
                <w:kern w:val="0"/>
                <w:highlight w:val="none"/>
              </w:rPr>
              <w:t>根据</w:t>
            </w:r>
            <w:r>
              <w:rPr>
                <w:color w:val="auto"/>
                <w:highlight w:val="none"/>
              </w:rPr>
              <w:t>生态环境部＜关于发布《建设项目竣工环境保护验收技术指南 污染影响类》的公告＞（公告2018年 第9号）及《建设项目竣工环境保护验收暂行办法》（国环规环评[2017] 4号）</w:t>
            </w:r>
            <w:r>
              <w:rPr>
                <w:color w:val="auto"/>
                <w:kern w:val="0"/>
                <w:highlight w:val="none"/>
              </w:rPr>
              <w:t>要求，需对</w:t>
            </w:r>
            <w:r>
              <w:rPr>
                <w:rFonts w:hint="eastAsia"/>
                <w:color w:val="auto"/>
                <w:highlight w:val="none"/>
                <w:lang w:eastAsia="zh-CN"/>
              </w:rPr>
              <w:t>国鼎药物研究（济南）有限责任公司国鼎药物研发实验室项目（一期）</w:t>
            </w:r>
            <w:r>
              <w:rPr>
                <w:color w:val="auto"/>
                <w:kern w:val="0"/>
                <w:highlight w:val="none"/>
              </w:rPr>
              <w:t>进行竣工环境保护验收。</w:t>
            </w:r>
            <w:r>
              <w:rPr>
                <w:rFonts w:hint="eastAsia"/>
                <w:color w:val="auto"/>
                <w:kern w:val="0"/>
                <w:highlight w:val="none"/>
              </w:rPr>
              <w:t>因不具备检测能力，</w:t>
            </w:r>
            <w:r>
              <w:rPr>
                <w:rFonts w:hint="eastAsia"/>
                <w:color w:val="auto"/>
                <w:highlight w:val="none"/>
                <w:lang w:eastAsia="zh-CN"/>
              </w:rPr>
              <w:t>国鼎药物研究（济南）有限责任公司委托山东华晟环境检测有限公司于</w:t>
            </w:r>
            <w:r>
              <w:rPr>
                <w:rFonts w:hint="eastAsia"/>
                <w:color w:val="auto"/>
                <w:kern w:val="0"/>
                <w:highlight w:val="none"/>
                <w:lang w:eastAsia="zh-CN"/>
              </w:rPr>
              <w:t>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25</w:t>
            </w:r>
            <w:r>
              <w:rPr>
                <w:rFonts w:hint="eastAsia"/>
                <w:color w:val="auto"/>
                <w:kern w:val="0"/>
                <w:highlight w:val="none"/>
                <w:lang w:eastAsia="zh-CN"/>
              </w:rPr>
              <w:t>日~202</w:t>
            </w:r>
            <w:r>
              <w:rPr>
                <w:rFonts w:hint="eastAsia"/>
                <w:color w:val="auto"/>
                <w:kern w:val="0"/>
                <w:highlight w:val="none"/>
                <w:lang w:val="en-US" w:eastAsia="zh-CN"/>
              </w:rPr>
              <w:t>1</w:t>
            </w:r>
            <w:r>
              <w:rPr>
                <w:rFonts w:hint="eastAsia"/>
                <w:color w:val="auto"/>
                <w:kern w:val="0"/>
                <w:highlight w:val="none"/>
                <w:lang w:eastAsia="zh-CN"/>
              </w:rPr>
              <w:t>年</w:t>
            </w:r>
            <w:r>
              <w:rPr>
                <w:rFonts w:hint="eastAsia"/>
                <w:color w:val="auto"/>
                <w:kern w:val="0"/>
                <w:highlight w:val="none"/>
                <w:lang w:val="en-US" w:eastAsia="zh-CN"/>
              </w:rPr>
              <w:t>10</w:t>
            </w:r>
            <w:r>
              <w:rPr>
                <w:rFonts w:hint="eastAsia"/>
                <w:color w:val="auto"/>
                <w:kern w:val="0"/>
                <w:highlight w:val="none"/>
                <w:lang w:eastAsia="zh-CN"/>
              </w:rPr>
              <w:t>月</w:t>
            </w:r>
            <w:r>
              <w:rPr>
                <w:rFonts w:hint="eastAsia"/>
                <w:color w:val="auto"/>
                <w:kern w:val="0"/>
                <w:highlight w:val="none"/>
                <w:lang w:val="en-US" w:eastAsia="zh-CN"/>
              </w:rPr>
              <w:t>26</w:t>
            </w:r>
            <w:r>
              <w:rPr>
                <w:rFonts w:hint="eastAsia"/>
                <w:color w:val="auto"/>
                <w:kern w:val="0"/>
                <w:highlight w:val="none"/>
                <w:lang w:eastAsia="zh-CN"/>
              </w:rPr>
              <w:t>日、2022年8月1日~2022年8月3日</w:t>
            </w:r>
            <w:r>
              <w:rPr>
                <w:rFonts w:hint="eastAsia"/>
                <w:color w:val="auto"/>
                <w:kern w:val="0"/>
                <w:highlight w:val="none"/>
              </w:rPr>
              <w:t>，共计</w:t>
            </w:r>
            <w:r>
              <w:rPr>
                <w:rFonts w:hint="eastAsia"/>
                <w:color w:val="auto"/>
                <w:kern w:val="0"/>
                <w:highlight w:val="none"/>
                <w:lang w:val="en-US" w:eastAsia="zh-CN"/>
              </w:rPr>
              <w:t>5</w:t>
            </w:r>
            <w:r>
              <w:rPr>
                <w:color w:val="auto"/>
                <w:kern w:val="0"/>
                <w:highlight w:val="none"/>
              </w:rPr>
              <w:t>天对本项目</w:t>
            </w:r>
            <w:r>
              <w:rPr>
                <w:rFonts w:hint="eastAsia"/>
                <w:color w:val="auto"/>
                <w:kern w:val="0"/>
                <w:highlight w:val="none"/>
              </w:rPr>
              <w:t>废气、废水、噪声</w:t>
            </w:r>
            <w:r>
              <w:rPr>
                <w:color w:val="auto"/>
                <w:kern w:val="0"/>
                <w:highlight w:val="none"/>
              </w:rPr>
              <w:t>进行了</w:t>
            </w:r>
            <w:r>
              <w:rPr>
                <w:rFonts w:hint="eastAsia"/>
                <w:color w:val="auto"/>
                <w:kern w:val="0"/>
                <w:highlight w:val="none"/>
              </w:rPr>
              <w:t>竣工</w:t>
            </w:r>
            <w:r>
              <w:rPr>
                <w:color w:val="auto"/>
                <w:kern w:val="0"/>
                <w:highlight w:val="none"/>
              </w:rPr>
              <w:t>验收</w:t>
            </w:r>
            <w:r>
              <w:rPr>
                <w:rFonts w:hint="eastAsia"/>
                <w:color w:val="auto"/>
                <w:kern w:val="0"/>
                <w:highlight w:val="none"/>
              </w:rPr>
              <w:t>检测并出具检测报告</w:t>
            </w:r>
            <w:r>
              <w:rPr>
                <w:bCs/>
                <w:caps/>
                <w:color w:val="auto"/>
                <w:kern w:val="0"/>
                <w:highlight w:val="none"/>
              </w:rPr>
              <w:t>。</w:t>
            </w:r>
            <w:r>
              <w:rPr>
                <w:rFonts w:hint="eastAsia"/>
                <w:bCs/>
                <w:caps/>
                <w:color w:val="auto"/>
                <w:kern w:val="0"/>
                <w:highlight w:val="none"/>
              </w:rPr>
              <w:t>根据项目情况及检测报告，</w:t>
            </w:r>
            <w:r>
              <w:rPr>
                <w:rFonts w:hint="eastAsia"/>
                <w:color w:val="auto"/>
                <w:kern w:val="21"/>
                <w:highlight w:val="none"/>
                <w:lang w:eastAsia="zh-CN"/>
              </w:rPr>
              <w:t>国鼎药物研究（济南）有限责任公司</w:t>
            </w:r>
            <w:r>
              <w:rPr>
                <w:rFonts w:hint="eastAsia"/>
                <w:color w:val="auto"/>
                <w:kern w:val="21"/>
                <w:highlight w:val="none"/>
              </w:rPr>
              <w:t>于2022年</w:t>
            </w:r>
            <w:r>
              <w:rPr>
                <w:rFonts w:hint="eastAsia"/>
                <w:color w:val="auto"/>
                <w:kern w:val="21"/>
                <w:highlight w:val="none"/>
                <w:lang w:val="en-US" w:eastAsia="zh-CN"/>
              </w:rPr>
              <w:t>9</w:t>
            </w:r>
            <w:r>
              <w:rPr>
                <w:rFonts w:hint="eastAsia"/>
                <w:color w:val="auto"/>
                <w:kern w:val="21"/>
                <w:highlight w:val="none"/>
              </w:rPr>
              <w:t>月编制完成了《</w:t>
            </w:r>
            <w:r>
              <w:rPr>
                <w:rFonts w:hint="eastAsia"/>
                <w:color w:val="auto"/>
                <w:kern w:val="21"/>
                <w:highlight w:val="none"/>
                <w:lang w:eastAsia="zh-CN"/>
              </w:rPr>
              <w:t>国鼎药物研究（济南）有限责任公司国鼎药物研发实验室项目（一期）</w:t>
            </w:r>
            <w:r>
              <w:rPr>
                <w:rFonts w:hint="eastAsia"/>
                <w:color w:val="auto"/>
                <w:highlight w:val="none"/>
              </w:rPr>
              <w:t>竣工环境保护验收监测报告表</w:t>
            </w:r>
            <w:r>
              <w:rPr>
                <w:rFonts w:hint="eastAsia"/>
                <w:color w:val="auto"/>
                <w:kern w:val="21"/>
                <w:highlight w:val="none"/>
              </w:rPr>
              <w:t>》</w:t>
            </w:r>
            <w:r>
              <w:rPr>
                <w:rFonts w:hint="eastAsia" w:cs="Times New Roman"/>
                <w:color w:val="auto"/>
                <w:kern w:val="21"/>
                <w:szCs w:val="24"/>
                <w:highlight w:val="none"/>
              </w:rPr>
              <w:t>，</w:t>
            </w:r>
            <w:r>
              <w:rPr>
                <w:rFonts w:hint="eastAsia" w:cs="Times New Roman"/>
                <w:color w:val="auto"/>
                <w:szCs w:val="24"/>
                <w:highlight w:val="none"/>
              </w:rPr>
              <w:t>结论如下：</w:t>
            </w:r>
          </w:p>
          <w:p>
            <w:pPr>
              <w:pStyle w:val="33"/>
              <w:ind w:firstLine="482"/>
              <w:rPr>
                <w:rFonts w:cs="Times New Roman"/>
                <w:b/>
                <w:bCs/>
                <w:color w:val="auto"/>
                <w:szCs w:val="24"/>
                <w:highlight w:val="none"/>
              </w:rPr>
            </w:pPr>
            <w:r>
              <w:rPr>
                <w:rFonts w:hint="eastAsia" w:cs="Times New Roman"/>
                <w:b/>
                <w:bCs/>
                <w:color w:val="auto"/>
                <w:szCs w:val="24"/>
                <w:highlight w:val="none"/>
              </w:rPr>
              <w:t>1、变更情况：</w:t>
            </w:r>
          </w:p>
          <w:p>
            <w:pPr>
              <w:pStyle w:val="33"/>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eastAsia" w:cs="Times New Roman"/>
                <w:b w:val="0"/>
                <w:bCs w:val="0"/>
                <w:color w:val="auto"/>
                <w:sz w:val="24"/>
                <w:szCs w:val="24"/>
                <w:lang w:val="en-US" w:eastAsia="zh-CN"/>
              </w:rPr>
              <w:t>一期</w:t>
            </w:r>
            <w:r>
              <w:rPr>
                <w:rFonts w:hint="default" w:ascii="Times New Roman" w:hAnsi="Times New Roman" w:eastAsia="宋体" w:cs="Times New Roman"/>
                <w:b w:val="0"/>
                <w:bCs w:val="0"/>
                <w:color w:val="auto"/>
                <w:sz w:val="24"/>
                <w:szCs w:val="24"/>
                <w:lang w:val="en-US" w:eastAsia="zh-CN"/>
              </w:rPr>
              <w:t>项目建设过程发生的主要变化为：</w:t>
            </w:r>
          </w:p>
          <w:p>
            <w:pPr>
              <w:pStyle w:val="33"/>
              <w:numPr>
                <w:ilvl w:val="0"/>
                <w:numId w:val="0"/>
              </w:numPr>
              <w:ind w:firstLine="480" w:firstLineChars="200"/>
              <w:rPr>
                <w:rFonts w:hint="eastAsia" w:ascii="Calibri" w:hAnsi="Calibri" w:eastAsia="宋体" w:cs="Calibri"/>
                <w:b w:val="0"/>
                <w:bCs w:val="0"/>
                <w:color w:val="auto"/>
                <w:sz w:val="24"/>
                <w:szCs w:val="24"/>
                <w:lang w:val="en-US" w:eastAsia="zh-CN"/>
              </w:rPr>
            </w:pPr>
            <w:r>
              <w:rPr>
                <w:rFonts w:hint="eastAsia" w:ascii="Calibri" w:hAnsi="Calibri" w:eastAsia="宋体" w:cs="Calibri"/>
                <w:b w:val="0"/>
                <w:bCs w:val="0"/>
                <w:color w:val="auto"/>
                <w:sz w:val="24"/>
                <w:szCs w:val="24"/>
                <w:lang w:val="en-US" w:eastAsia="zh-CN"/>
              </w:rPr>
              <w:t>根据实际工作需要，配置的设备较环评阶段有适当调整，原辅料种类基本一致，使用量减少，未增加排污，项目性质不变。</w:t>
            </w:r>
          </w:p>
          <w:p>
            <w:pPr>
              <w:pStyle w:val="33"/>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项目分期建设，</w:t>
            </w:r>
            <w:r>
              <w:rPr>
                <w:rFonts w:hint="default" w:ascii="Times New Roman" w:hAnsi="Times New Roman" w:eastAsia="宋体" w:cs="Times New Roman"/>
                <w:b w:val="0"/>
                <w:bCs w:val="0"/>
                <w:color w:val="auto"/>
                <w:sz w:val="24"/>
                <w:szCs w:val="24"/>
                <w:lang w:val="en-US" w:eastAsia="zh-CN"/>
              </w:rPr>
              <w:t>项目性质、实际建设地点、生产工艺、防治污染的措施与环评基本一致</w:t>
            </w:r>
            <w:r>
              <w:rPr>
                <w:rFonts w:hint="eastAsia" w:cs="Times New Roman"/>
                <w:b w:val="0"/>
                <w:bCs w:val="0"/>
                <w:color w:val="auto"/>
                <w:sz w:val="24"/>
                <w:szCs w:val="24"/>
                <w:lang w:val="en-US" w:eastAsia="zh-CN"/>
              </w:rPr>
              <w:t>，不属于重大变动，应纳入竣</w:t>
            </w:r>
            <w:r>
              <w:rPr>
                <w:rFonts w:hint="default" w:ascii="Times New Roman" w:hAnsi="Times New Roman" w:eastAsia="宋体" w:cs="Times New Roman"/>
                <w:b w:val="0"/>
                <w:bCs w:val="0"/>
                <w:color w:val="auto"/>
                <w:sz w:val="24"/>
                <w:szCs w:val="24"/>
                <w:lang w:val="en-US" w:eastAsia="zh-CN"/>
              </w:rPr>
              <w:t>工环境保护验收管理。</w:t>
            </w:r>
          </w:p>
          <w:p>
            <w:pPr>
              <w:pStyle w:val="33"/>
              <w:ind w:firstLine="482"/>
              <w:rPr>
                <w:rFonts w:cs="Times New Roman"/>
                <w:color w:val="auto"/>
                <w:highlight w:val="none"/>
              </w:rPr>
            </w:pPr>
            <w:r>
              <w:rPr>
                <w:rFonts w:cs="Times New Roman"/>
                <w:b/>
                <w:bCs/>
                <w:color w:val="auto"/>
                <w:szCs w:val="24"/>
                <w:highlight w:val="none"/>
              </w:rPr>
              <w:t>2、监测期间运营工况情况：</w:t>
            </w:r>
          </w:p>
          <w:p>
            <w:pPr>
              <w:spacing w:line="360" w:lineRule="auto"/>
              <w:ind w:firstLine="480" w:firstLineChars="200"/>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监测</w:t>
            </w:r>
            <w:r>
              <w:rPr>
                <w:rFonts w:hint="default" w:ascii="Times New Roman" w:hAnsi="Times New Roman" w:eastAsia="宋体" w:cs="Times New Roman"/>
                <w:color w:val="auto"/>
                <w:sz w:val="24"/>
                <w:szCs w:val="24"/>
                <w:lang w:eastAsia="zh-CN"/>
              </w:rPr>
              <w:t>期间本项目运行正常。</w:t>
            </w:r>
          </w:p>
          <w:p>
            <w:pPr>
              <w:pStyle w:val="33"/>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33"/>
              <w:jc w:val="both"/>
              <w:rPr>
                <w:rFonts w:hint="eastAsia" w:eastAsia="宋体" w:cs="Times New Roman"/>
                <w:color w:val="auto"/>
                <w:szCs w:val="24"/>
                <w:highlight w:val="none"/>
                <w:lang w:eastAsia="zh-CN"/>
              </w:rPr>
            </w:pPr>
            <w:r>
              <w:rPr>
                <w:rFonts w:cs="Times New Roman"/>
                <w:color w:val="auto"/>
                <w:szCs w:val="24"/>
                <w:highlight w:val="none"/>
              </w:rPr>
              <w:t>（1）</w:t>
            </w:r>
            <w:r>
              <w:rPr>
                <w:rFonts w:hint="eastAsia" w:cs="Times New Roman"/>
                <w:color w:val="auto"/>
                <w:szCs w:val="24"/>
                <w:highlight w:val="none"/>
                <w:lang w:eastAsia="zh-CN"/>
              </w:rPr>
              <w:t>废气：</w:t>
            </w:r>
          </w:p>
          <w:p>
            <w:pPr>
              <w:pStyle w:val="33"/>
              <w:jc w:val="both"/>
              <w:rPr>
                <w:rFonts w:hint="eastAsia" w:cs="Times New Roman"/>
                <w:color w:val="auto"/>
                <w:szCs w:val="24"/>
                <w:highlight w:val="none"/>
              </w:rPr>
            </w:pPr>
            <w:r>
              <w:rPr>
                <w:rFonts w:hint="eastAsia" w:cs="Times New Roman"/>
                <w:color w:val="auto"/>
                <w:szCs w:val="24"/>
                <w:highlight w:val="none"/>
              </w:rPr>
              <w:t>本项目运营期废气主要为</w:t>
            </w:r>
            <w:r>
              <w:rPr>
                <w:rFonts w:hint="eastAsia" w:cs="Times New Roman"/>
                <w:b w:val="0"/>
                <w:bCs w:val="0"/>
                <w:color w:val="auto"/>
                <w:sz w:val="24"/>
                <w:szCs w:val="24"/>
                <w:highlight w:val="none"/>
                <w:lang w:eastAsia="zh-CN"/>
              </w:rPr>
              <w:t>合成、</w:t>
            </w:r>
            <w:r>
              <w:rPr>
                <w:rFonts w:hint="eastAsia" w:cs="Times New Roman"/>
                <w:color w:val="auto"/>
                <w:szCs w:val="24"/>
                <w:highlight w:val="none"/>
              </w:rPr>
              <w:t>分析实验过程产生的废气，主要包括称配工序中产生的酸性废气和有机废气。其中酸性废气成分包括硫酸雾、氯化氢等，有机废气VOCs（乙腈、醇类、醚类等）。</w:t>
            </w:r>
          </w:p>
          <w:p>
            <w:pPr>
              <w:pStyle w:val="33"/>
              <w:jc w:val="both"/>
              <w:rPr>
                <w:rFonts w:hint="eastAsia" w:cs="Times New Roman"/>
                <w:color w:val="auto"/>
                <w:szCs w:val="24"/>
                <w:highlight w:val="none"/>
              </w:rPr>
            </w:pPr>
            <w:r>
              <w:rPr>
                <w:rFonts w:hint="eastAsia" w:cs="Times New Roman"/>
                <w:color w:val="auto"/>
                <w:szCs w:val="24"/>
                <w:highlight w:val="none"/>
              </w:rPr>
              <w:t>①有组织废气</w:t>
            </w:r>
          </w:p>
          <w:p>
            <w:pPr>
              <w:pStyle w:val="33"/>
              <w:jc w:val="both"/>
              <w:rPr>
                <w:rFonts w:hint="eastAsia" w:cs="Times New Roman"/>
                <w:color w:val="auto"/>
                <w:szCs w:val="24"/>
                <w:highlight w:val="none"/>
              </w:rPr>
            </w:pPr>
            <w:r>
              <w:rPr>
                <w:rFonts w:hint="eastAsia" w:cs="Times New Roman"/>
                <w:color w:val="auto"/>
                <w:szCs w:val="24"/>
                <w:highlight w:val="none"/>
              </w:rPr>
              <w:t>本项目的实验操作过程均在通风橱内进行，挥发出的废气经通风橱收集；分析仪器配备专用吸风罩收集废气；试剂库、样品库、危废间均为密闭房间，内设吸风口；收集的废气经专用管道引至4套二级活性炭吸附装置，处理后由4根楼顶（距地面25m）的排气筒（DA001-DA004）排放。项目废气收集排导系统见附图4。</w:t>
            </w:r>
          </w:p>
          <w:p>
            <w:pPr>
              <w:pStyle w:val="33"/>
              <w:jc w:val="both"/>
              <w:rPr>
                <w:rFonts w:hint="eastAsia" w:cs="Times New Roman"/>
                <w:color w:val="auto"/>
                <w:szCs w:val="24"/>
                <w:highlight w:val="none"/>
              </w:rPr>
            </w:pPr>
            <w:r>
              <w:rPr>
                <w:rFonts w:hint="eastAsia" w:cs="Times New Roman"/>
                <w:color w:val="auto"/>
                <w:szCs w:val="24"/>
                <w:highlight w:val="none"/>
              </w:rPr>
              <w:t>②无组织废气</w:t>
            </w:r>
          </w:p>
          <w:p>
            <w:pPr>
              <w:pStyle w:val="33"/>
              <w:jc w:val="both"/>
              <w:rPr>
                <w:rFonts w:hint="eastAsia" w:cs="Times New Roman"/>
                <w:color w:val="auto"/>
                <w:szCs w:val="24"/>
                <w:highlight w:val="none"/>
              </w:rPr>
            </w:pPr>
            <w:r>
              <w:rPr>
                <w:rFonts w:hint="eastAsia" w:cs="Times New Roman"/>
                <w:color w:val="auto"/>
                <w:szCs w:val="24"/>
                <w:highlight w:val="none"/>
              </w:rPr>
              <w:t>未收集的废气随车间通风后无组织排放。</w:t>
            </w:r>
          </w:p>
          <w:p>
            <w:pPr>
              <w:pStyle w:val="3"/>
              <w:ind w:firstLine="0" w:firstLineChars="0"/>
              <w:jc w:val="center"/>
              <w:rPr>
                <w:rFonts w:ascii="Times New Roman" w:hAnsi="Times New Roman"/>
                <w:b/>
                <w:bCs/>
                <w:color w:val="auto"/>
                <w:sz w:val="24"/>
                <w:highlight w:val="none"/>
              </w:rPr>
            </w:pPr>
          </w:p>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1197"/>
              <w:gridCol w:w="1321"/>
              <w:gridCol w:w="1321"/>
              <w:gridCol w:w="1264"/>
              <w:gridCol w:w="1296"/>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采样</w:t>
                  </w:r>
                  <w:r>
                    <w:rPr>
                      <w:rFonts w:hint="eastAsia"/>
                      <w:b/>
                      <w:bCs/>
                      <w:color w:val="auto"/>
                      <w:sz w:val="21"/>
                      <w:szCs w:val="21"/>
                      <w:highlight w:val="none"/>
                    </w:rPr>
                    <w:t>点位</w:t>
                  </w:r>
                </w:p>
              </w:tc>
              <w:tc>
                <w:tcPr>
                  <w:tcW w:w="67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42"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允许排放浓度（mg/m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71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72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58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2.07</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0.017</w:t>
                  </w:r>
                </w:p>
              </w:tc>
              <w:tc>
                <w:tcPr>
                  <w:tcW w:w="728"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实验操作废气排气筒DA002</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2.09</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0.025</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2.06</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0.024</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shd w:val="clear"/>
                      <w:lang w:val="en-US" w:eastAsia="zh-CN" w:bidi="ar"/>
                    </w:rPr>
                  </w:pP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restar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sz w:val="21"/>
                      <w:szCs w:val="21"/>
                      <w:highlight w:val="none"/>
                      <w:shd w:val="clear"/>
                      <w:lang w:val="en-US" w:eastAsia="zh-CN" w:bidi="ar"/>
                    </w:rPr>
                    <w:t>实验操作废气排气筒DA004</w:t>
                  </w:r>
                  <w:r>
                    <w:rPr>
                      <w:rFonts w:hint="default" w:ascii="Times New Roman" w:hAnsi="Times New Roman" w:eastAsia="宋体" w:cs="Times New Roman"/>
                      <w:color w:val="auto"/>
                      <w:kern w:val="2"/>
                      <w:sz w:val="21"/>
                      <w:szCs w:val="21"/>
                      <w:highlight w:val="none"/>
                      <w:shd w:val="clear"/>
                      <w:lang w:val="en-US" w:eastAsia="zh-CN" w:bidi="ar"/>
                    </w:rPr>
                    <w:t>出口</w:t>
                  </w:r>
                </w:p>
              </w:tc>
              <w:tc>
                <w:tcPr>
                  <w:tcW w:w="672"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742"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2.03</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60</w:t>
                  </w:r>
                </w:p>
              </w:tc>
              <w:tc>
                <w:tcPr>
                  <w:tcW w:w="710"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0.032</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6</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672" w:type="pct"/>
                  <w:shd w:val="clear" w:color="auto" w:fill="auto"/>
                  <w:vAlign w:val="center"/>
                </w:tcPr>
                <w:p>
                  <w:pPr>
                    <w:spacing w:line="240" w:lineRule="auto"/>
                    <w:ind w:firstLine="0" w:firstLineChars="0"/>
                    <w:jc w:val="center"/>
                    <w:rPr>
                      <w:color w:val="auto"/>
                      <w:sz w:val="21"/>
                      <w:szCs w:val="21"/>
                      <w:highlight w:val="none"/>
                    </w:rPr>
                  </w:pPr>
                  <w:r>
                    <w:rPr>
                      <w:rFonts w:hint="eastAsia" w:ascii="Times New Roman" w:hAnsi="Times New Roman" w:eastAsia="宋体" w:cs="Times New Roman"/>
                      <w:color w:val="auto"/>
                      <w:sz w:val="21"/>
                      <w:szCs w:val="21"/>
                      <w:lang w:val="en-US" w:eastAsia="zh-CN"/>
                    </w:rPr>
                    <w:t>氯化氢</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未检出</w:t>
                  </w:r>
                </w:p>
              </w:tc>
              <w:tc>
                <w:tcPr>
                  <w:tcW w:w="742"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30</w:t>
                  </w:r>
                </w:p>
              </w:tc>
              <w:tc>
                <w:tcPr>
                  <w:tcW w:w="710" w:type="pct"/>
                  <w:shd w:val="clear" w:color="auto" w:fill="auto"/>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2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0.43</w:t>
                  </w:r>
                </w:p>
              </w:tc>
              <w:tc>
                <w:tcPr>
                  <w:tcW w:w="5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shd w:val="clear" w:color="auto" w:fill="auto"/>
                  <w:vAlign w:val="center"/>
                </w:tcPr>
                <w:p>
                  <w:pPr>
                    <w:pStyle w:val="51"/>
                    <w:jc w:val="left"/>
                    <w:rPr>
                      <w:color w:val="auto"/>
                      <w:highlight w:val="none"/>
                    </w:rPr>
                  </w:pPr>
                  <w:r>
                    <w:rPr>
                      <w:color w:val="auto"/>
                      <w:szCs w:val="21"/>
                      <w:highlight w:val="none"/>
                    </w:rPr>
                    <w:t>备注：未检出表示检测值小于检出限</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9-2</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等效排气筒有关参数</w:t>
            </w:r>
            <w:r>
              <w:rPr>
                <w:rFonts w:ascii="Times New Roman" w:hAnsi="Times New Roman"/>
                <w:b/>
                <w:bCs/>
                <w:color w:val="auto"/>
                <w:sz w:val="24"/>
                <w:highlight w:val="none"/>
              </w:rPr>
              <w:t>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1"/>
              <w:gridCol w:w="1184"/>
              <w:gridCol w:w="1438"/>
              <w:gridCol w:w="1046"/>
              <w:gridCol w:w="1570"/>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排气筒点位</w:t>
                  </w:r>
                </w:p>
              </w:tc>
              <w:tc>
                <w:tcPr>
                  <w:tcW w:w="66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80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排放速率（kg/h）</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等效排气筒高度（</w:t>
                  </w:r>
                  <w:r>
                    <w:rPr>
                      <w:rFonts w:hint="eastAsia"/>
                      <w:b/>
                      <w:bCs/>
                      <w:color w:val="auto"/>
                      <w:sz w:val="21"/>
                      <w:szCs w:val="21"/>
                      <w:highlight w:val="none"/>
                      <w:lang w:val="en-US" w:eastAsia="zh-CN"/>
                    </w:rPr>
                    <w:t>m</w:t>
                  </w:r>
                  <w:r>
                    <w:rPr>
                      <w:rFonts w:hint="eastAsia"/>
                      <w:b/>
                      <w:bCs/>
                      <w:color w:val="auto"/>
                      <w:sz w:val="21"/>
                      <w:szCs w:val="21"/>
                      <w:highlight w:val="none"/>
                      <w:lang w:eastAsia="zh-CN"/>
                    </w:rPr>
                    <w:t>）</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 w:val="21"/>
                      <w:szCs w:val="21"/>
                      <w:highlight w:val="none"/>
                      <w:lang w:eastAsia="zh-CN"/>
                    </w:rPr>
                    <w:t>等效排气筒</w:t>
                  </w:r>
                  <w:r>
                    <w:rPr>
                      <w:rFonts w:hint="eastAsia"/>
                      <w:b/>
                      <w:bCs/>
                      <w:color w:val="auto"/>
                      <w:sz w:val="21"/>
                      <w:szCs w:val="21"/>
                      <w:highlight w:val="none"/>
                    </w:rPr>
                    <w:t>最</w:t>
                  </w:r>
                  <w:r>
                    <w:rPr>
                      <w:rFonts w:hint="eastAsia"/>
                      <w:b/>
                      <w:bCs/>
                      <w:color w:val="auto"/>
                      <w:sz w:val="21"/>
                      <w:szCs w:val="21"/>
                      <w:highlight w:val="none"/>
                      <w:lang w:eastAsia="zh-CN"/>
                    </w:rPr>
                    <w:t>高</w:t>
                  </w:r>
                  <w:r>
                    <w:rPr>
                      <w:rFonts w:hint="eastAsia"/>
                      <w:b/>
                      <w:bCs/>
                      <w:color w:val="auto"/>
                      <w:sz w:val="21"/>
                      <w:szCs w:val="21"/>
                      <w:highlight w:val="none"/>
                    </w:rPr>
                    <w:t>允许排放速率（kg/h）</w:t>
                  </w:r>
                </w:p>
              </w:tc>
              <w:tc>
                <w:tcPr>
                  <w:tcW w:w="463" w:type="pct"/>
                  <w:shd w:val="clear" w:color="auto" w:fill="auto"/>
                  <w:vAlign w:val="center"/>
                </w:tcPr>
                <w:p>
                  <w:pPr>
                    <w:spacing w:line="240" w:lineRule="auto"/>
                    <w:ind w:firstLine="0" w:firstLineChars="0"/>
                    <w:jc w:val="center"/>
                    <w:rPr>
                      <w:rFonts w:hint="eastAsia"/>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0.042</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0.066</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95" w:type="pct"/>
                  <w:shd w:val="clear" w:color="auto" w:fill="auto"/>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shd w:val="clear"/>
                      <w:lang w:val="en-US" w:eastAsia="zh-CN" w:bidi="ar"/>
                    </w:rPr>
                  </w:pP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kern w:val="2"/>
                      <w:sz w:val="21"/>
                      <w:szCs w:val="21"/>
                      <w:highlight w:val="none"/>
                      <w:shd w:val="clear"/>
                      <w:lang w:val="en-US" w:eastAsia="zh-CN" w:bidi="ar"/>
                    </w:rPr>
                    <w:t>实验操作+危废间+试剂库废气排气筒DA001</w:t>
                  </w:r>
                  <w:r>
                    <w:rPr>
                      <w:rFonts w:hint="eastAsia" w:cs="Times New Roman"/>
                      <w:color w:val="auto"/>
                      <w:kern w:val="2"/>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w:t>
                  </w:r>
                  <w:r>
                    <w:rPr>
                      <w:rFonts w:hint="eastAsia" w:cs="Times New Roman"/>
                      <w:color w:val="auto"/>
                      <w:sz w:val="21"/>
                      <w:szCs w:val="21"/>
                      <w:highlight w:val="none"/>
                      <w:shd w:val="clear"/>
                      <w:lang w:val="en-US" w:eastAsia="zh-CN" w:bidi="ar"/>
                    </w:rPr>
                    <w:t>2-</w:t>
                  </w:r>
                  <w:r>
                    <w:rPr>
                      <w:rFonts w:hint="default" w:ascii="Times New Roman" w:hAnsi="Times New Roman" w:eastAsia="宋体" w:cs="Times New Roman"/>
                      <w:color w:val="auto"/>
                      <w:sz w:val="21"/>
                      <w:szCs w:val="21"/>
                      <w:highlight w:val="none"/>
                      <w:shd w:val="clear"/>
                      <w:lang w:val="en-US" w:eastAsia="zh-CN" w:bidi="ar"/>
                    </w:rPr>
                    <w:t>实验操作废气排气筒DA003</w:t>
                  </w:r>
                  <w:r>
                    <w:rPr>
                      <w:rFonts w:hint="eastAsia" w:cs="Times New Roman"/>
                      <w:color w:val="auto"/>
                      <w:sz w:val="21"/>
                      <w:szCs w:val="21"/>
                      <w:highlight w:val="none"/>
                      <w:shd w:val="clear"/>
                      <w:lang w:val="en-US" w:eastAsia="zh-CN" w:bidi="ar"/>
                    </w:rPr>
                    <w:t>）-</w:t>
                  </w:r>
                  <w:r>
                    <w:rPr>
                      <w:rFonts w:hint="default" w:ascii="Times New Roman" w:hAnsi="Times New Roman" w:eastAsia="宋体" w:cs="Times New Roman"/>
                      <w:color w:val="auto"/>
                      <w:sz w:val="21"/>
                      <w:szCs w:val="21"/>
                      <w:highlight w:val="none"/>
                      <w:shd w:val="clear"/>
                      <w:lang w:val="en-US" w:eastAsia="zh-CN" w:bidi="ar"/>
                    </w:rPr>
                    <w:t>实验操作废气排气筒DA004</w:t>
                  </w:r>
                </w:p>
              </w:tc>
              <w:tc>
                <w:tcPr>
                  <w:tcW w:w="665" w:type="pct"/>
                  <w:shd w:val="clear" w:color="auto" w:fill="auto"/>
                  <w:vAlign w:val="center"/>
                </w:tcPr>
                <w:p>
                  <w:pPr>
                    <w:spacing w:line="240" w:lineRule="auto"/>
                    <w:ind w:firstLine="0" w:firstLineChars="0"/>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80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0.098</w:t>
                  </w:r>
                </w:p>
              </w:tc>
              <w:tc>
                <w:tcPr>
                  <w:tcW w:w="587"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25</w:t>
                  </w:r>
                </w:p>
              </w:tc>
              <w:tc>
                <w:tcPr>
                  <w:tcW w:w="881"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463" w:type="pct"/>
                  <w:shd w:val="clear" w:color="auto" w:fill="auto"/>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bl>
          <w:p>
            <w:pPr>
              <w:rPr>
                <w:rFonts w:hint="eastAsia" w:eastAsia="宋体"/>
                <w:color w:val="auto"/>
                <w:highlight w:val="none"/>
                <w:lang w:eastAsia="zh-CN"/>
              </w:rPr>
            </w:pPr>
            <w:r>
              <w:rPr>
                <w:rFonts w:hint="eastAsia"/>
                <w:color w:val="auto"/>
                <w:highlight w:val="none"/>
              </w:rPr>
              <w:t>验收监测期间，实验操作+危废间+试剂库废气排气筒DA001</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2.07</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0.017</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w:t>
            </w:r>
            <w:r>
              <w:rPr>
                <w:rFonts w:hint="eastAsia" w:ascii="Times New Roman" w:hAnsi="宋体"/>
                <w:color w:val="auto"/>
                <w:sz w:val="24"/>
                <w:szCs w:val="24"/>
              </w:rPr>
              <w:t xml:space="preserve"> 实验操作废气排气筒DA002</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2.09</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0.025</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；实验操作废气排气筒DA003</w:t>
            </w:r>
            <w:r>
              <w:rPr>
                <w:rFonts w:hint="eastAsia"/>
                <w:color w:val="auto"/>
                <w:highlight w:val="none"/>
                <w:lang w:eastAsia="zh-CN"/>
              </w:rPr>
              <w:t>中</w:t>
            </w:r>
            <w:r>
              <w:rPr>
                <w:rFonts w:hint="eastAsia" w:ascii="Times New Roman" w:hAnsi="宋体" w:cs="Times New Roman"/>
                <w:color w:val="auto"/>
                <w:sz w:val="24"/>
                <w:szCs w:val="24"/>
              </w:rPr>
              <w:t>主要污染物</w:t>
            </w:r>
            <w:r>
              <w:rPr>
                <w:rFonts w:hint="eastAsia" w:ascii="Times New Roman" w:cs="Times New Roman"/>
                <w:color w:val="auto"/>
                <w:sz w:val="24"/>
                <w:szCs w:val="24"/>
                <w:lang w:eastAsia="zh-CN"/>
              </w:rPr>
              <w:t>VOCs</w:t>
            </w:r>
            <w:r>
              <w:rPr>
                <w:rFonts w:hint="eastAsia" w:ascii="Times New Roman" w:hAnsi="宋体"/>
                <w:color w:val="auto"/>
                <w:sz w:val="24"/>
                <w:szCs w:val="24"/>
              </w:rPr>
              <w:t>最大排放浓度为</w:t>
            </w:r>
            <w:r>
              <w:rPr>
                <w:rFonts w:hint="eastAsia" w:hAnsi="宋体"/>
                <w:color w:val="auto"/>
                <w:sz w:val="24"/>
                <w:szCs w:val="24"/>
                <w:lang w:val="en-US" w:eastAsia="zh-CN"/>
              </w:rPr>
              <w:t>2.06</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olor w:val="auto"/>
                <w:sz w:val="24"/>
                <w:szCs w:val="24"/>
              </w:rPr>
              <w:t>，最大排放速率为</w:t>
            </w:r>
            <w:r>
              <w:rPr>
                <w:rFonts w:hint="eastAsia" w:hAnsi="宋体"/>
                <w:color w:val="auto"/>
                <w:sz w:val="24"/>
                <w:szCs w:val="24"/>
                <w:lang w:val="en-US" w:eastAsia="zh-CN"/>
              </w:rPr>
              <w:t>0.024</w:t>
            </w:r>
            <w:r>
              <w:rPr>
                <w:rFonts w:ascii="Times New Roman" w:hAnsi="宋体"/>
                <w:color w:val="auto"/>
                <w:sz w:val="24"/>
                <w:szCs w:val="24"/>
              </w:rPr>
              <w:t>kg/h</w:t>
            </w:r>
            <w:r>
              <w:rPr>
                <w:rFonts w:hint="eastAsia" w:ascii="Times New Roman" w:hAnsi="宋体"/>
                <w:color w:val="auto"/>
                <w:sz w:val="24"/>
                <w:szCs w:val="24"/>
              </w:rPr>
              <w:t xml:space="preserve"> </w:t>
            </w:r>
            <w:r>
              <w:rPr>
                <w:rFonts w:hint="eastAsia" w:hAnsi="宋体"/>
                <w:color w:val="auto"/>
                <w:sz w:val="24"/>
                <w:szCs w:val="24"/>
                <w:lang w:eastAsia="zh-CN"/>
              </w:rPr>
              <w:t>；实验操作废气排气筒DA004中主要污染物VOCs最大排放浓度为2.0</w:t>
            </w:r>
            <w:r>
              <w:rPr>
                <w:rFonts w:hint="eastAsia" w:hAnsi="宋体"/>
                <w:color w:val="auto"/>
                <w:sz w:val="24"/>
                <w:szCs w:val="24"/>
                <w:lang w:val="en-US" w:eastAsia="zh-CN"/>
              </w:rPr>
              <w:t>3</w:t>
            </w:r>
            <w:r>
              <w:rPr>
                <w:rFonts w:hint="eastAsia" w:hAnsi="宋体"/>
                <w:color w:val="auto"/>
                <w:sz w:val="24"/>
                <w:szCs w:val="24"/>
                <w:lang w:eastAsia="zh-CN"/>
              </w:rPr>
              <w:t>mg/m</w:t>
            </w:r>
            <w:r>
              <w:rPr>
                <w:rFonts w:hint="eastAsia" w:hAnsi="宋体"/>
                <w:color w:val="auto"/>
                <w:sz w:val="24"/>
                <w:szCs w:val="24"/>
                <w:vertAlign w:val="superscript"/>
                <w:lang w:eastAsia="zh-CN"/>
              </w:rPr>
              <w:t>3</w:t>
            </w:r>
            <w:r>
              <w:rPr>
                <w:rFonts w:hint="eastAsia" w:hAnsi="宋体"/>
                <w:color w:val="auto"/>
                <w:sz w:val="24"/>
                <w:szCs w:val="24"/>
                <w:lang w:eastAsia="zh-CN"/>
              </w:rPr>
              <w:t>，最大排放速率为0.0</w:t>
            </w:r>
            <w:r>
              <w:rPr>
                <w:rFonts w:hint="eastAsia" w:hAnsi="宋体"/>
                <w:color w:val="auto"/>
                <w:sz w:val="24"/>
                <w:szCs w:val="24"/>
                <w:lang w:val="en-US" w:eastAsia="zh-CN"/>
              </w:rPr>
              <w:t>32</w:t>
            </w:r>
            <w:r>
              <w:rPr>
                <w:rFonts w:hint="eastAsia" w:hAnsi="宋体"/>
                <w:color w:val="auto"/>
                <w:sz w:val="24"/>
                <w:szCs w:val="24"/>
                <w:lang w:eastAsia="zh-CN"/>
              </w:rPr>
              <w:t>kg/h ；</w:t>
            </w:r>
            <w:r>
              <w:rPr>
                <w:rFonts w:hint="eastAsia" w:hAnsi="宋体"/>
                <w:color w:val="auto"/>
                <w:sz w:val="24"/>
                <w:szCs w:val="24"/>
                <w:lang w:val="en-US" w:eastAsia="zh-CN"/>
              </w:rPr>
              <w:t>VOCs</w:t>
            </w:r>
            <w:r>
              <w:rPr>
                <w:rFonts w:hint="eastAsia"/>
                <w:color w:val="auto"/>
                <w:highlight w:val="none"/>
              </w:rPr>
              <w:t>排放浓度</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部分：其他行业》（DB37/2801.7-2019）表1中非重点行业II时段排放限值、《制药工业大气污染物排放标准》（GB37823-2019）表2中研发机构工艺废气要求，</w:t>
            </w:r>
            <w:r>
              <w:rPr>
                <w:rFonts w:hint="eastAsia"/>
                <w:color w:val="auto"/>
                <w:highlight w:val="none"/>
                <w:lang w:eastAsia="zh-CN"/>
              </w:rPr>
              <w:t>经计算，实验操作+危废间+试剂库废气排气筒DA001-实验操作废气排气筒DA002等效排气筒污染物</w:t>
            </w:r>
            <w:r>
              <w:rPr>
                <w:rFonts w:hint="eastAsia"/>
                <w:color w:val="auto"/>
                <w:highlight w:val="none"/>
                <w:lang w:val="en-US" w:eastAsia="zh-CN"/>
              </w:rPr>
              <w:t>VOCs最大排放速率为0.042kg/h；（实验操作+危废间+试剂库废气排气筒DA001-实验操作废气排气筒DA002-实验操作废气排气筒DA003）</w:t>
            </w:r>
            <w:r>
              <w:rPr>
                <w:rFonts w:hint="eastAsia"/>
                <w:color w:val="auto"/>
                <w:highlight w:val="none"/>
                <w:lang w:eastAsia="zh-CN"/>
              </w:rPr>
              <w:t>等效排气筒污染物</w:t>
            </w:r>
            <w:r>
              <w:rPr>
                <w:rFonts w:hint="eastAsia"/>
                <w:color w:val="auto"/>
                <w:highlight w:val="none"/>
                <w:lang w:val="en-US" w:eastAsia="zh-CN"/>
              </w:rPr>
              <w:t>VOCs最大排放速率为0.066kg/h；（实验操作+危废间+试剂库废气排气筒DA001-实验操作废气排气筒DA002-实验操作废气排气筒DA003）-实验操作废气排气筒DA004</w:t>
            </w:r>
            <w:r>
              <w:rPr>
                <w:rFonts w:hint="eastAsia"/>
                <w:color w:val="auto"/>
                <w:highlight w:val="none"/>
                <w:lang w:eastAsia="zh-CN"/>
              </w:rPr>
              <w:t>等效排气筒污染物</w:t>
            </w:r>
            <w:r>
              <w:rPr>
                <w:rFonts w:hint="eastAsia"/>
                <w:color w:val="auto"/>
                <w:highlight w:val="none"/>
                <w:lang w:val="en-US" w:eastAsia="zh-CN"/>
              </w:rPr>
              <w:t>VOCs最大排放速率为0.098kg/h；</w:t>
            </w:r>
            <w:r>
              <w:rPr>
                <w:rFonts w:hint="eastAsia"/>
                <w:color w:val="auto"/>
                <w:highlight w:val="none"/>
              </w:rPr>
              <w:t>排放速率</w:t>
            </w:r>
            <w:r>
              <w:rPr>
                <w:rFonts w:hint="eastAsia"/>
                <w:color w:val="auto"/>
                <w:highlight w:val="none"/>
                <w:lang w:eastAsia="zh-CN"/>
              </w:rPr>
              <w:t>均满足</w:t>
            </w:r>
            <w:r>
              <w:rPr>
                <w:rFonts w:hint="eastAsia"/>
                <w:color w:val="auto"/>
                <w:highlight w:val="none"/>
              </w:rPr>
              <w:t>《挥发性有机物排放标准</w:t>
            </w:r>
            <w:r>
              <w:rPr>
                <w:rFonts w:hint="eastAsia"/>
                <w:color w:val="auto"/>
                <w:highlight w:val="none"/>
                <w:lang w:val="en-US" w:eastAsia="zh-CN"/>
              </w:rPr>
              <w:t xml:space="preserve"> </w:t>
            </w:r>
            <w:r>
              <w:rPr>
                <w:rFonts w:hint="eastAsia"/>
                <w:color w:val="auto"/>
                <w:highlight w:val="none"/>
              </w:rPr>
              <w:t>第 7 部分：其他行业》（DB37/2801.7-2019）表1中非重点行业II时段排放限值。</w:t>
            </w:r>
            <w:r>
              <w:rPr>
                <w:rFonts w:hint="default" w:ascii="Times New Roman" w:hAnsi="Times New Roman" w:eastAsia="宋体" w:cs="Times New Roman"/>
                <w:color w:val="auto"/>
                <w:sz w:val="24"/>
                <w:highlight w:val="none"/>
              </w:rPr>
              <w:t>实验操作+危废间+试剂库废气排气筒DA001</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w:t>
            </w:r>
            <w:r>
              <w:rPr>
                <w:rFonts w:hint="default" w:ascii="Times New Roman" w:hAnsi="Times New Roman" w:eastAsia="宋体" w:cs="Times New Roman"/>
                <w:color w:val="auto"/>
                <w:sz w:val="24"/>
                <w:szCs w:val="24"/>
              </w:rPr>
              <w:t xml:space="preserve"> 实验操作废气排气筒DA002</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氯化氢为未检出；实验操作废气排气筒DA003</w:t>
            </w:r>
            <w:r>
              <w:rPr>
                <w:rFonts w:hint="default" w:ascii="Times New Roman" w:hAnsi="Times New Roman" w:eastAsia="宋体" w:cs="Times New Roman"/>
                <w:color w:val="auto"/>
                <w:sz w:val="24"/>
                <w:highlight w:val="none"/>
                <w:lang w:eastAsia="zh-CN"/>
              </w:rPr>
              <w:t>中</w:t>
            </w:r>
            <w:r>
              <w:rPr>
                <w:rFonts w:hint="default" w:ascii="Times New Roman" w:hAnsi="Times New Roman" w:eastAsia="宋体" w:cs="Times New Roman"/>
                <w:color w:val="auto"/>
                <w:sz w:val="24"/>
                <w:szCs w:val="24"/>
              </w:rPr>
              <w:t>主要污染物</w:t>
            </w:r>
            <w:r>
              <w:rPr>
                <w:rFonts w:hint="default" w:ascii="Times New Roman" w:hAnsi="Times New Roman" w:eastAsia="宋体" w:cs="Times New Roman"/>
                <w:color w:val="auto"/>
                <w:sz w:val="24"/>
                <w:szCs w:val="24"/>
                <w:lang w:eastAsia="zh-CN"/>
              </w:rPr>
              <w:t>氯化氢为未检出；实验操作废气排气筒DA004中主要污染物氯化氢为未检出；</w:t>
            </w:r>
            <w:r>
              <w:rPr>
                <w:rFonts w:hint="eastAsia" w:ascii="Times New Roman" w:hAnsi="Times New Roman" w:eastAsia="宋体" w:cs="Times New Roman"/>
                <w:color w:val="auto"/>
                <w:sz w:val="24"/>
                <w:szCs w:val="24"/>
                <w:lang w:eastAsia="zh-CN"/>
              </w:rPr>
              <w:t>氯化氢</w:t>
            </w:r>
            <w:r>
              <w:rPr>
                <w:rFonts w:hint="eastAsia"/>
                <w:color w:val="auto"/>
                <w:highlight w:val="none"/>
              </w:rPr>
              <w:t>排放浓度</w:t>
            </w:r>
            <w:r>
              <w:rPr>
                <w:rFonts w:hint="eastAsia"/>
                <w:color w:val="auto"/>
                <w:highlight w:val="none"/>
                <w:lang w:eastAsia="zh-CN"/>
              </w:rPr>
              <w:t>均满足</w:t>
            </w:r>
            <w:r>
              <w:rPr>
                <w:rFonts w:hint="eastAsia"/>
                <w:color w:val="auto"/>
                <w:highlight w:val="none"/>
              </w:rPr>
              <w:t>《制药工业大气污染物排放标准》（GB37823-2019）表2中研发机构工艺废气要求，排放速率</w:t>
            </w:r>
            <w:r>
              <w:rPr>
                <w:rFonts w:hint="eastAsia"/>
                <w:color w:val="auto"/>
                <w:highlight w:val="none"/>
                <w:lang w:eastAsia="zh-CN"/>
              </w:rPr>
              <w:t>均满足</w:t>
            </w:r>
            <w:r>
              <w:rPr>
                <w:rFonts w:hint="eastAsia"/>
                <w:color w:val="auto"/>
                <w:highlight w:val="none"/>
              </w:rPr>
              <w:t>《大气污染物综合排放标准》(GB16297 - 1996)中表2二级标准的要求</w:t>
            </w:r>
            <w:r>
              <w:rPr>
                <w:rFonts w:hint="eastAsia"/>
                <w:color w:val="auto"/>
                <w:highlight w:val="none"/>
                <w:lang w:eastAsia="zh-CN"/>
              </w:rPr>
              <w:t>。</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9-3</w:t>
            </w:r>
            <w:r>
              <w:rPr>
                <w:rFonts w:hint="eastAsia" w:ascii="Times New Roman" w:hAnsi="Times New Roman"/>
                <w:b/>
                <w:bCs/>
                <w:color w:val="auto"/>
                <w:sz w:val="24"/>
                <w:highlight w:val="none"/>
              </w:rPr>
              <w:t xml:space="preserve">  无组织废气判定结果表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7"/>
              <w:gridCol w:w="2377"/>
              <w:gridCol w:w="2527"/>
              <w:gridCol w:w="1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污染物</w:t>
                  </w:r>
                </w:p>
              </w:tc>
              <w:tc>
                <w:tcPr>
                  <w:tcW w:w="133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周界外浓度最高点浓度值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1419"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w:t>
                  </w:r>
                  <w:r>
                    <w:rPr>
                      <w:rFonts w:hint="eastAsia"/>
                      <w:b/>
                      <w:bCs/>
                      <w:color w:val="auto"/>
                      <w:sz w:val="21"/>
                      <w:szCs w:val="21"/>
                      <w:highlight w:val="none"/>
                      <w:lang w:eastAsia="zh-CN"/>
                    </w:rPr>
                    <w:t>限值</w:t>
                  </w:r>
                  <w:r>
                    <w:rPr>
                      <w:rFonts w:hint="eastAsia"/>
                      <w:b/>
                      <w:bCs/>
                      <w:color w:val="auto"/>
                      <w:sz w:val="21"/>
                      <w:szCs w:val="21"/>
                      <w:highlight w:val="none"/>
                    </w:rPr>
                    <w:t>（mg/m</w:t>
                  </w:r>
                  <w:r>
                    <w:rPr>
                      <w:rFonts w:hint="eastAsia"/>
                      <w:b/>
                      <w:bCs/>
                      <w:color w:val="auto"/>
                      <w:sz w:val="21"/>
                      <w:szCs w:val="21"/>
                      <w:highlight w:val="none"/>
                      <w:vertAlign w:val="superscript"/>
                    </w:rPr>
                    <w:t>3</w:t>
                  </w:r>
                  <w:r>
                    <w:rPr>
                      <w:rFonts w:hint="eastAsia"/>
                      <w:b/>
                      <w:bCs/>
                      <w:color w:val="auto"/>
                      <w:sz w:val="21"/>
                      <w:szCs w:val="21"/>
                      <w:highlight w:val="none"/>
                    </w:rPr>
                    <w:t>）</w:t>
                  </w:r>
                </w:p>
              </w:tc>
              <w:tc>
                <w:tcPr>
                  <w:tcW w:w="97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color w:val="auto"/>
                      <w:sz w:val="21"/>
                      <w:szCs w:val="21"/>
                      <w:highlight w:val="none"/>
                    </w:rPr>
                  </w:pPr>
                  <w:r>
                    <w:rPr>
                      <w:rFonts w:ascii="Times New Roman" w:hAnsi="Times New Roman" w:eastAsia="宋体" w:cs="Times New Roman"/>
                      <w:color w:val="auto"/>
                      <w:sz w:val="21"/>
                      <w:szCs w:val="21"/>
                      <w:highlight w:val="none"/>
                      <w:lang w:val="en-US" w:eastAsia="zh-CN"/>
                    </w:rPr>
                    <w:t>VOCs（非甲烷总烃）</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1.33</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氯化氢</w:t>
                  </w:r>
                </w:p>
              </w:tc>
              <w:tc>
                <w:tcPr>
                  <w:tcW w:w="1335"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未检出</w:t>
                  </w:r>
                </w:p>
              </w:tc>
              <w:tc>
                <w:tcPr>
                  <w:tcW w:w="1419"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0.20</w:t>
                  </w:r>
                </w:p>
              </w:tc>
              <w:tc>
                <w:tcPr>
                  <w:tcW w:w="970" w:type="pct"/>
                  <w:shd w:val="clear" w:color="auto" w:fill="auto"/>
                  <w:vAlign w:val="center"/>
                </w:tcPr>
                <w:p>
                  <w:pPr>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3" w:type="pc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color w:val="auto"/>
                      <w:sz w:val="21"/>
                      <w:szCs w:val="21"/>
                      <w:highlight w:val="none"/>
                    </w:rPr>
                    <w:t>NMHC</w:t>
                  </w:r>
                  <w:r>
                    <w:rPr>
                      <w:rFonts w:hint="eastAsia"/>
                      <w:color w:val="auto"/>
                      <w:sz w:val="21"/>
                      <w:szCs w:val="21"/>
                      <w:highlight w:val="none"/>
                      <w:lang w:eastAsia="zh-CN"/>
                    </w:rPr>
                    <w:t>（</w:t>
                  </w:r>
                  <w:r>
                    <w:rPr>
                      <w:rFonts w:ascii="Times New Roman" w:hAnsi="Times New Roman" w:eastAsia="宋体" w:cs="Times New Roman"/>
                      <w:color w:val="auto"/>
                      <w:sz w:val="21"/>
                      <w:szCs w:val="21"/>
                      <w:highlight w:val="none"/>
                      <w:lang w:val="en-US" w:eastAsia="zh-CN"/>
                    </w:rPr>
                    <w:t>非甲烷总烃</w:t>
                  </w:r>
                  <w:r>
                    <w:rPr>
                      <w:rFonts w:hint="eastAsia"/>
                      <w:color w:val="auto"/>
                      <w:sz w:val="21"/>
                      <w:szCs w:val="21"/>
                      <w:highlight w:val="none"/>
                      <w:lang w:eastAsia="zh-CN"/>
                    </w:rPr>
                    <w:t>）</w:t>
                  </w:r>
                </w:p>
              </w:tc>
              <w:tc>
                <w:tcPr>
                  <w:tcW w:w="133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1.34</w:t>
                  </w:r>
                </w:p>
              </w:tc>
              <w:tc>
                <w:tcPr>
                  <w:tcW w:w="141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6</w:t>
                  </w:r>
                </w:p>
              </w:tc>
              <w:tc>
                <w:tcPr>
                  <w:tcW w:w="97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shd w:val="clear" w:color="auto" w:fill="auto"/>
                  <w:vAlign w:val="center"/>
                </w:tcPr>
                <w:p>
                  <w:pPr>
                    <w:spacing w:line="240" w:lineRule="auto"/>
                    <w:ind w:firstLine="0" w:firstLineChars="0"/>
                    <w:rPr>
                      <w:color w:val="auto"/>
                      <w:sz w:val="21"/>
                      <w:szCs w:val="21"/>
                      <w:highlight w:val="none"/>
                    </w:rPr>
                  </w:pPr>
                  <w:r>
                    <w:rPr>
                      <w:rFonts w:hint="eastAsia"/>
                      <w:color w:val="auto"/>
                      <w:sz w:val="21"/>
                      <w:szCs w:val="21"/>
                      <w:highlight w:val="none"/>
                    </w:rPr>
                    <w:t>备注：未检出表示检测值小于检出限</w:t>
                  </w:r>
                </w:p>
              </w:tc>
            </w:tr>
          </w:tbl>
          <w:p>
            <w:pPr>
              <w:pStyle w:val="22"/>
              <w:spacing w:line="360" w:lineRule="auto"/>
              <w:ind w:firstLine="480" w:firstLineChars="200"/>
              <w:rPr>
                <w:rFonts w:hint="eastAsia" w:ascii="Times New Roman" w:hAnsi="Times New Roman" w:eastAsia="宋体"/>
                <w:color w:val="auto"/>
                <w:sz w:val="24"/>
                <w:szCs w:val="24"/>
                <w:lang w:eastAsia="zh-CN"/>
              </w:rPr>
            </w:pPr>
            <w:r>
              <w:rPr>
                <w:rFonts w:hint="eastAsia"/>
                <w:color w:val="auto"/>
                <w:highlight w:val="none"/>
                <w:lang w:eastAsia="zh-CN"/>
              </w:rPr>
              <w:t>验收监测期间，</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VOCs</w:t>
            </w:r>
            <w:r>
              <w:rPr>
                <w:rFonts w:hint="eastAsia" w:ascii="Times New Roman" w:hAnsi="Times New Roman"/>
                <w:color w:val="auto"/>
                <w:sz w:val="24"/>
                <w:szCs w:val="24"/>
              </w:rPr>
              <w:t>最大浓度为</w:t>
            </w:r>
            <w:r>
              <w:rPr>
                <w:rFonts w:ascii="Times New Roman" w:hAnsi="Times New Roman"/>
                <w:color w:val="auto"/>
                <w:sz w:val="24"/>
                <w:szCs w:val="24"/>
              </w:rPr>
              <w:t>1.3</w:t>
            </w:r>
            <w:r>
              <w:rPr>
                <w:rFonts w:hint="eastAsia" w:ascii="Times New Roman" w:hAnsi="Times New Roman"/>
                <w:color w:val="auto"/>
                <w:sz w:val="24"/>
                <w:szCs w:val="24"/>
                <w:lang w:val="en-US" w:eastAsia="zh-CN"/>
              </w:rPr>
              <w:t>3</w:t>
            </w:r>
            <w:r>
              <w:rPr>
                <w:rFonts w:hint="eastAsia" w:ascii="Times New Roman" w:hAnsi="Times New Roman"/>
                <w:color w:val="auto"/>
                <w:sz w:val="24"/>
                <w:szCs w:val="24"/>
              </w:rPr>
              <w:t>mg/m</w:t>
            </w:r>
            <w:r>
              <w:rPr>
                <w:rFonts w:hint="eastAsia" w:ascii="Times New Roman" w:hAnsi="Times New Roman"/>
                <w:color w:val="auto"/>
                <w:sz w:val="24"/>
                <w:szCs w:val="24"/>
                <w:vertAlign w:val="superscript"/>
              </w:rPr>
              <w:t>3</w:t>
            </w:r>
            <w:r>
              <w:rPr>
                <w:rFonts w:hint="eastAsia" w:ascii="Times New Roman" w:hAnsi="Times New Roman"/>
                <w:color w:val="auto"/>
                <w:sz w:val="24"/>
                <w:szCs w:val="24"/>
              </w:rPr>
              <w:t>，</w:t>
            </w:r>
            <w:r>
              <w:rPr>
                <w:rFonts w:hint="eastAsia" w:ascii="Times New Roman" w:hAnsi="Times New Roman"/>
                <w:color w:val="auto"/>
                <w:sz w:val="24"/>
                <w:szCs w:val="24"/>
                <w:lang w:eastAsia="zh-CN"/>
              </w:rPr>
              <w:t>浓度均满足《挥发性有机物排放标准第 7 部分：其他行业》（DB37/2801.7-2019）表2厂界监控点浓度限值、《制药工业大气污染物排放标准》（GB37823-2019）。</w:t>
            </w:r>
            <w:r>
              <w:rPr>
                <w:rFonts w:hint="eastAsia" w:ascii="Times New Roman" w:hAnsi="Times New Roman"/>
                <w:color w:val="auto"/>
                <w:sz w:val="24"/>
                <w:szCs w:val="24"/>
              </w:rPr>
              <w:t>厂界无组织排放的</w:t>
            </w:r>
            <w:r>
              <w:rPr>
                <w:rFonts w:hint="eastAsia" w:ascii="Times New Roman" w:hAnsi="Times New Roman"/>
                <w:color w:val="auto"/>
                <w:sz w:val="24"/>
                <w:szCs w:val="24"/>
                <w:lang w:eastAsia="zh-CN"/>
              </w:rPr>
              <w:t>氯化氢为</w:t>
            </w:r>
            <w:r>
              <w:rPr>
                <w:rFonts w:hint="eastAsia" w:ascii="Times New Roman" w:hAnsi="Times New Roman"/>
                <w:color w:val="auto"/>
                <w:sz w:val="24"/>
                <w:szCs w:val="24"/>
              </w:rPr>
              <w:t>未检出</w:t>
            </w:r>
            <w:r>
              <w:rPr>
                <w:rFonts w:hint="eastAsia" w:ascii="Times New Roman" w:hAnsi="Times New Roman"/>
                <w:color w:val="auto"/>
                <w:sz w:val="24"/>
                <w:szCs w:val="24"/>
                <w:lang w:eastAsia="zh-CN"/>
              </w:rPr>
              <w:t>；浓度均满足《制药工业大气污染物排放标准》（GB37823-2019）表4浓度限值及《大气污染物综合排放标准》（GB16297-1996）表2浓度限值要求。</w:t>
            </w:r>
          </w:p>
          <w:p>
            <w:pPr>
              <w:pStyle w:val="22"/>
              <w:spacing w:line="360" w:lineRule="auto"/>
              <w:ind w:firstLine="480" w:firstLineChars="200"/>
              <w:rPr>
                <w:rFonts w:ascii="Times New Roman" w:hAnsi="宋体"/>
                <w:color w:val="auto"/>
                <w:sz w:val="24"/>
                <w:szCs w:val="24"/>
              </w:rPr>
            </w:pPr>
            <w:r>
              <w:rPr>
                <w:rFonts w:hint="eastAsia" w:ascii="Times New Roman"/>
                <w:color w:val="auto"/>
                <w:sz w:val="24"/>
                <w:szCs w:val="24"/>
                <w:lang w:eastAsia="zh-CN"/>
              </w:rPr>
              <w:t>车间</w:t>
            </w:r>
            <w:r>
              <w:rPr>
                <w:rFonts w:hint="eastAsia" w:ascii="Times New Roman" w:hAnsi="宋体"/>
                <w:color w:val="auto"/>
                <w:sz w:val="24"/>
                <w:szCs w:val="24"/>
              </w:rPr>
              <w:t>通风口处非甲烷总烃最大1h平均浓度值为</w:t>
            </w:r>
            <w:r>
              <w:rPr>
                <w:rFonts w:ascii="Times New Roman" w:hAnsi="宋体"/>
                <w:color w:val="auto"/>
                <w:sz w:val="24"/>
                <w:szCs w:val="24"/>
              </w:rPr>
              <w:t>1.</w:t>
            </w:r>
            <w:r>
              <w:rPr>
                <w:rFonts w:hint="eastAsia" w:ascii="Times New Roman"/>
                <w:color w:val="auto"/>
                <w:sz w:val="24"/>
                <w:szCs w:val="24"/>
                <w:lang w:val="en-US" w:eastAsia="zh-CN"/>
              </w:rPr>
              <w:t>34</w:t>
            </w:r>
            <w:r>
              <w:rPr>
                <w:rFonts w:ascii="Times New Roman" w:hAnsi="宋体"/>
                <w:color w:val="auto"/>
                <w:sz w:val="24"/>
                <w:szCs w:val="24"/>
              </w:rPr>
              <w:t>mg/m</w:t>
            </w:r>
            <w:r>
              <w:rPr>
                <w:rFonts w:ascii="Times New Roman" w:hAnsi="宋体"/>
                <w:color w:val="auto"/>
                <w:sz w:val="24"/>
                <w:szCs w:val="24"/>
                <w:vertAlign w:val="superscript"/>
              </w:rPr>
              <w:t>3</w:t>
            </w:r>
            <w:r>
              <w:rPr>
                <w:rFonts w:hint="eastAsia" w:ascii="Times New Roman" w:hAnsi="宋体" w:cs="Times New Roman"/>
                <w:color w:val="auto"/>
                <w:sz w:val="24"/>
                <w:szCs w:val="24"/>
              </w:rPr>
              <w:t>，</w:t>
            </w:r>
            <w:r>
              <w:rPr>
                <w:rFonts w:hint="eastAsia" w:ascii="Times New Roman" w:cs="Times New Roman"/>
                <w:color w:val="auto"/>
                <w:sz w:val="24"/>
                <w:szCs w:val="24"/>
                <w:lang w:eastAsia="zh-CN"/>
              </w:rPr>
              <w:t>均</w:t>
            </w:r>
            <w:r>
              <w:rPr>
                <w:rFonts w:hint="eastAsia" w:ascii="Times New Roman" w:hAnsi="宋体" w:cs="Times New Roman"/>
                <w:color w:val="auto"/>
                <w:sz w:val="24"/>
                <w:szCs w:val="24"/>
              </w:rPr>
              <w:t>满足</w:t>
            </w:r>
            <w:r>
              <w:rPr>
                <w:rFonts w:hint="eastAsia" w:ascii="Times New Roman" w:hAnsi="宋体" w:cs="Times New Roman"/>
                <w:bCs/>
                <w:color w:val="auto"/>
                <w:sz w:val="24"/>
                <w:szCs w:val="24"/>
              </w:rPr>
              <w:t>《挥发性有机物无组织排放控制标准》（GB37822-2019）的附录A中表A.1限值要求。</w:t>
            </w:r>
          </w:p>
          <w:p>
            <w:pPr>
              <w:ind w:firstLine="480"/>
              <w:rPr>
                <w:rFonts w:hint="eastAsia" w:eastAsia="宋体"/>
                <w:color w:val="auto"/>
                <w:kern w:val="0"/>
                <w:highlight w:val="none"/>
                <w:lang w:eastAsia="zh-CN" w:bidi="ar"/>
              </w:rPr>
            </w:pPr>
            <w:r>
              <w:rPr>
                <w:rFonts w:hint="eastAsia"/>
                <w:color w:val="auto"/>
                <w:kern w:val="0"/>
                <w:highlight w:val="none"/>
                <w:lang w:bidi="ar"/>
              </w:rPr>
              <w:t>（2）</w:t>
            </w:r>
            <w:r>
              <w:rPr>
                <w:rFonts w:hint="eastAsia"/>
                <w:color w:val="auto"/>
                <w:kern w:val="0"/>
                <w:highlight w:val="none"/>
                <w:lang w:eastAsia="zh-CN" w:bidi="ar"/>
              </w:rPr>
              <w:t>废水：</w:t>
            </w:r>
          </w:p>
          <w:p>
            <w:pPr>
              <w:ind w:firstLine="480"/>
              <w:rPr>
                <w:rFonts w:hint="eastAsia"/>
                <w:color w:val="auto"/>
                <w:highlight w:val="none"/>
              </w:rPr>
            </w:pPr>
            <w:r>
              <w:rPr>
                <w:rFonts w:hint="eastAsia"/>
                <w:color w:val="auto"/>
                <w:highlight w:val="none"/>
              </w:rPr>
              <w:t>本项目排水主要包括地面清洁废水、实验器皿清洗废水、实验过程废液和生活污水。项目实验器皿首次清洗废液、实验器皿二次清洗废液、实验过程废液属于危险废物，暂存于危废暂存间，委托有资质的单位进行处置，不外排；地面清洁废水、实验器皿清洗废水（实验器皿第三次和第四次清洗废水）和生活污水经产业园污水处理站处理后排入林业示范园水质净化厂处理，排入东巨野河支流，汇入小清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lang w:eastAsia="zh-CN"/>
              </w:rPr>
              <w:t>企业总排口</w:t>
            </w:r>
            <w:r>
              <w:rPr>
                <w:rFonts w:ascii="Times New Roman" w:hAnsi="Times New Roman"/>
                <w:b/>
                <w:bCs/>
                <w:color w:val="auto"/>
                <w:sz w:val="24"/>
                <w:highlight w:val="none"/>
              </w:rPr>
              <w:t>废水判定结果表</w:t>
            </w:r>
          </w:p>
          <w:tbl>
            <w:tblPr>
              <w:tblStyle w:val="2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0"/>
              <w:gridCol w:w="1530"/>
              <w:gridCol w:w="870"/>
              <w:gridCol w:w="1320"/>
              <w:gridCol w:w="1977"/>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530"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870" w:type="dxa"/>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单位</w:t>
                  </w:r>
                </w:p>
              </w:tc>
              <w:tc>
                <w:tcPr>
                  <w:tcW w:w="1320"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产业园污水处理站进水水质要求</w:t>
                  </w:r>
                  <w:r>
                    <w:rPr>
                      <w:rFonts w:hint="eastAsia"/>
                      <w:b/>
                      <w:bCs/>
                      <w:color w:val="auto"/>
                      <w:sz w:val="21"/>
                      <w:szCs w:val="21"/>
                      <w:highlight w:val="none"/>
                      <w:lang w:eastAsia="zh-CN"/>
                    </w:rPr>
                    <w:t>限值</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企业总排口</w:t>
                  </w: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化学需氧量</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0" w:type="dxa"/>
                  <w:vMerge w:val="continue"/>
                  <w:shd w:val="clear" w:color="auto" w:fill="auto"/>
                  <w:vAlign w:val="center"/>
                </w:tcPr>
                <w:p>
                  <w:pPr>
                    <w:spacing w:line="240" w:lineRule="auto"/>
                    <w:ind w:firstLine="0" w:firstLineChars="0"/>
                    <w:jc w:val="center"/>
                    <w:rPr>
                      <w:color w:val="auto"/>
                      <w:highlight w:val="none"/>
                    </w:rPr>
                  </w:pPr>
                </w:p>
              </w:tc>
              <w:tc>
                <w:tcPr>
                  <w:tcW w:w="1530"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lang w:eastAsia="zh-CN"/>
                    </w:rPr>
                    <w:t>氨氮</w:t>
                  </w:r>
                </w:p>
              </w:tc>
              <w:tc>
                <w:tcPr>
                  <w:tcW w:w="870" w:type="dxa"/>
                  <w:shd w:val="clear" w:color="auto" w:fill="auto"/>
                  <w:vAlign w:val="center"/>
                </w:tcPr>
                <w:p>
                  <w:pPr>
                    <w:widowControl/>
                    <w:autoSpaceDE w:val="0"/>
                    <w:autoSpaceDN w:val="0"/>
                    <w:adjustRightInd w:val="0"/>
                    <w:spacing w:line="240" w:lineRule="auto"/>
                    <w:ind w:firstLine="0" w:firstLineChars="0"/>
                    <w:jc w:val="center"/>
                    <w:rPr>
                      <w:rFonts w:hint="eastAsia"/>
                      <w:color w:val="auto"/>
                      <w:spacing w:val="10"/>
                      <w:sz w:val="21"/>
                      <w:szCs w:val="21"/>
                      <w:highlight w:val="none"/>
                      <w:lang w:eastAsia="zh-CN"/>
                    </w:rPr>
                  </w:pPr>
                  <w:r>
                    <w:rPr>
                      <w:rFonts w:hint="eastAsia"/>
                      <w:color w:val="auto"/>
                      <w:sz w:val="21"/>
                      <w:szCs w:val="21"/>
                      <w:highlight w:val="none"/>
                    </w:rPr>
                    <w:t>mg/L</w:t>
                  </w:r>
                </w:p>
              </w:tc>
              <w:tc>
                <w:tcPr>
                  <w:tcW w:w="1320" w:type="dxa"/>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3.16</w:t>
                  </w:r>
                </w:p>
              </w:tc>
              <w:tc>
                <w:tcPr>
                  <w:tcW w:w="1977" w:type="dxa"/>
                  <w:shd w:val="clear" w:color="auto" w:fill="auto"/>
                  <w:vAlign w:val="center"/>
                </w:tcPr>
                <w:p>
                  <w:pPr>
                    <w:widowControl/>
                    <w:autoSpaceDE w:val="0"/>
                    <w:autoSpaceDN w:val="0"/>
                    <w:adjustRightInd w:val="0"/>
                    <w:spacing w:line="240" w:lineRule="auto"/>
                    <w:ind w:firstLine="0" w:firstLineChars="0"/>
                    <w:jc w:val="center"/>
                    <w:rPr>
                      <w:rFonts w:hint="default" w:eastAsia="宋体"/>
                      <w:color w:val="auto"/>
                      <w:spacing w:val="10"/>
                      <w:sz w:val="21"/>
                      <w:szCs w:val="21"/>
                      <w:highlight w:val="none"/>
                      <w:lang w:val="en-US" w:eastAsia="zh-CN"/>
                    </w:rPr>
                  </w:pPr>
                  <w:r>
                    <w:rPr>
                      <w:rFonts w:hint="eastAsia"/>
                      <w:color w:val="auto"/>
                      <w:spacing w:val="10"/>
                      <w:sz w:val="21"/>
                      <w:szCs w:val="21"/>
                      <w:highlight w:val="none"/>
                      <w:lang w:val="en-US" w:eastAsia="zh-CN"/>
                    </w:rPr>
                    <w:t>50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9-5</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产业园污水处理站</w:t>
            </w:r>
            <w:r>
              <w:rPr>
                <w:rFonts w:ascii="Times New Roman" w:hAnsi="Times New Roman"/>
                <w:b/>
                <w:bCs/>
                <w:color w:val="auto"/>
                <w:sz w:val="24"/>
                <w:highlight w:val="none"/>
              </w:rPr>
              <w:t>废水判定结果表</w:t>
            </w:r>
          </w:p>
          <w:tbl>
            <w:tblPr>
              <w:tblStyle w:val="28"/>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890"/>
              <w:gridCol w:w="1005"/>
              <w:gridCol w:w="1305"/>
              <w:gridCol w:w="2667"/>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lang w:eastAsia="zh-CN"/>
                    </w:rPr>
                    <w:t>控制项目名称</w:t>
                  </w:r>
                </w:p>
              </w:tc>
              <w:tc>
                <w:tcPr>
                  <w:tcW w:w="576" w:type="pct"/>
                  <w:shd w:val="clear" w:color="auto" w:fill="auto"/>
                  <w:vAlign w:val="center"/>
                </w:tcPr>
                <w:p>
                  <w:pPr>
                    <w:spacing w:line="240" w:lineRule="auto"/>
                    <w:ind w:firstLine="0" w:firstLineChars="0"/>
                    <w:jc w:val="center"/>
                    <w:rPr>
                      <w:rFonts w:hint="eastAsia"/>
                      <w:b/>
                      <w:color w:val="auto"/>
                      <w:sz w:val="21"/>
                      <w:szCs w:val="21"/>
                      <w:highlight w:val="none"/>
                      <w:lang w:eastAsia="zh-CN"/>
                    </w:rPr>
                  </w:pPr>
                  <w:r>
                    <w:rPr>
                      <w:rFonts w:hint="eastAsia"/>
                      <w:b/>
                      <w:color w:val="auto"/>
                      <w:sz w:val="21"/>
                      <w:szCs w:val="21"/>
                      <w:highlight w:val="none"/>
                      <w:lang w:eastAsia="zh-CN"/>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29"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lang w:eastAsia="zh-CN"/>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产业园污水处理站</w:t>
                  </w: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pH值</w:t>
                  </w:r>
                </w:p>
              </w:tc>
              <w:tc>
                <w:tcPr>
                  <w:tcW w:w="576" w:type="pct"/>
                  <w:shd w:val="clear" w:color="auto" w:fill="auto"/>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7.6-7.8</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179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10.2</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45</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eastAsia="zh-CN"/>
                    </w:rPr>
                    <w:t>五日</w:t>
                  </w:r>
                  <w:r>
                    <w:rPr>
                      <w:color w:val="auto"/>
                      <w:sz w:val="21"/>
                      <w:szCs w:val="21"/>
                      <w:highlight w:val="none"/>
                    </w:rPr>
                    <w:t>生化需氧量</w:t>
                  </w:r>
                </w:p>
              </w:tc>
              <w:tc>
                <w:tcPr>
                  <w:tcW w:w="576" w:type="pct"/>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lang w:eastAsia="zh-CN"/>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92.9</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350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400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1.04</w:t>
                  </w:r>
                </w:p>
              </w:tc>
              <w:tc>
                <w:tcPr>
                  <w:tcW w:w="1529"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djustRightInd w:val="0"/>
                    <w:snapToGrid w:val="0"/>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color w:val="auto"/>
                      <w:sz w:val="21"/>
                      <w:szCs w:val="21"/>
                      <w:highlight w:val="none"/>
                    </w:rPr>
                    <w:t>溶解性总固体</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748"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828</w:t>
                  </w:r>
                </w:p>
              </w:tc>
              <w:tc>
                <w:tcPr>
                  <w:tcW w:w="1529" w:type="pct"/>
                  <w:shd w:val="clear" w:color="auto" w:fill="auto"/>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snapToGrid w:val="0"/>
                      <w:color w:val="auto"/>
                      <w:kern w:val="0"/>
                      <w:sz w:val="21"/>
                      <w:szCs w:val="21"/>
                      <w:highlight w:val="none"/>
                      <w:lang w:val="en-US" w:eastAsia="zh-CN"/>
                    </w:rPr>
                    <w:t>1500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验收监测期间，企业总排口化学需氧量、氨氮最大日均浓度分别为116mg/L、3.16mg/L，均满足产业园污水处理站进水水质要求。产业园污水处理站主要污染物pH在7.6-7.8之间，化学需氧量、氨氮、五日生化需氧量、悬浮物、总磷、溶解性总固体最大日均浓度分别为179mg/L、10.2mg/L、92.9mg/L、44mg/L、1.04mg/L、828mg/L，均满足《污水排入城镇下水道水质标准》（GB/T 31962-2015）表1中</w:t>
            </w:r>
            <w:r>
              <w:rPr>
                <w:rFonts w:hint="eastAsia" w:cs="Times New Roman"/>
                <w:color w:val="auto"/>
                <w:highlight w:val="none"/>
                <w:lang w:eastAsia="zh-CN"/>
              </w:rPr>
              <w:t>A级</w:t>
            </w:r>
            <w:r>
              <w:rPr>
                <w:rFonts w:hint="default" w:ascii="Times New Roman" w:hAnsi="Times New Roman" w:eastAsia="宋体" w:cs="Times New Roman"/>
                <w:color w:val="auto"/>
                <w:highlight w:val="none"/>
              </w:rPr>
              <w:t>标准。</w:t>
            </w:r>
          </w:p>
          <w:p>
            <w:pPr>
              <w:pStyle w:val="33"/>
              <w:rPr>
                <w:rFonts w:hint="eastAsia" w:eastAsia="宋体" w:cs="Times New Roman"/>
                <w:color w:val="auto"/>
                <w:szCs w:val="24"/>
                <w:highlight w:val="none"/>
                <w:lang w:eastAsia="zh-CN"/>
              </w:rPr>
            </w:pPr>
            <w:r>
              <w:rPr>
                <w:rFonts w:hint="eastAsia" w:cs="Times New Roman"/>
                <w:color w:val="auto"/>
                <w:szCs w:val="24"/>
                <w:highlight w:val="none"/>
              </w:rPr>
              <w:t>（3）</w:t>
            </w:r>
            <w:r>
              <w:rPr>
                <w:rFonts w:hint="eastAsia" w:cs="Times New Roman"/>
                <w:color w:val="auto"/>
                <w:szCs w:val="24"/>
                <w:highlight w:val="none"/>
                <w:lang w:eastAsia="zh-CN"/>
              </w:rPr>
              <w:t>噪声：</w:t>
            </w:r>
          </w:p>
          <w:p>
            <w:pPr>
              <w:ind w:firstLine="480"/>
              <w:rPr>
                <w:rFonts w:hint="eastAsia" w:eastAsia="宋体"/>
                <w:color w:val="auto"/>
                <w:highlight w:val="none"/>
                <w:lang w:eastAsia="zh-CN"/>
              </w:rPr>
            </w:pPr>
            <w:r>
              <w:rPr>
                <w:rFonts w:hint="eastAsia"/>
                <w:color w:val="auto"/>
                <w:highlight w:val="none"/>
                <w:lang w:eastAsia="zh-CN"/>
              </w:rPr>
              <w:t>本项目噪声源主要为实验设备运转产生的噪声，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9-6</w:t>
            </w:r>
            <w:r>
              <w:rPr>
                <w:rFonts w:hint="eastAsia" w:ascii="Times New Roman" w:hAnsi="Times New Roman"/>
                <w:b/>
                <w:bCs/>
                <w:color w:val="auto"/>
                <w:sz w:val="24"/>
                <w:highlight w:val="none"/>
              </w:rPr>
              <w:t xml:space="preserve">  噪声判定结果表</w:t>
            </w:r>
          </w:p>
          <w:tbl>
            <w:tblPr>
              <w:tblStyle w:val="28"/>
              <w:tblW w:w="1069393824" w:type="pct"/>
              <w:jc w:val="center"/>
              <w:tblLayout w:type="autofit"/>
              <w:tblCellMar>
                <w:top w:w="0" w:type="dxa"/>
                <w:left w:w="108" w:type="dxa"/>
                <w:bottom w:w="0" w:type="dxa"/>
                <w:right w:w="108" w:type="dxa"/>
              </w:tblCellMar>
            </w:tblPr>
            <w:tblGrid>
              <w:gridCol w:w="1035"/>
              <w:gridCol w:w="1072"/>
              <w:gridCol w:w="1342"/>
              <w:gridCol w:w="1290"/>
              <w:gridCol w:w="1434"/>
              <w:gridCol w:w="1345"/>
              <w:gridCol w:w="1401"/>
            </w:tblGrid>
            <w:tr>
              <w:tblPrEx>
                <w:tblCellMar>
                  <w:top w:w="0" w:type="dxa"/>
                  <w:left w:w="108" w:type="dxa"/>
                  <w:bottom w:w="0" w:type="dxa"/>
                  <w:right w:w="108" w:type="dxa"/>
                </w:tblCellMar>
              </w:tblPrEx>
              <w:trPr>
                <w:trHeight w:val="397" w:hRule="atLeast"/>
                <w:jc w:val="center"/>
              </w:trPr>
              <w:tc>
                <w:tcPr>
                  <w:tcW w:w="580"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600"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3"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5"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2类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0"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600"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5"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0"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600"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2"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57.5</w:t>
                  </w:r>
                </w:p>
              </w:tc>
              <w:tc>
                <w:tcPr>
                  <w:tcW w:w="72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57.1</w:t>
                  </w:r>
                </w:p>
              </w:tc>
              <w:tc>
                <w:tcPr>
                  <w:tcW w:w="804"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57.8</w:t>
                  </w:r>
                </w:p>
              </w:tc>
              <w:tc>
                <w:tcPr>
                  <w:tcW w:w="75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57.2</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5"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rPr>
                <w:color w:val="auto"/>
              </w:rPr>
            </w:pPr>
            <w:r>
              <w:rPr>
                <w:rFonts w:hint="eastAsia"/>
                <w:color w:val="auto"/>
              </w:rPr>
              <w:t>验收监测期间，项目1#东厂界、2#南厂界、3#西厂界、4#北厂界，</w:t>
            </w:r>
            <w:r>
              <w:rPr>
                <w:rFonts w:hint="eastAsia"/>
                <w:color w:val="auto"/>
                <w:lang w:eastAsia="zh-CN"/>
              </w:rPr>
              <w:t>昼间厂界噪声最大值分别为</w:t>
            </w:r>
            <w:r>
              <w:rPr>
                <w:rFonts w:hint="eastAsia" w:ascii="Times New Roman" w:hAnsi="Times New Roman" w:eastAsia="宋体" w:cs="Times New Roman"/>
                <w:color w:val="auto"/>
                <w:sz w:val="24"/>
                <w:szCs w:val="24"/>
                <w:lang w:val="en-US" w:eastAsia="zh-CN"/>
              </w:rPr>
              <w:t>57.5</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57.1</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57.8</w:t>
            </w:r>
            <w:r>
              <w:rPr>
                <w:rFonts w:hint="eastAsia" w:cs="Times New Roman"/>
                <w:b w:val="0"/>
                <w:bCs w:val="0"/>
                <w:color w:val="auto"/>
                <w:sz w:val="24"/>
                <w:szCs w:val="24"/>
                <w:lang w:val="en-US" w:eastAsia="zh-CN"/>
              </w:rPr>
              <w:t>dB（A）</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57.2</w:t>
            </w:r>
            <w:r>
              <w:rPr>
                <w:rFonts w:hint="eastAsia" w:cs="Times New Roman"/>
                <w:b w:val="0"/>
                <w:bCs w:val="0"/>
                <w:color w:val="auto"/>
                <w:sz w:val="24"/>
                <w:szCs w:val="24"/>
                <w:lang w:val="en-US" w:eastAsia="zh-CN"/>
              </w:rPr>
              <w:t>dB（A），</w:t>
            </w:r>
            <w:r>
              <w:rPr>
                <w:rFonts w:hint="eastAsia"/>
                <w:color w:val="auto"/>
              </w:rPr>
              <w:t>均满足《工业企业厂界环境噪声排放标准》(GB12348-2008)2类</w:t>
            </w:r>
            <w:r>
              <w:rPr>
                <w:rFonts w:hint="eastAsia"/>
                <w:color w:val="auto"/>
                <w:lang w:eastAsia="zh-CN"/>
              </w:rPr>
              <w:t>昼间</w:t>
            </w:r>
            <w:r>
              <w:rPr>
                <w:rFonts w:hint="eastAsia"/>
                <w:color w:val="auto"/>
              </w:rPr>
              <w:t>标准。</w:t>
            </w:r>
            <w:r>
              <w:rPr>
                <w:rFonts w:hint="eastAsia"/>
                <w:color w:val="auto"/>
                <w:lang w:eastAsia="zh-CN"/>
              </w:rPr>
              <w:t>项目</w:t>
            </w:r>
            <w:r>
              <w:rPr>
                <w:rFonts w:hint="eastAsia"/>
                <w:color w:val="auto"/>
              </w:rPr>
              <w:t>夜间不运行。</w:t>
            </w:r>
          </w:p>
          <w:p>
            <w:pPr>
              <w:pStyle w:val="33"/>
              <w:widowControl/>
              <w:adjustRightInd/>
              <w:rPr>
                <w:rFonts w:hint="eastAsia" w:eastAsia="宋体" w:cs="Times New Roman"/>
                <w:color w:val="auto"/>
                <w:szCs w:val="24"/>
                <w:highlight w:val="none"/>
                <w:lang w:eastAsia="zh-CN"/>
              </w:rPr>
            </w:pPr>
            <w:r>
              <w:rPr>
                <w:rFonts w:cs="Times New Roman"/>
                <w:color w:val="auto"/>
                <w:szCs w:val="24"/>
                <w:highlight w:val="none"/>
              </w:rPr>
              <w:t>（4）</w:t>
            </w:r>
            <w:r>
              <w:rPr>
                <w:rFonts w:hint="eastAsia" w:cs="Times New Roman"/>
                <w:color w:val="auto"/>
                <w:szCs w:val="24"/>
                <w:highlight w:val="none"/>
                <w:lang w:eastAsia="zh-CN"/>
              </w:rPr>
              <w:t>固废：</w:t>
            </w:r>
          </w:p>
          <w:p>
            <w:pPr>
              <w:pStyle w:val="33"/>
              <w:widowControl/>
              <w:adjustRightInd/>
              <w:rPr>
                <w:rFonts w:hint="eastAsia" w:cs="Times New Roman"/>
                <w:color w:val="auto"/>
                <w:szCs w:val="24"/>
                <w:highlight w:val="none"/>
              </w:rPr>
            </w:pPr>
            <w:r>
              <w:rPr>
                <w:rFonts w:hint="eastAsia" w:cs="Times New Roman"/>
                <w:color w:val="auto"/>
                <w:sz w:val="24"/>
                <w:szCs w:val="24"/>
                <w:lang w:val="en-US" w:eastAsia="zh-CN"/>
              </w:rPr>
              <w:t>项目产生的固体废物主要是</w:t>
            </w:r>
            <w:r>
              <w:rPr>
                <w:rFonts w:hint="eastAsia" w:cs="Times New Roman"/>
                <w:color w:val="auto"/>
                <w:szCs w:val="24"/>
                <w:highlight w:val="none"/>
              </w:rPr>
              <w:t>实验废物（废试剂瓶、废实验耗材、称量废物、分析实验废渣等）、实验废液（配制试剂废液、实验过程废液、实验器皿首次和二次清洗废液等）、废活性炭</w:t>
            </w:r>
            <w:r>
              <w:rPr>
                <w:rFonts w:hint="eastAsia" w:cs="Times New Roman"/>
                <w:color w:val="auto"/>
                <w:szCs w:val="24"/>
                <w:highlight w:val="none"/>
                <w:lang w:eastAsia="zh-CN"/>
              </w:rPr>
              <w:t>、</w:t>
            </w:r>
            <w:r>
              <w:rPr>
                <w:rFonts w:hint="eastAsia" w:cs="Times New Roman"/>
                <w:color w:val="auto"/>
                <w:szCs w:val="24"/>
                <w:highlight w:val="none"/>
              </w:rPr>
              <w:t>生活垃圾、废包装材料（废纸箱、废纸盒等，来自试剂外包装、实验耗材包装，未沾染化学试剂）。</w:t>
            </w:r>
          </w:p>
          <w:p>
            <w:pPr>
              <w:pStyle w:val="33"/>
              <w:widowControl/>
              <w:adjustRightInd/>
              <w:rPr>
                <w:rFonts w:hint="eastAsia" w:cs="Times New Roman"/>
                <w:color w:val="auto"/>
                <w:szCs w:val="24"/>
                <w:highlight w:val="none"/>
              </w:rPr>
            </w:pPr>
            <w:r>
              <w:rPr>
                <w:rFonts w:hint="eastAsia" w:cs="Times New Roman"/>
                <w:color w:val="auto"/>
                <w:szCs w:val="24"/>
                <w:highlight w:val="none"/>
              </w:rPr>
              <w:t>废包装材料收集后外售物资回收单位，生活垃圾由环卫部门定期清运处理；实验废物（废试剂瓶、废实验耗材、称量废物、分析实验废渣等）、实验废液（配制试剂废液、实验过程废液、实验器皿首次和二次清洗废液等）、废活性炭收集后暂存于危废间，委托</w:t>
            </w:r>
            <w:r>
              <w:rPr>
                <w:rFonts w:hint="eastAsia" w:cs="Times New Roman"/>
                <w:color w:val="auto"/>
                <w:szCs w:val="24"/>
                <w:highlight w:val="none"/>
                <w:lang w:eastAsia="zh-CN"/>
              </w:rPr>
              <w:t>山东敬诚环保科技有限公司</w:t>
            </w:r>
            <w:r>
              <w:rPr>
                <w:rFonts w:hint="eastAsia" w:cs="Times New Roman"/>
                <w:color w:val="auto"/>
                <w:szCs w:val="24"/>
                <w:highlight w:val="none"/>
              </w:rPr>
              <w:t>处置。</w:t>
            </w:r>
          </w:p>
          <w:p>
            <w:pPr>
              <w:pStyle w:val="33"/>
              <w:widowControl/>
              <w:adjustRightInd/>
              <w:rPr>
                <w:rFonts w:cs="Times New Roman"/>
                <w:color w:val="auto"/>
                <w:szCs w:val="24"/>
                <w:highlight w:val="none"/>
              </w:rPr>
            </w:pPr>
            <w:r>
              <w:rPr>
                <w:rFonts w:cs="Times New Roman"/>
                <w:color w:val="auto"/>
                <w:szCs w:val="24"/>
                <w:highlight w:val="none"/>
              </w:rPr>
              <w:t>建设单位已与</w:t>
            </w:r>
            <w:r>
              <w:rPr>
                <w:rFonts w:hint="eastAsia" w:cs="Times New Roman"/>
                <w:color w:val="auto"/>
                <w:szCs w:val="24"/>
                <w:highlight w:val="none"/>
                <w:lang w:eastAsia="zh-CN"/>
              </w:rPr>
              <w:t>山东敬诚环保科技有限公司</w:t>
            </w:r>
            <w:r>
              <w:rPr>
                <w:rFonts w:cs="Times New Roman"/>
                <w:color w:val="auto"/>
                <w:szCs w:val="24"/>
                <w:highlight w:val="none"/>
              </w:rPr>
              <w:t>签订危废委托处理协议。</w:t>
            </w:r>
          </w:p>
          <w:p>
            <w:pPr>
              <w:pStyle w:val="33"/>
              <w:widowControl/>
              <w:adjustRightInd/>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3"/>
              <w:widowControl/>
              <w:numPr>
                <w:ilvl w:val="255"/>
                <w:numId w:val="0"/>
              </w:numPr>
              <w:adjustRightInd/>
              <w:spacing w:line="240" w:lineRule="auto"/>
              <w:ind w:firstLine="482" w:firstLineChars="200"/>
              <w:rPr>
                <w:rFonts w:cs="Times New Roman"/>
                <w:b/>
                <w:bCs/>
                <w:color w:val="auto"/>
                <w:szCs w:val="24"/>
                <w:highlight w:val="none"/>
              </w:rPr>
            </w:pPr>
            <w:r>
              <w:rPr>
                <w:rFonts w:hint="eastAsia" w:cs="Times New Roman"/>
                <w:b/>
                <w:bCs/>
                <w:color w:val="auto"/>
                <w:szCs w:val="24"/>
                <w:highlight w:val="none"/>
              </w:rPr>
              <w:t>4、污染物排放总量</w:t>
            </w:r>
          </w:p>
          <w:p>
            <w:pPr>
              <w:pStyle w:val="33"/>
              <w:widowControl/>
              <w:adjustRightInd/>
              <w:rPr>
                <w:rFonts w:cs="Times New Roman"/>
                <w:color w:val="auto"/>
                <w:szCs w:val="24"/>
                <w:highlight w:val="none"/>
              </w:rPr>
            </w:pPr>
            <w:r>
              <w:rPr>
                <w:rFonts w:hint="eastAsia" w:cs="Times New Roman"/>
                <w:color w:val="auto"/>
                <w:highlight w:val="none"/>
              </w:rPr>
              <w:t>废气：</w:t>
            </w:r>
            <w:r>
              <w:rPr>
                <w:rFonts w:hint="eastAsia" w:cs="Times New Roman"/>
                <w:color w:val="auto"/>
                <w:highlight w:val="none"/>
                <w:lang w:eastAsia="zh-CN"/>
              </w:rPr>
              <w:t>根据现场调查和实际生产情况，一期项目仅在合成工序、分析工序产生有机废气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w:t>
            </w:r>
            <w:r>
              <w:rPr>
                <w:rFonts w:hint="eastAsia" w:cs="Times New Roman"/>
                <w:color w:val="auto"/>
                <w:highlight w:val="none"/>
                <w:lang w:eastAsia="zh-CN"/>
              </w:rPr>
              <w:t>均</w:t>
            </w:r>
            <w:r>
              <w:rPr>
                <w:rFonts w:hint="eastAsia" w:cs="Times New Roman"/>
                <w:color w:val="auto"/>
                <w:highlight w:val="none"/>
              </w:rPr>
              <w:t>为</w:t>
            </w:r>
            <w:r>
              <w:rPr>
                <w:rFonts w:hint="eastAsia" w:cs="Times New Roman"/>
                <w:color w:val="auto"/>
                <w:highlight w:val="none"/>
                <w:lang w:val="en-US" w:eastAsia="zh-CN"/>
              </w:rPr>
              <w:t>80</w:t>
            </w:r>
            <w:r>
              <w:rPr>
                <w:rFonts w:hint="eastAsia" w:cs="Times New Roman"/>
                <w:color w:val="auto"/>
                <w:highlight w:val="none"/>
              </w:rPr>
              <w:t>小时，根据验收监测结果核算，</w:t>
            </w:r>
            <w:r>
              <w:rPr>
                <w:rFonts w:hint="eastAsia" w:cs="Times New Roman"/>
                <w:color w:val="auto"/>
                <w:highlight w:val="none"/>
                <w:lang w:eastAsia="zh-CN"/>
              </w:rPr>
              <w:t>一期项目VOCs排放量为0.00784</w:t>
            </w:r>
            <w:r>
              <w:rPr>
                <w:rFonts w:hint="eastAsia" w:cs="Times New Roman"/>
                <w:color w:val="auto"/>
                <w:highlight w:val="none"/>
              </w:rPr>
              <w:t>t/a，满足VOCs总量控制要求 0.00874t/a（低于环评文件测算总量）。</w:t>
            </w:r>
          </w:p>
          <w:p>
            <w:pPr>
              <w:pStyle w:val="33"/>
              <w:widowControl/>
              <w:adjustRightInd/>
              <w:ind w:firstLine="482"/>
              <w:rPr>
                <w:rFonts w:cs="Times New Roman"/>
                <w:b/>
                <w:bCs/>
                <w:color w:val="auto"/>
                <w:szCs w:val="24"/>
                <w:highlight w:val="none"/>
              </w:rPr>
            </w:pPr>
            <w:r>
              <w:rPr>
                <w:rFonts w:hint="eastAsia" w:cs="Times New Roman"/>
                <w:b/>
                <w:bCs/>
                <w:color w:val="auto"/>
                <w:szCs w:val="24"/>
                <w:highlight w:val="none"/>
              </w:rPr>
              <w:t>5、环保设施去除效率</w:t>
            </w:r>
          </w:p>
          <w:p>
            <w:pPr>
              <w:pStyle w:val="33"/>
              <w:snapToGrid w:val="0"/>
              <w:rPr>
                <w:rFonts w:hint="eastAsia" w:cs="Times New Roman"/>
                <w:b w:val="0"/>
                <w:bCs w:val="0"/>
                <w:color w:val="auto"/>
                <w:sz w:val="24"/>
                <w:szCs w:val="24"/>
                <w:highlight w:val="none"/>
                <w:lang w:val="en-US" w:eastAsia="zh-CN"/>
              </w:rPr>
            </w:pPr>
            <w:r>
              <w:rPr>
                <w:rFonts w:hint="eastAsia" w:cs="Times New Roman"/>
                <w:color w:val="auto"/>
                <w:szCs w:val="24"/>
                <w:highlight w:val="none"/>
              </w:rPr>
              <w:t>废气：</w:t>
            </w:r>
            <w:r>
              <w:rPr>
                <w:rFonts w:hint="eastAsia" w:cs="Times New Roman"/>
                <w:b w:val="0"/>
                <w:bCs w:val="0"/>
                <w:color w:val="auto"/>
                <w:sz w:val="24"/>
                <w:szCs w:val="24"/>
                <w:highlight w:val="none"/>
                <w:lang w:val="en-US" w:eastAsia="zh-CN"/>
              </w:rPr>
              <w:t>根据验收监测结果核算：</w:t>
            </w:r>
          </w:p>
          <w:p>
            <w:pPr>
              <w:pStyle w:val="33"/>
              <w:snapToGrid w:val="0"/>
              <w:rPr>
                <w:rFonts w:hint="default" w:ascii="Times New Roman" w:hAnsi="Times New Roman"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①</w:t>
            </w:r>
            <w:r>
              <w:rPr>
                <w:rFonts w:hint="default" w:ascii="Times New Roman" w:hAnsi="Times New Roman" w:cs="Times New Roman"/>
                <w:b w:val="0"/>
                <w:bCs w:val="0"/>
                <w:color w:val="auto"/>
                <w:sz w:val="24"/>
                <w:szCs w:val="24"/>
                <w:highlight w:val="none"/>
                <w:lang w:val="en-US" w:eastAsia="zh-CN"/>
              </w:rPr>
              <w:t>实验操作+危废间+试剂库废气排气筒DA001“二级活性炭吸附”装置对废气中主要污染物VOCs的去除效率为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63.0</w:t>
            </w:r>
            <w:r>
              <w:rPr>
                <w:rFonts w:hint="default" w:ascii="Times New Roman" w:hAnsi="Times New Roman" w:cs="Times New Roman"/>
                <w:b w:val="0"/>
                <w:bCs w:val="0"/>
                <w:color w:val="auto"/>
                <w:sz w:val="24"/>
                <w:szCs w:val="24"/>
                <w:highlight w:val="none"/>
                <w:lang w:val="en-US" w:eastAsia="zh-CN"/>
              </w:rPr>
              <w:t>%。</w:t>
            </w:r>
          </w:p>
          <w:p>
            <w:pPr>
              <w:pStyle w:val="33"/>
              <w:snapToGrid w:val="0"/>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②实验操作废气排气筒DA002“二级活性炭吸附”装置对废气中主要污染物VOCs的去除效率为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62.1</w:t>
            </w:r>
            <w:r>
              <w:rPr>
                <w:rFonts w:hint="default"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w:t>
            </w:r>
          </w:p>
          <w:p>
            <w:pPr>
              <w:pStyle w:val="33"/>
              <w:snapToGrid w:val="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③实验操作废气排气筒DA003</w:t>
            </w:r>
            <w:r>
              <w:rPr>
                <w:rFonts w:hint="default" w:ascii="Times New Roman" w:hAnsi="Times New Roman" w:cs="Times New Roman"/>
                <w:b w:val="0"/>
                <w:bCs w:val="0"/>
                <w:color w:val="auto"/>
                <w:sz w:val="24"/>
                <w:szCs w:val="24"/>
                <w:highlight w:val="none"/>
                <w:lang w:val="en-US" w:eastAsia="zh-CN"/>
              </w:rPr>
              <w:t>“二级活性炭吸附”装置对废气中主要污染物VOCs的去除效率为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52.0</w:t>
            </w:r>
            <w:r>
              <w:rPr>
                <w:rFonts w:hint="default" w:ascii="Times New Roman" w:hAnsi="Times New Roman" w:cs="Times New Roman"/>
                <w:b w:val="0"/>
                <w:bCs w:val="0"/>
                <w:color w:val="auto"/>
                <w:sz w:val="24"/>
                <w:szCs w:val="24"/>
                <w:highlight w:val="none"/>
                <w:lang w:val="en-US" w:eastAsia="zh-CN"/>
              </w:rPr>
              <w:t>%。</w:t>
            </w:r>
          </w:p>
          <w:p>
            <w:pPr>
              <w:pStyle w:val="33"/>
              <w:snapToGrid w:val="0"/>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④实验操作废气排气筒DA004</w:t>
            </w:r>
            <w:r>
              <w:rPr>
                <w:rFonts w:hint="default" w:ascii="Times New Roman" w:hAnsi="Times New Roman" w:cs="Times New Roman"/>
                <w:b w:val="0"/>
                <w:bCs w:val="0"/>
                <w:color w:val="auto"/>
                <w:sz w:val="24"/>
                <w:szCs w:val="24"/>
                <w:highlight w:val="none"/>
                <w:lang w:val="en-US" w:eastAsia="zh-CN"/>
              </w:rPr>
              <w:t>“二级活性炭吸附”装置对废气中主要污染物VOCs的去除效率为</w:t>
            </w:r>
            <w:r>
              <w:rPr>
                <w:rFonts w:hint="eastAsia" w:ascii="Times New Roman" w:hAnsi="Times New Roman" w:cs="Times New Roman"/>
                <w:b w:val="0"/>
                <w:bCs w:val="0"/>
                <w:color w:val="auto"/>
                <w:sz w:val="24"/>
                <w:szCs w:val="24"/>
                <w:highlight w:val="none"/>
                <w:lang w:val="en-US" w:eastAsia="zh-CN"/>
              </w:rPr>
              <w:t>64.8</w:t>
            </w:r>
            <w:r>
              <w:rPr>
                <w:rFonts w:hint="default" w:ascii="Times New Roman" w:hAnsi="Times New Roman" w:cs="Times New Roman"/>
                <w:b w:val="0"/>
                <w:bCs w:val="0"/>
                <w:color w:val="auto"/>
                <w:sz w:val="24"/>
                <w:szCs w:val="24"/>
                <w:highlight w:val="none"/>
                <w:lang w:val="en-US" w:eastAsia="zh-CN"/>
              </w:rPr>
              <w:t>%。</w:t>
            </w:r>
          </w:p>
          <w:p>
            <w:pPr>
              <w:numPr>
                <w:ilvl w:val="255"/>
                <w:numId w:val="0"/>
              </w:numPr>
              <w:ind w:firstLine="482"/>
              <w:rPr>
                <w:b/>
                <w:bCs/>
                <w:color w:val="auto"/>
                <w:highlight w:val="none"/>
              </w:rPr>
            </w:pPr>
            <w:r>
              <w:rPr>
                <w:rFonts w:hint="eastAsia"/>
                <w:b/>
                <w:bCs/>
                <w:color w:val="auto"/>
                <w:highlight w:val="none"/>
              </w:rPr>
              <w:t>6、</w:t>
            </w:r>
            <w:r>
              <w:rPr>
                <w:b/>
                <w:color w:val="auto"/>
                <w:highlight w:val="none"/>
              </w:rPr>
              <w:t>工程建设对环境的影响</w:t>
            </w:r>
          </w:p>
          <w:p>
            <w:pPr>
              <w:pStyle w:val="33"/>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lang w:eastAsia="zh-CN"/>
              </w:rPr>
              <w:t>山东省济南市高新区世纪大道2566号迪亚双创产业园7号楼5层</w:t>
            </w:r>
            <w:r>
              <w:rPr>
                <w:rFonts w:cs="Times New Roman"/>
                <w:color w:val="auto"/>
                <w:szCs w:val="24"/>
                <w:highlight w:val="none"/>
              </w:rPr>
              <w:t>，监测结果表明，本项目废气、</w:t>
            </w:r>
            <w:r>
              <w:rPr>
                <w:rFonts w:hint="eastAsia" w:cs="Times New Roman"/>
                <w:color w:val="auto"/>
                <w:szCs w:val="24"/>
                <w:highlight w:val="none"/>
              </w:rPr>
              <w:t>废水、</w:t>
            </w:r>
            <w:r>
              <w:rPr>
                <w:rFonts w:cs="Times New Roman"/>
                <w:color w:val="auto"/>
                <w:szCs w:val="24"/>
                <w:highlight w:val="none"/>
              </w:rPr>
              <w:t>噪声均符合国家标准要求，达标排放，固体废物均合理处置，对周围环境影响较小。</w:t>
            </w:r>
          </w:p>
          <w:p>
            <w:pPr>
              <w:pStyle w:val="33"/>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33"/>
              <w:ind w:firstLine="482"/>
              <w:rPr>
                <w:rFonts w:cs="Times New Roman"/>
                <w:b/>
                <w:bCs/>
                <w:color w:val="auto"/>
                <w:szCs w:val="24"/>
                <w:highlight w:val="none"/>
              </w:rPr>
            </w:pPr>
            <w:r>
              <w:rPr>
                <w:rFonts w:hint="eastAsia" w:cs="Times New Roman"/>
                <w:b/>
                <w:bCs/>
                <w:color w:val="auto"/>
                <w:szCs w:val="24"/>
                <w:highlight w:val="none"/>
              </w:rPr>
              <w:t>7、</w:t>
            </w:r>
            <w:r>
              <w:rPr>
                <w:rFonts w:cs="Times New Roman"/>
                <w:b/>
                <w:bCs/>
                <w:color w:val="auto"/>
                <w:szCs w:val="24"/>
                <w:highlight w:val="none"/>
              </w:rPr>
              <w:t>验收结论</w:t>
            </w:r>
          </w:p>
          <w:p>
            <w:pPr>
              <w:pStyle w:val="33"/>
              <w:jc w:val="both"/>
              <w:rPr>
                <w:rFonts w:cs="Times New Roman"/>
                <w:color w:val="auto"/>
                <w:szCs w:val="24"/>
                <w:highlight w:val="none"/>
              </w:rPr>
            </w:pPr>
            <w:r>
              <w:rPr>
                <w:rFonts w:hint="eastAsia" w:cs="Times New Roman"/>
                <w:color w:val="auto"/>
                <w:kern w:val="21"/>
                <w:szCs w:val="24"/>
                <w:highlight w:val="none"/>
                <w:lang w:eastAsia="zh-CN"/>
              </w:rPr>
              <w:t>国鼎药物研究（济南）有限责任公司国鼎药物研发实验室项目（一期）</w:t>
            </w:r>
            <w:r>
              <w:rPr>
                <w:rFonts w:cs="Times New Roman"/>
                <w:color w:val="auto"/>
                <w:szCs w:val="24"/>
                <w:highlight w:val="none"/>
              </w:rPr>
              <w:t>环评手续完备，</w:t>
            </w:r>
            <w:r>
              <w:rPr>
                <w:rFonts w:hint="eastAsia" w:cs="Times New Roman"/>
                <w:color w:val="auto"/>
                <w:kern w:val="21"/>
                <w:szCs w:val="24"/>
                <w:highlight w:val="none"/>
              </w:rPr>
              <w:t>技术资料基本齐全。项目建设了完善的环保设施，</w:t>
            </w:r>
            <w:r>
              <w:rPr>
                <w:rFonts w:hint="eastAsia" w:cs="Times New Roman"/>
                <w:color w:val="auto"/>
                <w:kern w:val="21"/>
                <w:szCs w:val="24"/>
                <w:highlight w:val="none"/>
                <w:lang w:eastAsia="zh-CN"/>
              </w:rPr>
              <w:t>调试</w:t>
            </w:r>
            <w:r>
              <w:rPr>
                <w:rFonts w:hint="eastAsia" w:cs="Times New Roman"/>
                <w:color w:val="auto"/>
                <w:kern w:val="21"/>
                <w:szCs w:val="24"/>
                <w:highlight w:val="none"/>
              </w:rPr>
              <w:t>期间废气污染物排放浓度和排放速率均满足有关标准要求，废水污染物浓度满足排放标准要求，固体废物贮存及处置合理、得当，厂界噪声均达标，污染物排放总量满足要求。项目具备正常运行条件，未发生重大变更，</w:t>
            </w:r>
            <w:r>
              <w:rPr>
                <w:rFonts w:hint="eastAsia" w:cs="Times New Roman"/>
                <w:color w:val="auto"/>
                <w:szCs w:val="24"/>
                <w:highlight w:val="none"/>
                <w:lang w:eastAsia="zh-CN"/>
              </w:rPr>
              <w:t>符合</w:t>
            </w:r>
            <w:r>
              <w:rPr>
                <w:rFonts w:cs="Times New Roman"/>
                <w:color w:val="auto"/>
                <w:szCs w:val="24"/>
                <w:highlight w:val="none"/>
              </w:rPr>
              <w:t>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pStyle w:val="33"/>
              <w:numPr>
                <w:ilvl w:val="-1"/>
                <w:numId w:val="0"/>
              </w:numPr>
              <w:spacing w:line="360" w:lineRule="auto"/>
              <w:ind w:firstLine="480" w:firstLineChars="200"/>
              <w:rPr>
                <w:rFonts w:hint="eastAsia" w:cs="Times New Roman"/>
                <w:color w:val="auto"/>
                <w:szCs w:val="24"/>
                <w:highlight w:val="none"/>
              </w:rPr>
            </w:pPr>
            <w:r>
              <w:rPr>
                <w:rFonts w:hint="eastAsia" w:cs="Times New Roman"/>
                <w:color w:val="auto"/>
                <w:szCs w:val="24"/>
                <w:highlight w:val="none"/>
              </w:rPr>
              <w:t>（2）加强高噪音设备的维修和保养，降低噪声污染，维持噪声排放达标。</w:t>
            </w:r>
          </w:p>
          <w:p>
            <w:pPr>
              <w:pStyle w:val="33"/>
              <w:numPr>
                <w:ilvl w:val="-1"/>
                <w:numId w:val="0"/>
              </w:numPr>
              <w:spacing w:line="360" w:lineRule="auto"/>
              <w:ind w:firstLine="480" w:firstLineChars="200"/>
              <w:rPr>
                <w:rFonts w:hint="eastAsia" w:cs="Times New Roman"/>
                <w:color w:val="auto"/>
                <w:szCs w:val="24"/>
                <w:highlight w:val="none"/>
              </w:rPr>
            </w:pPr>
          </w:p>
          <w:p>
            <w:pPr>
              <w:pStyle w:val="33"/>
              <w:numPr>
                <w:ilvl w:val="-1"/>
                <w:numId w:val="0"/>
              </w:numPr>
              <w:spacing w:line="360" w:lineRule="auto"/>
              <w:ind w:firstLine="480" w:firstLineChars="200"/>
              <w:rPr>
                <w:rFonts w:hint="eastAsia" w:cs="Times New Roman"/>
                <w:color w:val="auto"/>
                <w:szCs w:val="24"/>
                <w:highlight w:val="none"/>
              </w:rPr>
            </w:pPr>
          </w:p>
          <w:p>
            <w:pPr>
              <w:pStyle w:val="33"/>
              <w:numPr>
                <w:ilvl w:val="-1"/>
                <w:numId w:val="0"/>
              </w:numPr>
              <w:spacing w:line="360" w:lineRule="auto"/>
              <w:ind w:firstLine="480" w:firstLineChars="200"/>
              <w:rPr>
                <w:rFonts w:hint="eastAsia" w:cs="Times New Roman"/>
                <w:color w:val="auto"/>
                <w:szCs w:val="24"/>
                <w:highlight w:val="none"/>
              </w:rPr>
            </w:pPr>
          </w:p>
          <w:p>
            <w:pPr>
              <w:pStyle w:val="33"/>
              <w:numPr>
                <w:ilvl w:val="-1"/>
                <w:numId w:val="0"/>
              </w:numPr>
              <w:spacing w:line="360" w:lineRule="auto"/>
              <w:ind w:firstLine="480" w:firstLineChars="200"/>
              <w:rPr>
                <w:rFonts w:hint="eastAsia" w:cs="Times New Roman"/>
                <w:color w:val="auto"/>
                <w:szCs w:val="24"/>
                <w:highlight w:val="none"/>
              </w:rPr>
            </w:pPr>
          </w:p>
          <w:p>
            <w:pPr>
              <w:pStyle w:val="33"/>
              <w:numPr>
                <w:ilvl w:val="-1"/>
                <w:numId w:val="0"/>
              </w:numPr>
              <w:spacing w:line="360" w:lineRule="auto"/>
              <w:ind w:firstLine="480" w:firstLineChars="200"/>
              <w:rPr>
                <w:rFonts w:hint="eastAsia" w:cs="Times New Roman"/>
                <w:color w:val="auto"/>
                <w:szCs w:val="24"/>
                <w:highlight w:val="none"/>
              </w:rPr>
            </w:pPr>
          </w:p>
          <w:p>
            <w:pPr>
              <w:pStyle w:val="33"/>
              <w:numPr>
                <w:ilvl w:val="-1"/>
                <w:numId w:val="0"/>
              </w:numPr>
              <w:spacing w:line="360" w:lineRule="auto"/>
              <w:ind w:firstLine="480" w:firstLineChars="200"/>
              <w:rPr>
                <w:rFonts w:hint="eastAsia" w:cs="Times New Roman"/>
                <w:color w:val="auto"/>
                <w:szCs w:val="24"/>
                <w:highlight w:val="none"/>
              </w:rPr>
            </w:pPr>
          </w:p>
        </w:tc>
      </w:tr>
    </w:tbl>
    <w:p>
      <w:pPr>
        <w:ind w:firstLine="480"/>
        <w:rPr>
          <w:rFonts w:hint="eastAsia" w:eastAsia="宋体"/>
          <w:color w:val="auto"/>
          <w:highlight w:val="none"/>
          <w:lang w:val="en-US" w:eastAsia="zh-CN"/>
        </w:rPr>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402459A"/>
    <w:multiLevelType w:val="singleLevel"/>
    <w:tmpl w:val="A402459A"/>
    <w:lvl w:ilvl="0" w:tentative="0">
      <w:start w:val="2"/>
      <w:numFmt w:val="decimal"/>
      <w:suff w:val="nothing"/>
      <w:lvlText w:val="（%1）"/>
      <w:lvlJc w:val="left"/>
    </w:lvl>
  </w:abstractNum>
  <w:abstractNum w:abstractNumId="2">
    <w:nsid w:val="DE9CD2FC"/>
    <w:multiLevelType w:val="singleLevel"/>
    <w:tmpl w:val="DE9CD2FC"/>
    <w:lvl w:ilvl="0" w:tentative="0">
      <w:start w:val="1"/>
      <w:numFmt w:val="bullet"/>
      <w:pStyle w:val="8"/>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7D5F1A"/>
    <w:rsid w:val="00133537"/>
    <w:rsid w:val="00185EE8"/>
    <w:rsid w:val="00190655"/>
    <w:rsid w:val="001F1E2C"/>
    <w:rsid w:val="00216040"/>
    <w:rsid w:val="00297FFC"/>
    <w:rsid w:val="00336321"/>
    <w:rsid w:val="00377076"/>
    <w:rsid w:val="004E17CF"/>
    <w:rsid w:val="004F207B"/>
    <w:rsid w:val="00507809"/>
    <w:rsid w:val="00511B6B"/>
    <w:rsid w:val="00625CD1"/>
    <w:rsid w:val="006A728D"/>
    <w:rsid w:val="007D5F1A"/>
    <w:rsid w:val="007E25B2"/>
    <w:rsid w:val="009052D3"/>
    <w:rsid w:val="00913FF8"/>
    <w:rsid w:val="00A16973"/>
    <w:rsid w:val="00A3254D"/>
    <w:rsid w:val="00AC3EC8"/>
    <w:rsid w:val="00B2492E"/>
    <w:rsid w:val="00BD0AB6"/>
    <w:rsid w:val="00BE504F"/>
    <w:rsid w:val="00DE7EF5"/>
    <w:rsid w:val="00E27009"/>
    <w:rsid w:val="00F929B5"/>
    <w:rsid w:val="010E11FA"/>
    <w:rsid w:val="01102868"/>
    <w:rsid w:val="01344375"/>
    <w:rsid w:val="013D04D4"/>
    <w:rsid w:val="01400946"/>
    <w:rsid w:val="015206A9"/>
    <w:rsid w:val="01662125"/>
    <w:rsid w:val="01796CFC"/>
    <w:rsid w:val="01825D28"/>
    <w:rsid w:val="019B2E8E"/>
    <w:rsid w:val="019C012C"/>
    <w:rsid w:val="01CD70A4"/>
    <w:rsid w:val="01E57E1D"/>
    <w:rsid w:val="01E93D36"/>
    <w:rsid w:val="0235533A"/>
    <w:rsid w:val="023A410A"/>
    <w:rsid w:val="02431E27"/>
    <w:rsid w:val="02662CBA"/>
    <w:rsid w:val="027A7982"/>
    <w:rsid w:val="027E4268"/>
    <w:rsid w:val="02A35F83"/>
    <w:rsid w:val="02A616FE"/>
    <w:rsid w:val="02A76009"/>
    <w:rsid w:val="02B32508"/>
    <w:rsid w:val="02B7624C"/>
    <w:rsid w:val="02D65E4B"/>
    <w:rsid w:val="02DA4074"/>
    <w:rsid w:val="02DD598C"/>
    <w:rsid w:val="02EB73E1"/>
    <w:rsid w:val="02EE4716"/>
    <w:rsid w:val="03036C83"/>
    <w:rsid w:val="031D70B2"/>
    <w:rsid w:val="03303A6C"/>
    <w:rsid w:val="035328CF"/>
    <w:rsid w:val="03771E7F"/>
    <w:rsid w:val="03AB7B4A"/>
    <w:rsid w:val="03C21B8E"/>
    <w:rsid w:val="03C83055"/>
    <w:rsid w:val="03ED38B6"/>
    <w:rsid w:val="03F21E0D"/>
    <w:rsid w:val="03F86B1C"/>
    <w:rsid w:val="04212714"/>
    <w:rsid w:val="04876F6C"/>
    <w:rsid w:val="049715D3"/>
    <w:rsid w:val="04F3565F"/>
    <w:rsid w:val="05015A46"/>
    <w:rsid w:val="05283F9E"/>
    <w:rsid w:val="05B43FA6"/>
    <w:rsid w:val="05B6327C"/>
    <w:rsid w:val="05BF1BC8"/>
    <w:rsid w:val="05C80770"/>
    <w:rsid w:val="05E22866"/>
    <w:rsid w:val="05EA345B"/>
    <w:rsid w:val="05F00C28"/>
    <w:rsid w:val="05F860E5"/>
    <w:rsid w:val="061544E1"/>
    <w:rsid w:val="069536E9"/>
    <w:rsid w:val="06A30146"/>
    <w:rsid w:val="06A825F4"/>
    <w:rsid w:val="06A9146B"/>
    <w:rsid w:val="06B35099"/>
    <w:rsid w:val="06D51D6A"/>
    <w:rsid w:val="07090C52"/>
    <w:rsid w:val="07462294"/>
    <w:rsid w:val="074E43CE"/>
    <w:rsid w:val="07552D74"/>
    <w:rsid w:val="077B5F1D"/>
    <w:rsid w:val="079E53C5"/>
    <w:rsid w:val="07B92DF8"/>
    <w:rsid w:val="07E3267E"/>
    <w:rsid w:val="07E469DB"/>
    <w:rsid w:val="07E524BD"/>
    <w:rsid w:val="07EA3C15"/>
    <w:rsid w:val="07EC732D"/>
    <w:rsid w:val="08091398"/>
    <w:rsid w:val="08223887"/>
    <w:rsid w:val="083A2F63"/>
    <w:rsid w:val="08730662"/>
    <w:rsid w:val="08903093"/>
    <w:rsid w:val="08E83851"/>
    <w:rsid w:val="090D69D4"/>
    <w:rsid w:val="09423105"/>
    <w:rsid w:val="096A6F72"/>
    <w:rsid w:val="097275F8"/>
    <w:rsid w:val="099E0166"/>
    <w:rsid w:val="09AA6B0A"/>
    <w:rsid w:val="09BA2B89"/>
    <w:rsid w:val="09C74070"/>
    <w:rsid w:val="09CB32BC"/>
    <w:rsid w:val="09DC6FDC"/>
    <w:rsid w:val="0A1C1AFC"/>
    <w:rsid w:val="0A285C81"/>
    <w:rsid w:val="0A2C7F98"/>
    <w:rsid w:val="0A381A2C"/>
    <w:rsid w:val="0A7A7F5F"/>
    <w:rsid w:val="0AA4542F"/>
    <w:rsid w:val="0AAC699F"/>
    <w:rsid w:val="0AB143FE"/>
    <w:rsid w:val="0AB60DD8"/>
    <w:rsid w:val="0AD176D7"/>
    <w:rsid w:val="0AD33E3F"/>
    <w:rsid w:val="0B0651FC"/>
    <w:rsid w:val="0B1910AC"/>
    <w:rsid w:val="0B2A5B1C"/>
    <w:rsid w:val="0B3A70C3"/>
    <w:rsid w:val="0B4D5DA2"/>
    <w:rsid w:val="0B82583D"/>
    <w:rsid w:val="0B89325F"/>
    <w:rsid w:val="0BA35CF7"/>
    <w:rsid w:val="0BD336CB"/>
    <w:rsid w:val="0BF23B46"/>
    <w:rsid w:val="0BF83554"/>
    <w:rsid w:val="0C1C1816"/>
    <w:rsid w:val="0C1F4E62"/>
    <w:rsid w:val="0C295FF9"/>
    <w:rsid w:val="0C356E6A"/>
    <w:rsid w:val="0C4F54B4"/>
    <w:rsid w:val="0C503F46"/>
    <w:rsid w:val="0C6D7DF2"/>
    <w:rsid w:val="0C6F7285"/>
    <w:rsid w:val="0C7D381D"/>
    <w:rsid w:val="0C935C3C"/>
    <w:rsid w:val="0CD26E8A"/>
    <w:rsid w:val="0D087F37"/>
    <w:rsid w:val="0D6D580F"/>
    <w:rsid w:val="0D7379F4"/>
    <w:rsid w:val="0D9413D8"/>
    <w:rsid w:val="0DB717F6"/>
    <w:rsid w:val="0DD24057"/>
    <w:rsid w:val="0E3258FD"/>
    <w:rsid w:val="0E563677"/>
    <w:rsid w:val="0E582966"/>
    <w:rsid w:val="0E8536A2"/>
    <w:rsid w:val="0EAB00C6"/>
    <w:rsid w:val="0ECF0DC1"/>
    <w:rsid w:val="0EDE1763"/>
    <w:rsid w:val="0EFF52AD"/>
    <w:rsid w:val="0F101AE8"/>
    <w:rsid w:val="0F275BBC"/>
    <w:rsid w:val="0F281DEA"/>
    <w:rsid w:val="0F2B795D"/>
    <w:rsid w:val="0F2F200D"/>
    <w:rsid w:val="0F4B19BF"/>
    <w:rsid w:val="0F4C0664"/>
    <w:rsid w:val="0F4D2D83"/>
    <w:rsid w:val="0F4F7E54"/>
    <w:rsid w:val="0F5624FB"/>
    <w:rsid w:val="0F587009"/>
    <w:rsid w:val="0F82537E"/>
    <w:rsid w:val="0FDE601F"/>
    <w:rsid w:val="0FF131C4"/>
    <w:rsid w:val="100B2D56"/>
    <w:rsid w:val="101544EB"/>
    <w:rsid w:val="102A4B9D"/>
    <w:rsid w:val="102F3443"/>
    <w:rsid w:val="104739AC"/>
    <w:rsid w:val="104C03C6"/>
    <w:rsid w:val="105B06CE"/>
    <w:rsid w:val="10AA5642"/>
    <w:rsid w:val="10AE274A"/>
    <w:rsid w:val="112E2496"/>
    <w:rsid w:val="1150402C"/>
    <w:rsid w:val="11591B2C"/>
    <w:rsid w:val="116035A9"/>
    <w:rsid w:val="11824EC7"/>
    <w:rsid w:val="11904610"/>
    <w:rsid w:val="11BE0997"/>
    <w:rsid w:val="11C137B8"/>
    <w:rsid w:val="11E13F9B"/>
    <w:rsid w:val="120325DE"/>
    <w:rsid w:val="1218726C"/>
    <w:rsid w:val="128D3425"/>
    <w:rsid w:val="12A025ED"/>
    <w:rsid w:val="12AD17CA"/>
    <w:rsid w:val="12B22989"/>
    <w:rsid w:val="12BE3152"/>
    <w:rsid w:val="12D44A30"/>
    <w:rsid w:val="12E032AC"/>
    <w:rsid w:val="12E91559"/>
    <w:rsid w:val="131D034D"/>
    <w:rsid w:val="13545D3C"/>
    <w:rsid w:val="13A47873"/>
    <w:rsid w:val="13AD482F"/>
    <w:rsid w:val="13B55962"/>
    <w:rsid w:val="13CA6CD3"/>
    <w:rsid w:val="13D84672"/>
    <w:rsid w:val="13E869A1"/>
    <w:rsid w:val="1415355C"/>
    <w:rsid w:val="142801B0"/>
    <w:rsid w:val="14437B44"/>
    <w:rsid w:val="1460135C"/>
    <w:rsid w:val="148C21B0"/>
    <w:rsid w:val="14A17B90"/>
    <w:rsid w:val="14B76410"/>
    <w:rsid w:val="14C33DB7"/>
    <w:rsid w:val="14E467E8"/>
    <w:rsid w:val="14F744C9"/>
    <w:rsid w:val="15261ADB"/>
    <w:rsid w:val="156113E2"/>
    <w:rsid w:val="15737602"/>
    <w:rsid w:val="15914368"/>
    <w:rsid w:val="15923FA2"/>
    <w:rsid w:val="159A3ED7"/>
    <w:rsid w:val="159F2051"/>
    <w:rsid w:val="15A7091D"/>
    <w:rsid w:val="15B40634"/>
    <w:rsid w:val="15B84334"/>
    <w:rsid w:val="15BF5987"/>
    <w:rsid w:val="15CC123F"/>
    <w:rsid w:val="15D77BF2"/>
    <w:rsid w:val="15DF099E"/>
    <w:rsid w:val="15FF213F"/>
    <w:rsid w:val="160550C9"/>
    <w:rsid w:val="16186768"/>
    <w:rsid w:val="163C029A"/>
    <w:rsid w:val="16414AC9"/>
    <w:rsid w:val="164803CE"/>
    <w:rsid w:val="164C7AF9"/>
    <w:rsid w:val="16773610"/>
    <w:rsid w:val="16865A4A"/>
    <w:rsid w:val="16BD36A2"/>
    <w:rsid w:val="16C86822"/>
    <w:rsid w:val="16D82E11"/>
    <w:rsid w:val="16FE2D5E"/>
    <w:rsid w:val="17147A18"/>
    <w:rsid w:val="1732013F"/>
    <w:rsid w:val="17595A97"/>
    <w:rsid w:val="175E3FC4"/>
    <w:rsid w:val="1772528B"/>
    <w:rsid w:val="177A4E90"/>
    <w:rsid w:val="17E04DB1"/>
    <w:rsid w:val="17F906B8"/>
    <w:rsid w:val="1813303D"/>
    <w:rsid w:val="1847039F"/>
    <w:rsid w:val="18554231"/>
    <w:rsid w:val="187825D6"/>
    <w:rsid w:val="18797892"/>
    <w:rsid w:val="18A0088A"/>
    <w:rsid w:val="18D06021"/>
    <w:rsid w:val="18DC2DEE"/>
    <w:rsid w:val="18EA1E36"/>
    <w:rsid w:val="18F07354"/>
    <w:rsid w:val="190776DD"/>
    <w:rsid w:val="1930525F"/>
    <w:rsid w:val="194404DD"/>
    <w:rsid w:val="195B2DEE"/>
    <w:rsid w:val="1963730C"/>
    <w:rsid w:val="197720A3"/>
    <w:rsid w:val="198A6E34"/>
    <w:rsid w:val="19B062B6"/>
    <w:rsid w:val="1A530C42"/>
    <w:rsid w:val="1A5A1868"/>
    <w:rsid w:val="1A685C6A"/>
    <w:rsid w:val="1A825C81"/>
    <w:rsid w:val="1A8E059C"/>
    <w:rsid w:val="1AA03F29"/>
    <w:rsid w:val="1AA43E0E"/>
    <w:rsid w:val="1AAF3571"/>
    <w:rsid w:val="1AD772FB"/>
    <w:rsid w:val="1AE53683"/>
    <w:rsid w:val="1AE55B64"/>
    <w:rsid w:val="1AFB6971"/>
    <w:rsid w:val="1B094EDD"/>
    <w:rsid w:val="1B254FE5"/>
    <w:rsid w:val="1B28788F"/>
    <w:rsid w:val="1B2C1F36"/>
    <w:rsid w:val="1B3B0ABD"/>
    <w:rsid w:val="1B3D20D5"/>
    <w:rsid w:val="1B3E509E"/>
    <w:rsid w:val="1B4D5379"/>
    <w:rsid w:val="1B654210"/>
    <w:rsid w:val="1B854865"/>
    <w:rsid w:val="1B854FDF"/>
    <w:rsid w:val="1B98337D"/>
    <w:rsid w:val="1B993D30"/>
    <w:rsid w:val="1B9C45A8"/>
    <w:rsid w:val="1BAE0AE9"/>
    <w:rsid w:val="1BE64BA3"/>
    <w:rsid w:val="1C053710"/>
    <w:rsid w:val="1C0F399F"/>
    <w:rsid w:val="1C360715"/>
    <w:rsid w:val="1C3952D1"/>
    <w:rsid w:val="1C3C7EA9"/>
    <w:rsid w:val="1C582DE0"/>
    <w:rsid w:val="1C5F1D2A"/>
    <w:rsid w:val="1C9B31A8"/>
    <w:rsid w:val="1CB22D3B"/>
    <w:rsid w:val="1CD049D0"/>
    <w:rsid w:val="1CEC2C59"/>
    <w:rsid w:val="1D16461D"/>
    <w:rsid w:val="1D2152F1"/>
    <w:rsid w:val="1D38402A"/>
    <w:rsid w:val="1D7068D1"/>
    <w:rsid w:val="1D7C7C8B"/>
    <w:rsid w:val="1D8C3E58"/>
    <w:rsid w:val="1DA94F92"/>
    <w:rsid w:val="1DF45C16"/>
    <w:rsid w:val="1E066013"/>
    <w:rsid w:val="1E141307"/>
    <w:rsid w:val="1E2A6526"/>
    <w:rsid w:val="1E375B49"/>
    <w:rsid w:val="1E433BDE"/>
    <w:rsid w:val="1E4B5641"/>
    <w:rsid w:val="1E8C4D72"/>
    <w:rsid w:val="1EC37771"/>
    <w:rsid w:val="1EC7371D"/>
    <w:rsid w:val="1ED455F9"/>
    <w:rsid w:val="1ED732BE"/>
    <w:rsid w:val="1F0C3E04"/>
    <w:rsid w:val="1F1C7803"/>
    <w:rsid w:val="1F1F2C34"/>
    <w:rsid w:val="1F271546"/>
    <w:rsid w:val="1FC17C12"/>
    <w:rsid w:val="1FC6340A"/>
    <w:rsid w:val="1FDE59B1"/>
    <w:rsid w:val="200415C4"/>
    <w:rsid w:val="2006563C"/>
    <w:rsid w:val="20254CE5"/>
    <w:rsid w:val="20306BD1"/>
    <w:rsid w:val="20503685"/>
    <w:rsid w:val="206041BD"/>
    <w:rsid w:val="206802B4"/>
    <w:rsid w:val="209E273F"/>
    <w:rsid w:val="209E3C88"/>
    <w:rsid w:val="20B03D83"/>
    <w:rsid w:val="20DA79B4"/>
    <w:rsid w:val="20E2371B"/>
    <w:rsid w:val="20EF2BFD"/>
    <w:rsid w:val="20F3473B"/>
    <w:rsid w:val="213A06E6"/>
    <w:rsid w:val="213E6B87"/>
    <w:rsid w:val="214927A5"/>
    <w:rsid w:val="215B468B"/>
    <w:rsid w:val="21607D16"/>
    <w:rsid w:val="21870F94"/>
    <w:rsid w:val="218D668D"/>
    <w:rsid w:val="21B34266"/>
    <w:rsid w:val="21BE085D"/>
    <w:rsid w:val="21C415C4"/>
    <w:rsid w:val="21D267A7"/>
    <w:rsid w:val="21DC30F5"/>
    <w:rsid w:val="21E87808"/>
    <w:rsid w:val="22094132"/>
    <w:rsid w:val="220B7216"/>
    <w:rsid w:val="22160FB3"/>
    <w:rsid w:val="2240296C"/>
    <w:rsid w:val="22600B99"/>
    <w:rsid w:val="22713E52"/>
    <w:rsid w:val="228940C6"/>
    <w:rsid w:val="229C0074"/>
    <w:rsid w:val="22A81B30"/>
    <w:rsid w:val="22BB4EC8"/>
    <w:rsid w:val="22D762F3"/>
    <w:rsid w:val="22DC0ADE"/>
    <w:rsid w:val="22EF38AF"/>
    <w:rsid w:val="22FE4BEA"/>
    <w:rsid w:val="231E4892"/>
    <w:rsid w:val="2322454C"/>
    <w:rsid w:val="232B591D"/>
    <w:rsid w:val="2339743D"/>
    <w:rsid w:val="23426A9B"/>
    <w:rsid w:val="234279B0"/>
    <w:rsid w:val="23833C72"/>
    <w:rsid w:val="2393159E"/>
    <w:rsid w:val="23AA1FE5"/>
    <w:rsid w:val="23CC579C"/>
    <w:rsid w:val="23E31D17"/>
    <w:rsid w:val="23EF0CDE"/>
    <w:rsid w:val="23F154FF"/>
    <w:rsid w:val="240F4A2D"/>
    <w:rsid w:val="240F5A90"/>
    <w:rsid w:val="24581193"/>
    <w:rsid w:val="24A81235"/>
    <w:rsid w:val="24D01010"/>
    <w:rsid w:val="24E64EBF"/>
    <w:rsid w:val="250E6E30"/>
    <w:rsid w:val="25184258"/>
    <w:rsid w:val="251B7141"/>
    <w:rsid w:val="2531151D"/>
    <w:rsid w:val="255E6A17"/>
    <w:rsid w:val="25951FC5"/>
    <w:rsid w:val="259D37E8"/>
    <w:rsid w:val="25AB6BA5"/>
    <w:rsid w:val="25DB6CBC"/>
    <w:rsid w:val="261455E0"/>
    <w:rsid w:val="261761A2"/>
    <w:rsid w:val="264358A9"/>
    <w:rsid w:val="265F757B"/>
    <w:rsid w:val="2665392A"/>
    <w:rsid w:val="267D5105"/>
    <w:rsid w:val="26993785"/>
    <w:rsid w:val="26CF1507"/>
    <w:rsid w:val="26CF4A60"/>
    <w:rsid w:val="26E03714"/>
    <w:rsid w:val="26ED18E9"/>
    <w:rsid w:val="27003BC0"/>
    <w:rsid w:val="2708239D"/>
    <w:rsid w:val="270F5B8F"/>
    <w:rsid w:val="27151820"/>
    <w:rsid w:val="272A1069"/>
    <w:rsid w:val="274F4A0F"/>
    <w:rsid w:val="27640B66"/>
    <w:rsid w:val="2771791E"/>
    <w:rsid w:val="2780222C"/>
    <w:rsid w:val="27863397"/>
    <w:rsid w:val="27F03715"/>
    <w:rsid w:val="27F64F8D"/>
    <w:rsid w:val="280D3597"/>
    <w:rsid w:val="282A6A65"/>
    <w:rsid w:val="2892400F"/>
    <w:rsid w:val="28B54E33"/>
    <w:rsid w:val="28BF241F"/>
    <w:rsid w:val="28C3636F"/>
    <w:rsid w:val="28DC5EA4"/>
    <w:rsid w:val="28E56758"/>
    <w:rsid w:val="28F30D41"/>
    <w:rsid w:val="293F0351"/>
    <w:rsid w:val="294921DF"/>
    <w:rsid w:val="29793709"/>
    <w:rsid w:val="298C18C1"/>
    <w:rsid w:val="29AF345F"/>
    <w:rsid w:val="29C56B78"/>
    <w:rsid w:val="2A0D172C"/>
    <w:rsid w:val="2A4022D4"/>
    <w:rsid w:val="2A580712"/>
    <w:rsid w:val="2AA35117"/>
    <w:rsid w:val="2AA53FB3"/>
    <w:rsid w:val="2ACB7F37"/>
    <w:rsid w:val="2AD97A87"/>
    <w:rsid w:val="2ADC6CD0"/>
    <w:rsid w:val="2AF20BB1"/>
    <w:rsid w:val="2AFD3D68"/>
    <w:rsid w:val="2B0B1799"/>
    <w:rsid w:val="2B1453E4"/>
    <w:rsid w:val="2B3D3B5E"/>
    <w:rsid w:val="2B67525B"/>
    <w:rsid w:val="2B6B4A2F"/>
    <w:rsid w:val="2B853825"/>
    <w:rsid w:val="2B893600"/>
    <w:rsid w:val="2BDD74C0"/>
    <w:rsid w:val="2BF9498F"/>
    <w:rsid w:val="2BFB7326"/>
    <w:rsid w:val="2C046E7B"/>
    <w:rsid w:val="2C081860"/>
    <w:rsid w:val="2C0D0BE9"/>
    <w:rsid w:val="2C1313E8"/>
    <w:rsid w:val="2C2461F3"/>
    <w:rsid w:val="2C6A7F59"/>
    <w:rsid w:val="2C7D1A78"/>
    <w:rsid w:val="2C9535BD"/>
    <w:rsid w:val="2CA406D6"/>
    <w:rsid w:val="2CCC37EC"/>
    <w:rsid w:val="2CD158B5"/>
    <w:rsid w:val="2CDF0A02"/>
    <w:rsid w:val="2CF3508A"/>
    <w:rsid w:val="2D0E3978"/>
    <w:rsid w:val="2D2212E5"/>
    <w:rsid w:val="2D347475"/>
    <w:rsid w:val="2D350A0E"/>
    <w:rsid w:val="2D742E08"/>
    <w:rsid w:val="2DC413B6"/>
    <w:rsid w:val="2DD3461D"/>
    <w:rsid w:val="2E106686"/>
    <w:rsid w:val="2E5B4739"/>
    <w:rsid w:val="2E5C63AE"/>
    <w:rsid w:val="2E5D4969"/>
    <w:rsid w:val="2E7078E1"/>
    <w:rsid w:val="2E836001"/>
    <w:rsid w:val="2E90284D"/>
    <w:rsid w:val="2E9A689E"/>
    <w:rsid w:val="2EA46655"/>
    <w:rsid w:val="2EBF4976"/>
    <w:rsid w:val="2EDF4686"/>
    <w:rsid w:val="2EE203AF"/>
    <w:rsid w:val="2EEF4290"/>
    <w:rsid w:val="2EF05FE7"/>
    <w:rsid w:val="2F027601"/>
    <w:rsid w:val="2F0C1127"/>
    <w:rsid w:val="2F1C3757"/>
    <w:rsid w:val="2F207B0D"/>
    <w:rsid w:val="2F266266"/>
    <w:rsid w:val="2F39404A"/>
    <w:rsid w:val="2F603F3E"/>
    <w:rsid w:val="2F832860"/>
    <w:rsid w:val="2F8D6403"/>
    <w:rsid w:val="2F9243B2"/>
    <w:rsid w:val="2FBA585A"/>
    <w:rsid w:val="2FBC2890"/>
    <w:rsid w:val="2FF10027"/>
    <w:rsid w:val="300541EB"/>
    <w:rsid w:val="306B49F6"/>
    <w:rsid w:val="307862DE"/>
    <w:rsid w:val="308556FC"/>
    <w:rsid w:val="308764D4"/>
    <w:rsid w:val="30DC2F28"/>
    <w:rsid w:val="30E52671"/>
    <w:rsid w:val="3103697D"/>
    <w:rsid w:val="3106021B"/>
    <w:rsid w:val="312B7C81"/>
    <w:rsid w:val="313568B9"/>
    <w:rsid w:val="31442EA9"/>
    <w:rsid w:val="314E4ADE"/>
    <w:rsid w:val="31502DEF"/>
    <w:rsid w:val="3172765E"/>
    <w:rsid w:val="31730030"/>
    <w:rsid w:val="318B1DD8"/>
    <w:rsid w:val="318C4312"/>
    <w:rsid w:val="3195076F"/>
    <w:rsid w:val="31A02ABC"/>
    <w:rsid w:val="31DA602E"/>
    <w:rsid w:val="31E66087"/>
    <w:rsid w:val="31E95F2C"/>
    <w:rsid w:val="31FC3722"/>
    <w:rsid w:val="31FE2F31"/>
    <w:rsid w:val="320D5566"/>
    <w:rsid w:val="321815DB"/>
    <w:rsid w:val="321A0060"/>
    <w:rsid w:val="32286688"/>
    <w:rsid w:val="323E33C3"/>
    <w:rsid w:val="328670D3"/>
    <w:rsid w:val="328A2D4E"/>
    <w:rsid w:val="330B1693"/>
    <w:rsid w:val="330F5995"/>
    <w:rsid w:val="333F5C66"/>
    <w:rsid w:val="334F03CF"/>
    <w:rsid w:val="3360174A"/>
    <w:rsid w:val="33694AA0"/>
    <w:rsid w:val="3375198A"/>
    <w:rsid w:val="33870C1A"/>
    <w:rsid w:val="338D1111"/>
    <w:rsid w:val="33A6015F"/>
    <w:rsid w:val="33F63C33"/>
    <w:rsid w:val="342C28E4"/>
    <w:rsid w:val="34405969"/>
    <w:rsid w:val="345945C4"/>
    <w:rsid w:val="345E221D"/>
    <w:rsid w:val="346B74BB"/>
    <w:rsid w:val="347D2F74"/>
    <w:rsid w:val="349E5EEA"/>
    <w:rsid w:val="34A61090"/>
    <w:rsid w:val="34AB6B6B"/>
    <w:rsid w:val="34AD4A64"/>
    <w:rsid w:val="34B83161"/>
    <w:rsid w:val="34BC595C"/>
    <w:rsid w:val="34E3550C"/>
    <w:rsid w:val="34EA2E3B"/>
    <w:rsid w:val="34F8731D"/>
    <w:rsid w:val="35026F4B"/>
    <w:rsid w:val="3504246A"/>
    <w:rsid w:val="35072491"/>
    <w:rsid w:val="350E307A"/>
    <w:rsid w:val="352112E0"/>
    <w:rsid w:val="352970EB"/>
    <w:rsid w:val="352E3F67"/>
    <w:rsid w:val="35317E94"/>
    <w:rsid w:val="353214BB"/>
    <w:rsid w:val="35436D6F"/>
    <w:rsid w:val="35852C22"/>
    <w:rsid w:val="358C6C6C"/>
    <w:rsid w:val="358D0F0B"/>
    <w:rsid w:val="35CE05E0"/>
    <w:rsid w:val="35ED64F8"/>
    <w:rsid w:val="36150E2C"/>
    <w:rsid w:val="363366EC"/>
    <w:rsid w:val="365272B9"/>
    <w:rsid w:val="366F766B"/>
    <w:rsid w:val="36C07833"/>
    <w:rsid w:val="36C57E2E"/>
    <w:rsid w:val="36C715D4"/>
    <w:rsid w:val="36E53389"/>
    <w:rsid w:val="37032093"/>
    <w:rsid w:val="370E0375"/>
    <w:rsid w:val="37164613"/>
    <w:rsid w:val="37224DE0"/>
    <w:rsid w:val="37294C63"/>
    <w:rsid w:val="37396C25"/>
    <w:rsid w:val="373E0B7B"/>
    <w:rsid w:val="37467467"/>
    <w:rsid w:val="37551ACA"/>
    <w:rsid w:val="37947DDC"/>
    <w:rsid w:val="379512A7"/>
    <w:rsid w:val="380C1EEC"/>
    <w:rsid w:val="381D0E11"/>
    <w:rsid w:val="38225F97"/>
    <w:rsid w:val="382A14D1"/>
    <w:rsid w:val="382A2BB6"/>
    <w:rsid w:val="382A30A3"/>
    <w:rsid w:val="38665A54"/>
    <w:rsid w:val="389C16FC"/>
    <w:rsid w:val="38D64CA0"/>
    <w:rsid w:val="38F35D01"/>
    <w:rsid w:val="38FE152C"/>
    <w:rsid w:val="39023647"/>
    <w:rsid w:val="39184A49"/>
    <w:rsid w:val="39327A82"/>
    <w:rsid w:val="3937132F"/>
    <w:rsid w:val="395B0800"/>
    <w:rsid w:val="39840619"/>
    <w:rsid w:val="398529CA"/>
    <w:rsid w:val="399B34CA"/>
    <w:rsid w:val="39D52E80"/>
    <w:rsid w:val="39E01568"/>
    <w:rsid w:val="3A014B0F"/>
    <w:rsid w:val="3A250ED1"/>
    <w:rsid w:val="3A36183C"/>
    <w:rsid w:val="3A572C4A"/>
    <w:rsid w:val="3A6B3E1F"/>
    <w:rsid w:val="3A6C08F8"/>
    <w:rsid w:val="3A716474"/>
    <w:rsid w:val="3ABB16DC"/>
    <w:rsid w:val="3ABC7A16"/>
    <w:rsid w:val="3AD072FD"/>
    <w:rsid w:val="3AD760AC"/>
    <w:rsid w:val="3AE2667A"/>
    <w:rsid w:val="3AE7439D"/>
    <w:rsid w:val="3AE93483"/>
    <w:rsid w:val="3AEC6CA1"/>
    <w:rsid w:val="3AFD61EB"/>
    <w:rsid w:val="3B1E418A"/>
    <w:rsid w:val="3B1E4B89"/>
    <w:rsid w:val="3B263102"/>
    <w:rsid w:val="3B420B2B"/>
    <w:rsid w:val="3B4F28FF"/>
    <w:rsid w:val="3B6E6CB9"/>
    <w:rsid w:val="3B6F55C4"/>
    <w:rsid w:val="3B7A2FA3"/>
    <w:rsid w:val="3B833BB7"/>
    <w:rsid w:val="3B963EE5"/>
    <w:rsid w:val="3BCB3E96"/>
    <w:rsid w:val="3BD30F78"/>
    <w:rsid w:val="3BE51A90"/>
    <w:rsid w:val="3BF269C9"/>
    <w:rsid w:val="3BF55FA0"/>
    <w:rsid w:val="3C070531"/>
    <w:rsid w:val="3C464A9E"/>
    <w:rsid w:val="3C485B8B"/>
    <w:rsid w:val="3C5630B2"/>
    <w:rsid w:val="3C5B3E6A"/>
    <w:rsid w:val="3C6F02CC"/>
    <w:rsid w:val="3C7E23E0"/>
    <w:rsid w:val="3C9368AF"/>
    <w:rsid w:val="3CB46DFB"/>
    <w:rsid w:val="3CC77918"/>
    <w:rsid w:val="3CCB06E2"/>
    <w:rsid w:val="3CF41FEF"/>
    <w:rsid w:val="3CFC6E71"/>
    <w:rsid w:val="3D4F0C4B"/>
    <w:rsid w:val="3D705902"/>
    <w:rsid w:val="3D804F53"/>
    <w:rsid w:val="3D8F5805"/>
    <w:rsid w:val="3D9E19D5"/>
    <w:rsid w:val="3DCF0A88"/>
    <w:rsid w:val="3DF312DF"/>
    <w:rsid w:val="3DF5641B"/>
    <w:rsid w:val="3E267B22"/>
    <w:rsid w:val="3E343E12"/>
    <w:rsid w:val="3E371613"/>
    <w:rsid w:val="3E4147B1"/>
    <w:rsid w:val="3E6D6E09"/>
    <w:rsid w:val="3E763C97"/>
    <w:rsid w:val="3E987E51"/>
    <w:rsid w:val="3EB5668D"/>
    <w:rsid w:val="3EBE20D4"/>
    <w:rsid w:val="3EC42FFD"/>
    <w:rsid w:val="3EC72489"/>
    <w:rsid w:val="3EED6C06"/>
    <w:rsid w:val="3EF766CB"/>
    <w:rsid w:val="3EF865EA"/>
    <w:rsid w:val="3F07392F"/>
    <w:rsid w:val="3F201483"/>
    <w:rsid w:val="3F2C4D37"/>
    <w:rsid w:val="3F39027C"/>
    <w:rsid w:val="3F6F08C3"/>
    <w:rsid w:val="3F753CD1"/>
    <w:rsid w:val="3FB5734D"/>
    <w:rsid w:val="401A4FAB"/>
    <w:rsid w:val="40344207"/>
    <w:rsid w:val="40455BCC"/>
    <w:rsid w:val="40B51486"/>
    <w:rsid w:val="40C63BE4"/>
    <w:rsid w:val="40D07A35"/>
    <w:rsid w:val="40D21130"/>
    <w:rsid w:val="40D53C89"/>
    <w:rsid w:val="40D8343F"/>
    <w:rsid w:val="40E25BA0"/>
    <w:rsid w:val="40FB4651"/>
    <w:rsid w:val="410F7EE8"/>
    <w:rsid w:val="4117303A"/>
    <w:rsid w:val="411B7DB6"/>
    <w:rsid w:val="415467CA"/>
    <w:rsid w:val="41646749"/>
    <w:rsid w:val="417A3EF8"/>
    <w:rsid w:val="41AE5BA6"/>
    <w:rsid w:val="41AF35D7"/>
    <w:rsid w:val="41B373D1"/>
    <w:rsid w:val="41BF47EC"/>
    <w:rsid w:val="420C4083"/>
    <w:rsid w:val="420E4144"/>
    <w:rsid w:val="42142ACD"/>
    <w:rsid w:val="42215E03"/>
    <w:rsid w:val="423821FE"/>
    <w:rsid w:val="42411FA8"/>
    <w:rsid w:val="42583943"/>
    <w:rsid w:val="42673750"/>
    <w:rsid w:val="427001D7"/>
    <w:rsid w:val="42734FE4"/>
    <w:rsid w:val="428862C6"/>
    <w:rsid w:val="428A6A3E"/>
    <w:rsid w:val="42AD0832"/>
    <w:rsid w:val="42B54611"/>
    <w:rsid w:val="42B87D83"/>
    <w:rsid w:val="42B93B1E"/>
    <w:rsid w:val="42C5722F"/>
    <w:rsid w:val="42C6302C"/>
    <w:rsid w:val="430C2D0C"/>
    <w:rsid w:val="431B55A6"/>
    <w:rsid w:val="4331199B"/>
    <w:rsid w:val="43364990"/>
    <w:rsid w:val="433C1AFE"/>
    <w:rsid w:val="434D3D80"/>
    <w:rsid w:val="43520968"/>
    <w:rsid w:val="437A522B"/>
    <w:rsid w:val="437B0938"/>
    <w:rsid w:val="437E52D3"/>
    <w:rsid w:val="439876BD"/>
    <w:rsid w:val="43A27485"/>
    <w:rsid w:val="43BB74E8"/>
    <w:rsid w:val="43CA1F96"/>
    <w:rsid w:val="43D043B4"/>
    <w:rsid w:val="43D269A9"/>
    <w:rsid w:val="43D60CB9"/>
    <w:rsid w:val="43D7416E"/>
    <w:rsid w:val="43DF6FF0"/>
    <w:rsid w:val="43E066A9"/>
    <w:rsid w:val="43F753F8"/>
    <w:rsid w:val="44093084"/>
    <w:rsid w:val="440C1383"/>
    <w:rsid w:val="440D6ED6"/>
    <w:rsid w:val="441445A5"/>
    <w:rsid w:val="44310893"/>
    <w:rsid w:val="447C4823"/>
    <w:rsid w:val="448A40A1"/>
    <w:rsid w:val="449F59C2"/>
    <w:rsid w:val="44B23C8E"/>
    <w:rsid w:val="44E40468"/>
    <w:rsid w:val="45057BE4"/>
    <w:rsid w:val="45065071"/>
    <w:rsid w:val="451470F8"/>
    <w:rsid w:val="45457FD7"/>
    <w:rsid w:val="458626FF"/>
    <w:rsid w:val="45B606E7"/>
    <w:rsid w:val="45BA13A9"/>
    <w:rsid w:val="45DE5C8C"/>
    <w:rsid w:val="45DF32B3"/>
    <w:rsid w:val="46034E21"/>
    <w:rsid w:val="46222152"/>
    <w:rsid w:val="46290FF1"/>
    <w:rsid w:val="462D6710"/>
    <w:rsid w:val="463A197F"/>
    <w:rsid w:val="463B7681"/>
    <w:rsid w:val="464C34D6"/>
    <w:rsid w:val="466D6214"/>
    <w:rsid w:val="467474C9"/>
    <w:rsid w:val="469E39D0"/>
    <w:rsid w:val="46B502C1"/>
    <w:rsid w:val="46CA3926"/>
    <w:rsid w:val="46F830B9"/>
    <w:rsid w:val="471D19C3"/>
    <w:rsid w:val="47282AD0"/>
    <w:rsid w:val="475C505A"/>
    <w:rsid w:val="47763197"/>
    <w:rsid w:val="478231AF"/>
    <w:rsid w:val="4787232B"/>
    <w:rsid w:val="47CB382A"/>
    <w:rsid w:val="47CC1DDE"/>
    <w:rsid w:val="47D714AF"/>
    <w:rsid w:val="47DA5463"/>
    <w:rsid w:val="47DF6A6D"/>
    <w:rsid w:val="47ED6313"/>
    <w:rsid w:val="47F1446D"/>
    <w:rsid w:val="47F6304E"/>
    <w:rsid w:val="48022F22"/>
    <w:rsid w:val="484F67FB"/>
    <w:rsid w:val="48802C4C"/>
    <w:rsid w:val="4896623E"/>
    <w:rsid w:val="489A0C85"/>
    <w:rsid w:val="489A1EBB"/>
    <w:rsid w:val="48A00AFD"/>
    <w:rsid w:val="48A51C70"/>
    <w:rsid w:val="48C24DE3"/>
    <w:rsid w:val="48E965B6"/>
    <w:rsid w:val="48F0596F"/>
    <w:rsid w:val="49281C38"/>
    <w:rsid w:val="4930602E"/>
    <w:rsid w:val="494A0752"/>
    <w:rsid w:val="49575B00"/>
    <w:rsid w:val="496031C8"/>
    <w:rsid w:val="496725F4"/>
    <w:rsid w:val="496D642E"/>
    <w:rsid w:val="4972217F"/>
    <w:rsid w:val="497B12BD"/>
    <w:rsid w:val="498C1751"/>
    <w:rsid w:val="498E08FD"/>
    <w:rsid w:val="49927573"/>
    <w:rsid w:val="499F7D81"/>
    <w:rsid w:val="49CB686E"/>
    <w:rsid w:val="49D64976"/>
    <w:rsid w:val="49E51A63"/>
    <w:rsid w:val="4A10021B"/>
    <w:rsid w:val="4A162A08"/>
    <w:rsid w:val="4A2B57BD"/>
    <w:rsid w:val="4A321FB1"/>
    <w:rsid w:val="4A3C67B2"/>
    <w:rsid w:val="4A420BA1"/>
    <w:rsid w:val="4A4B4A9E"/>
    <w:rsid w:val="4A7F346C"/>
    <w:rsid w:val="4A864349"/>
    <w:rsid w:val="4A8C588E"/>
    <w:rsid w:val="4AAC21B0"/>
    <w:rsid w:val="4AAC4A41"/>
    <w:rsid w:val="4AB21164"/>
    <w:rsid w:val="4AB90E63"/>
    <w:rsid w:val="4AC727E2"/>
    <w:rsid w:val="4B363E9F"/>
    <w:rsid w:val="4B697A44"/>
    <w:rsid w:val="4BBC1F9B"/>
    <w:rsid w:val="4BE21160"/>
    <w:rsid w:val="4BFF088F"/>
    <w:rsid w:val="4C0242EA"/>
    <w:rsid w:val="4C0B1D5F"/>
    <w:rsid w:val="4C332FB4"/>
    <w:rsid w:val="4C3454A0"/>
    <w:rsid w:val="4C3551B0"/>
    <w:rsid w:val="4C364BEC"/>
    <w:rsid w:val="4C3920CB"/>
    <w:rsid w:val="4C397865"/>
    <w:rsid w:val="4C3D39B3"/>
    <w:rsid w:val="4C5D75CA"/>
    <w:rsid w:val="4C623CEF"/>
    <w:rsid w:val="4C6E36B7"/>
    <w:rsid w:val="4C7F28E5"/>
    <w:rsid w:val="4C8112ED"/>
    <w:rsid w:val="4C9362A9"/>
    <w:rsid w:val="4CA04AED"/>
    <w:rsid w:val="4CC429A7"/>
    <w:rsid w:val="4CC823D1"/>
    <w:rsid w:val="4CCB33EC"/>
    <w:rsid w:val="4CCC1953"/>
    <w:rsid w:val="4CD00D23"/>
    <w:rsid w:val="4CDE27F3"/>
    <w:rsid w:val="4CF3695A"/>
    <w:rsid w:val="4CF67FD1"/>
    <w:rsid w:val="4D084231"/>
    <w:rsid w:val="4D0E6A50"/>
    <w:rsid w:val="4D312AE1"/>
    <w:rsid w:val="4D642C30"/>
    <w:rsid w:val="4D901252"/>
    <w:rsid w:val="4D9826C4"/>
    <w:rsid w:val="4D9927AF"/>
    <w:rsid w:val="4DA11831"/>
    <w:rsid w:val="4DA90454"/>
    <w:rsid w:val="4DBF37D4"/>
    <w:rsid w:val="4DC9561A"/>
    <w:rsid w:val="4DE537A1"/>
    <w:rsid w:val="4DEC1CC7"/>
    <w:rsid w:val="4E274E8C"/>
    <w:rsid w:val="4E293CD0"/>
    <w:rsid w:val="4E372CB3"/>
    <w:rsid w:val="4E3B474E"/>
    <w:rsid w:val="4E6F2D41"/>
    <w:rsid w:val="4E7037EB"/>
    <w:rsid w:val="4E7A5BBB"/>
    <w:rsid w:val="4E8A160E"/>
    <w:rsid w:val="4E9A408E"/>
    <w:rsid w:val="4E9E12E3"/>
    <w:rsid w:val="4EA167C4"/>
    <w:rsid w:val="4EEF6434"/>
    <w:rsid w:val="4F0545D2"/>
    <w:rsid w:val="4F0C4224"/>
    <w:rsid w:val="4F0E2BF9"/>
    <w:rsid w:val="4F142475"/>
    <w:rsid w:val="4F195957"/>
    <w:rsid w:val="4F253FEC"/>
    <w:rsid w:val="4F6071CE"/>
    <w:rsid w:val="4F840F36"/>
    <w:rsid w:val="4F84721C"/>
    <w:rsid w:val="4F9E3727"/>
    <w:rsid w:val="4FC13833"/>
    <w:rsid w:val="4FC52EF0"/>
    <w:rsid w:val="4FD67643"/>
    <w:rsid w:val="4FE31002"/>
    <w:rsid w:val="50293DB5"/>
    <w:rsid w:val="50502C8E"/>
    <w:rsid w:val="50681F00"/>
    <w:rsid w:val="50901F8B"/>
    <w:rsid w:val="50953E8E"/>
    <w:rsid w:val="50AC05B3"/>
    <w:rsid w:val="50BF52EC"/>
    <w:rsid w:val="50EC5FC6"/>
    <w:rsid w:val="50ED5EFD"/>
    <w:rsid w:val="50F03569"/>
    <w:rsid w:val="50F91DD4"/>
    <w:rsid w:val="511225FA"/>
    <w:rsid w:val="5122653D"/>
    <w:rsid w:val="514253CD"/>
    <w:rsid w:val="51742987"/>
    <w:rsid w:val="517767E1"/>
    <w:rsid w:val="518B2758"/>
    <w:rsid w:val="519D207E"/>
    <w:rsid w:val="51AE6D95"/>
    <w:rsid w:val="51AF71F5"/>
    <w:rsid w:val="51C94CD2"/>
    <w:rsid w:val="51D13AD5"/>
    <w:rsid w:val="51D2331D"/>
    <w:rsid w:val="51DC5328"/>
    <w:rsid w:val="51EF6F14"/>
    <w:rsid w:val="5206316B"/>
    <w:rsid w:val="521C5945"/>
    <w:rsid w:val="523948DD"/>
    <w:rsid w:val="525B0C34"/>
    <w:rsid w:val="527201F1"/>
    <w:rsid w:val="52AE36F0"/>
    <w:rsid w:val="52AE3F73"/>
    <w:rsid w:val="52C21540"/>
    <w:rsid w:val="52C8559F"/>
    <w:rsid w:val="52C9184B"/>
    <w:rsid w:val="52CF44B9"/>
    <w:rsid w:val="52D4295D"/>
    <w:rsid w:val="5305035F"/>
    <w:rsid w:val="53103B3F"/>
    <w:rsid w:val="531A47F4"/>
    <w:rsid w:val="53243A3B"/>
    <w:rsid w:val="53254DF5"/>
    <w:rsid w:val="532708C5"/>
    <w:rsid w:val="53396574"/>
    <w:rsid w:val="533C5358"/>
    <w:rsid w:val="53420A82"/>
    <w:rsid w:val="534E106C"/>
    <w:rsid w:val="53625171"/>
    <w:rsid w:val="53654297"/>
    <w:rsid w:val="536B051B"/>
    <w:rsid w:val="5370717B"/>
    <w:rsid w:val="537A20AC"/>
    <w:rsid w:val="538B3BC4"/>
    <w:rsid w:val="538E00DD"/>
    <w:rsid w:val="53AC35E3"/>
    <w:rsid w:val="53C90757"/>
    <w:rsid w:val="53D121F1"/>
    <w:rsid w:val="53E16DD7"/>
    <w:rsid w:val="53E61085"/>
    <w:rsid w:val="541774AA"/>
    <w:rsid w:val="542B1BC3"/>
    <w:rsid w:val="54664FFC"/>
    <w:rsid w:val="54733823"/>
    <w:rsid w:val="549B5123"/>
    <w:rsid w:val="54B91A16"/>
    <w:rsid w:val="54CA05DF"/>
    <w:rsid w:val="54D65852"/>
    <w:rsid w:val="54E57452"/>
    <w:rsid w:val="55057555"/>
    <w:rsid w:val="551A1E22"/>
    <w:rsid w:val="553654F1"/>
    <w:rsid w:val="55403DB8"/>
    <w:rsid w:val="55456520"/>
    <w:rsid w:val="554E7EC4"/>
    <w:rsid w:val="55743A6A"/>
    <w:rsid w:val="55820CAC"/>
    <w:rsid w:val="558F660A"/>
    <w:rsid w:val="559B0619"/>
    <w:rsid w:val="55A04AF4"/>
    <w:rsid w:val="55AC6D33"/>
    <w:rsid w:val="55AF5177"/>
    <w:rsid w:val="55B07ADD"/>
    <w:rsid w:val="55B103AC"/>
    <w:rsid w:val="55B54084"/>
    <w:rsid w:val="55C105EF"/>
    <w:rsid w:val="55C85C1A"/>
    <w:rsid w:val="55D33A01"/>
    <w:rsid w:val="55D40C5C"/>
    <w:rsid w:val="55D9660B"/>
    <w:rsid w:val="55DB65B3"/>
    <w:rsid w:val="55E13C9C"/>
    <w:rsid w:val="55E40A18"/>
    <w:rsid w:val="55F127EE"/>
    <w:rsid w:val="55F54458"/>
    <w:rsid w:val="560C54AC"/>
    <w:rsid w:val="561E7639"/>
    <w:rsid w:val="56437F80"/>
    <w:rsid w:val="564927D4"/>
    <w:rsid w:val="565F3DA6"/>
    <w:rsid w:val="5670596C"/>
    <w:rsid w:val="56715929"/>
    <w:rsid w:val="56784C3B"/>
    <w:rsid w:val="5679268D"/>
    <w:rsid w:val="56A201A1"/>
    <w:rsid w:val="56A84A65"/>
    <w:rsid w:val="56BA722E"/>
    <w:rsid w:val="56C52DD8"/>
    <w:rsid w:val="56D014B8"/>
    <w:rsid w:val="56DC2E8E"/>
    <w:rsid w:val="56E27E0B"/>
    <w:rsid w:val="56E3313F"/>
    <w:rsid w:val="56F4704A"/>
    <w:rsid w:val="56FA4F51"/>
    <w:rsid w:val="57111E4A"/>
    <w:rsid w:val="57275B7E"/>
    <w:rsid w:val="57427C5A"/>
    <w:rsid w:val="57563CB6"/>
    <w:rsid w:val="57632ED0"/>
    <w:rsid w:val="576E673F"/>
    <w:rsid w:val="57846A6D"/>
    <w:rsid w:val="578B2DF8"/>
    <w:rsid w:val="578D0B61"/>
    <w:rsid w:val="57960082"/>
    <w:rsid w:val="57C044FC"/>
    <w:rsid w:val="57C53AC2"/>
    <w:rsid w:val="57F52B59"/>
    <w:rsid w:val="58000968"/>
    <w:rsid w:val="580B26F7"/>
    <w:rsid w:val="58240BEA"/>
    <w:rsid w:val="58263D40"/>
    <w:rsid w:val="584F160A"/>
    <w:rsid w:val="585A1BB6"/>
    <w:rsid w:val="585B4545"/>
    <w:rsid w:val="58612827"/>
    <w:rsid w:val="58707BE8"/>
    <w:rsid w:val="587B7B5D"/>
    <w:rsid w:val="58855EB2"/>
    <w:rsid w:val="58A011D4"/>
    <w:rsid w:val="58B104E2"/>
    <w:rsid w:val="58CD5907"/>
    <w:rsid w:val="58DA5965"/>
    <w:rsid w:val="58FF3061"/>
    <w:rsid w:val="591C42FE"/>
    <w:rsid w:val="592F1F7D"/>
    <w:rsid w:val="59305585"/>
    <w:rsid w:val="593E233D"/>
    <w:rsid w:val="5961731B"/>
    <w:rsid w:val="5985283B"/>
    <w:rsid w:val="59C0225F"/>
    <w:rsid w:val="59CA7151"/>
    <w:rsid w:val="59E319D0"/>
    <w:rsid w:val="59EE02EA"/>
    <w:rsid w:val="5A2E0BBE"/>
    <w:rsid w:val="5A3D2FCA"/>
    <w:rsid w:val="5A4E5F95"/>
    <w:rsid w:val="5A8C21A3"/>
    <w:rsid w:val="5AB316B1"/>
    <w:rsid w:val="5AC0551A"/>
    <w:rsid w:val="5AC57957"/>
    <w:rsid w:val="5AD12D2F"/>
    <w:rsid w:val="5B1517EF"/>
    <w:rsid w:val="5B2522C8"/>
    <w:rsid w:val="5B314370"/>
    <w:rsid w:val="5B3E176E"/>
    <w:rsid w:val="5B452533"/>
    <w:rsid w:val="5B5A7634"/>
    <w:rsid w:val="5B5D7E1A"/>
    <w:rsid w:val="5B6F7110"/>
    <w:rsid w:val="5BC375D6"/>
    <w:rsid w:val="5C1709E1"/>
    <w:rsid w:val="5C291A4F"/>
    <w:rsid w:val="5C3369BA"/>
    <w:rsid w:val="5C371086"/>
    <w:rsid w:val="5C382FBC"/>
    <w:rsid w:val="5C595EA3"/>
    <w:rsid w:val="5C694A34"/>
    <w:rsid w:val="5C75020C"/>
    <w:rsid w:val="5C8619C1"/>
    <w:rsid w:val="5C983B6D"/>
    <w:rsid w:val="5CEA03DC"/>
    <w:rsid w:val="5CFF3B9A"/>
    <w:rsid w:val="5D2C3F0B"/>
    <w:rsid w:val="5D3564FD"/>
    <w:rsid w:val="5D39431C"/>
    <w:rsid w:val="5D5B391D"/>
    <w:rsid w:val="5D804D2D"/>
    <w:rsid w:val="5D8245E6"/>
    <w:rsid w:val="5D8607BA"/>
    <w:rsid w:val="5D926DCE"/>
    <w:rsid w:val="5DAE1EDC"/>
    <w:rsid w:val="5DEC04AA"/>
    <w:rsid w:val="5E0276B2"/>
    <w:rsid w:val="5E1C257C"/>
    <w:rsid w:val="5E312A07"/>
    <w:rsid w:val="5E4B342A"/>
    <w:rsid w:val="5E5564C0"/>
    <w:rsid w:val="5E626C58"/>
    <w:rsid w:val="5E630089"/>
    <w:rsid w:val="5E6E09BC"/>
    <w:rsid w:val="5E745CBD"/>
    <w:rsid w:val="5EBA12C4"/>
    <w:rsid w:val="5ECA4AF3"/>
    <w:rsid w:val="5F0E5EA3"/>
    <w:rsid w:val="5F101C07"/>
    <w:rsid w:val="5F374274"/>
    <w:rsid w:val="5F5819C1"/>
    <w:rsid w:val="5F67740E"/>
    <w:rsid w:val="5F6C1D22"/>
    <w:rsid w:val="5F8853CD"/>
    <w:rsid w:val="5F9171DB"/>
    <w:rsid w:val="5F984F2E"/>
    <w:rsid w:val="5FA315F5"/>
    <w:rsid w:val="5FB25CB8"/>
    <w:rsid w:val="5FD5300A"/>
    <w:rsid w:val="60097F77"/>
    <w:rsid w:val="600C1AA2"/>
    <w:rsid w:val="601B0F31"/>
    <w:rsid w:val="60415D92"/>
    <w:rsid w:val="606C3523"/>
    <w:rsid w:val="60821AE2"/>
    <w:rsid w:val="60980B11"/>
    <w:rsid w:val="60CB71DC"/>
    <w:rsid w:val="61005532"/>
    <w:rsid w:val="611773D2"/>
    <w:rsid w:val="61187462"/>
    <w:rsid w:val="614E3D64"/>
    <w:rsid w:val="61881063"/>
    <w:rsid w:val="61AF6B84"/>
    <w:rsid w:val="61D31BC1"/>
    <w:rsid w:val="6213275B"/>
    <w:rsid w:val="621B5F23"/>
    <w:rsid w:val="62340155"/>
    <w:rsid w:val="62374AA8"/>
    <w:rsid w:val="624D42CA"/>
    <w:rsid w:val="625F40AA"/>
    <w:rsid w:val="62606F78"/>
    <w:rsid w:val="626A4288"/>
    <w:rsid w:val="62800180"/>
    <w:rsid w:val="62981003"/>
    <w:rsid w:val="629923ED"/>
    <w:rsid w:val="62A0544B"/>
    <w:rsid w:val="62AD6DCB"/>
    <w:rsid w:val="62B84022"/>
    <w:rsid w:val="62E10795"/>
    <w:rsid w:val="62F6339C"/>
    <w:rsid w:val="62FC78FF"/>
    <w:rsid w:val="63060CC4"/>
    <w:rsid w:val="6314602D"/>
    <w:rsid w:val="63202BCA"/>
    <w:rsid w:val="633F27E5"/>
    <w:rsid w:val="63927751"/>
    <w:rsid w:val="63A02ED7"/>
    <w:rsid w:val="63B63F09"/>
    <w:rsid w:val="63F84F14"/>
    <w:rsid w:val="63F95B02"/>
    <w:rsid w:val="63FC0E86"/>
    <w:rsid w:val="64094949"/>
    <w:rsid w:val="64207BFC"/>
    <w:rsid w:val="64395C36"/>
    <w:rsid w:val="644B6D13"/>
    <w:rsid w:val="6481297A"/>
    <w:rsid w:val="64881FF6"/>
    <w:rsid w:val="64DB504D"/>
    <w:rsid w:val="64E4321D"/>
    <w:rsid w:val="64E576F7"/>
    <w:rsid w:val="650519A4"/>
    <w:rsid w:val="65092D1D"/>
    <w:rsid w:val="651D3870"/>
    <w:rsid w:val="6521632B"/>
    <w:rsid w:val="65230138"/>
    <w:rsid w:val="65711691"/>
    <w:rsid w:val="659C46CE"/>
    <w:rsid w:val="65BF017A"/>
    <w:rsid w:val="65D26342"/>
    <w:rsid w:val="65DB0D7A"/>
    <w:rsid w:val="65EA544A"/>
    <w:rsid w:val="66040158"/>
    <w:rsid w:val="661477AD"/>
    <w:rsid w:val="662D02C6"/>
    <w:rsid w:val="664B3FFA"/>
    <w:rsid w:val="666002B1"/>
    <w:rsid w:val="66686B7C"/>
    <w:rsid w:val="66B659E8"/>
    <w:rsid w:val="66C44C2A"/>
    <w:rsid w:val="66DD540A"/>
    <w:rsid w:val="66F9345B"/>
    <w:rsid w:val="670B5473"/>
    <w:rsid w:val="671B0AE4"/>
    <w:rsid w:val="67206486"/>
    <w:rsid w:val="67226B22"/>
    <w:rsid w:val="67292D3C"/>
    <w:rsid w:val="67564D51"/>
    <w:rsid w:val="6786737B"/>
    <w:rsid w:val="679338AF"/>
    <w:rsid w:val="679D0811"/>
    <w:rsid w:val="67A46815"/>
    <w:rsid w:val="67C5355C"/>
    <w:rsid w:val="67D70C3C"/>
    <w:rsid w:val="67DC2276"/>
    <w:rsid w:val="67DD1216"/>
    <w:rsid w:val="67E1728F"/>
    <w:rsid w:val="67EE53F0"/>
    <w:rsid w:val="67FE23D0"/>
    <w:rsid w:val="683D44EE"/>
    <w:rsid w:val="683E1CF9"/>
    <w:rsid w:val="68A2071A"/>
    <w:rsid w:val="68A563A7"/>
    <w:rsid w:val="68CF7B0C"/>
    <w:rsid w:val="68D371F1"/>
    <w:rsid w:val="68E30C38"/>
    <w:rsid w:val="68FE58BD"/>
    <w:rsid w:val="690804F2"/>
    <w:rsid w:val="691164BD"/>
    <w:rsid w:val="69160F71"/>
    <w:rsid w:val="69392368"/>
    <w:rsid w:val="696B7830"/>
    <w:rsid w:val="69A022B3"/>
    <w:rsid w:val="69AF0461"/>
    <w:rsid w:val="69B23F4E"/>
    <w:rsid w:val="69C450F7"/>
    <w:rsid w:val="69CF44BC"/>
    <w:rsid w:val="69DD2A9A"/>
    <w:rsid w:val="69DF2175"/>
    <w:rsid w:val="6A26751E"/>
    <w:rsid w:val="6A3A59CF"/>
    <w:rsid w:val="6A421040"/>
    <w:rsid w:val="6A4C1EF1"/>
    <w:rsid w:val="6A4F56A9"/>
    <w:rsid w:val="6A505F51"/>
    <w:rsid w:val="6A594925"/>
    <w:rsid w:val="6A7555EA"/>
    <w:rsid w:val="6A7E12EB"/>
    <w:rsid w:val="6A99742E"/>
    <w:rsid w:val="6AAD7E56"/>
    <w:rsid w:val="6AE91BF7"/>
    <w:rsid w:val="6AF66948"/>
    <w:rsid w:val="6AFF2CEE"/>
    <w:rsid w:val="6B273C97"/>
    <w:rsid w:val="6B3A3BBF"/>
    <w:rsid w:val="6B3A571B"/>
    <w:rsid w:val="6B4D1CA7"/>
    <w:rsid w:val="6B533A81"/>
    <w:rsid w:val="6B65177B"/>
    <w:rsid w:val="6B83675A"/>
    <w:rsid w:val="6BA0152A"/>
    <w:rsid w:val="6BAB287A"/>
    <w:rsid w:val="6C3041B5"/>
    <w:rsid w:val="6C343D13"/>
    <w:rsid w:val="6C4C4D83"/>
    <w:rsid w:val="6C5D03E7"/>
    <w:rsid w:val="6C5E7622"/>
    <w:rsid w:val="6C6304A7"/>
    <w:rsid w:val="6C7C5D15"/>
    <w:rsid w:val="6CB419CF"/>
    <w:rsid w:val="6CE17FD5"/>
    <w:rsid w:val="6CE84BBA"/>
    <w:rsid w:val="6CF04C05"/>
    <w:rsid w:val="6CFE3812"/>
    <w:rsid w:val="6D006BE4"/>
    <w:rsid w:val="6D341690"/>
    <w:rsid w:val="6D4F64CA"/>
    <w:rsid w:val="6D516D02"/>
    <w:rsid w:val="6D533129"/>
    <w:rsid w:val="6D6E42EF"/>
    <w:rsid w:val="6D764863"/>
    <w:rsid w:val="6D89250E"/>
    <w:rsid w:val="6DA107B6"/>
    <w:rsid w:val="6DAE66B7"/>
    <w:rsid w:val="6DFF074B"/>
    <w:rsid w:val="6E236E02"/>
    <w:rsid w:val="6E4327AC"/>
    <w:rsid w:val="6E886FC7"/>
    <w:rsid w:val="6E9B7FC3"/>
    <w:rsid w:val="6ED6311E"/>
    <w:rsid w:val="6F0F0CE1"/>
    <w:rsid w:val="6F4763C0"/>
    <w:rsid w:val="6F727E3E"/>
    <w:rsid w:val="6F8D32DA"/>
    <w:rsid w:val="6F9B2424"/>
    <w:rsid w:val="6FA04DBB"/>
    <w:rsid w:val="6FA50623"/>
    <w:rsid w:val="6FAC5870"/>
    <w:rsid w:val="6FC02366"/>
    <w:rsid w:val="6FC43A30"/>
    <w:rsid w:val="6FF167B2"/>
    <w:rsid w:val="6FF52413"/>
    <w:rsid w:val="706031C2"/>
    <w:rsid w:val="709134B3"/>
    <w:rsid w:val="709E583F"/>
    <w:rsid w:val="70AE39B3"/>
    <w:rsid w:val="70C031FD"/>
    <w:rsid w:val="70D60B43"/>
    <w:rsid w:val="71015D2D"/>
    <w:rsid w:val="710363FD"/>
    <w:rsid w:val="71057760"/>
    <w:rsid w:val="71075128"/>
    <w:rsid w:val="71281B9C"/>
    <w:rsid w:val="714A297D"/>
    <w:rsid w:val="714C6039"/>
    <w:rsid w:val="717F16E3"/>
    <w:rsid w:val="71A32611"/>
    <w:rsid w:val="71C60C26"/>
    <w:rsid w:val="71CB5A97"/>
    <w:rsid w:val="71CF76A5"/>
    <w:rsid w:val="71D522F9"/>
    <w:rsid w:val="71DB5C9D"/>
    <w:rsid w:val="71EE0781"/>
    <w:rsid w:val="71FA3CE4"/>
    <w:rsid w:val="71FC2EA2"/>
    <w:rsid w:val="724051E8"/>
    <w:rsid w:val="724539F8"/>
    <w:rsid w:val="726348A0"/>
    <w:rsid w:val="7293684B"/>
    <w:rsid w:val="72990D92"/>
    <w:rsid w:val="729F2A91"/>
    <w:rsid w:val="72B573A8"/>
    <w:rsid w:val="72B63417"/>
    <w:rsid w:val="72BF45E0"/>
    <w:rsid w:val="72D7797A"/>
    <w:rsid w:val="73582C5C"/>
    <w:rsid w:val="735E2627"/>
    <w:rsid w:val="738A6608"/>
    <w:rsid w:val="738C7A05"/>
    <w:rsid w:val="73B70891"/>
    <w:rsid w:val="73F80ACF"/>
    <w:rsid w:val="743D0984"/>
    <w:rsid w:val="74765673"/>
    <w:rsid w:val="747D74C9"/>
    <w:rsid w:val="748A76D2"/>
    <w:rsid w:val="74B97D3E"/>
    <w:rsid w:val="74C54BDC"/>
    <w:rsid w:val="74C57177"/>
    <w:rsid w:val="74CE2672"/>
    <w:rsid w:val="74D344B5"/>
    <w:rsid w:val="74E42C3B"/>
    <w:rsid w:val="74E52895"/>
    <w:rsid w:val="74EF289B"/>
    <w:rsid w:val="755F4C57"/>
    <w:rsid w:val="75882C0C"/>
    <w:rsid w:val="758C7D84"/>
    <w:rsid w:val="759325C0"/>
    <w:rsid w:val="75A9738B"/>
    <w:rsid w:val="75B84C9E"/>
    <w:rsid w:val="75BC2223"/>
    <w:rsid w:val="75CC26D6"/>
    <w:rsid w:val="75DA6615"/>
    <w:rsid w:val="75E32AAA"/>
    <w:rsid w:val="75EB7168"/>
    <w:rsid w:val="75FA634C"/>
    <w:rsid w:val="76115741"/>
    <w:rsid w:val="76493E64"/>
    <w:rsid w:val="76525DAB"/>
    <w:rsid w:val="76567DED"/>
    <w:rsid w:val="76652245"/>
    <w:rsid w:val="76867411"/>
    <w:rsid w:val="76AB3CFA"/>
    <w:rsid w:val="76BD7A62"/>
    <w:rsid w:val="76DE5A8F"/>
    <w:rsid w:val="76EA1497"/>
    <w:rsid w:val="76F4280D"/>
    <w:rsid w:val="76F732C9"/>
    <w:rsid w:val="76FB15A5"/>
    <w:rsid w:val="76FC12ED"/>
    <w:rsid w:val="77191A35"/>
    <w:rsid w:val="7731654E"/>
    <w:rsid w:val="77470212"/>
    <w:rsid w:val="775178C8"/>
    <w:rsid w:val="77612B43"/>
    <w:rsid w:val="777B0ED9"/>
    <w:rsid w:val="778841F7"/>
    <w:rsid w:val="77B21BDE"/>
    <w:rsid w:val="77B92603"/>
    <w:rsid w:val="77BB17EE"/>
    <w:rsid w:val="77D11292"/>
    <w:rsid w:val="782E2092"/>
    <w:rsid w:val="783100D7"/>
    <w:rsid w:val="78452678"/>
    <w:rsid w:val="78940B0A"/>
    <w:rsid w:val="78AA485E"/>
    <w:rsid w:val="78BC55B0"/>
    <w:rsid w:val="78D1070E"/>
    <w:rsid w:val="78D610F1"/>
    <w:rsid w:val="78DF0647"/>
    <w:rsid w:val="78E94929"/>
    <w:rsid w:val="790B3277"/>
    <w:rsid w:val="79143A2E"/>
    <w:rsid w:val="7929591E"/>
    <w:rsid w:val="79843224"/>
    <w:rsid w:val="798D541A"/>
    <w:rsid w:val="798F7999"/>
    <w:rsid w:val="79982DC8"/>
    <w:rsid w:val="799F04AD"/>
    <w:rsid w:val="79BC6C95"/>
    <w:rsid w:val="79BD7DE7"/>
    <w:rsid w:val="79CF5DBB"/>
    <w:rsid w:val="79FA59D1"/>
    <w:rsid w:val="7A4E4E1E"/>
    <w:rsid w:val="7A63392F"/>
    <w:rsid w:val="7A7F7AB9"/>
    <w:rsid w:val="7A836286"/>
    <w:rsid w:val="7A93214F"/>
    <w:rsid w:val="7ABB6C39"/>
    <w:rsid w:val="7AD02F7B"/>
    <w:rsid w:val="7B007457"/>
    <w:rsid w:val="7B36582E"/>
    <w:rsid w:val="7B5B24C6"/>
    <w:rsid w:val="7B5C1712"/>
    <w:rsid w:val="7B605E1E"/>
    <w:rsid w:val="7B727DD7"/>
    <w:rsid w:val="7B850FA0"/>
    <w:rsid w:val="7B8F27C6"/>
    <w:rsid w:val="7B9D2AF7"/>
    <w:rsid w:val="7BED7766"/>
    <w:rsid w:val="7BF349C6"/>
    <w:rsid w:val="7BFB56C1"/>
    <w:rsid w:val="7C4A4251"/>
    <w:rsid w:val="7C4F3DF1"/>
    <w:rsid w:val="7C632142"/>
    <w:rsid w:val="7C7376BB"/>
    <w:rsid w:val="7C7A3690"/>
    <w:rsid w:val="7CCB62F5"/>
    <w:rsid w:val="7CDE3017"/>
    <w:rsid w:val="7CE015FE"/>
    <w:rsid w:val="7CE3715C"/>
    <w:rsid w:val="7CFA0972"/>
    <w:rsid w:val="7D1C17A5"/>
    <w:rsid w:val="7D315F9B"/>
    <w:rsid w:val="7D351A6A"/>
    <w:rsid w:val="7D3C00C9"/>
    <w:rsid w:val="7D477187"/>
    <w:rsid w:val="7D730B4C"/>
    <w:rsid w:val="7D785951"/>
    <w:rsid w:val="7D8F5316"/>
    <w:rsid w:val="7D902913"/>
    <w:rsid w:val="7DB0732B"/>
    <w:rsid w:val="7DB172C4"/>
    <w:rsid w:val="7DEB0BDF"/>
    <w:rsid w:val="7E0D588D"/>
    <w:rsid w:val="7E153E08"/>
    <w:rsid w:val="7E38519C"/>
    <w:rsid w:val="7E603F35"/>
    <w:rsid w:val="7E7A7D18"/>
    <w:rsid w:val="7E817ACB"/>
    <w:rsid w:val="7EAD60AE"/>
    <w:rsid w:val="7EB35BF6"/>
    <w:rsid w:val="7EC55300"/>
    <w:rsid w:val="7EE718C6"/>
    <w:rsid w:val="7EFB7192"/>
    <w:rsid w:val="7F08472B"/>
    <w:rsid w:val="7F097845"/>
    <w:rsid w:val="7F1232AF"/>
    <w:rsid w:val="7F147A5B"/>
    <w:rsid w:val="7F3177DE"/>
    <w:rsid w:val="7F404F2D"/>
    <w:rsid w:val="7F417C68"/>
    <w:rsid w:val="7F60633C"/>
    <w:rsid w:val="7F6B621B"/>
    <w:rsid w:val="7FD96ABC"/>
    <w:rsid w:val="7FE12315"/>
    <w:rsid w:val="7FE568A7"/>
    <w:rsid w:val="7FED0C32"/>
    <w:rsid w:val="7FF31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9">
    <w:name w:val="heading 1"/>
    <w:basedOn w:val="1"/>
    <w:next w:val="1"/>
    <w:qFormat/>
    <w:uiPriority w:val="0"/>
    <w:pPr>
      <w:keepNext/>
      <w:ind w:firstLine="0" w:firstLineChars="0"/>
      <w:jc w:val="center"/>
      <w:outlineLvl w:val="0"/>
    </w:pPr>
    <w:rPr>
      <w:b/>
      <w:sz w:val="28"/>
      <w:szCs w:val="20"/>
    </w:rPr>
  </w:style>
  <w:style w:type="paragraph" w:styleId="10">
    <w:name w:val="heading 2"/>
    <w:basedOn w:val="1"/>
    <w:next w:val="1"/>
    <w:qFormat/>
    <w:uiPriority w:val="0"/>
    <w:pPr>
      <w:keepNext/>
      <w:ind w:firstLine="0" w:firstLineChars="0"/>
      <w:outlineLvl w:val="1"/>
    </w:pPr>
    <w:rPr>
      <w:b/>
      <w:bCs/>
      <w:sz w:val="28"/>
    </w:rPr>
  </w:style>
  <w:style w:type="paragraph" w:styleId="11">
    <w:name w:val="heading 3"/>
    <w:basedOn w:val="1"/>
    <w:next w:val="1"/>
    <w:unhideWhenUsed/>
    <w:qFormat/>
    <w:uiPriority w:val="0"/>
    <w:pPr>
      <w:keepNext/>
      <w:keepLines/>
      <w:spacing w:before="260" w:after="260" w:line="413" w:lineRule="auto"/>
      <w:outlineLvl w:val="2"/>
    </w:pPr>
    <w:rPr>
      <w:b/>
      <w:sz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6"/>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customStyle="1" w:styleId="4">
    <w:name w:val="样式 正文文本缩进 + 行距: 1.5 倍行距"/>
    <w:basedOn w:val="5"/>
    <w:next w:val="1"/>
    <w:qFormat/>
    <w:uiPriority w:val="0"/>
    <w:pPr>
      <w:ind w:left="90" w:leftChars="32"/>
    </w:pPr>
    <w:rPr>
      <w:rFonts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First Indent"/>
    <w:basedOn w:val="7"/>
    <w:next w:val="1"/>
    <w:qFormat/>
    <w:uiPriority w:val="0"/>
    <w:pPr>
      <w:spacing w:after="120"/>
      <w:ind w:firstLine="420" w:firstLineChars="100"/>
    </w:pPr>
  </w:style>
  <w:style w:type="paragraph" w:styleId="7">
    <w:name w:val="Body Text"/>
    <w:basedOn w:val="1"/>
    <w:next w:val="8"/>
    <w:qFormat/>
    <w:uiPriority w:val="0"/>
    <w:rPr>
      <w:rFonts w:hint="eastAsia" w:eastAsia="华文宋体"/>
      <w:szCs w:val="20"/>
    </w:rPr>
  </w:style>
  <w:style w:type="paragraph" w:styleId="8">
    <w:name w:val="List Bullet 5"/>
    <w:basedOn w:val="1"/>
    <w:qFormat/>
    <w:uiPriority w:val="0"/>
    <w:pPr>
      <w:numPr>
        <w:ilvl w:val="0"/>
        <w:numId w:val="1"/>
      </w:numPr>
    </w:pPr>
  </w:style>
  <w:style w:type="paragraph" w:styleId="12">
    <w:name w:val="Normal Indent"/>
    <w:basedOn w:val="1"/>
    <w:next w:val="1"/>
    <w:qFormat/>
    <w:uiPriority w:val="0"/>
    <w:pPr>
      <w:ind w:firstLine="420"/>
    </w:pPr>
    <w:rPr>
      <w:szCs w:val="20"/>
    </w:rPr>
  </w:style>
  <w:style w:type="paragraph" w:styleId="13">
    <w:name w:val="annotation text"/>
    <w:basedOn w:val="1"/>
    <w:link w:val="69"/>
    <w:qFormat/>
    <w:uiPriority w:val="0"/>
    <w:pPr>
      <w:jc w:val="left"/>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68"/>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20"/>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
    <w:qFormat/>
    <w:uiPriority w:val="0"/>
    <w:pPr>
      <w:spacing w:line="360" w:lineRule="auto"/>
      <w:ind w:firstLine="510"/>
    </w:pPr>
  </w:style>
  <w:style w:type="paragraph" w:customStyle="1" w:styleId="21">
    <w:name w:val="正文1"/>
    <w:basedOn w:val="1"/>
    <w:next w:val="22"/>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2">
    <w:name w:val="Default"/>
    <w:basedOn w:val="23"/>
    <w:next w:val="24"/>
    <w:unhideWhenUsed/>
    <w:qFormat/>
    <w:uiPriority w:val="99"/>
    <w:pPr>
      <w:autoSpaceDE w:val="0"/>
      <w:autoSpaceDN w:val="0"/>
      <w:adjustRightInd w:val="0"/>
    </w:pPr>
    <w:rPr>
      <w:rFonts w:ascii="宋体" w:hAnsi="宋体"/>
      <w:sz w:val="24"/>
    </w:rPr>
  </w:style>
  <w:style w:type="paragraph" w:customStyle="1" w:styleId="2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4">
    <w:name w:val="样式35"/>
    <w:basedOn w:val="1"/>
    <w:next w:val="1"/>
    <w:qFormat/>
    <w:uiPriority w:val="0"/>
    <w:pPr>
      <w:spacing w:line="312" w:lineRule="auto"/>
      <w:ind w:firstLine="567"/>
    </w:pPr>
    <w:rPr>
      <w:rFonts w:ascii="宋体"/>
      <w:sz w:val="28"/>
    </w:rPr>
  </w:style>
  <w:style w:type="paragraph" w:styleId="25">
    <w:name w:val="toc 1"/>
    <w:basedOn w:val="1"/>
    <w:next w:val="1"/>
    <w:qFormat/>
    <w:uiPriority w:val="99"/>
    <w:pPr>
      <w:tabs>
        <w:tab w:val="right" w:leader="dot" w:pos="8836"/>
      </w:tabs>
      <w:jc w:val="center"/>
    </w:pPr>
    <w:rPr>
      <w:rFonts w:ascii="宋体" w:hAnsi="宋体"/>
      <w:sz w:val="32"/>
    </w:rPr>
  </w:style>
  <w:style w:type="paragraph" w:styleId="26">
    <w:name w:val="toc 2"/>
    <w:basedOn w:val="1"/>
    <w:next w:val="1"/>
    <w:qFormat/>
    <w:uiPriority w:val="0"/>
    <w:pPr>
      <w:ind w:left="420" w:leftChars="200"/>
    </w:pPr>
  </w:style>
  <w:style w:type="paragraph" w:styleId="27">
    <w:name w:val="annotation subject"/>
    <w:basedOn w:val="13"/>
    <w:next w:val="13"/>
    <w:link w:val="70"/>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0"/>
    <w:rPr>
      <w:b/>
    </w:rPr>
  </w:style>
  <w:style w:type="character" w:styleId="32">
    <w:name w:val="annotation reference"/>
    <w:qFormat/>
    <w:uiPriority w:val="0"/>
    <w:rPr>
      <w:sz w:val="21"/>
      <w:szCs w:val="21"/>
    </w:rPr>
  </w:style>
  <w:style w:type="paragraph" w:customStyle="1" w:styleId="33">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4">
    <w:name w:val="Date1"/>
    <w:basedOn w:val="1"/>
    <w:next w:val="1"/>
    <w:qFormat/>
    <w:uiPriority w:val="0"/>
    <w:rPr>
      <w:sz w:val="21"/>
      <w:szCs w:val="20"/>
    </w:rPr>
  </w:style>
  <w:style w:type="paragraph" w:customStyle="1" w:styleId="35">
    <w:name w:val="正文文本缩进1"/>
    <w:basedOn w:val="1"/>
    <w:next w:val="4"/>
    <w:qFormat/>
    <w:uiPriority w:val="0"/>
    <w:pPr>
      <w:spacing w:after="120"/>
      <w:ind w:left="420" w:leftChars="200"/>
    </w:pPr>
  </w:style>
  <w:style w:type="paragraph" w:customStyle="1" w:styleId="36">
    <w:name w:val="正文文本缩进11"/>
    <w:basedOn w:val="1"/>
    <w:next w:val="4"/>
    <w:qFormat/>
    <w:uiPriority w:val="0"/>
    <w:pPr>
      <w:spacing w:after="120"/>
      <w:ind w:left="420" w:leftChars="200"/>
    </w:pPr>
  </w:style>
  <w:style w:type="paragraph" w:customStyle="1" w:styleId="37">
    <w:name w:val="Body Text First Indent 21"/>
    <w:basedOn w:val="38"/>
    <w:qFormat/>
    <w:uiPriority w:val="0"/>
    <w:pPr>
      <w:ind w:firstLine="420"/>
    </w:pPr>
  </w:style>
  <w:style w:type="paragraph" w:customStyle="1" w:styleId="38">
    <w:name w:val="Body Text Indent1"/>
    <w:basedOn w:val="1"/>
    <w:qFormat/>
    <w:uiPriority w:val="0"/>
    <w:pPr>
      <w:spacing w:after="120"/>
      <w:ind w:left="420" w:leftChars="200"/>
    </w:pPr>
  </w:style>
  <w:style w:type="character" w:customStyle="1" w:styleId="39">
    <w:name w:val="font31"/>
    <w:qFormat/>
    <w:uiPriority w:val="0"/>
    <w:rPr>
      <w:rFonts w:hint="default" w:ascii="Times New Roman" w:hAnsi="Times New Roman" w:cs="Times New Roman"/>
      <w:b/>
      <w:color w:val="000000"/>
      <w:sz w:val="24"/>
      <w:szCs w:val="24"/>
      <w:u w:val="none"/>
    </w:rPr>
  </w:style>
  <w:style w:type="character" w:customStyle="1" w:styleId="40">
    <w:name w:val="font41"/>
    <w:qFormat/>
    <w:uiPriority w:val="0"/>
    <w:rPr>
      <w:rFonts w:hint="default" w:ascii="Times New Roman" w:hAnsi="Times New Roman" w:cs="Times New Roman"/>
      <w:b/>
      <w:color w:val="000000"/>
      <w:sz w:val="22"/>
      <w:szCs w:val="22"/>
      <w:u w:val="none"/>
    </w:rPr>
  </w:style>
  <w:style w:type="character" w:customStyle="1" w:styleId="41">
    <w:name w:val="font21"/>
    <w:qFormat/>
    <w:uiPriority w:val="0"/>
    <w:rPr>
      <w:rFonts w:hint="eastAsia" w:ascii="宋体" w:hAnsi="宋体" w:eastAsia="宋体" w:cs="宋体"/>
      <w:color w:val="0000FF"/>
      <w:sz w:val="18"/>
      <w:szCs w:val="18"/>
      <w:u w:val="none"/>
    </w:rPr>
  </w:style>
  <w:style w:type="paragraph" w:customStyle="1" w:styleId="42">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3">
    <w:name w:val="Table Paragraph"/>
    <w:basedOn w:val="1"/>
    <w:unhideWhenUsed/>
    <w:qFormat/>
    <w:uiPriority w:val="1"/>
    <w:pPr>
      <w:spacing w:line="240" w:lineRule="auto"/>
      <w:ind w:firstLine="0" w:firstLineChars="0"/>
      <w:jc w:val="center"/>
    </w:pPr>
    <w:rPr>
      <w:sz w:val="21"/>
    </w:rPr>
  </w:style>
  <w:style w:type="paragraph" w:customStyle="1" w:styleId="44">
    <w:name w:val="Other|1"/>
    <w:basedOn w:val="1"/>
    <w:qFormat/>
    <w:uiPriority w:val="0"/>
    <w:pPr>
      <w:spacing w:line="420" w:lineRule="auto"/>
      <w:ind w:firstLine="400"/>
    </w:pPr>
    <w:rPr>
      <w:rFonts w:ascii="宋体" w:hAnsi="宋体" w:cs="宋体"/>
      <w:lang w:val="zh-TW" w:eastAsia="zh-TW" w:bidi="zh-TW"/>
    </w:rPr>
  </w:style>
  <w:style w:type="paragraph" w:customStyle="1" w:styleId="45">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6">
    <w:name w:val="普通(网站)1"/>
    <w:basedOn w:val="1"/>
    <w:qFormat/>
    <w:uiPriority w:val="0"/>
    <w:pPr>
      <w:spacing w:before="100" w:beforeAutospacing="1" w:after="100" w:afterAutospacing="1"/>
    </w:pPr>
    <w:rPr>
      <w:rFonts w:ascii="宋体" w:hAnsi="宋体" w:cs="宋体"/>
    </w:rPr>
  </w:style>
  <w:style w:type="paragraph" w:customStyle="1" w:styleId="47">
    <w:name w:val="表格文字"/>
    <w:basedOn w:val="1"/>
    <w:next w:val="1"/>
    <w:qFormat/>
    <w:uiPriority w:val="0"/>
    <w:pPr>
      <w:spacing w:beforeLines="30" w:afterLines="30"/>
      <w:jc w:val="center"/>
    </w:pPr>
    <w:rPr>
      <w:spacing w:val="10"/>
      <w:kern w:val="0"/>
      <w:szCs w:val="21"/>
    </w:rPr>
  </w:style>
  <w:style w:type="paragraph" w:customStyle="1" w:styleId="48">
    <w:name w:val="Body text|3"/>
    <w:basedOn w:val="1"/>
    <w:qFormat/>
    <w:uiPriority w:val="0"/>
    <w:pPr>
      <w:ind w:firstLine="140"/>
    </w:pPr>
    <w:rPr>
      <w:sz w:val="20"/>
      <w:szCs w:val="20"/>
    </w:rPr>
  </w:style>
  <w:style w:type="paragraph" w:customStyle="1" w:styleId="49">
    <w:name w:val="文本内容"/>
    <w:basedOn w:val="1"/>
    <w:qFormat/>
    <w:uiPriority w:val="0"/>
    <w:pPr>
      <w:adjustRightInd w:val="0"/>
      <w:snapToGrid w:val="0"/>
      <w:ind w:firstLine="546"/>
    </w:pPr>
    <w:rPr>
      <w:rFonts w:cs="宋体"/>
      <w:sz w:val="28"/>
    </w:rPr>
  </w:style>
  <w:style w:type="paragraph" w:customStyle="1" w:styleId="50">
    <w:name w:val="表格1"/>
    <w:basedOn w:val="1"/>
    <w:qFormat/>
    <w:uiPriority w:val="0"/>
    <w:pPr>
      <w:jc w:val="center"/>
    </w:pPr>
    <w:rPr>
      <w:sz w:val="18"/>
      <w:szCs w:val="18"/>
    </w:rPr>
  </w:style>
  <w:style w:type="paragraph" w:customStyle="1" w:styleId="51">
    <w:name w:val="表格文字两端对齐"/>
    <w:basedOn w:val="1"/>
    <w:qFormat/>
    <w:uiPriority w:val="0"/>
    <w:pPr>
      <w:spacing w:line="240" w:lineRule="auto"/>
      <w:ind w:firstLine="0" w:firstLineChars="0"/>
      <w:jc w:val="center"/>
    </w:pPr>
    <w:rPr>
      <w:sz w:val="21"/>
    </w:rPr>
  </w:style>
  <w:style w:type="paragraph" w:customStyle="1" w:styleId="52">
    <w:name w:val="Body text|6"/>
    <w:basedOn w:val="1"/>
    <w:qFormat/>
    <w:uiPriority w:val="0"/>
    <w:pPr>
      <w:spacing w:after="170" w:line="317" w:lineRule="auto"/>
      <w:ind w:firstLine="370"/>
    </w:pPr>
  </w:style>
  <w:style w:type="paragraph" w:customStyle="1" w:styleId="53">
    <w:name w:val="正文小四"/>
    <w:basedOn w:val="1"/>
    <w:qFormat/>
    <w:uiPriority w:val="0"/>
    <w:pPr>
      <w:spacing w:line="460" w:lineRule="exact"/>
      <w:ind w:firstLine="600"/>
    </w:pPr>
    <w:rPr>
      <w:rFonts w:ascii="宋体" w:hAnsi="宋体" w:cs="宋体"/>
      <w:spacing w:val="30"/>
      <w:kern w:val="24"/>
    </w:rPr>
  </w:style>
  <w:style w:type="paragraph" w:customStyle="1" w:styleId="54">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5">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6">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7">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58">
    <w:name w:val="表格文字1.0"/>
    <w:basedOn w:val="1"/>
    <w:qFormat/>
    <w:uiPriority w:val="0"/>
    <w:pPr>
      <w:adjustRightInd w:val="0"/>
      <w:snapToGrid w:val="0"/>
      <w:jc w:val="center"/>
    </w:pPr>
    <w:rPr>
      <w:kern w:val="0"/>
      <w:sz w:val="21"/>
    </w:rPr>
  </w:style>
  <w:style w:type="paragraph" w:customStyle="1" w:styleId="59">
    <w:name w:val="框架内容"/>
    <w:basedOn w:val="21"/>
    <w:qFormat/>
    <w:uiPriority w:val="0"/>
  </w:style>
  <w:style w:type="character" w:customStyle="1" w:styleId="60">
    <w:name w:val="15"/>
    <w:qFormat/>
    <w:uiPriority w:val="0"/>
    <w:rPr>
      <w:rFonts w:hint="default" w:ascii="Times New Roman" w:hAnsi="Times New Roman" w:cs="Times New Roman"/>
      <w:color w:val="000000"/>
      <w:sz w:val="22"/>
      <w:szCs w:val="22"/>
    </w:rPr>
  </w:style>
  <w:style w:type="paragraph" w:customStyle="1" w:styleId="61">
    <w:name w:val="表1111111111"/>
    <w:basedOn w:val="1"/>
    <w:qFormat/>
    <w:uiPriority w:val="0"/>
    <w:pPr>
      <w:jc w:val="center"/>
    </w:pPr>
  </w:style>
  <w:style w:type="paragraph" w:customStyle="1" w:styleId="62">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3">
    <w:name w:val="内部文字"/>
    <w:basedOn w:val="1"/>
    <w:qFormat/>
    <w:uiPriority w:val="0"/>
    <w:pPr>
      <w:adjustRightInd w:val="0"/>
      <w:snapToGrid w:val="0"/>
      <w:ind w:firstLine="200"/>
    </w:pPr>
  </w:style>
  <w:style w:type="paragraph" w:customStyle="1" w:styleId="64">
    <w:name w:val="lh-表格文字-报告表"/>
    <w:basedOn w:val="1"/>
    <w:qFormat/>
    <w:uiPriority w:val="0"/>
    <w:pPr>
      <w:jc w:val="center"/>
    </w:pPr>
    <w:rPr>
      <w:kern w:val="0"/>
    </w:rPr>
  </w:style>
  <w:style w:type="paragraph" w:customStyle="1" w:styleId="65">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6">
    <w:name w:val="font01"/>
    <w:qFormat/>
    <w:uiPriority w:val="0"/>
    <w:rPr>
      <w:rFonts w:hint="default" w:ascii="Times New Roman" w:hAnsi="Times New Roman" w:cs="Times New Roman"/>
      <w:color w:val="000000"/>
      <w:sz w:val="21"/>
      <w:szCs w:val="21"/>
      <w:u w:val="none"/>
      <w:vertAlign w:val="superscript"/>
    </w:rPr>
  </w:style>
  <w:style w:type="paragraph" w:customStyle="1" w:styleId="67">
    <w:name w:val="表内容"/>
    <w:basedOn w:val="1"/>
    <w:qFormat/>
    <w:uiPriority w:val="0"/>
    <w:pPr>
      <w:adjustRightInd w:val="0"/>
      <w:snapToGrid w:val="0"/>
      <w:jc w:val="center"/>
    </w:pPr>
    <w:rPr>
      <w:snapToGrid w:val="0"/>
      <w:szCs w:val="21"/>
    </w:rPr>
  </w:style>
  <w:style w:type="character" w:customStyle="1" w:styleId="68">
    <w:name w:val="批注框文本 Char"/>
    <w:link w:val="17"/>
    <w:qFormat/>
    <w:uiPriority w:val="0"/>
    <w:rPr>
      <w:kern w:val="2"/>
      <w:sz w:val="18"/>
      <w:szCs w:val="18"/>
    </w:rPr>
  </w:style>
  <w:style w:type="character" w:customStyle="1" w:styleId="69">
    <w:name w:val="批注文字 Char"/>
    <w:link w:val="13"/>
    <w:qFormat/>
    <w:uiPriority w:val="0"/>
    <w:rPr>
      <w:kern w:val="2"/>
      <w:sz w:val="24"/>
      <w:szCs w:val="24"/>
    </w:rPr>
  </w:style>
  <w:style w:type="character" w:customStyle="1" w:styleId="70">
    <w:name w:val="批注主题 Char"/>
    <w:link w:val="27"/>
    <w:qFormat/>
    <w:uiPriority w:val="0"/>
    <w:rPr>
      <w:b/>
      <w:bCs/>
      <w:kern w:val="2"/>
      <w:sz w:val="24"/>
      <w:szCs w:val="24"/>
    </w:rPr>
  </w:style>
  <w:style w:type="paragraph" w:customStyle="1" w:styleId="71">
    <w:name w:val="li_正文"/>
    <w:basedOn w:val="1"/>
    <w:qFormat/>
    <w:uiPriority w:val="0"/>
    <w:pPr>
      <w:ind w:firstLine="200"/>
    </w:pPr>
    <w:rPr>
      <w:sz w:val="28"/>
      <w:szCs w:val="28"/>
    </w:rPr>
  </w:style>
  <w:style w:type="paragraph" w:customStyle="1" w:styleId="72">
    <w:name w:val="陈光的正文"/>
    <w:basedOn w:val="1"/>
    <w:qFormat/>
    <w:uiPriority w:val="0"/>
    <w:pPr>
      <w:spacing w:beforeLines="10" w:afterLines="1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customShpInfo spid="_x0000_s3074"/>
    <customShpInfo spid="_x0000_s2058"/>
    <customShpInfo spid="_x0000_s2057"/>
    <customShpInfo spid="_x0000_s2055"/>
    <customShpInfo spid="_x0000_s2054"/>
    <customShpInfo spid="_x0000_s2056"/>
    <customShpInfo spid="_x0000_s2059"/>
    <customShpInfo spid="_x0000_s2061"/>
    <customShpInfo spid="_x0000_s2060"/>
    <customShpInfo spid="_x0000_s2062"/>
    <customShpInfo spid="_x0000_s2073"/>
    <customShpInfo spid="_x0000_s2072"/>
    <customShpInfo spid="_x0000_s2065"/>
    <customShpInfo spid="_x0000_s2066"/>
    <customShpInfo spid="_x0000_s2067"/>
    <customShpInfo spid="_x0000_s2068"/>
  </customShpExts>
  <extobjs>
    <extobj name="ECB019B1-382A-4266-B25C-5B523AA43C14-1">
      <extobjdata type="ECB019B1-382A-4266-B25C-5B523AA43C14" data="ewoJIkZpbGVJZCIgOiAiMTc4ODQ0OTAyMjE3IiwKCSJHcm91cElkIiA6ICI0MTc4Mzk5NjciLAoJIkltYWdlIiA6ICJpVkJPUncwS0dnb0FBQUFOU1VoRVVnQUFBZ1FBQUFJV0NBWUFBQUFvSEpVR0FBQUFDWEJJV1hNQUFBc1RBQUFMRXdFQW1wd1lBQUFnQUVsRVFWUjRuT3pkZVZ4VTVmNEg4TThNdUtCQWdtbUlvbm5SYkhFREZDWGN0MHR1S0M1bGlrdUtaaVdTM0IrbHFKRm1yaWhCYXFRb2lxWWg0b0pLU3BBN0ZSSFhEQTJWUlFKTEJHVlJsZ0htK2YzQm5YTVpoMVh4emdDZjkrdmxxNW16UG1mNGR1WTd6M2tXZ0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34781</Words>
  <Characters>41959</Characters>
  <Lines>337</Lines>
  <Paragraphs>95</Paragraphs>
  <TotalTime>2</TotalTime>
  <ScaleCrop>false</ScaleCrop>
  <LinksUpToDate>false</LinksUpToDate>
  <CharactersWithSpaces>42645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2022-09-01T07:41:00Z</cp:lastPrinted>
  <dcterms:modified xsi:type="dcterms:W3CDTF">2023-03-15T02:34:31Z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7A1B6DF1F5A749A19E8F6B429C7139C7</vt:lpwstr>
  </property>
</Properties>
</file>