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color w:val="auto"/>
          <w:sz w:val="28"/>
          <w:highlight w:val="none"/>
        </w:rPr>
      </w:pPr>
    </w:p>
    <w:p>
      <w:pPr>
        <w:jc w:val="center"/>
        <w:rPr>
          <w:color w:val="auto"/>
          <w:sz w:val="28"/>
          <w:highlight w:val="none"/>
        </w:rPr>
      </w:pPr>
    </w:p>
    <w:p>
      <w:pPr>
        <w:ind w:firstLine="0" w:firstLineChars="0"/>
        <w:jc w:val="center"/>
        <w:rPr>
          <w:rFonts w:hint="eastAsia" w:eastAsia="宋体"/>
          <w:b/>
          <w:color w:val="auto"/>
          <w:sz w:val="44"/>
          <w:szCs w:val="44"/>
          <w:highlight w:val="none"/>
          <w:lang w:eastAsia="zh-CN"/>
        </w:rPr>
      </w:pPr>
      <w:r>
        <w:rPr>
          <w:rFonts w:hint="eastAsia"/>
          <w:b/>
          <w:color w:val="auto"/>
          <w:sz w:val="44"/>
          <w:szCs w:val="44"/>
          <w:highlight w:val="none"/>
          <w:lang w:eastAsia="zh-CN"/>
        </w:rPr>
        <w:t>山东盛迪医药有限公司创新药物研发一期项目</w:t>
      </w:r>
      <w:bookmarkStart w:id="355" w:name="_GoBack"/>
      <w:bookmarkEnd w:id="355"/>
    </w:p>
    <w:p>
      <w:pPr>
        <w:spacing w:line="720" w:lineRule="auto"/>
        <w:ind w:firstLine="0" w:firstLineChars="0"/>
        <w:jc w:val="center"/>
        <w:rPr>
          <w:b/>
          <w:bCs/>
          <w:color w:val="auto"/>
          <w:sz w:val="72"/>
          <w:szCs w:val="72"/>
          <w:highlight w:val="none"/>
        </w:rPr>
      </w:pPr>
      <w:r>
        <w:rPr>
          <w:b/>
          <w:bCs/>
          <w:color w:val="auto"/>
          <w:sz w:val="72"/>
          <w:szCs w:val="72"/>
          <w:highlight w:val="none"/>
        </w:rPr>
        <w:t>竣工环境保护验收</w:t>
      </w:r>
    </w:p>
    <w:p>
      <w:pPr>
        <w:spacing w:line="720" w:lineRule="auto"/>
        <w:ind w:firstLine="0" w:firstLineChars="0"/>
        <w:jc w:val="center"/>
        <w:rPr>
          <w:b/>
          <w:bCs/>
          <w:color w:val="auto"/>
          <w:sz w:val="48"/>
          <w:szCs w:val="48"/>
          <w:highlight w:val="none"/>
        </w:rPr>
      </w:pPr>
      <w:r>
        <w:rPr>
          <w:b/>
          <w:bCs/>
          <w:color w:val="auto"/>
          <w:sz w:val="72"/>
          <w:szCs w:val="72"/>
          <w:highlight w:val="none"/>
        </w:rPr>
        <w:t>监测报告表</w:t>
      </w:r>
    </w:p>
    <w:p>
      <w:pPr>
        <w:ind w:firstLine="883"/>
        <w:jc w:val="center"/>
        <w:rPr>
          <w:b/>
          <w:color w:val="auto"/>
          <w:sz w:val="44"/>
          <w:szCs w:val="44"/>
          <w:highlight w:val="none"/>
        </w:rPr>
      </w:pPr>
    </w:p>
    <w:p>
      <w:pPr>
        <w:ind w:firstLine="883"/>
        <w:jc w:val="center"/>
        <w:rPr>
          <w:b/>
          <w:color w:val="auto"/>
          <w:sz w:val="44"/>
          <w:szCs w:val="44"/>
          <w:highlight w:val="none"/>
        </w:rPr>
      </w:pPr>
    </w:p>
    <w:p>
      <w:pPr>
        <w:ind w:firstLine="883"/>
        <w:jc w:val="center"/>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883"/>
        <w:rPr>
          <w:b/>
          <w:color w:val="auto"/>
          <w:sz w:val="44"/>
          <w:szCs w:val="44"/>
          <w:highlight w:val="none"/>
        </w:rPr>
      </w:pPr>
    </w:p>
    <w:p>
      <w:pPr>
        <w:ind w:firstLine="480"/>
        <w:rPr>
          <w:color w:val="auto"/>
          <w:highlight w:val="none"/>
        </w:rPr>
      </w:pPr>
    </w:p>
    <w:p>
      <w:pPr>
        <w:pStyle w:val="2"/>
        <w:ind w:firstLine="883"/>
        <w:rPr>
          <w:rFonts w:ascii="Times New Roman" w:hAnsi="Times New Roman"/>
          <w:b/>
          <w:color w:val="auto"/>
          <w:sz w:val="44"/>
          <w:szCs w:val="44"/>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rPr>
          <w:b/>
          <w:bCs/>
          <w:color w:val="auto"/>
          <w:sz w:val="32"/>
          <w:szCs w:val="32"/>
          <w:highlight w:val="none"/>
        </w:rPr>
      </w:pPr>
    </w:p>
    <w:p>
      <w:pPr>
        <w:tabs>
          <w:tab w:val="left" w:pos="2100"/>
        </w:tabs>
        <w:ind w:right="-706" w:rightChars="-294" w:firstLine="0" w:firstLineChars="0"/>
        <w:jc w:val="center"/>
        <w:rPr>
          <w:rFonts w:hint="eastAsia" w:eastAsia="宋体"/>
          <w:b/>
          <w:bCs/>
          <w:color w:val="auto"/>
          <w:sz w:val="32"/>
          <w:szCs w:val="32"/>
          <w:highlight w:val="none"/>
          <w:lang w:eastAsia="zh-CN"/>
        </w:rPr>
      </w:pPr>
      <w:r>
        <w:rPr>
          <w:b/>
          <w:bCs/>
          <w:color w:val="auto"/>
          <w:sz w:val="32"/>
          <w:szCs w:val="32"/>
          <w:highlight w:val="none"/>
        </w:rPr>
        <w:t>建设单位：</w:t>
      </w:r>
      <w:r>
        <w:rPr>
          <w:rFonts w:hint="eastAsia"/>
          <w:b/>
          <w:bCs/>
          <w:color w:val="auto"/>
          <w:sz w:val="32"/>
          <w:szCs w:val="32"/>
          <w:highlight w:val="none"/>
          <w:lang w:eastAsia="zh-CN"/>
        </w:rPr>
        <w:t>山东盛迪医药有限公司</w:t>
      </w:r>
    </w:p>
    <w:p>
      <w:pPr>
        <w:ind w:firstLine="643"/>
        <w:jc w:val="center"/>
        <w:rPr>
          <w:rFonts w:hint="eastAsia" w:eastAsia="宋体"/>
          <w:b/>
          <w:bCs/>
          <w:color w:val="auto"/>
          <w:sz w:val="32"/>
          <w:szCs w:val="32"/>
          <w:highlight w:val="none"/>
          <w:lang w:eastAsia="zh-CN"/>
        </w:rPr>
      </w:pPr>
      <w:r>
        <w:rPr>
          <w:rFonts w:hint="eastAsia"/>
          <w:b/>
          <w:bCs/>
          <w:color w:val="auto"/>
          <w:sz w:val="32"/>
          <w:szCs w:val="32"/>
          <w:highlight w:val="none"/>
          <w:lang w:eastAsia="zh-CN"/>
        </w:rPr>
        <w:t>2022年6月</w:t>
      </w:r>
    </w:p>
    <w:p>
      <w:pPr>
        <w:ind w:firstLine="643"/>
        <w:rPr>
          <w:b/>
          <w:bCs/>
          <w:color w:val="auto"/>
          <w:sz w:val="32"/>
          <w:szCs w:val="32"/>
          <w:highlight w:val="none"/>
        </w:rPr>
      </w:pPr>
    </w:p>
    <w:p>
      <w:pPr>
        <w:ind w:firstLine="0" w:firstLineChars="0"/>
        <w:rPr>
          <w:b/>
          <w:bCs/>
          <w:color w:val="auto"/>
          <w:sz w:val="32"/>
          <w:szCs w:val="32"/>
          <w:highlight w:val="none"/>
        </w:rPr>
      </w:pPr>
    </w:p>
    <w:p>
      <w:pPr>
        <w:pStyle w:val="9"/>
        <w:rPr>
          <w:color w:val="auto"/>
          <w:sz w:val="36"/>
          <w:szCs w:val="22"/>
          <w:highlight w:val="none"/>
        </w:rPr>
        <w:sectPr>
          <w:pgSz w:w="11906" w:h="16838"/>
          <w:pgMar w:top="1440" w:right="1800" w:bottom="1440" w:left="1800" w:header="851" w:footer="992" w:gutter="0"/>
          <w:cols w:space="720" w:num="1"/>
          <w:docGrid w:type="lines" w:linePitch="312" w:charSpace="0"/>
        </w:sectPr>
      </w:pPr>
      <w:bookmarkStart w:id="0" w:name="_Toc16879"/>
      <w:bookmarkStart w:id="1" w:name="_Toc21306"/>
      <w:bookmarkStart w:id="2" w:name="_Toc14548"/>
    </w:p>
    <w:p>
      <w:pPr>
        <w:ind w:firstLine="0" w:firstLineChars="0"/>
        <w:jc w:val="center"/>
        <w:rPr>
          <w:b/>
          <w:bCs/>
          <w:color w:val="auto"/>
          <w:sz w:val="36"/>
          <w:szCs w:val="36"/>
          <w:highlight w:val="none"/>
        </w:rPr>
      </w:pPr>
      <w:r>
        <w:rPr>
          <w:b/>
          <w:bCs/>
          <w:color w:val="auto"/>
          <w:sz w:val="36"/>
          <w:szCs w:val="36"/>
          <w:highlight w:val="none"/>
        </w:rPr>
        <w:t>前言</w:t>
      </w:r>
      <w:bookmarkEnd w:id="0"/>
      <w:bookmarkEnd w:id="1"/>
      <w:bookmarkEnd w:id="2"/>
    </w:p>
    <w:p>
      <w:pPr>
        <w:pStyle w:val="33"/>
        <w:rPr>
          <w:rFonts w:hint="default" w:cs="Times New Roman"/>
          <w:szCs w:val="24"/>
          <w:lang w:val="en-US" w:eastAsia="zh-CN"/>
        </w:rPr>
      </w:pPr>
      <w:r>
        <w:rPr>
          <w:rFonts w:hint="default" w:cs="Times New Roman"/>
          <w:szCs w:val="24"/>
          <w:lang w:val="en-US" w:eastAsia="zh-CN"/>
        </w:rPr>
        <w:t>山东盛迪医药有限公司成立于2018年06月13日，注册地位于山东省济南市高新区大正路1777号生物医药园中小企业产业化基地5号楼102，法定代表人为蒋素梅。经营范围包括药品生产；医药技术、生物技术开发</w:t>
      </w:r>
      <w:r>
        <w:rPr>
          <w:rFonts w:hint="eastAsia" w:cs="Times New Roman"/>
          <w:szCs w:val="24"/>
          <w:lang w:val="en-US" w:eastAsia="zh-CN"/>
        </w:rPr>
        <w:t>等</w:t>
      </w:r>
      <w:r>
        <w:rPr>
          <w:rFonts w:hint="default" w:cs="Times New Roman"/>
          <w:szCs w:val="24"/>
          <w:lang w:val="en-US" w:eastAsia="zh-CN"/>
        </w:rPr>
        <w:t>。</w:t>
      </w:r>
    </w:p>
    <w:p>
      <w:pPr>
        <w:pStyle w:val="33"/>
        <w:rPr>
          <w:rFonts w:hint="default" w:ascii="Times New Roman" w:hAnsi="Times New Roman" w:eastAsia="宋体" w:cs="Times New Roman"/>
          <w:sz w:val="24"/>
          <w:szCs w:val="24"/>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eastAsia"/>
          <w:color w:val="auto"/>
          <w:sz w:val="24"/>
          <w:highlight w:val="none"/>
          <w:lang w:val="en-US" w:eastAsia="zh-CN"/>
        </w:rPr>
        <w:t>通过了</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rPr>
          <w:rFonts w:hint="default" w:ascii="Times New Roman" w:hAnsi="Times New Roman" w:cs="Times New Roman"/>
          <w:sz w:val="24"/>
          <w:szCs w:val="24"/>
          <w:lang w:val="en-US" w:eastAsia="zh-CN"/>
        </w:rPr>
      </w:pPr>
      <w:r>
        <w:rPr>
          <w:rFonts w:hint="eastAsia" w:cs="Times New Roman"/>
          <w:sz w:val="24"/>
          <w:szCs w:val="24"/>
          <w:lang w:eastAsia="zh-CN"/>
        </w:rPr>
        <w:t>山东盛迪医药有限公司</w:t>
      </w:r>
      <w:r>
        <w:rPr>
          <w:rFonts w:hint="default" w:cs="Times New Roman"/>
          <w:sz w:val="24"/>
          <w:szCs w:val="24"/>
          <w:lang w:val="en-US" w:eastAsia="zh-CN"/>
        </w:rPr>
        <w:t>2021年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山东共享环境管理咨询有限公司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Cs w:val="24"/>
          <w:lang w:val="en-US" w:eastAsia="zh-CN"/>
        </w:rPr>
        <w:t>山东盛迪医药有限公司</w:t>
      </w:r>
      <w:r>
        <w:rPr>
          <w:rFonts w:hint="eastAsia" w:cs="Times New Roman"/>
          <w:sz w:val="24"/>
          <w:szCs w:val="24"/>
          <w:lang w:eastAsia="zh-CN"/>
        </w:rPr>
        <w:t>创新药物研发一期项目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2021年6月15日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济环报告表［2021］G50号</w:t>
      </w:r>
      <w:r>
        <w:rPr>
          <w:rFonts w:hint="default" w:ascii="Times New Roman" w:hAnsi="Times New Roman" w:cs="Times New Roman"/>
          <w:sz w:val="24"/>
          <w:szCs w:val="24"/>
          <w:lang w:val="en-US" w:eastAsia="zh-CN"/>
        </w:rPr>
        <w:t>）。</w:t>
      </w:r>
    </w:p>
    <w:p>
      <w:pPr>
        <w:pStyle w:val="33"/>
        <w:rPr>
          <w:rFonts w:hint="default" w:ascii="Times New Roman" w:hAnsi="Times New Roman" w:eastAsia="宋体" w:cs="Times New Roman"/>
          <w:sz w:val="24"/>
          <w:szCs w:val="24"/>
          <w:lang w:eastAsia="zh-CN"/>
        </w:rPr>
      </w:pPr>
      <w:r>
        <w:rPr>
          <w:rFonts w:hint="eastAsia" w:cs="Times New Roman"/>
          <w:szCs w:val="24"/>
          <w:lang w:val="en-US" w:eastAsia="zh-CN"/>
        </w:rPr>
        <w:t>山东盛迪医药有限公司</w:t>
      </w:r>
      <w:r>
        <w:rPr>
          <w:rFonts w:hint="eastAsia" w:cs="Times New Roman"/>
          <w:sz w:val="24"/>
          <w:szCs w:val="24"/>
          <w:lang w:eastAsia="zh-CN"/>
        </w:rPr>
        <w:t>创新药物研发一期项目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济南市高新区大正路1777号生物医药园西侧银丰国际城12#楼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2436</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建筑面积</w:t>
      </w:r>
      <w:r>
        <w:rPr>
          <w:rFonts w:hint="eastAsia" w:cs="Times New Roman"/>
          <w:color w:val="auto"/>
          <w:sz w:val="24"/>
          <w:szCs w:val="24"/>
          <w:highlight w:val="none"/>
          <w:lang w:val="en-US" w:eastAsia="zh-CN"/>
        </w:rPr>
        <w:t>8133</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w:t>
      </w:r>
      <w:r>
        <w:rPr>
          <w:rFonts w:hint="eastAsia" w:cs="Times New Roman"/>
          <w:sz w:val="24"/>
          <w:szCs w:val="24"/>
          <w:highlight w:val="none"/>
          <w:lang w:eastAsia="zh-CN"/>
        </w:rPr>
        <w:t>建设内容为实验室、事故水池、办公区及相关配套设施。</w:t>
      </w:r>
      <w:r>
        <w:rPr>
          <w:rFonts w:hint="default" w:cs="Times New Roman"/>
          <w:szCs w:val="24"/>
          <w:lang w:val="en-US" w:eastAsia="zh-CN"/>
        </w:rPr>
        <w:t>总投资</w:t>
      </w:r>
      <w:r>
        <w:rPr>
          <w:rFonts w:hint="eastAsia" w:cs="Times New Roman"/>
          <w:szCs w:val="24"/>
          <w:lang w:val="en-US" w:eastAsia="zh-CN"/>
        </w:rPr>
        <w:t>7100</w:t>
      </w:r>
      <w:r>
        <w:rPr>
          <w:rFonts w:hint="default" w:cs="Times New Roman"/>
          <w:szCs w:val="24"/>
          <w:lang w:val="en-US" w:eastAsia="zh-CN"/>
        </w:rPr>
        <w:t>万元，其中环保投资</w:t>
      </w:r>
      <w:r>
        <w:rPr>
          <w:rFonts w:hint="eastAsia" w:cs="Times New Roman"/>
          <w:szCs w:val="24"/>
          <w:lang w:val="en-US" w:eastAsia="zh-CN"/>
        </w:rPr>
        <w:t>720</w:t>
      </w:r>
      <w:r>
        <w:rPr>
          <w:rFonts w:hint="default" w:cs="Times New Roman"/>
          <w:szCs w:val="24"/>
          <w:lang w:val="en-US" w:eastAsia="zh-CN"/>
        </w:rPr>
        <w:t>万元</w:t>
      </w:r>
      <w:r>
        <w:rPr>
          <w:rFonts w:hint="default" w:cs="Times New Roman"/>
          <w:szCs w:val="24"/>
          <w:lang w:eastAsia="zh-CN"/>
        </w:rPr>
        <w:t>，本项目研发的创新药物主要为治疗多种肿瘤、内分泌、心血管、炎症、中枢神经等创新药，将做成的样品供上海盛迪研究院进行进一步的毒理毒性研究检测，用于制剂研发或者临床试验。</w:t>
      </w:r>
      <w:r>
        <w:rPr>
          <w:rFonts w:hint="eastAsia" w:cs="Times New Roman"/>
          <w:szCs w:val="24"/>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200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ind w:firstLine="480"/>
        <w:rPr>
          <w:color w:val="auto"/>
          <w:highlight w:val="none"/>
        </w:rPr>
      </w:pPr>
      <w:r>
        <w:rPr>
          <w:color w:val="auto"/>
          <w:highlight w:val="none"/>
        </w:rPr>
        <w:t>本项目</w:t>
      </w:r>
      <w:r>
        <w:rPr>
          <w:rFonts w:hint="eastAsia"/>
          <w:color w:val="auto"/>
          <w:kern w:val="0"/>
          <w:highlight w:val="none"/>
          <w:lang w:eastAsia="zh-CN"/>
        </w:rPr>
        <w:t>于2021年6月开工建设，2021年12月建成，2022年1月进行调试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ind w:firstLine="480"/>
        <w:rPr>
          <w:color w:val="auto"/>
          <w:highlight w:val="none"/>
        </w:rPr>
      </w:pPr>
      <w:r>
        <w:rPr>
          <w:color w:val="auto"/>
          <w:kern w:val="21"/>
          <w:highlight w:val="none"/>
        </w:rPr>
        <w:t>本次验收内容为</w:t>
      </w:r>
      <w:r>
        <w:rPr>
          <w:rFonts w:hint="eastAsia"/>
          <w:color w:val="auto"/>
          <w:kern w:val="21"/>
          <w:highlight w:val="none"/>
          <w:lang w:eastAsia="zh-CN"/>
        </w:rPr>
        <w:t>山东盛迪医药有限公司创新药物研发一期项目</w:t>
      </w:r>
      <w:r>
        <w:rPr>
          <w:color w:val="auto"/>
          <w:kern w:val="21"/>
          <w:highlight w:val="none"/>
        </w:rPr>
        <w:t>建成后的全部内容。</w:t>
      </w:r>
    </w:p>
    <w:p>
      <w:pPr>
        <w:ind w:firstLine="480"/>
        <w:rPr>
          <w:rFonts w:hint="eastAsia" w:cs="Times New Roman"/>
          <w:color w:val="000000"/>
          <w:spacing w:val="0"/>
          <w:kern w:val="21"/>
          <w:sz w:val="24"/>
          <w:szCs w:val="24"/>
          <w:lang w:val="en-US" w:eastAsia="zh-CN"/>
        </w:rPr>
      </w:pPr>
      <w:r>
        <w:rPr>
          <w:rFonts w:hint="default" w:ascii="Times New Roman" w:hAnsi="Times New Roman" w:eastAsia="宋体" w:cs="Times New Roman"/>
          <w:color w:val="auto"/>
          <w:spacing w:val="0"/>
          <w:kern w:val="0"/>
          <w:sz w:val="24"/>
          <w:lang w:eastAsia="zh-CN"/>
        </w:rPr>
        <w:t>根据</w:t>
      </w:r>
      <w:r>
        <w:rPr>
          <w:rFonts w:hint="default" w:ascii="Times New Roman" w:hAnsi="Times New Roman" w:eastAsia="宋体" w:cs="Times New Roman"/>
          <w:color w:val="auto"/>
          <w:sz w:val="24"/>
          <w:szCs w:val="24"/>
          <w:lang w:eastAsia="zh-CN"/>
        </w:rPr>
        <w:t>生态环境部</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关于发布</w:t>
      </w:r>
      <w:r>
        <w:rPr>
          <w:rFonts w:hint="default" w:ascii="Times New Roman" w:hAnsi="Times New Roman" w:eastAsia="宋体" w:cs="Times New Roman"/>
          <w:color w:val="auto"/>
          <w:sz w:val="24"/>
          <w:szCs w:val="24"/>
        </w:rPr>
        <w:t>《建设项目竣工环境保护验收技术指南 污染影响类》</w:t>
      </w:r>
      <w:r>
        <w:rPr>
          <w:rFonts w:hint="default" w:ascii="Times New Roman" w:hAnsi="Times New Roman" w:eastAsia="宋体" w:cs="Times New Roman"/>
          <w:color w:val="auto"/>
          <w:sz w:val="24"/>
          <w:szCs w:val="24"/>
          <w:lang w:eastAsia="zh-CN"/>
        </w:rPr>
        <w:t>的公告</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公告</w:t>
      </w:r>
      <w:r>
        <w:rPr>
          <w:rFonts w:hint="default" w:ascii="Times New Roman" w:hAnsi="Times New Roman" w:eastAsia="宋体" w:cs="Times New Roman"/>
          <w:color w:val="auto"/>
          <w:sz w:val="24"/>
          <w:szCs w:val="24"/>
          <w:lang w:val="en-US" w:eastAsia="zh-CN"/>
        </w:rPr>
        <w:t>2018年 第9号</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eastAsia="zh-CN"/>
        </w:rPr>
        <w:t>及</w:t>
      </w:r>
      <w:r>
        <w:rPr>
          <w:rFonts w:hint="default" w:ascii="Times New Roman" w:hAnsi="Times New Roman" w:eastAsia="宋体" w:cs="Times New Roman"/>
          <w:spacing w:val="0"/>
          <w:sz w:val="24"/>
        </w:rPr>
        <w:t>《建设项目竣工环境保护验收暂行办法》（国环规环评</w:t>
      </w:r>
      <w:r>
        <w:rPr>
          <w:rFonts w:hint="default" w:ascii="Times New Roman" w:hAnsi="Times New Roman" w:eastAsia="宋体" w:cs="Times New Roman"/>
          <w:spacing w:val="0"/>
          <w:sz w:val="24"/>
          <w:lang w:val="en-US" w:eastAsia="zh-CN"/>
        </w:rPr>
        <w:t>[</w:t>
      </w:r>
      <w:r>
        <w:rPr>
          <w:rFonts w:hint="default" w:ascii="Times New Roman" w:hAnsi="Times New Roman" w:eastAsia="宋体" w:cs="Times New Roman"/>
          <w:spacing w:val="0"/>
          <w:sz w:val="24"/>
        </w:rPr>
        <w:t>2017</w:t>
      </w:r>
      <w:r>
        <w:rPr>
          <w:rFonts w:hint="default" w:ascii="Times New Roman" w:hAnsi="Times New Roman" w:eastAsia="宋体" w:cs="Times New Roman"/>
          <w:spacing w:val="0"/>
          <w:sz w:val="24"/>
          <w:lang w:val="en-US" w:eastAsia="zh-CN"/>
        </w:rPr>
        <w:t xml:space="preserve">] </w:t>
      </w:r>
      <w:r>
        <w:rPr>
          <w:rFonts w:hint="default" w:ascii="Times New Roman" w:hAnsi="Times New Roman" w:eastAsia="宋体" w:cs="Times New Roman"/>
          <w:spacing w:val="0"/>
          <w:sz w:val="24"/>
        </w:rPr>
        <w:t>4号）</w:t>
      </w:r>
      <w:r>
        <w:rPr>
          <w:rFonts w:hint="default" w:ascii="Times New Roman" w:hAnsi="Times New Roman" w:eastAsia="宋体" w:cs="Times New Roman"/>
          <w:spacing w:val="0"/>
          <w:kern w:val="0"/>
          <w:sz w:val="24"/>
        </w:rPr>
        <w:t>要求，需对</w:t>
      </w:r>
      <w:r>
        <w:rPr>
          <w:rFonts w:hint="eastAsia" w:cs="Times New Roman"/>
          <w:sz w:val="24"/>
          <w:szCs w:val="24"/>
          <w:lang w:eastAsia="zh-CN"/>
        </w:rPr>
        <w:t>山东盛迪医药有限公司创新药物研发一期项目</w:t>
      </w:r>
      <w:r>
        <w:rPr>
          <w:rFonts w:hint="default" w:ascii="Times New Roman" w:hAnsi="Times New Roman" w:eastAsia="宋体" w:cs="Times New Roman"/>
          <w:spacing w:val="0"/>
          <w:kern w:val="0"/>
          <w:sz w:val="24"/>
        </w:rPr>
        <w:t>进行竣工环境保护验收。</w:t>
      </w:r>
      <w:r>
        <w:rPr>
          <w:rFonts w:hint="eastAsia" w:cs="Times New Roman"/>
          <w:spacing w:val="0"/>
          <w:kern w:val="0"/>
          <w:sz w:val="24"/>
          <w:lang w:eastAsia="zh-CN"/>
        </w:rPr>
        <w:t>因企业不具备检测能力，</w:t>
      </w:r>
      <w:r>
        <w:rPr>
          <w:rFonts w:hint="eastAsia" w:cs="Times New Roman"/>
          <w:sz w:val="24"/>
          <w:szCs w:val="24"/>
          <w:lang w:eastAsia="zh-CN"/>
        </w:rPr>
        <w:t>山东盛迪医药有限公司</w:t>
      </w:r>
      <w:r>
        <w:rPr>
          <w:rFonts w:hint="eastAsia" w:cs="Times New Roman"/>
          <w:spacing w:val="0"/>
          <w:kern w:val="0"/>
          <w:sz w:val="24"/>
          <w:lang w:eastAsia="zh-CN"/>
        </w:rPr>
        <w:t>委托</w:t>
      </w:r>
      <w:r>
        <w:rPr>
          <w:rFonts w:hint="default" w:cs="Times New Roman"/>
          <w:color w:val="000000"/>
          <w:spacing w:val="0"/>
          <w:kern w:val="0"/>
          <w:sz w:val="24"/>
          <w:lang w:eastAsia="zh-CN"/>
        </w:rPr>
        <w:t>山东华晟环境检测有限公司</w:t>
      </w:r>
      <w:r>
        <w:rPr>
          <w:rFonts w:hint="eastAsia" w:cs="Times New Roman"/>
          <w:color w:val="000000"/>
          <w:spacing w:val="0"/>
          <w:kern w:val="0"/>
          <w:sz w:val="24"/>
          <w:lang w:eastAsia="zh-CN"/>
        </w:rPr>
        <w:t>于</w:t>
      </w:r>
      <w:r>
        <w:rPr>
          <w:rFonts w:hint="eastAsia" w:cs="Times New Roman"/>
          <w:color w:val="000000"/>
          <w:spacing w:val="0"/>
          <w:kern w:val="0"/>
          <w:sz w:val="24"/>
          <w:highlight w:val="none"/>
          <w:lang w:eastAsia="zh-CN"/>
        </w:rPr>
        <w:t>2022年1月10日~2022年1月11日、2022年3月30日~2022年4月1日，共计</w:t>
      </w:r>
      <w:r>
        <w:rPr>
          <w:rFonts w:hint="eastAsia" w:cs="Times New Roman"/>
          <w:color w:val="000000"/>
          <w:spacing w:val="0"/>
          <w:kern w:val="0"/>
          <w:sz w:val="24"/>
          <w:highlight w:val="none"/>
          <w:lang w:val="en-US" w:eastAsia="zh-CN"/>
        </w:rPr>
        <w:t>5</w:t>
      </w:r>
      <w:r>
        <w:rPr>
          <w:rFonts w:hint="default" w:ascii="Times New Roman" w:hAnsi="Times New Roman" w:eastAsia="宋体" w:cs="Times New Roman"/>
          <w:color w:val="000000"/>
          <w:spacing w:val="0"/>
          <w:kern w:val="0"/>
          <w:sz w:val="24"/>
          <w:highlight w:val="none"/>
        </w:rPr>
        <w:t>天</w:t>
      </w:r>
      <w:r>
        <w:rPr>
          <w:rFonts w:hint="default" w:ascii="Times New Roman" w:hAnsi="Times New Roman" w:eastAsia="宋体" w:cs="Times New Roman"/>
          <w:color w:val="000000"/>
          <w:spacing w:val="0"/>
          <w:kern w:val="0"/>
          <w:sz w:val="24"/>
        </w:rPr>
        <w:t>对</w:t>
      </w:r>
      <w:r>
        <w:rPr>
          <w:rFonts w:hint="default" w:ascii="Times New Roman" w:hAnsi="Times New Roman" w:eastAsia="宋体" w:cs="Times New Roman"/>
          <w:color w:val="000000"/>
          <w:spacing w:val="0"/>
          <w:kern w:val="0"/>
          <w:sz w:val="24"/>
          <w:lang w:eastAsia="zh-CN"/>
        </w:rPr>
        <w:t>本项目</w:t>
      </w:r>
      <w:r>
        <w:rPr>
          <w:rFonts w:hint="eastAsia" w:ascii="Times New Roman" w:hAnsi="Times New Roman" w:eastAsia="宋体" w:cs="Times New Roman"/>
          <w:color w:val="000000"/>
          <w:spacing w:val="0"/>
          <w:kern w:val="0"/>
          <w:sz w:val="24"/>
          <w:lang w:eastAsia="zh-CN"/>
        </w:rPr>
        <w:t>废气、</w:t>
      </w:r>
      <w:r>
        <w:rPr>
          <w:rFonts w:hint="eastAsia" w:ascii="Times New Roman" w:hAnsi="Times New Roman" w:cs="Times New Roman"/>
          <w:color w:val="000000"/>
          <w:spacing w:val="0"/>
          <w:kern w:val="0"/>
          <w:sz w:val="24"/>
          <w:lang w:eastAsia="zh-CN"/>
        </w:rPr>
        <w:t>废水、</w:t>
      </w:r>
      <w:r>
        <w:rPr>
          <w:rFonts w:hint="eastAsia" w:ascii="Times New Roman" w:hAnsi="Times New Roman" w:eastAsia="宋体" w:cs="Times New Roman"/>
          <w:color w:val="000000"/>
          <w:spacing w:val="0"/>
          <w:kern w:val="0"/>
          <w:sz w:val="24"/>
          <w:lang w:eastAsia="zh-CN"/>
        </w:rPr>
        <w:t>噪声</w:t>
      </w:r>
      <w:r>
        <w:rPr>
          <w:rFonts w:hint="default" w:ascii="Times New Roman" w:hAnsi="Times New Roman" w:eastAsia="宋体" w:cs="Times New Roman"/>
          <w:color w:val="000000"/>
          <w:spacing w:val="0"/>
          <w:kern w:val="0"/>
          <w:sz w:val="24"/>
        </w:rPr>
        <w:t>进行了</w:t>
      </w:r>
      <w:r>
        <w:rPr>
          <w:rFonts w:hint="eastAsia" w:ascii="Times New Roman" w:hAnsi="Times New Roman" w:eastAsia="宋体" w:cs="Times New Roman"/>
          <w:color w:val="000000"/>
          <w:spacing w:val="0"/>
          <w:kern w:val="0"/>
          <w:sz w:val="24"/>
          <w:lang w:eastAsia="zh-CN"/>
        </w:rPr>
        <w:t>竣工</w:t>
      </w:r>
      <w:r>
        <w:rPr>
          <w:rFonts w:hint="default" w:ascii="Times New Roman" w:hAnsi="Times New Roman" w:eastAsia="宋体" w:cs="Times New Roman"/>
          <w:color w:val="000000"/>
          <w:spacing w:val="0"/>
          <w:kern w:val="0"/>
          <w:sz w:val="24"/>
        </w:rPr>
        <w:t>验收监测</w:t>
      </w:r>
      <w:r>
        <w:rPr>
          <w:rFonts w:hint="eastAsia" w:ascii="Times New Roman" w:hAnsi="Times New Roman" w:eastAsia="宋体" w:cs="Times New Roman"/>
          <w:color w:val="000000"/>
          <w:spacing w:val="0"/>
          <w:kern w:val="0"/>
          <w:sz w:val="24"/>
          <w:lang w:eastAsia="zh-CN"/>
        </w:rPr>
        <w:t>并出具检测报告</w:t>
      </w:r>
      <w:r>
        <w:rPr>
          <w:rFonts w:hint="default" w:cs="Times New Roman"/>
          <w:bCs/>
          <w:caps/>
          <w:color w:val="000000"/>
          <w:kern w:val="0"/>
          <w:sz w:val="24"/>
          <w:szCs w:val="24"/>
          <w:highlight w:val="none"/>
          <w:lang w:val="en-US" w:eastAsia="zh-CN" w:bidi="ar-SA"/>
        </w:rPr>
        <w:t>。</w:t>
      </w:r>
      <w:r>
        <w:rPr>
          <w:rFonts w:hint="eastAsia" w:cs="Times New Roman"/>
          <w:bCs/>
          <w:caps/>
          <w:color w:val="000000"/>
          <w:kern w:val="0"/>
          <w:sz w:val="24"/>
          <w:szCs w:val="24"/>
          <w:highlight w:val="none"/>
          <w:lang w:val="en-US" w:eastAsia="zh-CN" w:bidi="ar-SA"/>
        </w:rPr>
        <w:t>根据项目情况及检测报告，</w:t>
      </w:r>
      <w:r>
        <w:rPr>
          <w:rFonts w:hint="eastAsia" w:cs="Times New Roman"/>
          <w:sz w:val="24"/>
          <w:szCs w:val="24"/>
          <w:lang w:eastAsia="zh-CN"/>
        </w:rPr>
        <w:t>山东盛迪医药有限公司</w:t>
      </w:r>
      <w:r>
        <w:rPr>
          <w:rFonts w:hint="eastAsia" w:cs="Times New Roman"/>
          <w:color w:val="000000"/>
          <w:spacing w:val="0"/>
          <w:kern w:val="21"/>
          <w:sz w:val="24"/>
          <w:szCs w:val="24"/>
          <w:lang w:eastAsia="zh-CN"/>
        </w:rPr>
        <w:t>于</w:t>
      </w:r>
      <w:r>
        <w:rPr>
          <w:rFonts w:hint="eastAsia" w:cs="Times New Roman"/>
          <w:color w:val="000000"/>
          <w:spacing w:val="0"/>
          <w:kern w:val="21"/>
          <w:sz w:val="24"/>
          <w:szCs w:val="24"/>
          <w:lang w:val="en-US" w:eastAsia="zh-CN"/>
        </w:rPr>
        <w:t>2022年6月编制完成了《</w:t>
      </w:r>
      <w:r>
        <w:rPr>
          <w:rFonts w:hint="default" w:cs="Times New Roman"/>
          <w:szCs w:val="24"/>
          <w:lang w:val="en-US" w:eastAsia="zh-CN"/>
        </w:rPr>
        <w:t>山东盛迪医药有限公司</w:t>
      </w:r>
      <w:r>
        <w:rPr>
          <w:rFonts w:hint="eastAsia" w:cs="Times New Roman"/>
          <w:color w:val="000000"/>
          <w:spacing w:val="0"/>
          <w:kern w:val="21"/>
          <w:sz w:val="24"/>
          <w:szCs w:val="24"/>
          <w:lang w:eastAsia="zh-CN"/>
        </w:rPr>
        <w:t>创新药物研发一期项目</w:t>
      </w:r>
      <w:r>
        <w:rPr>
          <w:rFonts w:hint="eastAsia" w:cs="Times New Roman"/>
          <w:sz w:val="24"/>
          <w:szCs w:val="24"/>
          <w:lang w:eastAsia="zh-CN"/>
        </w:rPr>
        <w:t>竣工环境保护验收监测报告表</w:t>
      </w:r>
      <w:r>
        <w:rPr>
          <w:rFonts w:hint="eastAsia" w:cs="Times New Roman"/>
          <w:color w:val="000000"/>
          <w:spacing w:val="0"/>
          <w:kern w:val="21"/>
          <w:sz w:val="24"/>
          <w:szCs w:val="24"/>
          <w:lang w:val="en-US" w:eastAsia="zh-CN"/>
        </w:rPr>
        <w:t>》。</w:t>
      </w:r>
    </w:p>
    <w:p>
      <w:pPr>
        <w:ind w:firstLine="480"/>
        <w:rPr>
          <w:rFonts w:hint="eastAsia" w:cs="Times New Roman"/>
          <w:color w:val="000000"/>
          <w:spacing w:val="0"/>
          <w:kern w:val="21"/>
          <w:sz w:val="24"/>
          <w:szCs w:val="24"/>
          <w:lang w:val="en-US" w:eastAsia="zh-CN"/>
        </w:rPr>
      </w:pPr>
      <w:r>
        <w:rPr>
          <w:rFonts w:hint="eastAsia" w:ascii="Times New Roman" w:hAnsi="Times New Roman" w:eastAsia="宋体" w:cs="Times New Roman"/>
          <w:sz w:val="24"/>
          <w:szCs w:val="24"/>
          <w:lang w:val="en-US" w:eastAsia="zh-CN"/>
        </w:rPr>
        <w:t>2022年6月25日，山东盛迪医药有限公司在济南市高新区组织了项目竣工环境保护验收会。验收组由建设单位/验收监测报告编制单位山东盛迪医药有限公司、检测单位山东华晟环境检测有限公司等单位的代表和专业技术专家组成，对山东盛迪医药有限公司创新药物研发一期项目开展环保验收工作，验收工作组对现场进行了检查，听取了竣工环保验收监测报告编制单位的工作成果汇报，并进行了技术质询及评议后，验收组同意通过验收，验收合格。</w:t>
      </w:r>
    </w:p>
    <w:p>
      <w:pPr>
        <w:ind w:firstLine="480"/>
        <w:rPr>
          <w:color w:val="auto"/>
          <w:kern w:val="21"/>
          <w:highlight w:val="none"/>
        </w:rPr>
      </w:pPr>
    </w:p>
    <w:p>
      <w:pPr>
        <w:pStyle w:val="2"/>
        <w:ind w:firstLine="560"/>
        <w:rPr>
          <w:rFonts w:ascii="Times New Roman" w:hAnsi="Times New Roman"/>
          <w:color w:val="auto"/>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pPr>
        <w:ind w:firstLine="0" w:firstLineChars="0"/>
        <w:jc w:val="center"/>
        <w:rPr>
          <w:b/>
          <w:bCs/>
          <w:color w:val="auto"/>
          <w:sz w:val="36"/>
          <w:szCs w:val="36"/>
          <w:highlight w:val="none"/>
        </w:rPr>
      </w:pPr>
      <w:bookmarkStart w:id="3" w:name="_Toc4792"/>
      <w:r>
        <w:rPr>
          <w:b/>
          <w:bCs/>
          <w:color w:val="auto"/>
          <w:sz w:val="36"/>
          <w:szCs w:val="36"/>
          <w:highlight w:val="none"/>
        </w:rPr>
        <w:t>目</w:t>
      </w:r>
      <w:r>
        <w:rPr>
          <w:rFonts w:hint="eastAsia"/>
          <w:b/>
          <w:bCs/>
          <w:color w:val="auto"/>
          <w:sz w:val="36"/>
          <w:szCs w:val="36"/>
          <w:highlight w:val="none"/>
        </w:rPr>
        <w:t xml:space="preserve"> </w:t>
      </w:r>
      <w:r>
        <w:rPr>
          <w:b/>
          <w:bCs/>
          <w:color w:val="auto"/>
          <w:sz w:val="36"/>
          <w:szCs w:val="36"/>
          <w:highlight w:val="none"/>
        </w:rPr>
        <w:t>录</w:t>
      </w:r>
      <w:bookmarkEnd w:id="3"/>
    </w:p>
    <w:p>
      <w:pPr>
        <w:pStyle w:val="33"/>
        <w:ind w:firstLine="0" w:firstLineChars="0"/>
        <w:jc w:val="center"/>
        <w:rPr>
          <w:rFonts w:cs="Times New Roman"/>
          <w:b/>
          <w:bCs/>
          <w:color w:val="auto"/>
          <w:sz w:val="36"/>
          <w:szCs w:val="36"/>
          <w:highlight w:val="none"/>
        </w:rPr>
      </w:pPr>
    </w:p>
    <w:p>
      <w:pPr>
        <w:pStyle w:val="25"/>
        <w:tabs>
          <w:tab w:val="right" w:leader="dot" w:pos="8924"/>
          <w:tab w:val="clear" w:pos="8836"/>
        </w:tabs>
        <w:rPr>
          <w:sz w:val="28"/>
          <w:szCs w:val="28"/>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TOC \o "1-3" \h \u </w:instrText>
      </w:r>
      <w:r>
        <w:rPr>
          <w:rFonts w:ascii="Times New Roman" w:hAnsi="Times New Roman"/>
          <w:color w:val="auto"/>
          <w:sz w:val="28"/>
          <w:szCs w:val="28"/>
          <w:highlight w:val="none"/>
        </w:rPr>
        <w:fldChar w:fldCharType="separate"/>
      </w:r>
      <w:r>
        <w:rPr>
          <w:rFonts w:cs="Times New Roman"/>
          <w:color w:val="auto"/>
          <w:sz w:val="28"/>
          <w:szCs w:val="28"/>
          <w:highlight w:val="none"/>
        </w:rPr>
        <w:fldChar w:fldCharType="begin"/>
      </w:r>
      <w:r>
        <w:rPr>
          <w:rFonts w:cs="Times New Roman"/>
          <w:sz w:val="28"/>
          <w:szCs w:val="28"/>
          <w:highlight w:val="none"/>
        </w:rPr>
        <w:instrText xml:space="preserve"> HYPERLINK \l _Toc25044 </w:instrText>
      </w:r>
      <w:r>
        <w:rPr>
          <w:rFonts w:cs="Times New Roman"/>
          <w:sz w:val="28"/>
          <w:szCs w:val="28"/>
          <w:highlight w:val="none"/>
        </w:rPr>
        <w:fldChar w:fldCharType="separate"/>
      </w:r>
      <w:r>
        <w:rPr>
          <w:bCs/>
          <w:sz w:val="28"/>
          <w:szCs w:val="28"/>
          <w:highlight w:val="none"/>
        </w:rPr>
        <w:t>表1  基本情况</w:t>
      </w:r>
      <w:r>
        <w:rPr>
          <w:sz w:val="28"/>
          <w:szCs w:val="28"/>
        </w:rPr>
        <w:tab/>
      </w:r>
      <w:r>
        <w:rPr>
          <w:sz w:val="28"/>
          <w:szCs w:val="28"/>
        </w:rPr>
        <w:fldChar w:fldCharType="begin"/>
      </w:r>
      <w:r>
        <w:rPr>
          <w:sz w:val="28"/>
          <w:szCs w:val="28"/>
        </w:rPr>
        <w:instrText xml:space="preserve"> PAGEREF _Toc25044 \h </w:instrText>
      </w:r>
      <w:r>
        <w:rPr>
          <w:sz w:val="28"/>
          <w:szCs w:val="28"/>
        </w:rPr>
        <w:fldChar w:fldCharType="separate"/>
      </w:r>
      <w:r>
        <w:rPr>
          <w:sz w:val="28"/>
          <w:szCs w:val="28"/>
        </w:rPr>
        <w:t>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_Toc25508 </w:instrText>
      </w:r>
      <w:r>
        <w:rPr>
          <w:rFonts w:cs="Times New Roman"/>
          <w:sz w:val="28"/>
          <w:szCs w:val="28"/>
          <w:highlight w:val="none"/>
        </w:rPr>
        <w:fldChar w:fldCharType="separate"/>
      </w:r>
      <w:r>
        <w:rPr>
          <w:bCs/>
          <w:sz w:val="28"/>
          <w:szCs w:val="28"/>
          <w:highlight w:val="none"/>
        </w:rPr>
        <w:t>表2  建设项目概况及工艺流程</w:t>
      </w:r>
      <w:r>
        <w:rPr>
          <w:sz w:val="28"/>
          <w:szCs w:val="28"/>
        </w:rPr>
        <w:tab/>
      </w:r>
      <w:r>
        <w:rPr>
          <w:sz w:val="28"/>
          <w:szCs w:val="28"/>
        </w:rPr>
        <w:fldChar w:fldCharType="begin"/>
      </w:r>
      <w:r>
        <w:rPr>
          <w:sz w:val="28"/>
          <w:szCs w:val="28"/>
        </w:rPr>
        <w:instrText xml:space="preserve"> PAGEREF _Toc25508 \h </w:instrText>
      </w:r>
      <w:r>
        <w:rPr>
          <w:sz w:val="28"/>
          <w:szCs w:val="28"/>
        </w:rPr>
        <w:fldChar w:fldCharType="separate"/>
      </w:r>
      <w:r>
        <w:rPr>
          <w:sz w:val="28"/>
          <w:szCs w:val="28"/>
        </w:rPr>
        <w:t>5</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_Toc5242 </w:instrText>
      </w:r>
      <w:r>
        <w:rPr>
          <w:rFonts w:cs="Times New Roman"/>
          <w:sz w:val="28"/>
          <w:szCs w:val="28"/>
          <w:highlight w:val="none"/>
        </w:rPr>
        <w:fldChar w:fldCharType="separate"/>
      </w:r>
      <w:r>
        <w:rPr>
          <w:bCs/>
          <w:sz w:val="28"/>
          <w:szCs w:val="28"/>
          <w:highlight w:val="none"/>
        </w:rPr>
        <w:t>表3  主要污染源、污染物处理和排放情况</w:t>
      </w:r>
      <w:r>
        <w:rPr>
          <w:sz w:val="28"/>
          <w:szCs w:val="28"/>
        </w:rPr>
        <w:tab/>
      </w:r>
      <w:r>
        <w:rPr>
          <w:sz w:val="28"/>
          <w:szCs w:val="28"/>
        </w:rPr>
        <w:fldChar w:fldCharType="begin"/>
      </w:r>
      <w:r>
        <w:rPr>
          <w:sz w:val="28"/>
          <w:szCs w:val="28"/>
        </w:rPr>
        <w:instrText xml:space="preserve"> PAGEREF _Toc5242 \h </w:instrText>
      </w:r>
      <w:r>
        <w:rPr>
          <w:sz w:val="28"/>
          <w:szCs w:val="28"/>
        </w:rPr>
        <w:fldChar w:fldCharType="separate"/>
      </w:r>
      <w:r>
        <w:rPr>
          <w:sz w:val="28"/>
          <w:szCs w:val="28"/>
        </w:rPr>
        <w:t>27</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_Toc23130 </w:instrText>
      </w:r>
      <w:r>
        <w:rPr>
          <w:rFonts w:cs="Times New Roman"/>
          <w:sz w:val="28"/>
          <w:szCs w:val="28"/>
          <w:highlight w:val="none"/>
        </w:rPr>
        <w:fldChar w:fldCharType="separate"/>
      </w:r>
      <w:r>
        <w:rPr>
          <w:bCs/>
          <w:sz w:val="28"/>
          <w:szCs w:val="28"/>
          <w:highlight w:val="none"/>
        </w:rPr>
        <w:t>表4  环评主要结论、审批部门审批决定及批复落实情况</w:t>
      </w:r>
      <w:r>
        <w:rPr>
          <w:sz w:val="28"/>
          <w:szCs w:val="28"/>
        </w:rPr>
        <w:tab/>
      </w:r>
      <w:r>
        <w:rPr>
          <w:sz w:val="28"/>
          <w:szCs w:val="28"/>
        </w:rPr>
        <w:fldChar w:fldCharType="begin"/>
      </w:r>
      <w:r>
        <w:rPr>
          <w:sz w:val="28"/>
          <w:szCs w:val="28"/>
        </w:rPr>
        <w:instrText xml:space="preserve"> PAGEREF _Toc23130 \h </w:instrText>
      </w:r>
      <w:r>
        <w:rPr>
          <w:sz w:val="28"/>
          <w:szCs w:val="28"/>
        </w:rPr>
        <w:fldChar w:fldCharType="separate"/>
      </w:r>
      <w:r>
        <w:rPr>
          <w:sz w:val="28"/>
          <w:szCs w:val="28"/>
        </w:rPr>
        <w:t>31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_Toc19975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5</w:t>
      </w:r>
      <w:r>
        <w:rPr>
          <w:bCs/>
          <w:sz w:val="28"/>
          <w:szCs w:val="28"/>
          <w:highlight w:val="none"/>
        </w:rPr>
        <w:t xml:space="preserve">  验收监测内容</w:t>
      </w:r>
      <w:r>
        <w:rPr>
          <w:sz w:val="28"/>
          <w:szCs w:val="28"/>
        </w:rPr>
        <w:tab/>
      </w:r>
      <w:r>
        <w:rPr>
          <w:sz w:val="28"/>
          <w:szCs w:val="28"/>
        </w:rPr>
        <w:fldChar w:fldCharType="begin"/>
      </w:r>
      <w:r>
        <w:rPr>
          <w:sz w:val="28"/>
          <w:szCs w:val="28"/>
        </w:rPr>
        <w:instrText xml:space="preserve"> PAGEREF _Toc19975 \h </w:instrText>
      </w:r>
      <w:r>
        <w:rPr>
          <w:sz w:val="28"/>
          <w:szCs w:val="28"/>
        </w:rPr>
        <w:fldChar w:fldCharType="separate"/>
      </w:r>
      <w:r>
        <w:rPr>
          <w:sz w:val="28"/>
          <w:szCs w:val="28"/>
        </w:rPr>
        <w:t>39</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_Toc30664 </w:instrText>
      </w:r>
      <w:r>
        <w:rPr>
          <w:rFonts w:cs="Times New Roman"/>
          <w:sz w:val="28"/>
          <w:szCs w:val="28"/>
          <w:highlight w:val="none"/>
        </w:rPr>
        <w:fldChar w:fldCharType="separate"/>
      </w:r>
      <w:r>
        <w:rPr>
          <w:bCs/>
          <w:sz w:val="28"/>
          <w:szCs w:val="28"/>
          <w:highlight w:val="none"/>
        </w:rPr>
        <w:t>表</w:t>
      </w:r>
      <w:r>
        <w:rPr>
          <w:rFonts w:hint="eastAsia"/>
          <w:bCs/>
          <w:sz w:val="28"/>
          <w:szCs w:val="28"/>
          <w:highlight w:val="none"/>
          <w:lang w:val="en-US" w:eastAsia="zh-CN"/>
        </w:rPr>
        <w:t>6</w:t>
      </w:r>
      <w:r>
        <w:rPr>
          <w:bCs/>
          <w:sz w:val="28"/>
          <w:szCs w:val="28"/>
          <w:highlight w:val="none"/>
        </w:rPr>
        <w:t xml:space="preserve">  验收监测质量保证及质量控制</w:t>
      </w:r>
      <w:r>
        <w:rPr>
          <w:sz w:val="28"/>
          <w:szCs w:val="28"/>
        </w:rPr>
        <w:tab/>
      </w:r>
      <w:r>
        <w:rPr>
          <w:sz w:val="28"/>
          <w:szCs w:val="28"/>
        </w:rPr>
        <w:fldChar w:fldCharType="begin"/>
      </w:r>
      <w:r>
        <w:rPr>
          <w:sz w:val="28"/>
          <w:szCs w:val="28"/>
        </w:rPr>
        <w:instrText xml:space="preserve"> PAGEREF _Toc30664 \h </w:instrText>
      </w:r>
      <w:r>
        <w:rPr>
          <w:sz w:val="28"/>
          <w:szCs w:val="28"/>
        </w:rPr>
        <w:fldChar w:fldCharType="separate"/>
      </w:r>
      <w:r>
        <w:rPr>
          <w:sz w:val="28"/>
          <w:szCs w:val="28"/>
        </w:rPr>
        <w:t>43</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_Toc11804 </w:instrText>
      </w:r>
      <w:r>
        <w:rPr>
          <w:rFonts w:cs="Times New Roman"/>
          <w:sz w:val="28"/>
          <w:szCs w:val="28"/>
          <w:highlight w:val="none"/>
        </w:rPr>
        <w:fldChar w:fldCharType="separate"/>
      </w:r>
      <w:r>
        <w:rPr>
          <w:bCs/>
          <w:sz w:val="28"/>
          <w:szCs w:val="28"/>
          <w:highlight w:val="none"/>
        </w:rPr>
        <w:t>表7  验收监测期间工况记录及验收监测结果</w:t>
      </w:r>
      <w:r>
        <w:rPr>
          <w:sz w:val="28"/>
          <w:szCs w:val="28"/>
        </w:rPr>
        <w:tab/>
      </w:r>
      <w:r>
        <w:rPr>
          <w:sz w:val="28"/>
          <w:szCs w:val="28"/>
        </w:rPr>
        <w:fldChar w:fldCharType="begin"/>
      </w:r>
      <w:r>
        <w:rPr>
          <w:sz w:val="28"/>
          <w:szCs w:val="28"/>
        </w:rPr>
        <w:instrText xml:space="preserve"> PAGEREF _Toc11804 \h </w:instrText>
      </w:r>
      <w:r>
        <w:rPr>
          <w:sz w:val="28"/>
          <w:szCs w:val="28"/>
        </w:rPr>
        <w:fldChar w:fldCharType="separate"/>
      </w:r>
      <w:r>
        <w:rPr>
          <w:sz w:val="28"/>
          <w:szCs w:val="28"/>
        </w:rPr>
        <w:t>45</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_Toc27270 </w:instrText>
      </w:r>
      <w:r>
        <w:rPr>
          <w:rFonts w:cs="Times New Roman"/>
          <w:sz w:val="28"/>
          <w:szCs w:val="28"/>
          <w:highlight w:val="none"/>
        </w:rPr>
        <w:fldChar w:fldCharType="separate"/>
      </w:r>
      <w:r>
        <w:rPr>
          <w:bCs/>
          <w:sz w:val="28"/>
          <w:szCs w:val="28"/>
          <w:highlight w:val="none"/>
        </w:rPr>
        <w:t>表8  环境管理检查情况</w:t>
      </w:r>
      <w:r>
        <w:rPr>
          <w:sz w:val="28"/>
          <w:szCs w:val="28"/>
        </w:rPr>
        <w:tab/>
      </w:r>
      <w:r>
        <w:rPr>
          <w:sz w:val="28"/>
          <w:szCs w:val="28"/>
        </w:rPr>
        <w:fldChar w:fldCharType="begin"/>
      </w:r>
      <w:r>
        <w:rPr>
          <w:sz w:val="28"/>
          <w:szCs w:val="28"/>
        </w:rPr>
        <w:instrText xml:space="preserve"> PAGEREF _Toc27270 \h </w:instrText>
      </w:r>
      <w:r>
        <w:rPr>
          <w:sz w:val="28"/>
          <w:szCs w:val="28"/>
        </w:rPr>
        <w:fldChar w:fldCharType="separate"/>
      </w:r>
      <w:r>
        <w:rPr>
          <w:sz w:val="28"/>
          <w:szCs w:val="28"/>
        </w:rPr>
        <w:t>61</w:t>
      </w:r>
      <w:r>
        <w:rPr>
          <w:sz w:val="28"/>
          <w:szCs w:val="28"/>
        </w:rPr>
        <w:fldChar w:fldCharType="end"/>
      </w:r>
      <w:r>
        <w:rPr>
          <w:rFonts w:cs="Times New Roman"/>
          <w:color w:val="auto"/>
          <w:sz w:val="28"/>
          <w:szCs w:val="28"/>
          <w:highlight w:val="none"/>
        </w:rPr>
        <w:fldChar w:fldCharType="end"/>
      </w:r>
    </w:p>
    <w:p>
      <w:pPr>
        <w:pStyle w:val="25"/>
        <w:tabs>
          <w:tab w:val="right" w:leader="dot" w:pos="8924"/>
          <w:tab w:val="clear" w:pos="8836"/>
        </w:tabs>
        <w:rPr>
          <w:sz w:val="28"/>
          <w:szCs w:val="28"/>
        </w:rPr>
      </w:pPr>
      <w:r>
        <w:rPr>
          <w:rFonts w:cs="Times New Roman"/>
          <w:color w:val="auto"/>
          <w:sz w:val="28"/>
          <w:szCs w:val="28"/>
          <w:highlight w:val="none"/>
        </w:rPr>
        <w:fldChar w:fldCharType="begin"/>
      </w:r>
      <w:r>
        <w:rPr>
          <w:rFonts w:cs="Times New Roman"/>
          <w:sz w:val="28"/>
          <w:szCs w:val="28"/>
          <w:highlight w:val="none"/>
        </w:rPr>
        <w:instrText xml:space="preserve"> HYPERLINK \l _Toc26760 </w:instrText>
      </w:r>
      <w:r>
        <w:rPr>
          <w:rFonts w:cs="Times New Roman"/>
          <w:sz w:val="28"/>
          <w:szCs w:val="28"/>
          <w:highlight w:val="none"/>
        </w:rPr>
        <w:fldChar w:fldCharType="separate"/>
      </w:r>
      <w:r>
        <w:rPr>
          <w:bCs/>
          <w:sz w:val="28"/>
          <w:szCs w:val="28"/>
          <w:highlight w:val="none"/>
        </w:rPr>
        <w:t>表9  验收监测结论及建议</w:t>
      </w:r>
      <w:r>
        <w:rPr>
          <w:sz w:val="28"/>
          <w:szCs w:val="28"/>
        </w:rPr>
        <w:tab/>
      </w:r>
      <w:r>
        <w:rPr>
          <w:sz w:val="28"/>
          <w:szCs w:val="28"/>
        </w:rPr>
        <w:fldChar w:fldCharType="begin"/>
      </w:r>
      <w:r>
        <w:rPr>
          <w:sz w:val="28"/>
          <w:szCs w:val="28"/>
        </w:rPr>
        <w:instrText xml:space="preserve"> PAGEREF _Toc26760 \h </w:instrText>
      </w:r>
      <w:r>
        <w:rPr>
          <w:sz w:val="28"/>
          <w:szCs w:val="28"/>
        </w:rPr>
        <w:fldChar w:fldCharType="separate"/>
      </w:r>
      <w:r>
        <w:rPr>
          <w:sz w:val="28"/>
          <w:szCs w:val="28"/>
        </w:rPr>
        <w:t>66</w:t>
      </w:r>
      <w:r>
        <w:rPr>
          <w:sz w:val="28"/>
          <w:szCs w:val="28"/>
        </w:rPr>
        <w:fldChar w:fldCharType="end"/>
      </w:r>
      <w:r>
        <w:rPr>
          <w:rFonts w:cs="Times New Roman"/>
          <w:color w:val="auto"/>
          <w:sz w:val="28"/>
          <w:szCs w:val="28"/>
          <w:highlight w:val="none"/>
        </w:rPr>
        <w:fldChar w:fldCharType="end"/>
      </w:r>
    </w:p>
    <w:p>
      <w:pPr>
        <w:pStyle w:val="33"/>
        <w:ind w:firstLine="0" w:firstLineChars="0"/>
        <w:rPr>
          <w:rFonts w:cs="Times New Roman"/>
          <w:color w:val="auto"/>
          <w:highlight w:val="none"/>
        </w:rPr>
      </w:pPr>
      <w:r>
        <w:rPr>
          <w:rFonts w:cs="Times New Roman"/>
          <w:color w:val="auto"/>
          <w:sz w:val="28"/>
          <w:szCs w:val="28"/>
          <w:highlight w:val="none"/>
        </w:rPr>
        <w:fldChar w:fldCharType="end"/>
      </w:r>
      <w:r>
        <w:rPr>
          <w:rFonts w:cs="Times New Roman"/>
          <w:color w:val="auto"/>
          <w:szCs w:val="24"/>
          <w:highlight w:val="none"/>
        </w:rPr>
        <w:t>附件：</w:t>
      </w:r>
    </w:p>
    <w:p>
      <w:pPr>
        <w:ind w:firstLine="480"/>
        <w:rPr>
          <w:color w:val="auto"/>
          <w:highlight w:val="none"/>
        </w:rPr>
      </w:pPr>
      <w:r>
        <w:rPr>
          <w:color w:val="auto"/>
          <w:highlight w:val="none"/>
        </w:rPr>
        <w:t>附件1  委托书</w:t>
      </w:r>
    </w:p>
    <w:p>
      <w:pPr>
        <w:ind w:firstLine="480"/>
        <w:rPr>
          <w:color w:val="auto"/>
          <w:highlight w:val="none"/>
        </w:rPr>
      </w:pPr>
      <w:r>
        <w:rPr>
          <w:color w:val="auto"/>
          <w:highlight w:val="none"/>
        </w:rPr>
        <w:t>附件2  环评批复</w:t>
      </w:r>
    </w:p>
    <w:p>
      <w:pPr>
        <w:ind w:firstLine="480"/>
        <w:rPr>
          <w:color w:val="auto"/>
          <w:highlight w:val="none"/>
        </w:rPr>
      </w:pPr>
      <w:r>
        <w:rPr>
          <w:color w:val="auto"/>
          <w:highlight w:val="none"/>
        </w:rPr>
        <w:t>附件</w:t>
      </w:r>
      <w:r>
        <w:rPr>
          <w:rFonts w:hint="eastAsia"/>
          <w:color w:val="auto"/>
          <w:highlight w:val="none"/>
        </w:rPr>
        <w:t>3</w:t>
      </w:r>
      <w:r>
        <w:rPr>
          <w:color w:val="auto"/>
          <w:highlight w:val="none"/>
        </w:rPr>
        <w:t xml:space="preserve">  </w:t>
      </w:r>
      <w:r>
        <w:rPr>
          <w:rFonts w:hint="eastAsia"/>
          <w:color w:val="auto"/>
          <w:highlight w:val="none"/>
        </w:rPr>
        <w:t>危废合同</w:t>
      </w:r>
    </w:p>
    <w:p>
      <w:pPr>
        <w:ind w:firstLine="480"/>
        <w:rPr>
          <w:color w:val="auto"/>
          <w:highlight w:val="none"/>
        </w:rPr>
      </w:pPr>
      <w:r>
        <w:rPr>
          <w:color w:val="auto"/>
          <w:highlight w:val="none"/>
        </w:rPr>
        <w:t>附件</w:t>
      </w:r>
      <w:r>
        <w:rPr>
          <w:rFonts w:hint="eastAsia"/>
          <w:color w:val="auto"/>
          <w:highlight w:val="none"/>
        </w:rPr>
        <w:t>4</w:t>
      </w:r>
      <w:r>
        <w:rPr>
          <w:color w:val="auto"/>
          <w:highlight w:val="none"/>
        </w:rPr>
        <w:t xml:space="preserve">  检测报告</w:t>
      </w:r>
    </w:p>
    <w:p>
      <w:pPr>
        <w:ind w:firstLine="480"/>
        <w:rPr>
          <w:color w:val="auto"/>
          <w:highlight w:val="none"/>
        </w:rPr>
      </w:pPr>
      <w:r>
        <w:rPr>
          <w:color w:val="auto"/>
          <w:highlight w:val="none"/>
        </w:rPr>
        <w:t>附件</w:t>
      </w:r>
      <w:r>
        <w:rPr>
          <w:rFonts w:hint="eastAsia"/>
          <w:color w:val="auto"/>
          <w:highlight w:val="none"/>
        </w:rPr>
        <w:t>5</w:t>
      </w:r>
      <w:r>
        <w:rPr>
          <w:color w:val="auto"/>
          <w:highlight w:val="none"/>
        </w:rPr>
        <w:t xml:space="preserve">  </w:t>
      </w:r>
      <w:r>
        <w:rPr>
          <w:rFonts w:hint="default" w:ascii="Times New Roman" w:hAnsi="Times New Roman" w:eastAsia="宋体" w:cs="Times New Roman"/>
          <w:sz w:val="24"/>
          <w:szCs w:val="24"/>
          <w:lang w:val="en-US" w:eastAsia="zh-CN"/>
        </w:rPr>
        <w:t>工况证明</w:t>
      </w:r>
    </w:p>
    <w:p>
      <w:pPr>
        <w:ind w:firstLine="480"/>
        <w:rPr>
          <w:color w:val="auto"/>
          <w:highlight w:val="none"/>
        </w:rPr>
      </w:pPr>
      <w:r>
        <w:rPr>
          <w:color w:val="auto"/>
          <w:highlight w:val="none"/>
        </w:rPr>
        <w:t>附件</w:t>
      </w:r>
      <w:r>
        <w:rPr>
          <w:rFonts w:hint="eastAsia"/>
          <w:color w:val="auto"/>
          <w:highlight w:val="none"/>
        </w:rPr>
        <w:t>6</w:t>
      </w:r>
      <w:r>
        <w:rPr>
          <w:color w:val="auto"/>
          <w:highlight w:val="none"/>
        </w:rPr>
        <w:t xml:space="preserve">  </w:t>
      </w:r>
      <w:r>
        <w:rPr>
          <w:rFonts w:hint="eastAsia" w:cs="Times New Roman"/>
          <w:sz w:val="24"/>
          <w:szCs w:val="24"/>
          <w:lang w:val="en-US" w:eastAsia="zh-CN"/>
        </w:rPr>
        <w:t>进口证明</w:t>
      </w:r>
    </w:p>
    <w:p>
      <w:pPr>
        <w:ind w:firstLine="480"/>
        <w:rPr>
          <w:color w:val="auto"/>
          <w:highlight w:val="none"/>
        </w:rPr>
      </w:pPr>
      <w:r>
        <w:rPr>
          <w:color w:val="auto"/>
          <w:highlight w:val="none"/>
        </w:rPr>
        <w:t>附件</w:t>
      </w:r>
      <w:r>
        <w:rPr>
          <w:rFonts w:hint="eastAsia"/>
          <w:color w:val="auto"/>
          <w:highlight w:val="none"/>
        </w:rPr>
        <w:t>7</w:t>
      </w:r>
      <w:r>
        <w:rPr>
          <w:color w:val="auto"/>
          <w:highlight w:val="none"/>
        </w:rPr>
        <w:t xml:space="preserve">  </w:t>
      </w:r>
      <w:r>
        <w:rPr>
          <w:rFonts w:hint="eastAsia"/>
          <w:color w:val="auto"/>
          <w:highlight w:val="none"/>
        </w:rPr>
        <w:t>检测资质</w:t>
      </w:r>
    </w:p>
    <w:p>
      <w:pPr>
        <w:ind w:firstLine="0" w:firstLineChars="0"/>
        <w:rPr>
          <w:color w:val="auto"/>
          <w:kern w:val="0"/>
          <w:highlight w:val="none"/>
        </w:rPr>
      </w:pPr>
      <w:r>
        <w:rPr>
          <w:color w:val="auto"/>
          <w:kern w:val="0"/>
          <w:highlight w:val="none"/>
        </w:rPr>
        <w:t>附图：</w:t>
      </w:r>
    </w:p>
    <w:p>
      <w:pPr>
        <w:ind w:firstLine="480"/>
        <w:rPr>
          <w:color w:val="auto"/>
          <w:kern w:val="0"/>
          <w:highlight w:val="none"/>
        </w:rPr>
      </w:pPr>
      <w:r>
        <w:rPr>
          <w:color w:val="auto"/>
          <w:kern w:val="0"/>
          <w:highlight w:val="none"/>
        </w:rPr>
        <w:t>附图1  项目地理位置图</w:t>
      </w:r>
    </w:p>
    <w:p>
      <w:pPr>
        <w:ind w:firstLine="480"/>
        <w:rPr>
          <w:color w:val="auto"/>
          <w:kern w:val="0"/>
          <w:highlight w:val="none"/>
        </w:rPr>
      </w:pPr>
      <w:r>
        <w:rPr>
          <w:color w:val="auto"/>
          <w:kern w:val="0"/>
          <w:highlight w:val="none"/>
        </w:rPr>
        <w:t>附图2  项目周边情况图</w:t>
      </w:r>
    </w:p>
    <w:p>
      <w:pPr>
        <w:widowControl/>
        <w:ind w:firstLine="480"/>
        <w:rPr>
          <w:color w:val="auto"/>
          <w:kern w:val="0"/>
          <w:highlight w:val="none"/>
        </w:rPr>
      </w:pPr>
      <w:r>
        <w:rPr>
          <w:color w:val="auto"/>
          <w:kern w:val="0"/>
          <w:highlight w:val="none"/>
        </w:rPr>
        <w:t xml:space="preserve">附图3  </w:t>
      </w:r>
      <w:r>
        <w:rPr>
          <w:rFonts w:hint="eastAsia"/>
          <w:color w:val="auto"/>
          <w:kern w:val="0"/>
          <w:highlight w:val="none"/>
        </w:rPr>
        <w:t>项目</w:t>
      </w:r>
      <w:r>
        <w:rPr>
          <w:color w:val="auto"/>
          <w:kern w:val="0"/>
          <w:highlight w:val="none"/>
        </w:rPr>
        <w:t>平面布置图</w:t>
      </w:r>
    </w:p>
    <w:p>
      <w:pPr>
        <w:ind w:firstLine="0" w:firstLineChars="0"/>
        <w:rPr>
          <w:color w:val="auto"/>
          <w:kern w:val="0"/>
          <w:highlight w:val="none"/>
        </w:rPr>
      </w:pPr>
      <w:r>
        <w:rPr>
          <w:color w:val="auto"/>
          <w:kern w:val="0"/>
          <w:highlight w:val="none"/>
        </w:rPr>
        <w:t>附表：三同时登记表</w:t>
      </w:r>
    </w:p>
    <w:p>
      <w:pPr>
        <w:pStyle w:val="14"/>
        <w:ind w:left="0" w:leftChars="0" w:firstLine="0" w:firstLineChars="0"/>
        <w:outlineLvl w:val="0"/>
        <w:rPr>
          <w:b/>
          <w:bCs/>
          <w:color w:val="auto"/>
          <w:sz w:val="30"/>
          <w:szCs w:val="30"/>
          <w:highlight w:val="none"/>
        </w:rPr>
        <w:sectPr>
          <w:pgSz w:w="11906" w:h="16838"/>
          <w:pgMar w:top="1440" w:right="1463" w:bottom="1440" w:left="1519" w:header="851" w:footer="992" w:gutter="0"/>
          <w:cols w:space="720" w:num="1"/>
          <w:docGrid w:type="lines" w:linePitch="312" w:charSpace="0"/>
        </w:sectPr>
      </w:pPr>
      <w:bookmarkStart w:id="4" w:name="_Toc20449"/>
    </w:p>
    <w:p>
      <w:pPr>
        <w:pStyle w:val="14"/>
        <w:ind w:left="0" w:leftChars="0" w:firstLine="0" w:firstLineChars="0"/>
        <w:outlineLvl w:val="0"/>
        <w:rPr>
          <w:b/>
          <w:bCs/>
          <w:color w:val="auto"/>
          <w:highlight w:val="none"/>
        </w:rPr>
      </w:pPr>
      <w:bookmarkStart w:id="5" w:name="_Toc29364"/>
      <w:bookmarkStart w:id="6" w:name="_Toc29383"/>
      <w:bookmarkStart w:id="7" w:name="_Toc11710"/>
      <w:bookmarkStart w:id="8" w:name="_Toc25044"/>
      <w:bookmarkStart w:id="9" w:name="_Toc12452"/>
      <w:bookmarkStart w:id="10" w:name="_Toc1462"/>
      <w:bookmarkStart w:id="11" w:name="_Toc23537"/>
      <w:bookmarkStart w:id="12" w:name="_Toc23515"/>
      <w:bookmarkStart w:id="13" w:name="_Toc23730"/>
      <w:bookmarkStart w:id="14" w:name="_Toc9055"/>
      <w:bookmarkStart w:id="15" w:name="_Toc29919"/>
      <w:bookmarkStart w:id="16" w:name="_Toc5052"/>
      <w:bookmarkStart w:id="17" w:name="_Toc13580"/>
      <w:bookmarkStart w:id="18" w:name="_Toc17633"/>
      <w:bookmarkStart w:id="19" w:name="_Toc14316"/>
      <w:bookmarkStart w:id="20" w:name="_Toc12317"/>
      <w:bookmarkStart w:id="21" w:name="_Toc27870"/>
      <w:bookmarkStart w:id="22" w:name="_Toc16181"/>
      <w:bookmarkStart w:id="23" w:name="_Toc4525"/>
      <w:bookmarkStart w:id="24" w:name="_Toc6152"/>
      <w:bookmarkStart w:id="25" w:name="_Toc4743"/>
      <w:bookmarkStart w:id="26" w:name="_Toc3787"/>
      <w:bookmarkStart w:id="27" w:name="_Toc17782"/>
      <w:bookmarkStart w:id="28" w:name="_Toc17601"/>
      <w:bookmarkStart w:id="29" w:name="_Toc2863"/>
      <w:bookmarkStart w:id="30" w:name="_Toc8692"/>
      <w:bookmarkStart w:id="31" w:name="_Toc19033"/>
      <w:bookmarkStart w:id="32" w:name="_Toc572"/>
      <w:bookmarkStart w:id="33" w:name="_Toc5726"/>
      <w:bookmarkStart w:id="34" w:name="_Toc22548"/>
      <w:bookmarkStart w:id="35" w:name="_Toc12160"/>
      <w:bookmarkStart w:id="36" w:name="_Toc9259"/>
      <w:bookmarkStart w:id="37" w:name="_Toc31764"/>
      <w:bookmarkStart w:id="38" w:name="_Toc13646"/>
      <w:bookmarkStart w:id="39" w:name="_Toc26925"/>
      <w:bookmarkStart w:id="40" w:name="_Toc5501"/>
      <w:bookmarkStart w:id="41" w:name="_Toc12779"/>
      <w:bookmarkStart w:id="42" w:name="_Toc20976"/>
      <w:bookmarkStart w:id="43" w:name="_Toc20840"/>
      <w:bookmarkStart w:id="44" w:name="_Toc6117"/>
      <w:bookmarkStart w:id="45" w:name="_Toc20872"/>
      <w:bookmarkStart w:id="46" w:name="_Toc6736"/>
      <w:r>
        <w:rPr>
          <w:b/>
          <w:bCs/>
          <w:color w:val="auto"/>
          <w:sz w:val="30"/>
          <w:szCs w:val="30"/>
          <w:highlight w:val="none"/>
        </w:rPr>
        <w:t>表1  基本情况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p>
    <w:tbl>
      <w:tblPr>
        <w:tblStyle w:val="27"/>
        <w:tblW w:w="5265"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2128"/>
        <w:gridCol w:w="1914"/>
        <w:gridCol w:w="2050"/>
        <w:gridCol w:w="1202"/>
        <w:gridCol w:w="809"/>
        <w:gridCol w:w="132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tcBorders>
              <w:top w:val="single" w:color="000000" w:sz="12" w:space="0"/>
            </w:tcBorders>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建设项目名称</w:t>
            </w:r>
          </w:p>
        </w:tc>
        <w:tc>
          <w:tcPr>
            <w:tcW w:w="3871" w:type="pct"/>
            <w:gridSpan w:val="5"/>
            <w:tcBorders>
              <w:top w:val="single" w:color="000000" w:sz="12" w:space="0"/>
            </w:tcBorders>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山东盛迪医药有限公司创新药物研发一期项目</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建设单位名称</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山东盛迪医药有限公司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建设项目主管部门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建设项目性质</w:t>
            </w:r>
          </w:p>
        </w:tc>
        <w:tc>
          <w:tcPr>
            <w:tcW w:w="3871" w:type="pct"/>
            <w:gridSpan w:val="5"/>
            <w:vAlign w:val="center"/>
          </w:tcPr>
          <w:p>
            <w:pPr>
              <w:adjustRightInd w:val="0"/>
              <w:snapToGrid w:val="0"/>
              <w:spacing w:line="240" w:lineRule="auto"/>
              <w:ind w:firstLine="0" w:firstLineChars="0"/>
              <w:jc w:val="center"/>
              <w:rPr>
                <w:color w:val="auto"/>
                <w:highlight w:val="none"/>
              </w:rPr>
            </w:pPr>
            <w:r>
              <w:rPr>
                <w:color w:val="auto"/>
                <w:szCs w:val="21"/>
                <w:highlight w:val="none"/>
              </w:rPr>
              <w:sym w:font="Wingdings 2" w:char="00A3"/>
            </w:r>
            <w:r>
              <w:rPr>
                <w:color w:val="auto"/>
                <w:highlight w:val="none"/>
              </w:rPr>
              <w:t xml:space="preserve">新建  </w:t>
            </w:r>
            <w:r>
              <w:rPr>
                <w:color w:val="auto"/>
                <w:szCs w:val="21"/>
                <w:highlight w:val="none"/>
              </w:rPr>
              <w:sym w:font="Wingdings 2" w:char="0052"/>
            </w:r>
            <w:r>
              <w:rPr>
                <w:color w:val="auto"/>
                <w:highlight w:val="none"/>
              </w:rPr>
              <w:t xml:space="preserve">改扩建  </w:t>
            </w:r>
            <w:r>
              <w:rPr>
                <w:color w:val="auto"/>
                <w:szCs w:val="21"/>
                <w:highlight w:val="none"/>
              </w:rPr>
              <w:t>□</w:t>
            </w:r>
            <w:r>
              <w:rPr>
                <w:color w:val="auto"/>
                <w:highlight w:val="none"/>
              </w:rPr>
              <w:t xml:space="preserve">技术改造  </w:t>
            </w:r>
            <w:r>
              <w:rPr>
                <w:color w:val="auto"/>
                <w:szCs w:val="21"/>
                <w:highlight w:val="none"/>
              </w:rPr>
              <w:t>□</w:t>
            </w:r>
            <w:r>
              <w:rPr>
                <w:color w:val="auto"/>
                <w:highlight w:val="none"/>
              </w:rPr>
              <w:t>迁建  （划√）</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项目建设地点</w:t>
            </w:r>
          </w:p>
        </w:tc>
        <w:tc>
          <w:tcPr>
            <w:tcW w:w="3871" w:type="pct"/>
            <w:gridSpan w:val="5"/>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济南市高新区大正路1777号生物医药园西侧银丰国际城12#楼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主要产品名称</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s="Times New Roman"/>
                <w:color w:val="000000"/>
                <w:kern w:val="2"/>
                <w:sz w:val="24"/>
                <w:szCs w:val="24"/>
                <w:lang w:val="en-US" w:eastAsia="zh-CN" w:bidi="ar-SA"/>
              </w:rPr>
              <w:t>创新药物</w:t>
            </w:r>
            <w:r>
              <w:rPr>
                <w:rFonts w:hint="default" w:cs="Times New Roman"/>
                <w:color w:val="000000"/>
                <w:kern w:val="2"/>
                <w:sz w:val="24"/>
                <w:szCs w:val="24"/>
                <w:lang w:val="en-US" w:eastAsia="zh-CN" w:bidi="ar-SA"/>
              </w:rPr>
              <w:t>研发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设计生产能力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sz w:val="24"/>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实际生产能力</w:t>
            </w:r>
          </w:p>
        </w:tc>
        <w:tc>
          <w:tcPr>
            <w:tcW w:w="3871" w:type="pct"/>
            <w:gridSpan w:val="5"/>
            <w:vAlign w:val="center"/>
          </w:tcPr>
          <w:p>
            <w:pPr>
              <w:adjustRightInd w:val="0"/>
              <w:snapToGrid w:val="0"/>
              <w:spacing w:line="240" w:lineRule="auto"/>
              <w:ind w:firstLine="0" w:firstLineChars="0"/>
              <w:jc w:val="left"/>
              <w:rPr>
                <w:color w:val="auto"/>
                <w:highlight w:val="none"/>
              </w:rPr>
            </w:pPr>
            <w:r>
              <w:rPr>
                <w:rFonts w:hint="eastAsia"/>
                <w:color w:val="auto"/>
                <w:highlight w:val="none"/>
                <w:lang w:val="en-US" w:eastAsia="zh-CN"/>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建设项目</w:t>
            </w:r>
            <w:r>
              <w:rPr>
                <w:color w:val="auto"/>
                <w:highlight w:val="none"/>
              </w:rPr>
              <w:t>环评时间</w:t>
            </w:r>
          </w:p>
        </w:tc>
        <w:tc>
          <w:tcPr>
            <w:tcW w:w="1015" w:type="pct"/>
            <w:vAlign w:val="center"/>
          </w:tcPr>
          <w:p>
            <w:pPr>
              <w:adjustRightInd w:val="0"/>
              <w:snapToGrid w:val="0"/>
              <w:spacing w:line="240" w:lineRule="auto"/>
              <w:ind w:firstLine="0" w:firstLineChars="0"/>
              <w:jc w:val="center"/>
              <w:rPr>
                <w:rFonts w:hint="eastAsia" w:eastAsia="宋体"/>
                <w:color w:val="auto"/>
                <w:highlight w:val="none"/>
                <w:lang w:eastAsia="zh-CN"/>
              </w:rPr>
            </w:pPr>
            <w:r>
              <w:rPr>
                <w:rFonts w:hint="eastAsia"/>
                <w:color w:val="auto"/>
                <w:highlight w:val="none"/>
                <w:lang w:eastAsia="zh-CN"/>
              </w:rPr>
              <w:t>2021年6月15日</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开工</w:t>
            </w:r>
            <w:r>
              <w:rPr>
                <w:rFonts w:hint="eastAsia"/>
                <w:color w:val="auto"/>
                <w:highlight w:val="none"/>
                <w:lang w:eastAsia="zh-CN"/>
              </w:rPr>
              <w:t>建设时间</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1</w:t>
            </w:r>
            <w:r>
              <w:rPr>
                <w:color w:val="auto"/>
                <w:highlight w:val="none"/>
              </w:rPr>
              <w:t>年</w:t>
            </w:r>
            <w:r>
              <w:rPr>
                <w:rFonts w:hint="eastAsia"/>
                <w:color w:val="auto"/>
                <w:highlight w:val="none"/>
                <w:lang w:val="en-US" w:eastAsia="zh-CN"/>
              </w:rPr>
              <w:t>6</w:t>
            </w:r>
            <w:r>
              <w:rPr>
                <w:color w:val="auto"/>
                <w:highlight w:val="none"/>
              </w:rPr>
              <w:t>月</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调试</w:t>
            </w:r>
            <w:r>
              <w:rPr>
                <w:color w:val="auto"/>
                <w:highlight w:val="none"/>
              </w:rPr>
              <w:t>时间</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202</w:t>
            </w:r>
            <w:r>
              <w:rPr>
                <w:rFonts w:hint="eastAsia"/>
                <w:color w:val="auto"/>
                <w:highlight w:val="none"/>
              </w:rPr>
              <w:t>2</w:t>
            </w:r>
            <w:r>
              <w:rPr>
                <w:color w:val="auto"/>
                <w:highlight w:val="none"/>
              </w:rPr>
              <w:t>年</w:t>
            </w:r>
            <w:r>
              <w:rPr>
                <w:rFonts w:hint="eastAsia"/>
                <w:color w:val="auto"/>
                <w:highlight w:val="none"/>
                <w:lang w:val="en-US" w:eastAsia="zh-CN"/>
              </w:rPr>
              <w:t>1</w:t>
            </w:r>
            <w:r>
              <w:rPr>
                <w:color w:val="auto"/>
                <w:highlight w:val="none"/>
              </w:rPr>
              <w:t>月</w:t>
            </w:r>
          </w:p>
        </w:tc>
        <w:tc>
          <w:tcPr>
            <w:tcW w:w="108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eastAsia="zh-CN"/>
              </w:rPr>
              <w:t>验收</w:t>
            </w:r>
            <w:r>
              <w:rPr>
                <w:color w:val="auto"/>
                <w:highlight w:val="none"/>
              </w:rPr>
              <w:t>现场监测时间</w:t>
            </w:r>
          </w:p>
        </w:tc>
        <w:tc>
          <w:tcPr>
            <w:tcW w:w="1768" w:type="pct"/>
            <w:gridSpan w:val="3"/>
            <w:vAlign w:val="center"/>
          </w:tcPr>
          <w:p>
            <w:pPr>
              <w:pStyle w:val="33"/>
              <w:snapToGrid w:val="0"/>
              <w:spacing w:line="240" w:lineRule="auto"/>
              <w:ind w:firstLine="0" w:firstLineChars="0"/>
              <w:textAlignment w:val="auto"/>
              <w:rPr>
                <w:rFonts w:hint="eastAsia" w:eastAsia="宋体" w:cs="Times New Roman"/>
                <w:color w:val="auto"/>
                <w:szCs w:val="24"/>
                <w:highlight w:val="none"/>
                <w:lang w:eastAsia="zh-CN"/>
              </w:rPr>
            </w:pPr>
            <w:r>
              <w:rPr>
                <w:rFonts w:hint="eastAsia" w:cs="Times New Roman"/>
                <w:color w:val="auto"/>
                <w:kern w:val="0"/>
                <w:highlight w:val="none"/>
                <w:lang w:eastAsia="zh-CN"/>
              </w:rPr>
              <w:t>2022年1月10日~2022年1月11日、2022年3月30日~2022年4月1日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环评报告表</w:t>
            </w:r>
          </w:p>
          <w:p>
            <w:pPr>
              <w:adjustRightInd w:val="0"/>
              <w:snapToGrid w:val="0"/>
              <w:spacing w:line="240" w:lineRule="auto"/>
              <w:ind w:firstLine="0" w:firstLineChars="0"/>
              <w:jc w:val="center"/>
              <w:rPr>
                <w:color w:val="auto"/>
                <w:sz w:val="30"/>
                <w:szCs w:val="30"/>
                <w:highlight w:val="none"/>
              </w:rPr>
            </w:pPr>
            <w:r>
              <w:rPr>
                <w:color w:val="auto"/>
                <w:highlight w:val="none"/>
              </w:rPr>
              <w:t>审批部门</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济南市生态环境局</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环评报告表</w:t>
            </w:r>
          </w:p>
          <w:p>
            <w:pPr>
              <w:adjustRightInd w:val="0"/>
              <w:snapToGrid w:val="0"/>
              <w:spacing w:line="240" w:lineRule="auto"/>
              <w:ind w:firstLine="0" w:firstLineChars="0"/>
              <w:jc w:val="center"/>
              <w:rPr>
                <w:color w:val="auto"/>
                <w:highlight w:val="none"/>
              </w:rPr>
            </w:pPr>
            <w:r>
              <w:rPr>
                <w:color w:val="auto"/>
                <w:highlight w:val="none"/>
              </w:rPr>
              <w:t>编制单位</w:t>
            </w:r>
          </w:p>
        </w:tc>
        <w:tc>
          <w:tcPr>
            <w:tcW w:w="1768" w:type="pct"/>
            <w:gridSpan w:val="3"/>
            <w:vAlign w:val="center"/>
          </w:tcPr>
          <w:p>
            <w:pPr>
              <w:adjustRightInd w:val="0"/>
              <w:snapToGrid w:val="0"/>
              <w:spacing w:line="240" w:lineRule="auto"/>
              <w:ind w:firstLine="0" w:firstLineChars="0"/>
              <w:rPr>
                <w:rFonts w:hint="eastAsia" w:eastAsia="宋体"/>
                <w:color w:val="auto"/>
                <w:highlight w:val="none"/>
                <w:lang w:eastAsia="zh-CN"/>
              </w:rPr>
            </w:pPr>
            <w:r>
              <w:rPr>
                <w:rFonts w:hint="eastAsia"/>
                <w:color w:val="auto"/>
                <w:highlight w:val="none"/>
                <w:lang w:eastAsia="zh-CN"/>
              </w:rPr>
              <w:t>山东共享环境管理咨询有限公司</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环保设施设计单位</w:t>
            </w:r>
          </w:p>
        </w:tc>
        <w:tc>
          <w:tcPr>
            <w:tcW w:w="1015" w:type="pct"/>
            <w:vAlign w:val="center"/>
          </w:tcPr>
          <w:p>
            <w:pPr>
              <w:adjustRightInd w:val="0"/>
              <w:snapToGrid w:val="0"/>
              <w:spacing w:line="240" w:lineRule="auto"/>
              <w:ind w:firstLine="0" w:firstLineChars="0"/>
              <w:jc w:val="center"/>
              <w:rPr>
                <w:color w:val="auto"/>
                <w:highlight w:val="none"/>
              </w:rPr>
            </w:pPr>
            <w:r>
              <w:rPr>
                <w:color w:val="auto"/>
                <w:highlight w:val="none"/>
              </w:rPr>
              <w:t>——</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环保设施施工单位</w:t>
            </w:r>
          </w:p>
        </w:tc>
        <w:tc>
          <w:tcPr>
            <w:tcW w:w="1768" w:type="pct"/>
            <w:gridSpan w:val="3"/>
            <w:vAlign w:val="center"/>
          </w:tcPr>
          <w:p>
            <w:pPr>
              <w:adjustRightInd w:val="0"/>
              <w:snapToGrid w:val="0"/>
              <w:spacing w:line="240" w:lineRule="auto"/>
              <w:ind w:firstLine="0" w:firstLineChars="0"/>
              <w:jc w:val="center"/>
              <w:rPr>
                <w:color w:val="auto"/>
                <w:highlight w:val="none"/>
              </w:rPr>
            </w:pP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投资总概算</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9000</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环保投资总概算</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312</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3.5</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340" w:hRule="atLeast"/>
          <w:jc w:val="center"/>
        </w:trPr>
        <w:tc>
          <w:tcPr>
            <w:tcW w:w="1128" w:type="pct"/>
            <w:vAlign w:val="center"/>
          </w:tcPr>
          <w:p>
            <w:pPr>
              <w:adjustRightInd w:val="0"/>
              <w:snapToGrid w:val="0"/>
              <w:spacing w:line="240" w:lineRule="auto"/>
              <w:ind w:firstLine="0" w:firstLineChars="0"/>
              <w:jc w:val="center"/>
              <w:rPr>
                <w:color w:val="auto"/>
                <w:highlight w:val="none"/>
              </w:rPr>
            </w:pPr>
            <w:r>
              <w:rPr>
                <w:color w:val="auto"/>
                <w:highlight w:val="none"/>
              </w:rPr>
              <w:t>实际总投资</w:t>
            </w:r>
          </w:p>
        </w:tc>
        <w:tc>
          <w:tcPr>
            <w:tcW w:w="1015"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7100</w:t>
            </w:r>
            <w:r>
              <w:rPr>
                <w:color w:val="auto"/>
                <w:highlight w:val="none"/>
              </w:rPr>
              <w:t>万元</w:t>
            </w:r>
          </w:p>
        </w:tc>
        <w:tc>
          <w:tcPr>
            <w:tcW w:w="1087" w:type="pct"/>
            <w:vAlign w:val="center"/>
          </w:tcPr>
          <w:p>
            <w:pPr>
              <w:adjustRightInd w:val="0"/>
              <w:snapToGrid w:val="0"/>
              <w:spacing w:line="240" w:lineRule="auto"/>
              <w:ind w:firstLine="0" w:firstLineChars="0"/>
              <w:jc w:val="center"/>
              <w:rPr>
                <w:color w:val="auto"/>
                <w:highlight w:val="none"/>
              </w:rPr>
            </w:pPr>
            <w:r>
              <w:rPr>
                <w:color w:val="auto"/>
                <w:highlight w:val="none"/>
              </w:rPr>
              <w:t>实际环保投资</w:t>
            </w:r>
          </w:p>
        </w:tc>
        <w:tc>
          <w:tcPr>
            <w:tcW w:w="637"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720</w:t>
            </w:r>
            <w:r>
              <w:rPr>
                <w:color w:val="auto"/>
                <w:highlight w:val="none"/>
              </w:rPr>
              <w:t>万元</w:t>
            </w:r>
          </w:p>
        </w:tc>
        <w:tc>
          <w:tcPr>
            <w:tcW w:w="429" w:type="pct"/>
            <w:vAlign w:val="center"/>
          </w:tcPr>
          <w:p>
            <w:pPr>
              <w:adjustRightInd w:val="0"/>
              <w:snapToGrid w:val="0"/>
              <w:spacing w:line="240" w:lineRule="auto"/>
              <w:ind w:firstLine="0" w:firstLineChars="0"/>
              <w:jc w:val="center"/>
              <w:rPr>
                <w:color w:val="auto"/>
                <w:highlight w:val="none"/>
              </w:rPr>
            </w:pPr>
            <w:r>
              <w:rPr>
                <w:color w:val="auto"/>
                <w:highlight w:val="none"/>
              </w:rPr>
              <w:t>比例</w:t>
            </w:r>
          </w:p>
        </w:tc>
        <w:tc>
          <w:tcPr>
            <w:tcW w:w="701" w:type="pct"/>
            <w:vAlign w:val="center"/>
          </w:tcPr>
          <w:p>
            <w:pPr>
              <w:adjustRightInd w:val="0"/>
              <w:snapToGrid w:val="0"/>
              <w:spacing w:line="240" w:lineRule="auto"/>
              <w:ind w:firstLine="0" w:firstLineChars="0"/>
              <w:jc w:val="center"/>
              <w:rPr>
                <w:color w:val="auto"/>
                <w:highlight w:val="none"/>
              </w:rPr>
            </w:pPr>
            <w:r>
              <w:rPr>
                <w:rFonts w:hint="eastAsia"/>
                <w:color w:val="auto"/>
                <w:highlight w:val="none"/>
                <w:lang w:val="en-US" w:eastAsia="zh-CN"/>
              </w:rPr>
              <w:t>10.1</w:t>
            </w:r>
            <w:r>
              <w:rPr>
                <w:color w:val="auto"/>
                <w:highlight w:val="none"/>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adjustRightInd w:val="0"/>
              <w:snapToGrid w:val="0"/>
              <w:spacing w:line="240" w:lineRule="auto"/>
              <w:ind w:firstLine="0" w:firstLineChars="0"/>
              <w:jc w:val="center"/>
              <w:rPr>
                <w:color w:val="auto"/>
                <w:sz w:val="30"/>
                <w:szCs w:val="30"/>
                <w:highlight w:val="none"/>
              </w:rPr>
            </w:pPr>
            <w:r>
              <w:rPr>
                <w:color w:val="auto"/>
                <w:highlight w:val="none"/>
              </w:rPr>
              <w:t>验收监测依据</w:t>
            </w:r>
          </w:p>
        </w:tc>
        <w:tc>
          <w:tcPr>
            <w:tcW w:w="3871" w:type="pct"/>
            <w:gridSpan w:val="5"/>
            <w:vAlign w:val="center"/>
          </w:tcPr>
          <w:p>
            <w:pPr>
              <w:adjustRightInd w:val="0"/>
              <w:snapToGrid w:val="0"/>
              <w:ind w:firstLine="0" w:firstLineChars="0"/>
              <w:jc w:val="left"/>
              <w:rPr>
                <w:color w:val="auto"/>
                <w:highlight w:val="none"/>
              </w:rPr>
            </w:pPr>
            <w:r>
              <w:rPr>
                <w:rFonts w:hint="eastAsia"/>
                <w:color w:val="auto"/>
                <w:highlight w:val="none"/>
                <w:lang w:val="en-US" w:eastAsia="zh-CN"/>
              </w:rPr>
              <w:t>1</w:t>
            </w:r>
            <w:r>
              <w:rPr>
                <w:color w:val="auto"/>
                <w:highlight w:val="none"/>
              </w:rPr>
              <w:t>、中华人民共和国国务院令《建设项目环境保护管理条例》（2017年修订）第682号；</w:t>
            </w:r>
          </w:p>
          <w:p>
            <w:pPr>
              <w:adjustRightInd w:val="0"/>
              <w:snapToGrid w:val="0"/>
              <w:ind w:firstLine="0" w:firstLineChars="0"/>
              <w:jc w:val="left"/>
              <w:rPr>
                <w:color w:val="auto"/>
                <w:highlight w:val="none"/>
              </w:rPr>
            </w:pPr>
            <w:r>
              <w:rPr>
                <w:color w:val="auto"/>
                <w:highlight w:val="none"/>
              </w:rPr>
              <w:t>2、生态环境部＜关于发布《建设项目竣工环境保护验收技术指南 污染影响类》的公告＞（公告2018年 第9号）；</w:t>
            </w:r>
          </w:p>
          <w:p>
            <w:pPr>
              <w:adjustRightInd w:val="0"/>
              <w:snapToGrid w:val="0"/>
              <w:ind w:firstLine="0" w:firstLineChars="0"/>
              <w:jc w:val="left"/>
              <w:rPr>
                <w:color w:val="auto"/>
                <w:highlight w:val="none"/>
              </w:rPr>
            </w:pPr>
            <w:r>
              <w:rPr>
                <w:color w:val="auto"/>
                <w:highlight w:val="none"/>
              </w:rPr>
              <w:t>3、环境保护部办公厅函《建设项目竣工环境保护验收暂行办法》（国环规环评[2017]4号）；</w:t>
            </w:r>
          </w:p>
          <w:p>
            <w:pPr>
              <w:ind w:firstLine="0" w:firstLineChars="0"/>
              <w:rPr>
                <w:color w:val="auto"/>
                <w:highlight w:val="none"/>
              </w:rPr>
            </w:pPr>
            <w:r>
              <w:rPr>
                <w:rFonts w:hint="eastAsia"/>
                <w:color w:val="auto"/>
                <w:highlight w:val="none"/>
              </w:rPr>
              <w:t>4</w:t>
            </w:r>
            <w:r>
              <w:rPr>
                <w:color w:val="auto"/>
                <w:highlight w:val="none"/>
              </w:rPr>
              <w:t>、关于印发《污染影响类建设项目重大变动清单（试行）的通知》（环办环评函[2020]688号）；</w:t>
            </w:r>
          </w:p>
          <w:p>
            <w:pPr>
              <w:adjustRightInd w:val="0"/>
              <w:snapToGrid w:val="0"/>
              <w:ind w:firstLine="0" w:firstLineChars="0"/>
              <w:jc w:val="left"/>
              <w:rPr>
                <w:color w:val="auto"/>
                <w:highlight w:val="none"/>
              </w:rPr>
            </w:pPr>
            <w:r>
              <w:rPr>
                <w:rFonts w:hint="eastAsia"/>
                <w:color w:val="auto"/>
                <w:highlight w:val="none"/>
              </w:rPr>
              <w:t>5</w:t>
            </w:r>
            <w:r>
              <w:rPr>
                <w:color w:val="auto"/>
                <w:highlight w:val="none"/>
              </w:rPr>
              <w:t>、《关于印发建设项目竣工环境保护验收现场检查及审查要点的通知》（环办〔2015〕113号）；</w:t>
            </w:r>
          </w:p>
          <w:p>
            <w:pPr>
              <w:pStyle w:val="33"/>
              <w:snapToGrid w:val="0"/>
              <w:ind w:firstLine="0" w:firstLineChars="0"/>
              <w:rPr>
                <w:rFonts w:hint="default" w:ascii="Times New Roman" w:hAnsi="Times New Roman" w:eastAsia="宋体" w:cs="宋体"/>
                <w:color w:val="auto"/>
                <w:highlight w:val="none"/>
                <w:lang w:val="en-US" w:eastAsia="zh-CN"/>
              </w:rPr>
            </w:pPr>
            <w:r>
              <w:rPr>
                <w:rFonts w:hint="eastAsia" w:cs="宋体"/>
                <w:color w:val="auto"/>
                <w:highlight w:val="none"/>
                <w:lang w:val="en-US" w:eastAsia="zh-CN"/>
              </w:rPr>
              <w:t>6</w:t>
            </w:r>
            <w:r>
              <w:rPr>
                <w:rFonts w:hint="default" w:ascii="Times New Roman" w:hAnsi="Times New Roman" w:eastAsia="宋体" w:cs="宋体"/>
                <w:color w:val="auto"/>
                <w:highlight w:val="none"/>
                <w:lang w:val="en-US" w:eastAsia="zh-CN"/>
              </w:rPr>
              <w:t>、《</w:t>
            </w:r>
            <w:r>
              <w:rPr>
                <w:rFonts w:ascii="Times New Roman" w:hAnsi="Times New Roman" w:eastAsia="宋体" w:cs="宋体"/>
                <w:color w:val="auto"/>
                <w:sz w:val="24"/>
                <w:szCs w:val="20"/>
                <w:highlight w:val="none"/>
              </w:rPr>
              <w:t>关于进一步加强建设项目固体废物环境管理的通知</w:t>
            </w:r>
            <w:r>
              <w:rPr>
                <w:rFonts w:hint="default" w:ascii="Times New Roman" w:hAnsi="Times New Roman" w:eastAsia="宋体" w:cs="宋体"/>
                <w:color w:val="auto"/>
                <w:highlight w:val="none"/>
                <w:lang w:val="en-US" w:eastAsia="zh-CN"/>
              </w:rPr>
              <w:t>》鲁环办函〔2016〕141号</w:t>
            </w:r>
            <w:r>
              <w:rPr>
                <w:rFonts w:hint="eastAsia" w:ascii="Times New Roman" w:hAnsi="Times New Roman" w:eastAsia="宋体" w:cs="宋体"/>
                <w:color w:val="auto"/>
                <w:highlight w:val="none"/>
                <w:lang w:val="en-US" w:eastAsia="zh-CN"/>
              </w:rPr>
              <w:t>（2016年9月30日）；</w:t>
            </w:r>
          </w:p>
          <w:p>
            <w:pPr>
              <w:pStyle w:val="33"/>
              <w:snapToGrid w:val="0"/>
              <w:ind w:firstLine="0" w:firstLineChars="0"/>
              <w:rPr>
                <w:rFonts w:ascii="Times New Roman" w:hAnsi="Times New Roman" w:eastAsia="宋体" w:cs="宋体"/>
                <w:color w:val="auto"/>
                <w:highlight w:val="none"/>
              </w:rPr>
            </w:pPr>
            <w:r>
              <w:rPr>
                <w:rFonts w:hint="eastAsia" w:cs="宋体"/>
                <w:color w:val="auto"/>
                <w:highlight w:val="none"/>
                <w:lang w:val="en-US" w:eastAsia="zh-CN"/>
              </w:rPr>
              <w:t>7</w:t>
            </w:r>
            <w:r>
              <w:rPr>
                <w:rFonts w:ascii="Times New Roman" w:hAnsi="Times New Roman" w:eastAsia="宋体" w:cs="宋体"/>
                <w:color w:val="auto"/>
                <w:highlight w:val="none"/>
              </w:rPr>
              <w:t>、《中华人民共和国环境保护法》（2015年1月1日实施）；</w:t>
            </w:r>
          </w:p>
          <w:p>
            <w:pPr>
              <w:pStyle w:val="33"/>
              <w:snapToGrid w:val="0"/>
              <w:ind w:firstLine="0" w:firstLineChars="0"/>
              <w:textAlignment w:val="auto"/>
              <w:rPr>
                <w:color w:val="auto"/>
                <w:highlight w:val="none"/>
              </w:rPr>
            </w:pPr>
            <w:r>
              <w:rPr>
                <w:rFonts w:hint="eastAsia"/>
                <w:color w:val="auto"/>
                <w:highlight w:val="none"/>
                <w:lang w:val="en-US" w:eastAsia="zh-CN"/>
              </w:rPr>
              <w:t>8</w:t>
            </w:r>
            <w:r>
              <w:rPr>
                <w:color w:val="auto"/>
                <w:highlight w:val="none"/>
              </w:rPr>
              <w:t>、《中华人民共和国环境影响评价法》（2018年修正，2020年9月29日起实施）；</w:t>
            </w:r>
          </w:p>
          <w:p>
            <w:pPr>
              <w:pStyle w:val="33"/>
              <w:snapToGrid w:val="0"/>
              <w:ind w:firstLine="0" w:firstLineChars="0"/>
              <w:textAlignment w:val="auto"/>
              <w:rPr>
                <w:color w:val="auto"/>
                <w:highlight w:val="none"/>
              </w:rPr>
            </w:pPr>
            <w:r>
              <w:rPr>
                <w:rFonts w:hint="eastAsia"/>
                <w:color w:val="auto"/>
                <w:highlight w:val="none"/>
                <w:lang w:val="en-US" w:eastAsia="zh-CN"/>
              </w:rPr>
              <w:t>9</w:t>
            </w:r>
            <w:r>
              <w:rPr>
                <w:color w:val="auto"/>
                <w:highlight w:val="none"/>
              </w:rPr>
              <w:t>、《中华人民共和国固体废物污染环境防治法》（2020年9月1日起实施）；</w:t>
            </w:r>
          </w:p>
          <w:p>
            <w:pPr>
              <w:pStyle w:val="33"/>
              <w:snapToGrid w:val="0"/>
              <w:ind w:firstLine="0" w:firstLineChars="0"/>
              <w:textAlignment w:val="auto"/>
              <w:rPr>
                <w:color w:val="auto"/>
                <w:highlight w:val="none"/>
              </w:rPr>
            </w:pPr>
            <w:r>
              <w:rPr>
                <w:rFonts w:hint="eastAsia"/>
                <w:color w:val="auto"/>
                <w:highlight w:val="none"/>
                <w:lang w:val="en-US" w:eastAsia="zh-CN"/>
              </w:rPr>
              <w:t>10</w:t>
            </w:r>
            <w:r>
              <w:rPr>
                <w:color w:val="auto"/>
                <w:highlight w:val="none"/>
              </w:rPr>
              <w:t>、《中华人民共和国水污染防治法》（2018年1月1日施行）；</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1</w:t>
            </w:r>
            <w:r>
              <w:rPr>
                <w:color w:val="auto"/>
                <w:highlight w:val="none"/>
              </w:rPr>
              <w:t>、《中华人民共和国噪声污染防治法》</w:t>
            </w:r>
            <w:r>
              <w:rPr>
                <w:rFonts w:hint="eastAsia" w:cs="Times New Roman"/>
                <w:color w:val="auto"/>
                <w:szCs w:val="24"/>
                <w:highlight w:val="none"/>
              </w:rPr>
              <w:t>（</w:t>
            </w:r>
            <w:r>
              <w:rPr>
                <w:rFonts w:cs="Times New Roman"/>
                <w:color w:val="auto"/>
                <w:szCs w:val="24"/>
                <w:highlight w:val="none"/>
              </w:rPr>
              <w:t>2022年6月5日施行</w:t>
            </w:r>
            <w:r>
              <w:rPr>
                <w:rFonts w:hint="eastAsia" w:cs="Times New Roman"/>
                <w:color w:val="auto"/>
                <w:szCs w:val="24"/>
                <w:highlight w:val="none"/>
              </w:rPr>
              <w:t>）</w:t>
            </w:r>
            <w:r>
              <w:rPr>
                <w:color w:val="auto"/>
                <w:highlight w:val="none"/>
              </w:rPr>
              <w:t>；</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2</w:t>
            </w:r>
            <w:r>
              <w:rPr>
                <w:color w:val="auto"/>
                <w:highlight w:val="none"/>
              </w:rPr>
              <w:t>、《中华人民共和国大气污染防治法》（2018年10月）；</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3</w:t>
            </w:r>
            <w:r>
              <w:rPr>
                <w:color w:val="auto"/>
                <w:highlight w:val="none"/>
              </w:rPr>
              <w:t>、《山东省环境保护条例》（2019年1月1日）；</w:t>
            </w:r>
          </w:p>
          <w:p>
            <w:pPr>
              <w:pStyle w:val="33"/>
              <w:snapToGrid w:val="0"/>
              <w:ind w:firstLine="0" w:firstLineChars="0"/>
              <w:textAlignment w:val="auto"/>
              <w:rPr>
                <w:color w:val="auto"/>
                <w:highlight w:val="none"/>
              </w:rPr>
            </w:pPr>
            <w:r>
              <w:rPr>
                <w:color w:val="auto"/>
                <w:highlight w:val="none"/>
              </w:rPr>
              <w:t>1</w:t>
            </w:r>
            <w:r>
              <w:rPr>
                <w:rFonts w:hint="eastAsia"/>
                <w:color w:val="auto"/>
                <w:highlight w:val="none"/>
                <w:lang w:val="en-US" w:eastAsia="zh-CN"/>
              </w:rPr>
              <w:t>4</w:t>
            </w:r>
            <w:r>
              <w:rPr>
                <w:color w:val="auto"/>
                <w:highlight w:val="none"/>
              </w:rPr>
              <w:t>、</w:t>
            </w:r>
            <w:r>
              <w:rPr>
                <w:rFonts w:hint="eastAsia"/>
                <w:color w:val="auto"/>
                <w:highlight w:val="none"/>
                <w:lang w:eastAsia="zh-CN"/>
              </w:rPr>
              <w:t>山东共享环境管理咨询有限公司</w:t>
            </w:r>
            <w:r>
              <w:rPr>
                <w:color w:val="auto"/>
                <w:highlight w:val="none"/>
              </w:rPr>
              <w:t>《</w:t>
            </w:r>
            <w:r>
              <w:rPr>
                <w:rFonts w:hint="eastAsia"/>
                <w:color w:val="auto"/>
                <w:highlight w:val="none"/>
                <w:lang w:eastAsia="zh-CN"/>
              </w:rPr>
              <w:t>山东盛迪医药有限公司创新药物研发一期项目</w:t>
            </w:r>
            <w:r>
              <w:rPr>
                <w:color w:val="auto"/>
                <w:highlight w:val="none"/>
              </w:rPr>
              <w:t>环境影响报告表》（</w:t>
            </w:r>
            <w:r>
              <w:rPr>
                <w:rFonts w:hint="eastAsia"/>
                <w:color w:val="auto"/>
                <w:highlight w:val="none"/>
              </w:rPr>
              <w:t>2021年</w:t>
            </w:r>
            <w:r>
              <w:rPr>
                <w:rFonts w:hint="eastAsia"/>
                <w:color w:val="auto"/>
                <w:highlight w:val="none"/>
                <w:lang w:val="en-US" w:eastAsia="zh-CN"/>
              </w:rPr>
              <w:t>5</w:t>
            </w:r>
            <w:r>
              <w:rPr>
                <w:rFonts w:hint="eastAsia"/>
                <w:color w:val="auto"/>
                <w:highlight w:val="none"/>
              </w:rPr>
              <w:t>月</w:t>
            </w:r>
            <w:r>
              <w:rPr>
                <w:color w:val="auto"/>
                <w:highlight w:val="none"/>
              </w:rPr>
              <w:t>）；</w:t>
            </w:r>
          </w:p>
          <w:p>
            <w:pPr>
              <w:adjustRightInd w:val="0"/>
              <w:snapToGrid w:val="0"/>
              <w:ind w:firstLine="0" w:firstLineChars="0"/>
              <w:jc w:val="left"/>
              <w:rPr>
                <w:color w:val="auto"/>
                <w:highlight w:val="none"/>
              </w:rPr>
            </w:pPr>
            <w:r>
              <w:rPr>
                <w:color w:val="auto"/>
                <w:highlight w:val="none"/>
              </w:rPr>
              <w:t>1</w:t>
            </w:r>
            <w:r>
              <w:rPr>
                <w:rFonts w:hint="eastAsia"/>
                <w:color w:val="auto"/>
                <w:highlight w:val="none"/>
                <w:lang w:val="en-US" w:eastAsia="zh-CN"/>
              </w:rPr>
              <w:t>5</w:t>
            </w:r>
            <w:r>
              <w:rPr>
                <w:color w:val="auto"/>
                <w:highlight w:val="none"/>
              </w:rPr>
              <w:t>、济南市生态环境局关于《</w:t>
            </w:r>
            <w:r>
              <w:rPr>
                <w:rFonts w:hint="eastAsia"/>
                <w:color w:val="auto"/>
                <w:highlight w:val="none"/>
                <w:lang w:eastAsia="zh-CN"/>
              </w:rPr>
              <w:t>山东盛迪医药有限公司创新药物研发一期项目</w:t>
            </w:r>
            <w:r>
              <w:rPr>
                <w:color w:val="auto"/>
                <w:highlight w:val="none"/>
              </w:rPr>
              <w:t>环境影响报告表》的</w:t>
            </w:r>
            <w:r>
              <w:rPr>
                <w:rFonts w:hint="eastAsia"/>
                <w:color w:val="auto"/>
                <w:highlight w:val="none"/>
              </w:rPr>
              <w:t>批复</w:t>
            </w:r>
            <w:r>
              <w:rPr>
                <w:color w:val="auto"/>
                <w:highlight w:val="none"/>
              </w:rPr>
              <w:t>（</w:t>
            </w:r>
            <w:r>
              <w:rPr>
                <w:rFonts w:hint="eastAsia"/>
                <w:color w:val="auto"/>
                <w:highlight w:val="none"/>
                <w:lang w:eastAsia="zh-CN"/>
              </w:rPr>
              <w:t>济环报告表［2021］G50号</w:t>
            </w:r>
            <w:r>
              <w:rPr>
                <w:color w:val="auto"/>
                <w:highlight w:val="none"/>
              </w:rPr>
              <w:t>，</w:t>
            </w:r>
            <w:r>
              <w:rPr>
                <w:rFonts w:hint="eastAsia"/>
                <w:color w:val="auto"/>
                <w:highlight w:val="none"/>
                <w:lang w:eastAsia="zh-CN"/>
              </w:rPr>
              <w:t>2021年6月15日</w:t>
            </w:r>
            <w:r>
              <w:rPr>
                <w:color w:val="auto"/>
                <w:highlight w:val="none"/>
              </w:rPr>
              <w:t>）；</w:t>
            </w:r>
          </w:p>
          <w:p>
            <w:pPr>
              <w:adjustRightInd w:val="0"/>
              <w:snapToGrid w:val="0"/>
              <w:ind w:firstLine="0" w:firstLineChars="0"/>
              <w:jc w:val="left"/>
              <w:rPr>
                <w:color w:val="auto"/>
                <w:highlight w:val="none"/>
              </w:rPr>
            </w:pPr>
            <w:r>
              <w:rPr>
                <w:color w:val="auto"/>
                <w:highlight w:val="none"/>
              </w:rPr>
              <w:t>1</w:t>
            </w:r>
            <w:r>
              <w:rPr>
                <w:rFonts w:hint="eastAsia"/>
                <w:color w:val="auto"/>
                <w:highlight w:val="none"/>
                <w:lang w:val="en-US" w:eastAsia="zh-CN"/>
              </w:rPr>
              <w:t>6</w:t>
            </w:r>
            <w:r>
              <w:rPr>
                <w:color w:val="auto"/>
                <w:highlight w:val="none"/>
              </w:rPr>
              <w:t>、</w:t>
            </w:r>
            <w:r>
              <w:rPr>
                <w:rFonts w:hint="eastAsia"/>
                <w:color w:val="auto"/>
                <w:highlight w:val="none"/>
                <w:lang w:eastAsia="zh-CN"/>
              </w:rPr>
              <w:t>山东盛迪医药有限公司创新药物研发一期项目</w:t>
            </w:r>
            <w:r>
              <w:rPr>
                <w:color w:val="auto"/>
                <w:highlight w:val="none"/>
              </w:rPr>
              <w:t>竣工环境保护验收</w:t>
            </w:r>
            <w:r>
              <w:rPr>
                <w:rFonts w:hint="eastAsia"/>
                <w:color w:val="auto"/>
                <w:highlight w:val="none"/>
                <w:lang w:eastAsia="zh-CN"/>
              </w:rPr>
              <w:t>检</w:t>
            </w:r>
            <w:r>
              <w:rPr>
                <w:color w:val="auto"/>
                <w:highlight w:val="none"/>
              </w:rPr>
              <w:t>测委托书。</w:t>
            </w:r>
          </w:p>
          <w:p>
            <w:pPr>
              <w:pStyle w:val="2"/>
              <w:ind w:firstLine="56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color w:val="auto"/>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1、废气：</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lang w:val="en-US" w:eastAsia="zh-CN"/>
              </w:rPr>
            </w:pPr>
            <w:r>
              <w:rPr>
                <w:rFonts w:hint="default" w:ascii="Times New Roman" w:hAnsi="Times New Roman" w:eastAsia="宋体" w:cs="Times New Roman"/>
                <w:color w:val="auto"/>
                <w:sz w:val="24"/>
                <w:lang w:val="en-US" w:eastAsia="zh-CN"/>
              </w:rPr>
              <w:t>VOCs（非甲烷总烃）（有组织）</w:t>
            </w:r>
            <w:r>
              <w:rPr>
                <w:rFonts w:hint="default" w:ascii="Times New Roman" w:hAnsi="Times New Roman" w:cs="Times New Roman"/>
                <w:color w:val="auto"/>
                <w:sz w:val="24"/>
                <w:lang w:val="en-US" w:eastAsia="zh-CN"/>
              </w:rPr>
              <w:t>：固定污染源废气 总烃、甲烷和非甲烷总烃的测定 气相色谱法（HJ 38-2017）</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sz w:val="24"/>
                <w:lang w:val="en-US" w:eastAsia="zh-CN"/>
              </w:rPr>
            </w:pPr>
            <w:r>
              <w:rPr>
                <w:rFonts w:hint="default" w:ascii="Times New Roman" w:hAnsi="Times New Roman" w:eastAsia="宋体" w:cs="Times New Roman"/>
                <w:color w:val="auto"/>
                <w:sz w:val="24"/>
                <w:lang w:val="en-US" w:eastAsia="zh-CN"/>
              </w:rPr>
              <w:t>VOCs（非甲烷总烃）（无组织）</w:t>
            </w:r>
            <w:r>
              <w:rPr>
                <w:rFonts w:hint="default" w:ascii="Times New Roman" w:hAnsi="Times New Roman" w:cs="Times New Roman"/>
                <w:color w:val="auto"/>
                <w:sz w:val="24"/>
                <w:lang w:val="en-US" w:eastAsia="zh-CN"/>
              </w:rPr>
              <w:t>：环境空气 总烃、甲烷和非甲烷总烃的测定 直接进样-气相色谱法（HJ 604-2017）</w:t>
            </w:r>
          </w:p>
          <w:p>
            <w:pPr>
              <w:pStyle w:val="3"/>
              <w:numPr>
                <w:ilvl w:val="0"/>
                <w:numId w:val="0"/>
              </w:numPr>
              <w:adjustRightInd w:val="0"/>
              <w:snapToGrid w:val="0"/>
              <w:ind w:firstLine="480"/>
              <w:rPr>
                <w:rFonts w:hint="default" w:ascii="Times New Roman" w:hAnsi="Times New Roman" w:cs="Times New Roman"/>
                <w:color w:val="auto"/>
                <w:sz w:val="24"/>
                <w:lang w:val="en-US" w:eastAsia="zh-CN"/>
              </w:rPr>
            </w:pPr>
            <w:r>
              <w:rPr>
                <w:rFonts w:hint="default" w:ascii="Times New Roman" w:hAnsi="Times New Roman"/>
                <w:color w:val="auto"/>
                <w:sz w:val="24"/>
                <w:lang w:val="en-US" w:eastAsia="zh-CN"/>
              </w:rPr>
              <w:t>氯化氢</w:t>
            </w:r>
            <w:r>
              <w:rPr>
                <w:rFonts w:hint="default" w:ascii="Times New Roman" w:hAnsi="Times New Roman" w:eastAsia="宋体" w:cs="Times New Roman"/>
                <w:color w:val="auto"/>
                <w:sz w:val="24"/>
                <w:lang w:val="en-US" w:eastAsia="zh-CN"/>
              </w:rPr>
              <w:t>（无组织）</w:t>
            </w:r>
            <w:r>
              <w:rPr>
                <w:rFonts w:hint="default" w:ascii="Times New Roman" w:hAnsi="Times New Roman" w:cs="Times New Roman"/>
                <w:color w:val="auto"/>
                <w:sz w:val="24"/>
                <w:lang w:val="en-US" w:eastAsia="zh-CN"/>
              </w:rPr>
              <w:t>：固定污染源废气 氯化氢的测定 硝酸银容量法（HJ 548-2016）</w:t>
            </w:r>
          </w:p>
          <w:p>
            <w:pPr>
              <w:pStyle w:val="3"/>
              <w:numPr>
                <w:ilvl w:val="0"/>
                <w:numId w:val="0"/>
              </w:numPr>
              <w:adjustRightInd w:val="0"/>
              <w:snapToGrid w:val="0"/>
              <w:ind w:firstLine="480"/>
              <w:rPr>
                <w:rFonts w:hint="default" w:ascii="Times New Roman" w:hAnsi="Times New Roman" w:cs="Times New Roman"/>
                <w:color w:val="auto"/>
                <w:sz w:val="24"/>
                <w:lang w:val="en-US" w:eastAsia="zh-CN"/>
              </w:rPr>
            </w:pPr>
            <w:r>
              <w:rPr>
                <w:rFonts w:hint="default" w:ascii="Times New Roman" w:hAnsi="Times New Roman"/>
                <w:color w:val="auto"/>
                <w:sz w:val="24"/>
                <w:lang w:val="en-US" w:eastAsia="zh-CN"/>
              </w:rPr>
              <w:t>氯化氢</w:t>
            </w:r>
            <w:r>
              <w:rPr>
                <w:rFonts w:hint="default" w:ascii="Times New Roman" w:hAnsi="Times New Roman" w:eastAsia="宋体" w:cs="Times New Roman"/>
                <w:color w:val="auto"/>
                <w:sz w:val="24"/>
                <w:lang w:val="en-US" w:eastAsia="zh-CN"/>
              </w:rPr>
              <w:t>（无组织）</w:t>
            </w:r>
            <w:r>
              <w:rPr>
                <w:rFonts w:hint="default" w:ascii="Times New Roman" w:hAnsi="Times New Roman" w:cs="Times New Roman"/>
                <w:color w:val="auto"/>
                <w:sz w:val="24"/>
                <w:lang w:val="en-US" w:eastAsia="zh-CN"/>
              </w:rPr>
              <w:t>：固定污染源排气中 氯化氢的测定 硫氰酸汞分光光度法（HJ/T 27-1999）</w:t>
            </w:r>
          </w:p>
          <w:p>
            <w:pPr>
              <w:pStyle w:val="3"/>
              <w:numPr>
                <w:ilvl w:val="0"/>
                <w:numId w:val="0"/>
              </w:numPr>
              <w:adjustRightInd w:val="0"/>
              <w:snapToGrid w:val="0"/>
              <w:ind w:firstLine="480"/>
              <w:rPr>
                <w:rFonts w:hint="default" w:ascii="Times New Roman" w:hAnsi="Times New Roman"/>
                <w:color w:val="auto"/>
                <w:sz w:val="24"/>
                <w:lang w:val="en-US" w:eastAsia="zh-CN"/>
              </w:rPr>
            </w:pPr>
            <w:r>
              <w:rPr>
                <w:rFonts w:hint="default" w:ascii="Times New Roman" w:hAnsi="Times New Roman"/>
                <w:color w:val="auto"/>
                <w:sz w:val="24"/>
                <w:lang w:val="en-US" w:eastAsia="zh-CN"/>
              </w:rPr>
              <w:t>甲苯：环境空气 苯系物的测定 活性炭吸附/二硫化碳解吸-气相色谱法（HJ 584-2010）</w:t>
            </w:r>
          </w:p>
          <w:p>
            <w:pPr>
              <w:pStyle w:val="3"/>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废水：</w:t>
            </w:r>
          </w:p>
          <w:p>
            <w:pPr>
              <w:keepNext w:val="0"/>
              <w:keepLines w:val="0"/>
              <w:pageBreakBefore w:val="0"/>
              <w:widowControl w:val="0"/>
              <w:kinsoku/>
              <w:wordWrap/>
              <w:overflowPunct/>
              <w:topLinePunct w:val="0"/>
              <w:autoSpaceDE/>
              <w:autoSpaceDN/>
              <w:bidi w:val="0"/>
              <w:adjustRightInd w:val="0"/>
              <w:snapToGrid w:val="0"/>
              <w:spacing w:before="0" w:after="0" w:line="360" w:lineRule="auto"/>
              <w:ind w:left="0" w:leftChars="0" w:right="0" w:firstLine="480" w:firstLineChars="200"/>
              <w:jc w:val="both"/>
              <w:textAlignment w:val="auto"/>
              <w:rPr>
                <w:rFonts w:hint="default" w:ascii="Times New Roman" w:hAnsi="Times New Roman" w:eastAsia="宋体" w:cs="Times New Roman"/>
                <w:sz w:val="24"/>
                <w:szCs w:val="24"/>
                <w:lang w:val="en-US" w:eastAsia="zh-CN"/>
              </w:rPr>
            </w:pPr>
            <w:r>
              <w:rPr>
                <w:rFonts w:hint="default" w:cs="Times New Roman"/>
                <w:sz w:val="24"/>
                <w:szCs w:val="24"/>
                <w:lang w:val="en-US" w:eastAsia="zh-CN"/>
              </w:rPr>
              <w:t>pH值</w:t>
            </w:r>
            <w:r>
              <w:rPr>
                <w:rFonts w:hint="default" w:ascii="Times New Roman" w:hAnsi="Times New Roman" w:eastAsia="宋体" w:cs="Times New Roman"/>
                <w:sz w:val="24"/>
                <w:szCs w:val="24"/>
                <w:lang w:val="en-US" w:eastAsia="zh-CN"/>
              </w:rPr>
              <w:t>：水质</w:t>
            </w:r>
            <w:r>
              <w:rPr>
                <w:rFonts w:hint="default" w:eastAsia="宋体" w:cs="Times New Roman"/>
                <w:sz w:val="24"/>
                <w:szCs w:val="24"/>
                <w:lang w:val="en-US" w:eastAsia="zh-CN"/>
              </w:rPr>
              <w:t xml:space="preserve"> </w:t>
            </w:r>
            <w:r>
              <w:rPr>
                <w:rFonts w:hint="default" w:cs="Times New Roman"/>
                <w:sz w:val="24"/>
                <w:szCs w:val="24"/>
                <w:lang w:val="en-US" w:eastAsia="zh-CN"/>
              </w:rPr>
              <w:t>pH值</w:t>
            </w:r>
            <w:r>
              <w:rPr>
                <w:rFonts w:hint="default" w:ascii="Times New Roman" w:hAnsi="Times New Roman" w:eastAsia="宋体" w:cs="Times New Roman"/>
                <w:sz w:val="24"/>
                <w:szCs w:val="24"/>
                <w:lang w:val="en-US" w:eastAsia="zh-CN"/>
              </w:rPr>
              <w:t>的测定 电极法</w:t>
            </w:r>
            <w:r>
              <w:rPr>
                <w:rFonts w:hint="default" w:eastAsia="宋体" w:cs="Times New Roman"/>
                <w:sz w:val="24"/>
                <w:szCs w:val="24"/>
                <w:lang w:val="en-US" w:eastAsia="zh-CN"/>
              </w:rPr>
              <w:t>（HJ 1147-2020）</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氨氮：水质 氨氮的测定 纳氏试剂分光光度法（HJ535-2009）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悬浮物：水质 悬浮物的测定 重量法（GB/T11901-1989）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val="en-US" w:eastAsia="zh-CN"/>
              </w:rPr>
              <w:t>总磷：</w:t>
            </w:r>
            <w:r>
              <w:rPr>
                <w:rFonts w:hint="default" w:ascii="Times New Roman" w:hAnsi="Times New Roman" w:eastAsia="宋体" w:cs="Times New Roman"/>
                <w:color w:val="auto"/>
                <w:kern w:val="2"/>
                <w:sz w:val="24"/>
                <w:szCs w:val="24"/>
                <w:lang w:val="en-US" w:eastAsia="zh-CN" w:bidi="ar-SA"/>
              </w:rPr>
              <w:t>水质 总磷的测定 钼酸铵分光光度法（GB/T11893-1989）</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化学需氧量：水质 化学需氧量的测定 重铬酸盐法  （HJ828-2017）</w:t>
            </w:r>
          </w:p>
          <w:p>
            <w:pPr>
              <w:adjustRightInd w:val="0"/>
              <w:snapToGrid w:val="0"/>
              <w:ind w:firstLine="480"/>
              <w:rPr>
                <w:rFonts w:hint="default"/>
                <w:lang w:val="en-US" w:eastAsia="zh-CN"/>
              </w:rPr>
            </w:pPr>
            <w:r>
              <w:rPr>
                <w:rFonts w:hint="default"/>
                <w:lang w:val="en-US" w:eastAsia="zh-CN"/>
              </w:rPr>
              <w:t>生化需氧量：水质 五日生化需氧量（BOD</w:t>
            </w:r>
            <w:r>
              <w:rPr>
                <w:rFonts w:hint="default"/>
                <w:vertAlign w:val="subscript"/>
                <w:lang w:val="en-US" w:eastAsia="zh-CN"/>
              </w:rPr>
              <w:t>5</w:t>
            </w:r>
            <w:r>
              <w:rPr>
                <w:rFonts w:hint="default"/>
                <w:lang w:val="en-US" w:eastAsia="zh-CN"/>
              </w:rPr>
              <w:t>）的测定 稀释与接种法（HJ 505-2009）</w:t>
            </w:r>
          </w:p>
          <w:p>
            <w:pPr>
              <w:adjustRightInd w:val="0"/>
              <w:snapToGrid w:val="0"/>
              <w:ind w:firstLine="480"/>
              <w:rPr>
                <w:rFonts w:hint="default"/>
                <w:lang w:val="en-US" w:eastAsia="zh-CN"/>
              </w:rPr>
            </w:pPr>
            <w:r>
              <w:rPr>
                <w:rFonts w:hint="default"/>
                <w:lang w:val="en-US" w:eastAsia="zh-CN"/>
              </w:rPr>
              <w:t>溶解性总固体：城镇污水水质检验方法标准(9)重量法（CJ/T 51-2018）</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3、噪声：</w:t>
            </w:r>
          </w:p>
          <w:p>
            <w:pPr>
              <w:pStyle w:val="3"/>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olor w:val="auto"/>
                <w:sz w:val="24"/>
                <w:lang w:val="en-US" w:eastAsia="zh-CN"/>
              </w:rPr>
            </w:pPr>
            <w:r>
              <w:rPr>
                <w:rFonts w:hint="default" w:ascii="Times New Roman" w:hAnsi="Times New Roman" w:eastAsia="宋体"/>
                <w:color w:val="auto"/>
                <w:sz w:val="24"/>
                <w:lang w:val="en-US" w:eastAsia="zh-CN"/>
              </w:rPr>
              <w:t>声级计法：GB12348—2008</w:t>
            </w:r>
          </w:p>
          <w:p>
            <w:pPr>
              <w:pStyle w:val="4"/>
              <w:ind w:left="0" w:leftChars="0" w:firstLine="0" w:firstLineChars="0"/>
              <w:rPr>
                <w:color w:val="auto"/>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1128" w:type="pct"/>
            <w:vAlign w:val="center"/>
          </w:tcPr>
          <w:p>
            <w:pPr>
              <w:keepNext w:val="0"/>
              <w:keepLines w:val="0"/>
              <w:pageBreakBefore w:val="0"/>
              <w:widowControl w:val="0"/>
              <w:kinsoku/>
              <w:wordWrap/>
              <w:overflowPunct/>
              <w:topLinePunct w:val="0"/>
              <w:autoSpaceDE/>
              <w:autoSpaceDN/>
              <w:bidi w:val="0"/>
              <w:spacing w:line="240" w:lineRule="auto"/>
              <w:ind w:left="0" w:leftChars="0" w:firstLine="0" w:firstLineChars="0"/>
              <w:jc w:val="center"/>
              <w:textAlignment w:val="auto"/>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24"/>
                <w:szCs w:val="24"/>
                <w:highlight w:val="none"/>
              </w:rPr>
              <w:t>验收监测标准</w:t>
            </w:r>
          </w:p>
          <w:p>
            <w:pPr>
              <w:spacing w:line="240" w:lineRule="auto"/>
              <w:ind w:firstLine="0" w:firstLineChars="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标号、级别</w:t>
            </w:r>
          </w:p>
        </w:tc>
        <w:tc>
          <w:tcPr>
            <w:tcW w:w="3871" w:type="pct"/>
            <w:gridSpan w:val="5"/>
            <w:vAlign w:val="center"/>
          </w:tcPr>
          <w:p>
            <w:pPr>
              <w:pStyle w:val="3"/>
              <w:adjustRightInd w:val="0"/>
              <w:snapToGrid w:val="0"/>
              <w:ind w:firstLine="480"/>
              <w:rPr>
                <w:rFonts w:hint="default" w:ascii="Times New Roman" w:hAnsi="Times New Roman" w:eastAsia="宋体" w:cs="Times New Roman"/>
                <w:b w:val="0"/>
                <w:color w:val="auto"/>
                <w:sz w:val="24"/>
                <w:szCs w:val="24"/>
                <w:lang w:val="en-US" w:eastAsia="zh-CN"/>
              </w:rPr>
            </w:pPr>
            <w:r>
              <w:rPr>
                <w:rFonts w:hint="default" w:ascii="Times New Roman" w:hAnsi="Times New Roman" w:eastAsia="宋体"/>
                <w:color w:val="auto"/>
                <w:sz w:val="24"/>
                <w:lang w:val="en-US" w:eastAsia="zh-CN"/>
              </w:rPr>
              <w:t>1、废气：</w:t>
            </w:r>
          </w:p>
          <w:p>
            <w:pPr>
              <w:pStyle w:val="33"/>
              <w:jc w:val="both"/>
              <w:rPr>
                <w:rFonts w:hint="eastAsia" w:ascii="Times New Roman" w:hAnsi="Times New Roman" w:cs="Times New Roman"/>
                <w:sz w:val="24"/>
                <w:lang w:eastAsia="zh-CN"/>
              </w:rPr>
            </w:pPr>
            <w:r>
              <w:rPr>
                <w:rFonts w:hint="eastAsia" w:ascii="Times New Roman" w:hAnsi="Times New Roman" w:cs="Times New Roman"/>
                <w:sz w:val="24"/>
                <w:lang w:eastAsia="zh-CN"/>
              </w:rPr>
              <w:t>有组织废气中氯化氢排放浓度执行《制药工业大气污染物排放标准》（GB37823-2019）表 2 标准；</w:t>
            </w:r>
          </w:p>
          <w:p>
            <w:pPr>
              <w:pStyle w:val="33"/>
              <w:jc w:val="both"/>
              <w:rPr>
                <w:rFonts w:hint="eastAsia" w:cs="Times New Roman"/>
                <w:sz w:val="24"/>
                <w:lang w:eastAsia="zh-CN"/>
              </w:rPr>
            </w:pPr>
            <w:r>
              <w:rPr>
                <w:rFonts w:hint="eastAsia" w:ascii="Times New Roman" w:hAnsi="Times New Roman" w:cs="Times New Roman"/>
                <w:sz w:val="24"/>
                <w:lang w:eastAsia="zh-CN"/>
              </w:rPr>
              <w:t>VOCs 排放浓度、排放速率执行《挥发性有机物排放标准第 7 部分：其他行业》（DB37/2801.7-2019） 表 1“非重点行业”II 时段最高允许排放浓度限值</w:t>
            </w:r>
            <w:r>
              <w:rPr>
                <w:rFonts w:hint="eastAsia" w:cs="Times New Roman"/>
                <w:sz w:val="24"/>
                <w:lang w:eastAsia="zh-CN"/>
              </w:rPr>
              <w:t>；</w:t>
            </w:r>
          </w:p>
          <w:p>
            <w:pPr>
              <w:pStyle w:val="33"/>
              <w:jc w:val="both"/>
              <w:rPr>
                <w:rFonts w:hint="eastAsia" w:ascii="Times New Roman" w:hAnsi="Times New Roman" w:cs="Times New Roman"/>
                <w:sz w:val="24"/>
                <w:lang w:eastAsia="zh-CN"/>
              </w:rPr>
            </w:pPr>
            <w:r>
              <w:rPr>
                <w:rFonts w:hint="eastAsia" w:ascii="Times New Roman" w:hAnsi="Times New Roman" w:cs="Times New Roman"/>
                <w:sz w:val="24"/>
                <w:lang w:eastAsia="zh-CN"/>
              </w:rPr>
              <w:t>有组织废气中硫酸雾排放浓度执行《大气污染物综合排放标准》(GB16297-1996)表 2 标准</w:t>
            </w:r>
            <w:r>
              <w:rPr>
                <w:rFonts w:hint="eastAsia" w:cs="Times New Roman"/>
                <w:sz w:val="24"/>
                <w:lang w:eastAsia="zh-CN"/>
              </w:rPr>
              <w:t>。</w:t>
            </w:r>
          </w:p>
          <w:p>
            <w:pPr>
              <w:pStyle w:val="33"/>
              <w:jc w:val="both"/>
              <w:rPr>
                <w:rFonts w:hint="eastAsia" w:ascii="Times New Roman" w:hAnsi="Times New Roman" w:cs="Times New Roman"/>
                <w:sz w:val="24"/>
                <w:lang w:eastAsia="zh-CN"/>
              </w:rPr>
            </w:pPr>
            <w:r>
              <w:rPr>
                <w:rFonts w:hint="eastAsia" w:ascii="Times New Roman" w:hAnsi="Times New Roman" w:cs="Times New Roman"/>
                <w:sz w:val="24"/>
                <w:lang w:eastAsia="zh-CN"/>
              </w:rPr>
              <w:t>无组织氯化氢执行《制药工业大气污染物排放标准》（GB37823-2019） 表 4 企业边界大气污染物浓度限值；</w:t>
            </w:r>
          </w:p>
          <w:p>
            <w:pPr>
              <w:pStyle w:val="33"/>
              <w:jc w:val="both"/>
              <w:rPr>
                <w:rFonts w:hint="eastAsia" w:ascii="Times New Roman" w:hAnsi="Times New Roman" w:cs="Times New Roman"/>
                <w:sz w:val="24"/>
                <w:lang w:eastAsia="zh-CN"/>
              </w:rPr>
            </w:pPr>
            <w:r>
              <w:rPr>
                <w:rFonts w:hint="eastAsia" w:ascii="Times New Roman" w:hAnsi="Times New Roman" w:cs="Times New Roman"/>
                <w:sz w:val="24"/>
                <w:lang w:eastAsia="zh-CN"/>
              </w:rPr>
              <w:t>无组织 VOCs 执行《挥发性有机物排放标准</w:t>
            </w:r>
            <w:r>
              <w:rPr>
                <w:rFonts w:hint="eastAsia" w:cs="Times New Roman"/>
                <w:sz w:val="24"/>
                <w:lang w:val="en-US" w:eastAsia="zh-CN"/>
              </w:rPr>
              <w:t xml:space="preserve"> </w:t>
            </w:r>
            <w:r>
              <w:rPr>
                <w:rFonts w:hint="eastAsia" w:ascii="Times New Roman" w:hAnsi="Times New Roman" w:cs="Times New Roman"/>
                <w:sz w:val="24"/>
                <w:lang w:eastAsia="zh-CN"/>
              </w:rPr>
              <w:t>第 7 部分：其他行业》（DB37/2801.7-2019）表 2 监控点浓度限值和《挥发性有机物无组织排放控制标准》（GB37822-2019）要求标准。</w:t>
            </w:r>
          </w:p>
          <w:p>
            <w:pPr>
              <w:pStyle w:val="33"/>
              <w:jc w:val="both"/>
              <w:rPr>
                <w:rFonts w:hint="eastAsia" w:ascii="Times New Roman" w:hAnsi="Times New Roman" w:cs="Times New Roman"/>
                <w:sz w:val="24"/>
                <w:lang w:eastAsia="zh-CN"/>
              </w:rPr>
            </w:pPr>
            <w:r>
              <w:rPr>
                <w:rFonts w:hint="eastAsia" w:ascii="Times New Roman" w:hAnsi="Times New Roman" w:cs="Times New Roman"/>
                <w:sz w:val="24"/>
                <w:lang w:eastAsia="zh-CN"/>
              </w:rPr>
              <w:t>无组织硫酸雾执行《大气污染物综合排放标准》(GB16297-1996)表 2 标准；</w:t>
            </w:r>
          </w:p>
          <w:p>
            <w:pPr>
              <w:pStyle w:val="3"/>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ascii="Times New Roman" w:hAnsi="Times New Roman" w:cs="Times New Roman"/>
                <w:b/>
                <w:bCs/>
                <w:sz w:val="24"/>
                <w:lang w:val="en-US" w:eastAsia="zh-CN"/>
              </w:rPr>
            </w:pPr>
            <w:r>
              <w:rPr>
                <w:rFonts w:hint="default" w:ascii="Times New Roman" w:hAnsi="Times New Roman" w:cs="Times New Roman"/>
                <w:b/>
                <w:bCs/>
                <w:sz w:val="24"/>
                <w:lang w:val="en-US" w:eastAsia="zh-CN"/>
              </w:rPr>
              <w:t>表</w:t>
            </w:r>
            <w:r>
              <w:rPr>
                <w:rFonts w:hint="eastAsia" w:ascii="Times New Roman" w:hAnsi="Times New Roman" w:cs="Times New Roman"/>
                <w:b/>
                <w:bCs/>
                <w:sz w:val="24"/>
                <w:lang w:val="en-US" w:eastAsia="zh-CN"/>
              </w:rPr>
              <w:t>1-1</w:t>
            </w:r>
            <w:r>
              <w:rPr>
                <w:rFonts w:hint="default" w:ascii="Times New Roman" w:hAnsi="Times New Roman" w:cs="Times New Roman"/>
                <w:b/>
                <w:bCs/>
                <w:sz w:val="24"/>
                <w:lang w:val="en-US" w:eastAsia="zh-CN"/>
              </w:rPr>
              <w:t xml:space="preserve">  大气污染物排放限值</w:t>
            </w:r>
          </w:p>
          <w:tbl>
            <w:tblPr>
              <w:tblStyle w:val="28"/>
              <w:tblW w:w="4997" w:type="pct"/>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394"/>
              <w:gridCol w:w="1817"/>
              <w:gridCol w:w="1558"/>
              <w:gridCol w:w="1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vMerge w:val="restar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序号</w:t>
                  </w:r>
                </w:p>
              </w:tc>
              <w:tc>
                <w:tcPr>
                  <w:tcW w:w="959" w:type="pct"/>
                  <w:vMerge w:val="restar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污染物</w:t>
                  </w:r>
                </w:p>
              </w:tc>
              <w:tc>
                <w:tcPr>
                  <w:tcW w:w="2322" w:type="pct"/>
                  <w:gridSpan w:val="2"/>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有组织排放</w:t>
                  </w:r>
                </w:p>
              </w:tc>
              <w:tc>
                <w:tcPr>
                  <w:tcW w:w="1235"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default" w:ascii="Times New Roman" w:hAnsi="Times New Roman" w:eastAsia="宋体" w:cs="Times New Roman"/>
                      <w:b/>
                      <w:bCs/>
                      <w:szCs w:val="21"/>
                      <w:lang w:val="en-US" w:eastAsia="zh-CN"/>
                    </w:rPr>
                    <w:t>无组织排放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vMerge w:val="continue"/>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959" w:type="pct"/>
                  <w:vMerge w:val="continue"/>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p>
              </w:tc>
              <w:tc>
                <w:tcPr>
                  <w:tcW w:w="1250"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m³</w:t>
                  </w:r>
                </w:p>
              </w:tc>
              <w:tc>
                <w:tcPr>
                  <w:tcW w:w="1071"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排放速率kg/h</w:t>
                  </w:r>
                </w:p>
              </w:tc>
              <w:tc>
                <w:tcPr>
                  <w:tcW w:w="1235"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b/>
                      <w:bCs/>
                      <w:szCs w:val="21"/>
                      <w:lang w:val="en-US" w:eastAsia="zh-CN"/>
                    </w:rPr>
                  </w:pPr>
                  <w:r>
                    <w:rPr>
                      <w:rFonts w:hint="eastAsia" w:cs="Times New Roman"/>
                      <w:b/>
                      <w:bCs/>
                      <w:szCs w:val="21"/>
                      <w:lang w:val="en-US" w:eastAsia="zh-CN"/>
                    </w:rPr>
                    <w:t>最大允许</w:t>
                  </w:r>
                  <w:r>
                    <w:rPr>
                      <w:rFonts w:hint="default" w:ascii="Times New Roman" w:hAnsi="Times New Roman" w:eastAsia="宋体" w:cs="Times New Roman"/>
                      <w:b/>
                      <w:bCs/>
                      <w:szCs w:val="21"/>
                      <w:lang w:val="en-US" w:eastAsia="zh-CN"/>
                    </w:rPr>
                    <w:t>排放浓度mg/</w:t>
                  </w:r>
                  <w:r>
                    <w:rPr>
                      <w:rFonts w:hint="eastAsia" w:cs="Times New Roman"/>
                      <w:b/>
                      <w:bCs/>
                      <w:szCs w:val="21"/>
                      <w:vertAlign w:val="baseline"/>
                      <w:lang w:val="en-US" w:eastAsia="zh-CN"/>
                    </w:rPr>
                    <w:t>m³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t>1</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w:t>
                  </w:r>
                </w:p>
              </w:tc>
              <w:tc>
                <w:tcPr>
                  <w:tcW w:w="107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2</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107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3</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07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ascii="Times New Roman" w:hAnsi="Times New Roman" w:eastAsia="宋体" w:cs="Times New Roman"/>
                      <w:szCs w:val="21"/>
                      <w:lang w:val="en-US" w:eastAsia="zh-CN"/>
                    </w:rPr>
                  </w:pPr>
                  <w:r>
                    <w:rPr>
                      <w:rFonts w:hint="eastAsia" w:cs="Times New Roman"/>
                      <w:szCs w:val="21"/>
                      <w:lang w:val="en-US" w:eastAsia="zh-CN"/>
                    </w:rPr>
                    <w:t>4</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107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82" w:type="pct"/>
                  <w:noWrap w:val="0"/>
                  <w:vAlign w:val="center"/>
                </w:tcPr>
                <w:p>
                  <w:pPr>
                    <w:pStyle w:val="42"/>
                    <w:keepNext w:val="0"/>
                    <w:keepLines w:val="0"/>
                    <w:pageBreakBefore w:val="0"/>
                    <w:widowControl w:val="0"/>
                    <w:kinsoku/>
                    <w:wordWrap/>
                    <w:overflowPunct/>
                    <w:topLinePunct w:val="0"/>
                    <w:autoSpaceDE/>
                    <w:autoSpaceDN/>
                    <w:bidi w:val="0"/>
                    <w:adjustRightInd/>
                    <w:snapToGrid/>
                    <w:ind w:left="0" w:leftChars="0" w:right="0" w:rightChars="0" w:firstLine="0" w:firstLineChars="0"/>
                    <w:jc w:val="center"/>
                    <w:textAlignment w:val="auto"/>
                    <w:rPr>
                      <w:rFonts w:hint="default" w:cs="Times New Roman"/>
                      <w:szCs w:val="21"/>
                      <w:lang w:val="en-US" w:eastAsia="zh-CN"/>
                    </w:rPr>
                  </w:pPr>
                  <w:r>
                    <w:rPr>
                      <w:rFonts w:hint="eastAsia" w:cs="Times New Roman"/>
                      <w:szCs w:val="21"/>
                      <w:lang w:val="en-US" w:eastAsia="zh-CN"/>
                    </w:rPr>
                    <w:t>5</w:t>
                  </w:r>
                </w:p>
              </w:tc>
              <w:tc>
                <w:tcPr>
                  <w:tcW w:w="959"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硫酸雾</w:t>
                  </w:r>
                </w:p>
              </w:tc>
              <w:tc>
                <w:tcPr>
                  <w:tcW w:w="1250"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45</w:t>
                  </w:r>
                </w:p>
              </w:tc>
              <w:tc>
                <w:tcPr>
                  <w:tcW w:w="1071"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2.6</w:t>
                  </w:r>
                </w:p>
              </w:tc>
              <w:tc>
                <w:tcPr>
                  <w:tcW w:w="1235" w:type="pc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1.2</w:t>
                  </w:r>
                </w:p>
              </w:tc>
            </w:tr>
          </w:tbl>
          <w:p>
            <w:pPr>
              <w:pStyle w:val="3"/>
              <w:numPr>
                <w:ilvl w:val="0"/>
                <w:numId w:val="3"/>
              </w:numPr>
              <w:adjustRightInd w:val="0"/>
              <w:snapToGrid w:val="0"/>
              <w:ind w:left="0" w:leftChars="0" w:firstLine="480"/>
              <w:rPr>
                <w:rFonts w:hint="default" w:ascii="Times New Roman" w:hAnsi="Times New Roman" w:cs="Times New Roman"/>
                <w:b w:val="0"/>
                <w:bCs w:val="0"/>
                <w:color w:val="auto"/>
                <w:sz w:val="24"/>
                <w:lang w:eastAsia="zh-CN"/>
              </w:rPr>
            </w:pPr>
            <w:r>
              <w:rPr>
                <w:rFonts w:hint="default" w:ascii="Times New Roman" w:hAnsi="Times New Roman" w:eastAsia="宋体" w:cs="Times New Roman"/>
                <w:color w:val="auto"/>
                <w:sz w:val="24"/>
                <w:szCs w:val="24"/>
                <w:lang w:val="en-US" w:eastAsia="zh-CN"/>
              </w:rPr>
              <w:t>废水：</w:t>
            </w:r>
            <w:r>
              <w:rPr>
                <w:rFonts w:hint="default" w:ascii="Times New Roman" w:hAnsi="Times New Roman" w:cs="Times New Roman"/>
                <w:b w:val="0"/>
                <w:bCs w:val="0"/>
                <w:color w:val="auto"/>
                <w:sz w:val="24"/>
                <w:lang w:eastAsia="zh-CN"/>
              </w:rPr>
              <w:t xml:space="preserve">执行《污水排入城镇下水道水质标准》（GB/T 31962-2015）中表 1 的 </w:t>
            </w:r>
            <w:r>
              <w:rPr>
                <w:rFonts w:hint="eastAsia" w:ascii="Times New Roman" w:hAnsi="Times New Roman" w:cs="Times New Roman"/>
                <w:b w:val="0"/>
                <w:bCs w:val="0"/>
                <w:color w:val="auto"/>
                <w:sz w:val="24"/>
                <w:lang w:val="en-US" w:eastAsia="zh-CN"/>
              </w:rPr>
              <w:t>A</w:t>
            </w:r>
            <w:r>
              <w:rPr>
                <w:rFonts w:hint="default" w:ascii="Times New Roman" w:hAnsi="Times New Roman" w:cs="Times New Roman"/>
                <w:b w:val="0"/>
                <w:bCs w:val="0"/>
                <w:color w:val="auto"/>
                <w:sz w:val="24"/>
                <w:lang w:eastAsia="zh-CN"/>
              </w:rPr>
              <w:t>等级标准</w:t>
            </w:r>
            <w:r>
              <w:rPr>
                <w:rFonts w:ascii="Times New Roman" w:hAnsi="Times New Roman"/>
                <w:color w:val="auto"/>
                <w:sz w:val="24"/>
                <w:highlight w:val="none"/>
              </w:rPr>
              <w:t>，同时应满足银丰国际生物城污水处理站进水水质要求</w:t>
            </w:r>
            <w:r>
              <w:rPr>
                <w:rFonts w:hint="default" w:ascii="Times New Roman" w:hAnsi="Times New Roman" w:cs="Times New Roman"/>
                <w:b w:val="0"/>
                <w:bCs w:val="0"/>
                <w:color w:val="auto"/>
                <w:sz w:val="24"/>
                <w:lang w:eastAsia="zh-CN"/>
              </w:rPr>
              <w:t>。</w:t>
            </w:r>
          </w:p>
          <w:p>
            <w:pPr>
              <w:ind w:firstLine="482"/>
              <w:jc w:val="center"/>
              <w:rPr>
                <w:b/>
                <w:bCs/>
                <w:color w:val="auto"/>
                <w:highlight w:val="none"/>
              </w:rPr>
            </w:pPr>
            <w:r>
              <w:rPr>
                <w:b/>
                <w:bCs/>
                <w:color w:val="auto"/>
                <w:highlight w:val="none"/>
              </w:rPr>
              <w:t>表</w:t>
            </w:r>
            <w:r>
              <w:rPr>
                <w:rFonts w:hint="eastAsia"/>
                <w:b/>
                <w:bCs/>
                <w:color w:val="auto"/>
                <w:highlight w:val="none"/>
              </w:rPr>
              <w:t xml:space="preserve">1-2 </w:t>
            </w:r>
            <w:r>
              <w:rPr>
                <w:b/>
                <w:bCs/>
                <w:color w:val="auto"/>
                <w:highlight w:val="none"/>
              </w:rPr>
              <w:t xml:space="preserve"> 废水排放标准</w:t>
            </w:r>
          </w:p>
          <w:tbl>
            <w:tblPr>
              <w:tblStyle w:val="27"/>
              <w:tblW w:w="4997"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53"/>
              <w:gridCol w:w="887"/>
              <w:gridCol w:w="1634"/>
              <w:gridCol w:w="2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06"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控制项目名称</w:t>
                  </w:r>
                </w:p>
              </w:tc>
              <w:tc>
                <w:tcPr>
                  <w:tcW w:w="610"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2717" w:type="pct"/>
                  <w:gridSpan w:val="2"/>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控制项目限值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0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610"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124"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1592"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1</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pH值</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6.5-9.5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2</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化学需氧量</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5000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3</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氨氮</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100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4</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悬浮物</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600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5</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总磷</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20</w:t>
                  </w:r>
                </w:p>
              </w:tc>
              <w:tc>
                <w:tcPr>
                  <w:tcW w:w="1592" w:type="pct"/>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6</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rFonts w:hint="default" w:ascii="Times New Roman" w:hAnsi="Times New Roman" w:eastAsia="宋体" w:cs="Times New Roman"/>
                      <w:spacing w:val="10"/>
                      <w:sz w:val="21"/>
                      <w:szCs w:val="21"/>
                      <w:lang w:eastAsia="zh-CN"/>
                    </w:rPr>
                    <w:t>生化需氧量</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2" w:type="pct"/>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5"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7</w:t>
                  </w:r>
                </w:p>
              </w:tc>
              <w:tc>
                <w:tcPr>
                  <w:tcW w:w="1206" w:type="pct"/>
                  <w:vAlign w:val="center"/>
                </w:tcPr>
                <w:p>
                  <w:pPr>
                    <w:widowControl/>
                    <w:adjustRightInd w:val="0"/>
                    <w:snapToGrid w:val="0"/>
                    <w:spacing w:line="240" w:lineRule="auto"/>
                    <w:ind w:firstLine="0" w:firstLineChars="0"/>
                    <w:jc w:val="center"/>
                    <w:rPr>
                      <w:color w:val="auto"/>
                      <w:sz w:val="21"/>
                      <w:szCs w:val="21"/>
                      <w:highlight w:val="none"/>
                    </w:rPr>
                  </w:pPr>
                  <w:r>
                    <w:rPr>
                      <w:rFonts w:hint="default" w:ascii="Times New Roman" w:hAnsi="Times New Roman" w:eastAsia="宋体" w:cs="Times New Roman"/>
                      <w:spacing w:val="10"/>
                      <w:kern w:val="2"/>
                      <w:sz w:val="21"/>
                      <w:szCs w:val="21"/>
                      <w:lang w:val="en-US" w:eastAsia="zh-CN" w:bidi="ar-SA"/>
                    </w:rPr>
                    <w:t>溶解性总固体</w:t>
                  </w:r>
                </w:p>
              </w:tc>
              <w:tc>
                <w:tcPr>
                  <w:tcW w:w="610"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mg/L</w:t>
                  </w:r>
                </w:p>
              </w:tc>
              <w:tc>
                <w:tcPr>
                  <w:tcW w:w="1124" w:type="pct"/>
                  <w:vAlign w:val="center"/>
                </w:tcPr>
                <w:p>
                  <w:pPr>
                    <w:widowControl/>
                    <w:adjustRightInd w:val="0"/>
                    <w:snapToGrid w:val="0"/>
                    <w:spacing w:line="240" w:lineRule="auto"/>
                    <w:ind w:firstLine="0" w:firstLineChars="0"/>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w:t>
                  </w:r>
                </w:p>
              </w:tc>
              <w:tc>
                <w:tcPr>
                  <w:tcW w:w="1592" w:type="pct"/>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r>
          </w:tbl>
          <w:p>
            <w:pPr>
              <w:pStyle w:val="3"/>
              <w:keepNext w:val="0"/>
              <w:keepLines w:val="0"/>
              <w:pageBreakBefore w:val="0"/>
              <w:widowControl w:val="0"/>
              <w:numPr>
                <w:ilvl w:val="0"/>
                <w:numId w:val="3"/>
              </w:numPr>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噪声：执行《工业企业厂界环境噪声排放标准》（GB12348-2008）中2类标准。</w:t>
            </w:r>
          </w:p>
          <w:p>
            <w:pPr>
              <w:ind w:firstLine="482"/>
              <w:jc w:val="center"/>
              <w:rPr>
                <w:b/>
                <w:bCs/>
                <w:color w:val="auto"/>
                <w:highlight w:val="none"/>
              </w:rPr>
            </w:pPr>
            <w:r>
              <w:rPr>
                <w:b/>
                <w:bCs/>
                <w:color w:val="auto"/>
                <w:highlight w:val="none"/>
              </w:rPr>
              <w:t>表</w:t>
            </w:r>
            <w:r>
              <w:rPr>
                <w:rFonts w:hint="eastAsia"/>
                <w:b/>
                <w:bCs/>
                <w:color w:val="auto"/>
                <w:highlight w:val="none"/>
              </w:rPr>
              <w:t xml:space="preserve">1-3 </w:t>
            </w:r>
            <w:r>
              <w:rPr>
                <w:b/>
                <w:bCs/>
                <w:color w:val="auto"/>
                <w:highlight w:val="none"/>
              </w:rPr>
              <w:t xml:space="preserve"> </w:t>
            </w:r>
            <w:r>
              <w:rPr>
                <w:rFonts w:hint="eastAsia"/>
                <w:b/>
                <w:bCs/>
                <w:color w:val="auto"/>
                <w:highlight w:val="none"/>
              </w:rPr>
              <w:t>噪声</w:t>
            </w:r>
            <w:r>
              <w:rPr>
                <w:b/>
                <w:bCs/>
                <w:color w:val="auto"/>
                <w:highlight w:val="none"/>
              </w:rPr>
              <w:t>排放标准</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
              <w:gridCol w:w="1792"/>
              <w:gridCol w:w="1675"/>
              <w:gridCol w:w="2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36"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序号</w:t>
                  </w:r>
                </w:p>
              </w:tc>
              <w:tc>
                <w:tcPr>
                  <w:tcW w:w="1233"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声环境功能区类别</w:t>
                  </w:r>
                </w:p>
              </w:tc>
              <w:tc>
                <w:tcPr>
                  <w:tcW w:w="1152" w:type="pct"/>
                  <w:vMerge w:val="restar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单位</w:t>
                  </w:r>
                </w:p>
              </w:tc>
              <w:tc>
                <w:tcPr>
                  <w:tcW w:w="1977" w:type="pct"/>
                  <w:vAlign w:val="center"/>
                </w:tcPr>
                <w:p>
                  <w:pPr>
                    <w:widowControl/>
                    <w:adjustRightInd w:val="0"/>
                    <w:snapToGrid w:val="0"/>
                    <w:spacing w:line="240" w:lineRule="auto"/>
                    <w:ind w:firstLine="0" w:firstLineChars="0"/>
                    <w:jc w:val="center"/>
                    <w:rPr>
                      <w:b/>
                      <w:color w:val="auto"/>
                      <w:sz w:val="21"/>
                      <w:szCs w:val="21"/>
                      <w:highlight w:val="none"/>
                    </w:rPr>
                  </w:pPr>
                  <w:r>
                    <w:rPr>
                      <w:b/>
                      <w:color w:val="auto"/>
                      <w:sz w:val="21"/>
                      <w:szCs w:val="21"/>
                      <w:highlight w:val="none"/>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36"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233"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152" w:type="pct"/>
                  <w:vMerge w:val="continue"/>
                  <w:vAlign w:val="center"/>
                </w:tcPr>
                <w:p>
                  <w:pPr>
                    <w:widowControl/>
                    <w:adjustRightInd w:val="0"/>
                    <w:snapToGrid w:val="0"/>
                    <w:spacing w:line="240" w:lineRule="auto"/>
                    <w:ind w:firstLine="0" w:firstLineChars="0"/>
                    <w:jc w:val="center"/>
                    <w:rPr>
                      <w:b/>
                      <w:color w:val="auto"/>
                      <w:sz w:val="21"/>
                      <w:szCs w:val="21"/>
                      <w:highlight w:val="none"/>
                    </w:rPr>
                  </w:pPr>
                </w:p>
              </w:tc>
              <w:tc>
                <w:tcPr>
                  <w:tcW w:w="1977" w:type="pct"/>
                  <w:vAlign w:val="center"/>
                </w:tcPr>
                <w:p>
                  <w:pPr>
                    <w:widowControl/>
                    <w:adjustRightInd w:val="0"/>
                    <w:snapToGrid w:val="0"/>
                    <w:spacing w:line="240" w:lineRule="auto"/>
                    <w:ind w:firstLine="0" w:firstLineChars="0"/>
                    <w:jc w:val="center"/>
                    <w:rPr>
                      <w:b/>
                      <w:bCs/>
                      <w:color w:val="auto"/>
                      <w:sz w:val="21"/>
                      <w:szCs w:val="21"/>
                      <w:highlight w:val="none"/>
                    </w:rPr>
                  </w:pPr>
                  <w:r>
                    <w:rPr>
                      <w:b/>
                      <w:bCs/>
                      <w:color w:val="auto"/>
                      <w:sz w:val="21"/>
                      <w:szCs w:val="21"/>
                      <w:highlight w:val="none"/>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36"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1</w:t>
                  </w:r>
                </w:p>
              </w:tc>
              <w:tc>
                <w:tcPr>
                  <w:tcW w:w="1233"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2</w:t>
                  </w:r>
                </w:p>
              </w:tc>
              <w:tc>
                <w:tcPr>
                  <w:tcW w:w="1152"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dB(A)</w:t>
                  </w:r>
                </w:p>
              </w:tc>
              <w:tc>
                <w:tcPr>
                  <w:tcW w:w="1977" w:type="pct"/>
                  <w:vAlign w:val="center"/>
                </w:tcPr>
                <w:p>
                  <w:pPr>
                    <w:widowControl/>
                    <w:adjustRightInd w:val="0"/>
                    <w:snapToGrid w:val="0"/>
                    <w:spacing w:line="240" w:lineRule="auto"/>
                    <w:ind w:firstLine="0" w:firstLineChars="0"/>
                    <w:jc w:val="center"/>
                    <w:rPr>
                      <w:color w:val="auto"/>
                      <w:sz w:val="21"/>
                      <w:szCs w:val="21"/>
                      <w:highlight w:val="none"/>
                    </w:rPr>
                  </w:pPr>
                  <w:r>
                    <w:rPr>
                      <w:color w:val="auto"/>
                      <w:sz w:val="21"/>
                      <w:szCs w:val="21"/>
                      <w:highlight w:val="none"/>
                    </w:rPr>
                    <w:t>60</w:t>
                  </w:r>
                </w:p>
              </w:tc>
            </w:tr>
          </w:tbl>
          <w:p>
            <w:pPr>
              <w:pStyle w:val="3"/>
              <w:numPr>
                <w:ilvl w:val="0"/>
                <w:numId w:val="3"/>
              </w:numPr>
              <w:adjustRightInd w:val="0"/>
              <w:snapToGrid w:val="0"/>
              <w:ind w:firstLine="480" w:firstLineChars="200"/>
              <w:rPr>
                <w:rFonts w:hint="default" w:ascii="Times New Roman" w:hAnsi="Times New Roman"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固废：一般固废执行《一般工业固体废物贮存和填埋污染控制标准》（GB18599-2020）的要求，危险废物执行《危险废物贮存污染控制标准》（GB18597-2001）及修改单的规定。</w:t>
            </w:r>
          </w:p>
          <w:p>
            <w:pPr>
              <w:pStyle w:val="6"/>
              <w:numPr>
                <w:ilvl w:val="-1"/>
                <w:numId w:val="0"/>
              </w:numPr>
              <w:ind w:firstLine="0" w:firstLineChars="0"/>
              <w:rPr>
                <w:rFonts w:hint="default"/>
                <w:lang w:eastAsia="zh-CN"/>
              </w:rPr>
            </w:pPr>
          </w:p>
          <w:p>
            <w:pPr>
              <w:pStyle w:val="6"/>
              <w:numPr>
                <w:ilvl w:val="-1"/>
                <w:numId w:val="0"/>
              </w:numPr>
              <w:ind w:firstLine="0" w:firstLineChars="0"/>
              <w:rPr>
                <w:rFonts w:hint="default"/>
                <w:lang w:eastAsia="zh-CN"/>
              </w:rPr>
            </w:pPr>
          </w:p>
          <w:p>
            <w:pPr>
              <w:pStyle w:val="4"/>
              <w:ind w:left="0" w:leftChars="0" w:firstLine="0" w:firstLineChars="0"/>
              <w:rPr>
                <w:color w:val="auto"/>
                <w:highlight w:val="none"/>
              </w:rPr>
            </w:pPr>
          </w:p>
        </w:tc>
      </w:tr>
    </w:tbl>
    <w:p>
      <w:pPr>
        <w:ind w:firstLine="0" w:firstLineChars="0"/>
        <w:outlineLvl w:val="0"/>
        <w:rPr>
          <w:b/>
          <w:bCs/>
          <w:color w:val="auto"/>
          <w:sz w:val="30"/>
          <w:szCs w:val="30"/>
          <w:highlight w:val="none"/>
        </w:rPr>
      </w:pPr>
      <w:r>
        <w:rPr>
          <w:b/>
          <w:bCs/>
          <w:color w:val="auto"/>
          <w:sz w:val="30"/>
          <w:szCs w:val="30"/>
          <w:highlight w:val="none"/>
        </w:rPr>
        <w:br w:type="page"/>
      </w:r>
      <w:bookmarkStart w:id="47" w:name="_Toc8722"/>
      <w:bookmarkStart w:id="48" w:name="_Toc11388"/>
      <w:bookmarkStart w:id="49" w:name="_Toc15236"/>
      <w:bookmarkStart w:id="50" w:name="_Toc16985"/>
      <w:bookmarkStart w:id="51" w:name="_Toc32190"/>
      <w:bookmarkStart w:id="52" w:name="_Toc22930"/>
      <w:bookmarkStart w:id="53" w:name="_Toc14835"/>
      <w:bookmarkStart w:id="54" w:name="_Toc20317"/>
      <w:bookmarkStart w:id="55" w:name="_Toc4548"/>
      <w:bookmarkStart w:id="56" w:name="_Toc7615"/>
      <w:bookmarkStart w:id="57" w:name="_Toc4745"/>
      <w:bookmarkStart w:id="58" w:name="_Toc507"/>
      <w:bookmarkStart w:id="59" w:name="_Toc2469"/>
      <w:bookmarkStart w:id="60" w:name="_Toc7621"/>
      <w:bookmarkStart w:id="61" w:name="_Toc7622"/>
      <w:bookmarkStart w:id="62" w:name="_Toc32517"/>
      <w:bookmarkStart w:id="63" w:name="_Toc3897"/>
      <w:bookmarkStart w:id="64" w:name="_Toc28406"/>
      <w:bookmarkStart w:id="65" w:name="_Toc8085"/>
      <w:bookmarkStart w:id="66" w:name="_Toc29579"/>
      <w:bookmarkStart w:id="67" w:name="_Toc30894"/>
      <w:bookmarkStart w:id="68" w:name="_Toc27274"/>
      <w:bookmarkStart w:id="69" w:name="_Toc27709"/>
      <w:bookmarkStart w:id="70" w:name="_Toc11397"/>
      <w:bookmarkStart w:id="71" w:name="_Toc22292"/>
      <w:bookmarkStart w:id="72" w:name="_Toc497"/>
      <w:bookmarkStart w:id="73" w:name="_Toc19446"/>
      <w:bookmarkStart w:id="74" w:name="_Toc3886"/>
      <w:bookmarkStart w:id="75" w:name="_Toc6079"/>
      <w:bookmarkStart w:id="76" w:name="_Toc5873"/>
      <w:bookmarkStart w:id="77" w:name="_Toc12283"/>
      <w:bookmarkStart w:id="78" w:name="_Toc23920"/>
      <w:bookmarkStart w:id="79" w:name="_Toc12340"/>
      <w:bookmarkStart w:id="80" w:name="_Toc12110"/>
      <w:bookmarkStart w:id="81" w:name="_Toc19578"/>
      <w:bookmarkStart w:id="82" w:name="_Toc19580"/>
      <w:bookmarkStart w:id="83" w:name="_Toc16743"/>
      <w:bookmarkStart w:id="84" w:name="_Toc12227"/>
      <w:bookmarkStart w:id="85" w:name="_Toc30690"/>
      <w:bookmarkStart w:id="86" w:name="_Toc24508"/>
      <w:bookmarkStart w:id="87" w:name="_Toc25508"/>
      <w:bookmarkStart w:id="88" w:name="_Toc5255"/>
      <w:bookmarkStart w:id="89" w:name="_Toc3294"/>
      <w:r>
        <w:rPr>
          <w:b/>
          <w:bCs/>
          <w:color w:val="auto"/>
          <w:sz w:val="30"/>
          <w:szCs w:val="30"/>
          <w:highlight w:val="none"/>
        </w:rPr>
        <w:t>表2  建设项目概况及工艺流程</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tbl>
      <w:tblPr>
        <w:tblStyle w:val="27"/>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927" w:hRule="atLeast"/>
          <w:jc w:val="center"/>
        </w:trPr>
        <w:tc>
          <w:tcPr>
            <w:tcW w:w="5000" w:type="pct"/>
            <w:tcBorders>
              <w:top w:val="single" w:color="000000" w:sz="12" w:space="0"/>
              <w:bottom w:val="single" w:color="auto" w:sz="4" w:space="0"/>
            </w:tcBorders>
          </w:tcPr>
          <w:p>
            <w:pPr>
              <w:pStyle w:val="33"/>
              <w:ind w:firstLine="482"/>
              <w:rPr>
                <w:rFonts w:cs="Times New Roman"/>
                <w:b/>
                <w:bCs/>
                <w:color w:val="auto"/>
                <w:kern w:val="0"/>
                <w:highlight w:val="none"/>
              </w:rPr>
            </w:pPr>
            <w:r>
              <w:rPr>
                <w:rFonts w:cs="Times New Roman"/>
                <w:b/>
                <w:bCs/>
                <w:color w:val="auto"/>
                <w:kern w:val="0"/>
                <w:highlight w:val="none"/>
              </w:rPr>
              <w:t>一、公司概况</w:t>
            </w:r>
          </w:p>
          <w:p>
            <w:pPr>
              <w:pStyle w:val="33"/>
              <w:rPr>
                <w:rFonts w:hint="default" w:cs="Times New Roman"/>
                <w:szCs w:val="24"/>
                <w:lang w:val="en-US" w:eastAsia="zh-CN"/>
              </w:rPr>
            </w:pPr>
            <w:r>
              <w:rPr>
                <w:rFonts w:hint="default" w:cs="Times New Roman"/>
                <w:szCs w:val="24"/>
                <w:lang w:val="en-US" w:eastAsia="zh-CN"/>
              </w:rPr>
              <w:t>山东盛迪医药有限公司成立于2018年06月13日，注册地位于山东省济南市高新区大正路1777号生物医药园中小企业产业化基地5号楼102，法定代表人为蒋素梅。经营范围包括药品生产；医药技术、生物技术开发</w:t>
            </w:r>
            <w:r>
              <w:rPr>
                <w:rFonts w:hint="eastAsia" w:cs="Times New Roman"/>
                <w:szCs w:val="24"/>
                <w:lang w:val="en-US" w:eastAsia="zh-CN"/>
              </w:rPr>
              <w:t>等</w:t>
            </w:r>
            <w:r>
              <w:rPr>
                <w:rFonts w:hint="default" w:cs="Times New Roman"/>
                <w:szCs w:val="24"/>
                <w:lang w:val="en-US" w:eastAsia="zh-CN"/>
              </w:rPr>
              <w:t>。</w:t>
            </w:r>
          </w:p>
          <w:p>
            <w:pPr>
              <w:pStyle w:val="33"/>
              <w:rPr>
                <w:rFonts w:hint="default" w:ascii="Times New Roman" w:hAnsi="Times New Roman" w:eastAsia="宋体" w:cs="Times New Roman"/>
                <w:sz w:val="24"/>
                <w:szCs w:val="24"/>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eastAsia"/>
                <w:color w:val="auto"/>
                <w:sz w:val="24"/>
                <w:highlight w:val="none"/>
                <w:lang w:val="en-US" w:eastAsia="zh-CN"/>
              </w:rPr>
              <w:t>通过了</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ind w:firstLine="482"/>
              <w:jc w:val="left"/>
              <w:rPr>
                <w:b/>
                <w:bCs/>
                <w:color w:val="auto"/>
                <w:highlight w:val="none"/>
              </w:rPr>
            </w:pPr>
            <w:r>
              <w:rPr>
                <w:b/>
                <w:bCs/>
                <w:color w:val="auto"/>
                <w:highlight w:val="none"/>
              </w:rPr>
              <w:t>二、本项目概况</w:t>
            </w:r>
          </w:p>
          <w:p>
            <w:pPr>
              <w:rPr>
                <w:rFonts w:hint="default" w:ascii="Times New Roman" w:hAnsi="Times New Roman" w:cs="Times New Roman"/>
                <w:sz w:val="24"/>
                <w:szCs w:val="24"/>
                <w:lang w:val="en-US" w:eastAsia="zh-CN"/>
              </w:rPr>
            </w:pPr>
            <w:r>
              <w:rPr>
                <w:rFonts w:hint="eastAsia" w:cs="Times New Roman"/>
                <w:sz w:val="24"/>
                <w:szCs w:val="24"/>
                <w:lang w:eastAsia="zh-CN"/>
              </w:rPr>
              <w:t>山东盛迪医药有限公司</w:t>
            </w:r>
            <w:r>
              <w:rPr>
                <w:rFonts w:hint="default" w:cs="Times New Roman"/>
                <w:sz w:val="24"/>
                <w:szCs w:val="24"/>
                <w:lang w:val="en-US" w:eastAsia="zh-CN"/>
              </w:rPr>
              <w:t>2021年</w:t>
            </w:r>
            <w:r>
              <w:rPr>
                <w:rFonts w:hint="eastAsia" w:cs="Times New Roman"/>
                <w:sz w:val="24"/>
                <w:szCs w:val="24"/>
                <w:lang w:val="en-US" w:eastAsia="zh-CN"/>
              </w:rPr>
              <w:t>5</w:t>
            </w:r>
            <w:r>
              <w:rPr>
                <w:rFonts w:hint="default" w:cs="Times New Roman"/>
                <w:sz w:val="24"/>
                <w:szCs w:val="24"/>
                <w:lang w:val="en-US" w:eastAsia="zh-CN"/>
              </w:rPr>
              <w:t>月委</w:t>
            </w:r>
            <w:r>
              <w:rPr>
                <w:rFonts w:hint="default" w:ascii="Times New Roman" w:hAnsi="Times New Roman" w:cs="Times New Roman"/>
                <w:sz w:val="24"/>
                <w:szCs w:val="24"/>
                <w:lang w:val="en-US" w:eastAsia="zh-CN"/>
              </w:rPr>
              <w:t>托</w:t>
            </w:r>
            <w:r>
              <w:rPr>
                <w:rFonts w:hint="eastAsia" w:cs="Times New Roman"/>
                <w:sz w:val="24"/>
                <w:szCs w:val="24"/>
                <w:lang w:eastAsia="zh-CN"/>
              </w:rPr>
              <w:t>山东共享环境管理咨询有限公司</w:t>
            </w:r>
            <w:r>
              <w:rPr>
                <w:rFonts w:hint="default" w:ascii="Times New Roman" w:hAnsi="Times New Roman" w:eastAsia="宋体" w:cs="Times New Roman"/>
                <w:color w:val="auto"/>
                <w:spacing w:val="0"/>
                <w:kern w:val="21"/>
                <w:sz w:val="24"/>
              </w:rPr>
              <w:t>编制完成了</w:t>
            </w:r>
            <w:r>
              <w:rPr>
                <w:rFonts w:hint="default" w:cs="Times New Roman"/>
                <w:sz w:val="24"/>
                <w:szCs w:val="24"/>
                <w:lang w:val="en-US" w:eastAsia="zh-CN"/>
              </w:rPr>
              <w:t>《</w:t>
            </w:r>
            <w:r>
              <w:rPr>
                <w:rFonts w:hint="eastAsia" w:cs="Times New Roman"/>
                <w:szCs w:val="24"/>
                <w:lang w:val="en-US" w:eastAsia="zh-CN"/>
              </w:rPr>
              <w:t>山东盛迪医药有限公司</w:t>
            </w:r>
            <w:r>
              <w:rPr>
                <w:rFonts w:hint="eastAsia" w:cs="Times New Roman"/>
                <w:sz w:val="24"/>
                <w:szCs w:val="24"/>
                <w:lang w:eastAsia="zh-CN"/>
              </w:rPr>
              <w:t>创新药物研发一期项目</w:t>
            </w:r>
            <w:r>
              <w:rPr>
                <w:rFonts w:hint="default" w:ascii="Times New Roman" w:hAnsi="Times New Roman" w:cs="Times New Roman"/>
                <w:sz w:val="24"/>
                <w:szCs w:val="24"/>
                <w:lang w:eastAsia="zh-CN"/>
              </w:rPr>
              <w:t>环境影响报告表</w:t>
            </w:r>
            <w:r>
              <w:rPr>
                <w:rFonts w:hint="default" w:cs="Times New Roman"/>
                <w:sz w:val="24"/>
                <w:szCs w:val="24"/>
                <w:lang w:val="en-US" w:eastAsia="zh-CN"/>
              </w:rPr>
              <w:t>》</w:t>
            </w:r>
            <w:r>
              <w:rPr>
                <w:rFonts w:hint="default" w:ascii="Times New Roman" w:hAnsi="Times New Roman" w:cs="Times New Roman"/>
                <w:sz w:val="24"/>
                <w:szCs w:val="24"/>
                <w:lang w:eastAsia="zh-CN"/>
              </w:rPr>
              <w:t>，</w:t>
            </w:r>
            <w:r>
              <w:rPr>
                <w:rFonts w:hint="default" w:cs="Times New Roman"/>
                <w:sz w:val="24"/>
                <w:szCs w:val="24"/>
                <w:lang w:eastAsia="zh-CN"/>
              </w:rPr>
              <w:t>并</w:t>
            </w:r>
            <w:r>
              <w:rPr>
                <w:rFonts w:hint="default" w:ascii="Times New Roman" w:hAnsi="Times New Roman" w:cs="Times New Roman"/>
                <w:sz w:val="24"/>
                <w:szCs w:val="24"/>
                <w:lang w:eastAsia="zh-CN"/>
              </w:rPr>
              <w:t>于</w:t>
            </w:r>
            <w:r>
              <w:rPr>
                <w:rFonts w:hint="eastAsia" w:cs="Times New Roman"/>
                <w:sz w:val="24"/>
                <w:szCs w:val="24"/>
                <w:lang w:val="en-US" w:eastAsia="zh-CN"/>
              </w:rPr>
              <w:t>2021年6月15日</w:t>
            </w:r>
            <w:r>
              <w:rPr>
                <w:rFonts w:hint="default" w:ascii="Times New Roman" w:hAnsi="Times New Roman" w:cs="Times New Roman"/>
                <w:sz w:val="24"/>
                <w:szCs w:val="24"/>
                <w:lang w:val="en-US" w:eastAsia="zh-CN"/>
              </w:rPr>
              <w:t>经</w:t>
            </w:r>
            <w:r>
              <w:rPr>
                <w:rFonts w:hint="default" w:cs="Times New Roman"/>
                <w:sz w:val="24"/>
                <w:szCs w:val="24"/>
                <w:lang w:val="en-US" w:eastAsia="zh-CN"/>
              </w:rPr>
              <w:t>济南市生态环境局</w:t>
            </w:r>
            <w:r>
              <w:rPr>
                <w:rFonts w:hint="default" w:ascii="Times New Roman" w:hAnsi="Times New Roman" w:cs="Times New Roman"/>
                <w:sz w:val="24"/>
                <w:szCs w:val="24"/>
                <w:lang w:val="en-US" w:eastAsia="zh-CN"/>
              </w:rPr>
              <w:t>审批（</w:t>
            </w:r>
            <w:r>
              <w:rPr>
                <w:rFonts w:hint="eastAsia" w:cs="Times New Roman"/>
                <w:b w:val="0"/>
                <w:bCs w:val="0"/>
                <w:sz w:val="24"/>
                <w:szCs w:val="24"/>
                <w:vertAlign w:val="baseline"/>
                <w:lang w:val="en-US" w:eastAsia="zh-CN"/>
              </w:rPr>
              <w:t>济环报告表［2021］G50号</w:t>
            </w:r>
            <w:r>
              <w:rPr>
                <w:rFonts w:hint="default" w:ascii="Times New Roman" w:hAnsi="Times New Roman" w:cs="Times New Roman"/>
                <w:sz w:val="24"/>
                <w:szCs w:val="24"/>
                <w:lang w:val="en-US" w:eastAsia="zh-CN"/>
              </w:rPr>
              <w:t>）。</w:t>
            </w:r>
          </w:p>
          <w:p>
            <w:pPr>
              <w:pStyle w:val="33"/>
              <w:rPr>
                <w:rFonts w:hint="default" w:ascii="Times New Roman" w:hAnsi="Times New Roman" w:eastAsia="宋体" w:cs="Times New Roman"/>
                <w:sz w:val="24"/>
                <w:szCs w:val="24"/>
                <w:lang w:eastAsia="zh-CN"/>
              </w:rPr>
            </w:pPr>
            <w:r>
              <w:rPr>
                <w:rFonts w:hint="eastAsia" w:cs="Times New Roman"/>
                <w:szCs w:val="24"/>
                <w:lang w:val="en-US" w:eastAsia="zh-CN"/>
              </w:rPr>
              <w:t>山东盛迪医药有限公司</w:t>
            </w:r>
            <w:r>
              <w:rPr>
                <w:rFonts w:hint="eastAsia" w:cs="Times New Roman"/>
                <w:sz w:val="24"/>
                <w:szCs w:val="24"/>
                <w:lang w:eastAsia="zh-CN"/>
              </w:rPr>
              <w:t>创新药物研发一期项目</w:t>
            </w:r>
            <w:r>
              <w:rPr>
                <w:rFonts w:hint="default" w:ascii="Times New Roman" w:hAnsi="Times New Roman" w:eastAsia="宋体" w:cs="Times New Roman"/>
                <w:color w:val="auto"/>
                <w:sz w:val="24"/>
                <w:szCs w:val="24"/>
                <w:highlight w:val="none"/>
                <w:lang w:eastAsia="zh-CN"/>
              </w:rPr>
              <w:t>位于</w:t>
            </w:r>
            <w:r>
              <w:rPr>
                <w:rFonts w:hint="eastAsia" w:cs="Times New Roman"/>
                <w:color w:val="auto"/>
                <w:sz w:val="24"/>
                <w:szCs w:val="24"/>
                <w:highlight w:val="none"/>
                <w:lang w:eastAsia="zh-CN"/>
              </w:rPr>
              <w:t>济南市高新区大正路1777号生物医药园西侧银丰国际城12#楼</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项目</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占地面积</w:t>
            </w:r>
            <w:r>
              <w:rPr>
                <w:rFonts w:hint="eastAsia" w:cs="Times New Roman"/>
                <w:color w:val="auto"/>
                <w:sz w:val="24"/>
                <w:szCs w:val="24"/>
                <w:highlight w:val="none"/>
                <w:lang w:val="en-US" w:eastAsia="zh-CN"/>
              </w:rPr>
              <w:t>2436</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，总</w:t>
            </w:r>
            <w:r>
              <w:rPr>
                <w:rFonts w:hint="default" w:cs="Times New Roman"/>
                <w:color w:val="auto"/>
                <w:sz w:val="24"/>
                <w:szCs w:val="24"/>
                <w:highlight w:val="none"/>
                <w:lang w:eastAsia="zh-CN"/>
              </w:rPr>
              <w:t>建筑面积</w:t>
            </w:r>
            <w:r>
              <w:rPr>
                <w:rFonts w:hint="eastAsia" w:cs="Times New Roman"/>
                <w:color w:val="auto"/>
                <w:sz w:val="24"/>
                <w:szCs w:val="24"/>
                <w:highlight w:val="none"/>
                <w:lang w:val="en-US" w:eastAsia="zh-CN"/>
              </w:rPr>
              <w:t>8133</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w:t>
            </w:r>
            <w:r>
              <w:rPr>
                <w:rFonts w:hint="eastAsia" w:cs="Times New Roman"/>
                <w:sz w:val="24"/>
                <w:szCs w:val="24"/>
                <w:highlight w:val="none"/>
                <w:lang w:eastAsia="zh-CN"/>
              </w:rPr>
              <w:t>建设内容为实验室、事故水池、办公区及相关配套设施。</w:t>
            </w:r>
            <w:r>
              <w:rPr>
                <w:rFonts w:hint="default" w:cs="Times New Roman"/>
                <w:szCs w:val="24"/>
                <w:lang w:val="en-US" w:eastAsia="zh-CN"/>
              </w:rPr>
              <w:t>总投资</w:t>
            </w:r>
            <w:r>
              <w:rPr>
                <w:rFonts w:hint="eastAsia" w:cs="Times New Roman"/>
                <w:szCs w:val="24"/>
                <w:lang w:val="en-US" w:eastAsia="zh-CN"/>
              </w:rPr>
              <w:t>7100</w:t>
            </w:r>
            <w:r>
              <w:rPr>
                <w:rFonts w:hint="default" w:cs="Times New Roman"/>
                <w:szCs w:val="24"/>
                <w:lang w:val="en-US" w:eastAsia="zh-CN"/>
              </w:rPr>
              <w:t>万元，其中环保投资</w:t>
            </w:r>
            <w:r>
              <w:rPr>
                <w:rFonts w:hint="eastAsia" w:cs="Times New Roman"/>
                <w:szCs w:val="24"/>
                <w:lang w:val="en-US" w:eastAsia="zh-CN"/>
              </w:rPr>
              <w:t>720</w:t>
            </w:r>
            <w:r>
              <w:rPr>
                <w:rFonts w:hint="default" w:cs="Times New Roman"/>
                <w:szCs w:val="24"/>
                <w:lang w:val="en-US" w:eastAsia="zh-CN"/>
              </w:rPr>
              <w:t>万元</w:t>
            </w:r>
            <w:r>
              <w:rPr>
                <w:rFonts w:hint="default" w:cs="Times New Roman"/>
                <w:szCs w:val="24"/>
                <w:lang w:eastAsia="zh-CN"/>
              </w:rPr>
              <w:t>，本项目研发的创新药物主要为治疗多种肿瘤、内分泌、心血管、炎症、中枢神经等创新药，将做成的样品供上海盛迪研究院进行进一步的毒理毒性研究检测，用于制剂研发或者临床试验。</w:t>
            </w:r>
            <w:r>
              <w:rPr>
                <w:rFonts w:hint="eastAsia" w:cs="Times New Roman"/>
                <w:szCs w:val="24"/>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200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ascii="Times New Roman" w:hAnsi="Times New Roman" w:eastAsia="宋体" w:cs="Times New Roman"/>
                <w:sz w:val="24"/>
                <w:szCs w:val="24"/>
                <w:lang w:eastAsia="zh-CN"/>
              </w:rPr>
              <w:t>。</w:t>
            </w:r>
          </w:p>
          <w:p>
            <w:pPr>
              <w:ind w:firstLine="480"/>
              <w:rPr>
                <w:color w:val="auto"/>
                <w:highlight w:val="none"/>
              </w:rPr>
            </w:pPr>
            <w:r>
              <w:rPr>
                <w:color w:val="auto"/>
                <w:highlight w:val="none"/>
              </w:rPr>
              <w:t>本项目</w:t>
            </w:r>
            <w:r>
              <w:rPr>
                <w:rFonts w:hint="eastAsia"/>
                <w:color w:val="auto"/>
                <w:kern w:val="0"/>
                <w:highlight w:val="none"/>
                <w:lang w:eastAsia="zh-CN"/>
              </w:rPr>
              <w:t>于2021年6月开工建设，2021年12月建成，2022年1月进行调试</w:t>
            </w:r>
            <w:r>
              <w:rPr>
                <w:color w:val="auto"/>
                <w:kern w:val="0"/>
                <w:highlight w:val="none"/>
              </w:rPr>
              <w:t>，</w:t>
            </w:r>
            <w:r>
              <w:rPr>
                <w:rFonts w:hint="eastAsia"/>
                <w:color w:val="auto"/>
                <w:kern w:val="0"/>
                <w:highlight w:val="none"/>
                <w:lang w:eastAsia="zh-CN"/>
              </w:rPr>
              <w:t>环保设施同时设计、同时施工并同时进行调试，调试期间运行状况良好</w:t>
            </w:r>
            <w:r>
              <w:rPr>
                <w:rFonts w:hint="eastAsia"/>
                <w:color w:val="auto"/>
                <w:kern w:val="0"/>
                <w:highlight w:val="none"/>
              </w:rPr>
              <w:t>，具备竣工验收条件。</w:t>
            </w:r>
          </w:p>
          <w:p>
            <w:pPr>
              <w:pStyle w:val="33"/>
              <w:ind w:firstLine="482"/>
              <w:rPr>
                <w:rFonts w:cs="Times New Roman"/>
                <w:b/>
                <w:bCs/>
                <w:color w:val="auto"/>
                <w:highlight w:val="none"/>
              </w:rPr>
            </w:pPr>
            <w:r>
              <w:rPr>
                <w:rFonts w:cs="Times New Roman"/>
                <w:b/>
                <w:bCs/>
                <w:color w:val="auto"/>
                <w:highlight w:val="none"/>
              </w:rPr>
              <w:t>1、建设内容</w:t>
            </w:r>
          </w:p>
          <w:p>
            <w:pPr>
              <w:pStyle w:val="33"/>
              <w:rPr>
                <w:rFonts w:cs="Times New Roman"/>
                <w:b/>
                <w:bCs/>
                <w:color w:val="auto"/>
                <w:szCs w:val="24"/>
                <w:highlight w:val="none"/>
              </w:rPr>
            </w:pPr>
            <w:r>
              <w:rPr>
                <w:rFonts w:cs="Times New Roman"/>
                <w:color w:val="auto"/>
                <w:szCs w:val="24"/>
                <w:highlight w:val="none"/>
              </w:rPr>
              <w:t>本项目工程主要组成见表2-1，主要产品情况见表2-2，主要生产设备见表2-3，原辅料及能源使用情况见表2-4。</w:t>
            </w:r>
          </w:p>
          <w:p>
            <w:pPr>
              <w:ind w:firstLine="482"/>
              <w:jc w:val="center"/>
              <w:rPr>
                <w:b/>
                <w:bCs/>
                <w:color w:val="auto"/>
                <w:highlight w:val="none"/>
              </w:rPr>
            </w:pPr>
            <w:r>
              <w:rPr>
                <w:b/>
                <w:bCs/>
                <w:color w:val="auto"/>
                <w:highlight w:val="none"/>
              </w:rPr>
              <w:t>表2-1  本项目工程主要组成一览表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113" w:type="dxa"/>
                <w:left w:w="28" w:type="dxa"/>
                <w:bottom w:w="113" w:type="dxa"/>
                <w:right w:w="28" w:type="dxa"/>
              </w:tblCellMar>
            </w:tblPr>
            <w:tblGrid>
              <w:gridCol w:w="503"/>
              <w:gridCol w:w="658"/>
              <w:gridCol w:w="538"/>
              <w:gridCol w:w="4"/>
              <w:gridCol w:w="2968"/>
              <w:gridCol w:w="2863"/>
              <w:gridCol w:w="137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tblHeader/>
                <w:jc w:val="center"/>
              </w:trPr>
              <w:tc>
                <w:tcPr>
                  <w:tcW w:w="955" w:type="pct"/>
                  <w:gridSpan w:val="4"/>
                  <w:tcBorders>
                    <w:top w:val="single" w:color="auto" w:sz="4" w:space="0"/>
                    <w:left w:val="single" w:color="auto" w:sz="4" w:space="0"/>
                    <w:bottom w:val="single" w:color="auto" w:sz="6" w:space="0"/>
                    <w:right w:val="single" w:color="auto" w:sz="4"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rPr>
                  </w:pPr>
                  <w:r>
                    <w:rPr>
                      <w:rFonts w:hint="default" w:ascii="Times New Roman" w:hAnsi="Times New Roman" w:eastAsia="宋体" w:cs="Times New Roman"/>
                      <w:b/>
                      <w:sz w:val="21"/>
                      <w:szCs w:val="21"/>
                    </w:rPr>
                    <w:t>工程分类</w:t>
                  </w:r>
                </w:p>
              </w:tc>
              <w:tc>
                <w:tcPr>
                  <w:tcW w:w="1665" w:type="pct"/>
                  <w:tcBorders>
                    <w:top w:val="single" w:color="auto" w:sz="4" w:space="0"/>
                    <w:left w:val="single" w:color="auto" w:sz="4"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cs="Times New Roman"/>
                      <w:b/>
                      <w:sz w:val="21"/>
                      <w:szCs w:val="21"/>
                      <w:lang w:eastAsia="zh-CN"/>
                    </w:rPr>
                  </w:pPr>
                  <w:r>
                    <w:rPr>
                      <w:rFonts w:hint="eastAsia" w:cs="Times New Roman"/>
                      <w:b/>
                      <w:sz w:val="21"/>
                      <w:szCs w:val="21"/>
                      <w:lang w:eastAsia="zh-CN"/>
                    </w:rPr>
                    <w:t>环评</w:t>
                  </w:r>
                  <w:r>
                    <w:rPr>
                      <w:rFonts w:hint="default" w:ascii="Times New Roman" w:hAnsi="Times New Roman" w:eastAsia="宋体" w:cs="Times New Roman"/>
                      <w:b/>
                      <w:sz w:val="21"/>
                      <w:szCs w:val="21"/>
                    </w:rPr>
                    <w:t>主要建设内容及规模</w:t>
                  </w:r>
                </w:p>
              </w:tc>
              <w:tc>
                <w:tcPr>
                  <w:tcW w:w="1606"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eastAsia" w:cs="Times New Roman"/>
                      <w:b/>
                      <w:sz w:val="21"/>
                      <w:szCs w:val="21"/>
                      <w:lang w:eastAsia="zh-CN"/>
                    </w:rPr>
                    <w:t>实际</w:t>
                  </w:r>
                  <w:r>
                    <w:rPr>
                      <w:rFonts w:hint="default" w:ascii="Times New Roman" w:hAnsi="Times New Roman" w:eastAsia="宋体" w:cs="Times New Roman"/>
                      <w:b/>
                      <w:sz w:val="21"/>
                      <w:szCs w:val="21"/>
                    </w:rPr>
                    <w:t>主要建设内容及规模</w:t>
                  </w:r>
                </w:p>
              </w:tc>
              <w:tc>
                <w:tcPr>
                  <w:tcW w:w="772" w:type="pct"/>
                  <w:tcBorders>
                    <w:top w:val="single" w:color="auto" w:sz="4" w:space="0"/>
                    <w:left w:val="single" w:color="auto" w:sz="6" w:space="0"/>
                    <w:bottom w:val="single" w:color="auto" w:sz="6" w:space="0"/>
                    <w:right w:val="single" w:color="auto" w:sz="6" w:space="0"/>
                  </w:tcBorders>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sz w:val="21"/>
                      <w:szCs w:val="21"/>
                      <w:lang w:eastAsia="zh-CN"/>
                    </w:rPr>
                  </w:pPr>
                  <w:r>
                    <w:rPr>
                      <w:rFonts w:hint="default" w:ascii="Times New Roman" w:hAnsi="Times New Roman" w:eastAsia="宋体" w:cs="Times New Roman"/>
                      <w:b/>
                      <w:sz w:val="21"/>
                      <w:szCs w:val="21"/>
                      <w:lang w:eastAsia="zh-CN"/>
                    </w:rPr>
                    <w:t>变更情况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r>
                    <w:rPr>
                      <w:rFonts w:hint="default" w:ascii="Times New Roman" w:hAnsi="Times New Roman" w:eastAsia="宋体" w:cs="Times New Roman"/>
                      <w:b/>
                      <w:bCs/>
                      <w:color w:val="auto"/>
                      <w:sz w:val="21"/>
                      <w:szCs w:val="21"/>
                    </w:rPr>
                    <w:t>主体工程</w:t>
                  </w:r>
                </w:p>
              </w:tc>
              <w:tc>
                <w:tcPr>
                  <w:tcW w:w="369" w:type="pct"/>
                  <w:vMerge w:val="restar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sz w:val="21"/>
                      <w:szCs w:val="21"/>
                      <w:lang w:eastAsia="zh-CN"/>
                    </w:rPr>
                  </w:pPr>
                  <w:r>
                    <w:rPr>
                      <w:rFonts w:hint="default" w:ascii="Times New Roman" w:hAnsi="Times New Roman" w:eastAsia="宋体" w:cs="Times New Roman"/>
                      <w:szCs w:val="21"/>
                      <w:lang w:eastAsia="zh-CN"/>
                    </w:rPr>
                    <w:t>实验区</w:t>
                  </w:r>
                </w:p>
              </w:tc>
              <w:tc>
                <w:tcPr>
                  <w:tcW w:w="304"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sz w:val="21"/>
                      <w:szCs w:val="21"/>
                      <w:lang w:val="en-US" w:eastAsia="zh-CN"/>
                    </w:rPr>
                  </w:pPr>
                  <w:r>
                    <w:rPr>
                      <w:rFonts w:hint="eastAsia" w:cs="Times New Roman"/>
                      <w:szCs w:val="21"/>
                      <w:lang w:eastAsia="zh-CN"/>
                    </w:rPr>
                    <w:t>一层</w:t>
                  </w:r>
                </w:p>
              </w:tc>
              <w:tc>
                <w:tcPr>
                  <w:tcW w:w="1665"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Cs w:val="21"/>
                    </w:rPr>
                  </w:pPr>
                  <w:r>
                    <w:rPr>
                      <w:rFonts w:hint="default" w:ascii="Times New Roman" w:hAnsi="Times New Roman" w:eastAsia="宋体" w:cs="Times New Roman"/>
                      <w:szCs w:val="21"/>
                    </w:rPr>
                    <w:t>占地面积160</w:t>
                  </w:r>
                  <w:r>
                    <w:rPr>
                      <w:rFonts w:hint="eastAsia" w:cs="Times New Roman"/>
                      <w:szCs w:val="21"/>
                      <w:lang w:eastAsia="zh-CN"/>
                    </w:rPr>
                    <w:t>㎡</w:t>
                  </w:r>
                  <w:r>
                    <w:rPr>
                      <w:rFonts w:hint="default" w:ascii="Times New Roman" w:hAnsi="Times New Roman" w:eastAsia="宋体" w:cs="Times New Roman"/>
                      <w:szCs w:val="21"/>
                    </w:rPr>
                    <w:t>，主要为合成实验室，进行医药合成实验。主要设备为反应釜、高低温一体机、离心机、干燥箱、真空泵等。</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color w:val="000000"/>
                      <w:sz w:val="21"/>
                      <w:szCs w:val="21"/>
                      <w:lang w:eastAsia="zh-CN"/>
                    </w:rPr>
                  </w:pPr>
                  <w:r>
                    <w:rPr>
                      <w:rFonts w:hint="default" w:cs="Times New Roman"/>
                      <w:color w:val="000000"/>
                      <w:sz w:val="21"/>
                      <w:szCs w:val="21"/>
                      <w:lang w:eastAsia="zh-CN"/>
                    </w:rPr>
                    <w:t>占地面积160</w:t>
                  </w:r>
                  <w:r>
                    <w:rPr>
                      <w:rFonts w:hint="eastAsia" w:cs="Times New Roman"/>
                      <w:color w:val="000000"/>
                      <w:sz w:val="21"/>
                      <w:szCs w:val="21"/>
                      <w:lang w:eastAsia="zh-CN"/>
                    </w:rPr>
                    <w:t>㎡</w:t>
                  </w:r>
                  <w:r>
                    <w:rPr>
                      <w:rFonts w:hint="default" w:cs="Times New Roman"/>
                      <w:color w:val="000000"/>
                      <w:sz w:val="21"/>
                      <w:szCs w:val="21"/>
                      <w:lang w:eastAsia="zh-CN"/>
                    </w:rPr>
                    <w:t>，主要为合成实验室，进行医药合成实验。主要设备为反应釜、高低温一体机、离心机、干燥箱、真空泵等。</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369" w:type="pct"/>
                  <w:vMerge w:val="continue"/>
                  <w:tcBorders>
                    <w:left w:val="single" w:color="auto" w:sz="6" w:space="0"/>
                    <w:right w:val="single" w:color="auto" w:sz="6"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szCs w:val="21"/>
                      <w:lang w:eastAsia="zh-CN"/>
                    </w:rPr>
                  </w:pPr>
                </w:p>
              </w:tc>
              <w:tc>
                <w:tcPr>
                  <w:tcW w:w="304"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eastAsia" w:ascii="Times New Roman" w:hAnsi="Times New Roman" w:eastAsia="宋体" w:cs="Times New Roman"/>
                      <w:szCs w:val="21"/>
                      <w:lang w:eastAsia="zh-CN"/>
                    </w:rPr>
                  </w:pPr>
                  <w:r>
                    <w:rPr>
                      <w:rFonts w:hint="eastAsia" w:cs="Times New Roman"/>
                      <w:szCs w:val="21"/>
                      <w:lang w:eastAsia="zh-CN"/>
                    </w:rPr>
                    <w:t>二层</w:t>
                  </w:r>
                </w:p>
              </w:tc>
              <w:tc>
                <w:tcPr>
                  <w:tcW w:w="1665"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Cs w:val="21"/>
                    </w:rPr>
                  </w:pPr>
                  <w:r>
                    <w:rPr>
                      <w:rFonts w:hint="default" w:ascii="Times New Roman" w:hAnsi="Times New Roman" w:eastAsia="宋体" w:cs="Times New Roman"/>
                      <w:szCs w:val="21"/>
                    </w:rPr>
                    <w:t>建筑面积810</w:t>
                  </w:r>
                  <w:r>
                    <w:rPr>
                      <w:rFonts w:hint="eastAsia" w:cs="Times New Roman"/>
                      <w:szCs w:val="21"/>
                      <w:lang w:eastAsia="zh-CN"/>
                    </w:rPr>
                    <w:t>㎡</w:t>
                  </w:r>
                  <w:r>
                    <w:rPr>
                      <w:rFonts w:hint="default" w:ascii="Times New Roman" w:hAnsi="Times New Roman" w:eastAsia="宋体" w:cs="Times New Roman"/>
                      <w:szCs w:val="21"/>
                    </w:rPr>
                    <w:t>，主要为合成实验室，进行医药合成实验。主要设备为低温冷却反应浴、紫外分析仪、快速制备液相系统、离心机、干燥箱、搅拌器等。</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建筑面积810</w:t>
                  </w:r>
                  <w:r>
                    <w:rPr>
                      <w:rFonts w:hint="eastAsia" w:cs="Times New Roman"/>
                      <w:color w:val="000000"/>
                      <w:sz w:val="21"/>
                      <w:szCs w:val="21"/>
                      <w:lang w:eastAsia="zh-CN"/>
                    </w:rPr>
                    <w:t>㎡</w:t>
                  </w:r>
                  <w:r>
                    <w:rPr>
                      <w:rFonts w:hint="default" w:cs="Times New Roman"/>
                      <w:color w:val="000000"/>
                      <w:sz w:val="21"/>
                      <w:szCs w:val="21"/>
                      <w:lang w:eastAsia="zh-CN"/>
                    </w:rPr>
                    <w:t>，主要为合成实验室，进行医药合成实验。主要设备为低温冷却反应浴、紫外分析仪、快速制备液相系统、离心机、干燥箱、搅拌器等。</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369" w:type="pct"/>
                  <w:vMerge w:val="continue"/>
                  <w:tcBorders>
                    <w:left w:val="single" w:color="auto" w:sz="6" w:space="0"/>
                    <w:right w:val="single" w:color="auto" w:sz="6"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szCs w:val="21"/>
                      <w:lang w:eastAsia="zh-CN"/>
                    </w:rPr>
                  </w:pPr>
                </w:p>
              </w:tc>
              <w:tc>
                <w:tcPr>
                  <w:tcW w:w="304"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eastAsia" w:ascii="Times New Roman" w:hAnsi="Times New Roman" w:eastAsia="宋体" w:cs="Times New Roman"/>
                      <w:szCs w:val="21"/>
                      <w:lang w:eastAsia="zh-CN"/>
                    </w:rPr>
                  </w:pPr>
                  <w:r>
                    <w:rPr>
                      <w:rFonts w:hint="eastAsia" w:cs="Times New Roman"/>
                      <w:szCs w:val="21"/>
                      <w:lang w:eastAsia="zh-CN"/>
                    </w:rPr>
                    <w:t>三层</w:t>
                  </w:r>
                </w:p>
              </w:tc>
              <w:tc>
                <w:tcPr>
                  <w:tcW w:w="1665"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Cs w:val="21"/>
                    </w:rPr>
                  </w:pPr>
                  <w:r>
                    <w:rPr>
                      <w:rFonts w:hint="default" w:ascii="Times New Roman" w:hAnsi="Times New Roman" w:eastAsia="宋体" w:cs="Times New Roman"/>
                      <w:szCs w:val="21"/>
                    </w:rPr>
                    <w:t>建筑面积716</w:t>
                  </w:r>
                  <w:r>
                    <w:rPr>
                      <w:rFonts w:hint="eastAsia" w:cs="Times New Roman"/>
                      <w:szCs w:val="21"/>
                      <w:lang w:eastAsia="zh-CN"/>
                    </w:rPr>
                    <w:t>㎡</w:t>
                  </w:r>
                  <w:r>
                    <w:rPr>
                      <w:rFonts w:hint="default" w:ascii="Times New Roman" w:hAnsi="Times New Roman" w:eastAsia="宋体" w:cs="Times New Roman"/>
                      <w:szCs w:val="21"/>
                    </w:rPr>
                    <w:t>，主要为合成实验室，进行医药合成实验。主要设备为低温冷却反应浴、紫外分析仪、快速制备液相系统、离心机、干燥箱、搅拌器等。</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val="en-US" w:eastAsia="zh-CN"/>
                    </w:rPr>
                  </w:pPr>
                  <w:r>
                    <w:rPr>
                      <w:rFonts w:hint="default" w:cs="Times New Roman"/>
                      <w:color w:val="000000"/>
                      <w:sz w:val="21"/>
                      <w:szCs w:val="21"/>
                      <w:lang w:eastAsia="zh-CN"/>
                    </w:rPr>
                    <w:t>建筑面积716</w:t>
                  </w:r>
                  <w:r>
                    <w:rPr>
                      <w:rFonts w:hint="eastAsia" w:cs="Times New Roman"/>
                      <w:color w:val="000000"/>
                      <w:sz w:val="21"/>
                      <w:szCs w:val="21"/>
                      <w:lang w:eastAsia="zh-CN"/>
                    </w:rPr>
                    <w:t>㎡</w:t>
                  </w:r>
                  <w:r>
                    <w:rPr>
                      <w:rFonts w:hint="default" w:cs="Times New Roman"/>
                      <w:color w:val="000000"/>
                      <w:sz w:val="21"/>
                      <w:szCs w:val="21"/>
                      <w:lang w:eastAsia="zh-CN"/>
                    </w:rPr>
                    <w:t>，主要为合成实验室，进行医药合成实验。主要设备为低温冷却反应浴、紫外分析仪、快速制备液相系统、干燥箱、搅拌器等。</w:t>
                  </w:r>
                  <w:r>
                    <w:rPr>
                      <w:rFonts w:hint="eastAsia" w:cs="Times New Roman"/>
                      <w:color w:val="000000"/>
                      <w:sz w:val="21"/>
                      <w:szCs w:val="21"/>
                      <w:lang w:eastAsia="zh-CN"/>
                    </w:rPr>
                    <w:t>见表</w:t>
                  </w:r>
                  <w:r>
                    <w:rPr>
                      <w:rFonts w:hint="eastAsia" w:cs="Times New Roman"/>
                      <w:color w:val="000000"/>
                      <w:sz w:val="21"/>
                      <w:szCs w:val="21"/>
                      <w:lang w:val="en-US" w:eastAsia="zh-CN"/>
                    </w:rPr>
                    <w:t>2-3</w:t>
                  </w:r>
                </w:p>
              </w:tc>
              <w:tc>
                <w:tcPr>
                  <w:tcW w:w="772" w:type="pct"/>
                  <w:vMerge w:val="restar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default" w:cs="Times New Roman"/>
                      <w:color w:val="000000"/>
                      <w:sz w:val="21"/>
                      <w:szCs w:val="21"/>
                      <w:lang w:eastAsia="zh-CN"/>
                    </w:rPr>
                    <w:t>根据实际工作需要，配置的实验仪器设备较环评阶段有适当调整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rPr>
                  </w:pPr>
                </w:p>
              </w:tc>
              <w:tc>
                <w:tcPr>
                  <w:tcW w:w="369" w:type="pct"/>
                  <w:vMerge w:val="continue"/>
                  <w:tcBorders>
                    <w:left w:val="single" w:color="auto" w:sz="6" w:space="0"/>
                    <w:right w:val="single" w:color="auto" w:sz="6"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szCs w:val="21"/>
                      <w:lang w:eastAsia="zh-CN"/>
                    </w:rPr>
                  </w:pPr>
                </w:p>
              </w:tc>
              <w:tc>
                <w:tcPr>
                  <w:tcW w:w="304"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eastAsia" w:cs="Times New Roman"/>
                      <w:szCs w:val="21"/>
                      <w:lang w:eastAsia="zh-CN"/>
                    </w:rPr>
                  </w:pPr>
                  <w:r>
                    <w:rPr>
                      <w:rFonts w:hint="eastAsia" w:cs="Times New Roman"/>
                      <w:szCs w:val="21"/>
                      <w:lang w:eastAsia="zh-CN"/>
                    </w:rPr>
                    <w:t>四层</w:t>
                  </w:r>
                </w:p>
              </w:tc>
              <w:tc>
                <w:tcPr>
                  <w:tcW w:w="1665" w:type="pct"/>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eastAsia" w:cs="Times New Roman"/>
                      <w:szCs w:val="21"/>
                      <w:lang w:eastAsia="zh-CN"/>
                    </w:rPr>
                  </w:pPr>
                  <w:r>
                    <w:rPr>
                      <w:rFonts w:hint="eastAsia" w:cs="Times New Roman"/>
                      <w:szCs w:val="21"/>
                      <w:lang w:eastAsia="zh-CN"/>
                    </w:rPr>
                    <w:t>建筑面积321㎡，主要为合成实验室，进行医药合成实验。主要设备为反应釜、高低温一体机、离心机、干燥箱、真空泵等。</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val="en-US" w:eastAsia="zh-CN"/>
                    </w:rPr>
                  </w:pPr>
                  <w:r>
                    <w:rPr>
                      <w:rFonts w:hint="default" w:cs="Times New Roman"/>
                      <w:color w:val="000000"/>
                      <w:sz w:val="21"/>
                      <w:szCs w:val="21"/>
                      <w:lang w:eastAsia="zh-CN"/>
                    </w:rPr>
                    <w:t>建筑面积321</w:t>
                  </w:r>
                  <w:r>
                    <w:rPr>
                      <w:rFonts w:hint="eastAsia" w:cs="Times New Roman"/>
                      <w:color w:val="000000"/>
                      <w:sz w:val="21"/>
                      <w:szCs w:val="21"/>
                      <w:lang w:eastAsia="zh-CN"/>
                    </w:rPr>
                    <w:t>㎡</w:t>
                  </w:r>
                  <w:r>
                    <w:rPr>
                      <w:rFonts w:hint="default" w:cs="Times New Roman"/>
                      <w:color w:val="000000"/>
                      <w:sz w:val="21"/>
                      <w:szCs w:val="21"/>
                      <w:lang w:eastAsia="zh-CN"/>
                    </w:rPr>
                    <w:t>，主要为合成实验室，进行医药合成实验。主要设备为反应釜、高低温一体机、干燥箱、真空泵等。</w:t>
                  </w:r>
                  <w:r>
                    <w:rPr>
                      <w:rFonts w:hint="eastAsia" w:cs="Times New Roman"/>
                      <w:color w:val="000000"/>
                      <w:sz w:val="21"/>
                      <w:szCs w:val="21"/>
                      <w:lang w:eastAsia="zh-CN"/>
                    </w:rPr>
                    <w:t>见表</w:t>
                  </w:r>
                  <w:r>
                    <w:rPr>
                      <w:rFonts w:hint="eastAsia" w:cs="Times New Roman"/>
                      <w:color w:val="000000"/>
                      <w:sz w:val="21"/>
                      <w:szCs w:val="21"/>
                      <w:lang w:val="en-US" w:eastAsia="zh-CN"/>
                    </w:rPr>
                    <w:t>2-3</w:t>
                  </w:r>
                </w:p>
              </w:tc>
              <w:tc>
                <w:tcPr>
                  <w:tcW w:w="772" w:type="pct"/>
                  <w:vMerge w:val="continue"/>
                  <w:tcBorders>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restar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辅助工程</w:t>
                  </w: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办公室</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eastAsia" w:ascii="Times New Roman" w:hAnsi="Times New Roman" w:eastAsia="宋体" w:cs="Times New Roman"/>
                      <w:szCs w:val="21"/>
                    </w:rPr>
                  </w:pPr>
                  <w:r>
                    <w:rPr>
                      <w:rFonts w:hint="eastAsia" w:ascii="Times New Roman" w:hAnsi="Times New Roman" w:eastAsia="宋体" w:cs="Times New Roman"/>
                      <w:szCs w:val="21"/>
                    </w:rPr>
                    <w:t>主要在二层办公区和其他楼层办公区域。</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keepNext w:val="0"/>
                    <w:keepLines w:val="0"/>
                    <w:pageBreakBefore w:val="0"/>
                    <w:widowControl w:val="0"/>
                    <w:kinsoku/>
                    <w:wordWrap/>
                    <w:overflowPunct/>
                    <w:topLinePunct w:val="0"/>
                    <w:autoSpaceDE/>
                    <w:autoSpaceDN/>
                    <w:bidi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Cs w:val="21"/>
                    </w:rPr>
                    <w:t>主要在二层办公区和其他楼层办公区域。</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sz w:val="21"/>
                      <w:szCs w:val="21"/>
                      <w:lang w:val="en-US" w:eastAsia="zh-CN"/>
                    </w:rPr>
                    <w:t>辅助办公区</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both"/>
                    <w:rPr>
                      <w:rFonts w:hint="default" w:eastAsia="宋体" w:cs="Times New Roman"/>
                      <w:sz w:val="21"/>
                      <w:szCs w:val="21"/>
                      <w:lang w:val="en-US" w:eastAsia="zh-CN"/>
                    </w:rPr>
                  </w:pPr>
                  <w:r>
                    <w:rPr>
                      <w:rFonts w:hint="default" w:eastAsia="宋体" w:cs="Times New Roman"/>
                      <w:sz w:val="21"/>
                      <w:szCs w:val="21"/>
                      <w:lang w:val="en-US" w:eastAsia="zh-CN"/>
                    </w:rPr>
                    <w:t>更衣室、卫生间等公共设施，用于辅助办公。</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default" w:eastAsia="宋体" w:cs="Times New Roman"/>
                      <w:sz w:val="21"/>
                      <w:szCs w:val="21"/>
                      <w:lang w:val="en-US" w:eastAsia="zh-CN"/>
                    </w:rPr>
                    <w:t>更衣室、卫生间等公共设施，用于辅助办公。</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2" w:type="pct"/>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color w:val="auto"/>
                      <w:sz w:val="21"/>
                      <w:szCs w:val="21"/>
                      <w:lang w:eastAsia="zh-CN"/>
                    </w:rPr>
                  </w:pPr>
                  <w:r>
                    <w:rPr>
                      <w:rFonts w:hint="eastAsia" w:cs="Times New Roman"/>
                      <w:b/>
                      <w:bCs/>
                      <w:color w:val="auto"/>
                      <w:sz w:val="21"/>
                      <w:szCs w:val="21"/>
                      <w:lang w:eastAsia="zh-CN"/>
                    </w:rPr>
                    <w:t>贮运工程</w:t>
                  </w: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eastAsia" w:cs="Times New Roman"/>
                      <w:sz w:val="21"/>
                      <w:szCs w:val="21"/>
                      <w:lang w:val="en-US" w:eastAsia="zh-CN"/>
                    </w:rPr>
                  </w:pPr>
                  <w:r>
                    <w:rPr>
                      <w:rFonts w:hint="eastAsia" w:cs="Times New Roman"/>
                      <w:sz w:val="21"/>
                      <w:szCs w:val="21"/>
                      <w:lang w:val="en-US" w:eastAsia="zh-CN"/>
                    </w:rPr>
                    <w:t>物料间</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both"/>
                    <w:rPr>
                      <w:rFonts w:hint="default" w:eastAsia="宋体" w:cs="Times New Roman"/>
                      <w:sz w:val="21"/>
                      <w:szCs w:val="21"/>
                      <w:lang w:val="en-US" w:eastAsia="zh-CN"/>
                    </w:rPr>
                  </w:pPr>
                  <w:r>
                    <w:rPr>
                      <w:rFonts w:hint="default" w:eastAsia="宋体" w:cs="Times New Roman"/>
                      <w:sz w:val="21"/>
                      <w:szCs w:val="21"/>
                      <w:lang w:val="en-US" w:eastAsia="zh-CN"/>
                    </w:rPr>
                    <w:t>本项目一二三四层均设置物料间用于贮存原辅材料，本项目原辅材料主要贮存在一层、二层、三层物料间，四层物料间主要用于临时贮存少量原辅材料。</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default" w:eastAsia="宋体" w:cs="Times New Roman"/>
                      <w:sz w:val="21"/>
                      <w:szCs w:val="21"/>
                      <w:lang w:val="en-US" w:eastAsia="zh-CN"/>
                    </w:rPr>
                    <w:t>本项目一二三四层均设置物料间用于贮存原辅材料，本项目原辅材料主要贮存在一层、二层、三层物料间，四层物料间主要用于临时贮存少量原辅材料。</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公用工程</w:t>
                  </w: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供水</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新鲜水由园区自来水管网提供。</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lef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新鲜水由园区自来水管网提供。</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供电</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eastAsia="宋体"/>
                      <w:szCs w:val="21"/>
                    </w:rPr>
                  </w:pPr>
                  <w:r>
                    <w:rPr>
                      <w:rFonts w:hint="default" w:eastAsia="宋体"/>
                      <w:szCs w:val="21"/>
                    </w:rPr>
                    <w:t>由高新区供电公司提供。</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left"/>
                    <w:rPr>
                      <w:rFonts w:hint="default" w:ascii="Times New Roman" w:hAnsi="Times New Roman" w:eastAsia="宋体" w:cs="Times New Roman"/>
                      <w:sz w:val="21"/>
                      <w:szCs w:val="21"/>
                      <w:lang w:eastAsia="zh-CN"/>
                    </w:rPr>
                  </w:pPr>
                  <w:r>
                    <w:rPr>
                      <w:rFonts w:hint="default" w:eastAsia="宋体"/>
                      <w:szCs w:val="21"/>
                    </w:rPr>
                    <w:t>由高新区供电公司提供。</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供暖</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Cs w:val="21"/>
                    </w:rPr>
                  </w:pPr>
                  <w:r>
                    <w:rPr>
                      <w:rFonts w:hint="default" w:ascii="Times New Roman" w:hAnsi="Times New Roman" w:eastAsia="宋体" w:cs="Times New Roman"/>
                      <w:szCs w:val="21"/>
                    </w:rPr>
                    <w:t>生产、办公采用空调供暖。</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pStyle w:val="42"/>
                    <w:ind w:firstLine="0" w:firstLineChars="0"/>
                    <w:jc w:val="left"/>
                    <w:rPr>
                      <w:rFonts w:hint="default" w:ascii="Times New Roman" w:hAnsi="Times New Roman" w:eastAsia="宋体" w:cs="Times New Roman"/>
                      <w:sz w:val="21"/>
                      <w:szCs w:val="21"/>
                      <w:lang w:eastAsia="zh-CN"/>
                    </w:rPr>
                  </w:pPr>
                  <w:r>
                    <w:rPr>
                      <w:rFonts w:hint="default" w:ascii="Times New Roman" w:hAnsi="Times New Roman" w:eastAsia="宋体" w:cs="Times New Roman"/>
                      <w:szCs w:val="21"/>
                    </w:rPr>
                    <w:t>生产、办公采用空调供暖。</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restart"/>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环保工程</w:t>
                  </w:r>
                </w:p>
              </w:tc>
              <w:tc>
                <w:tcPr>
                  <w:tcW w:w="671" w:type="pct"/>
                  <w:gridSpan w:val="2"/>
                  <w:tcBorders>
                    <w:top w:val="single" w:color="auto" w:sz="6" w:space="0"/>
                    <w:left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废气处理设施</w:t>
                  </w:r>
                </w:p>
              </w:tc>
              <w:tc>
                <w:tcPr>
                  <w:tcW w:w="1667" w:type="pct"/>
                  <w:gridSpan w:val="2"/>
                  <w:tcBorders>
                    <w:top w:val="single" w:color="auto" w:sz="6" w:space="0"/>
                    <w:left w:val="single" w:color="auto" w:sz="4" w:space="0"/>
                    <w:right w:val="single" w:color="auto" w:sz="6" w:space="0"/>
                  </w:tcBorders>
                  <w:noWrap w:val="0"/>
                  <w:tcMar>
                    <w:top w:w="0" w:type="dxa"/>
                    <w:left w:w="0" w:type="dxa"/>
                    <w:bottom w:w="0" w:type="dxa"/>
                    <w:right w:w="0" w:type="dxa"/>
                  </w:tcMar>
                  <w:vAlign w:val="center"/>
                </w:tcPr>
                <w:p>
                  <w:pPr>
                    <w:pStyle w:val="42"/>
                    <w:jc w:val="left"/>
                    <w:rPr>
                      <w:rFonts w:eastAsia="宋体"/>
                      <w:szCs w:val="21"/>
                    </w:rPr>
                  </w:pPr>
                  <w:r>
                    <w:rPr>
                      <w:rFonts w:hint="eastAsia" w:eastAsia="宋体"/>
                      <w:szCs w:val="21"/>
                    </w:rPr>
                    <w:t>一层、三层实验室废气经通风橱、万向罩收集后分别经“两级活性炭吸附”处理后通过</w:t>
                  </w:r>
                  <w:r>
                    <w:rPr>
                      <w:rFonts w:hint="eastAsia"/>
                      <w:szCs w:val="21"/>
                      <w:lang w:val="en-US" w:eastAsia="zh-CN"/>
                    </w:rPr>
                    <w:t>1</w:t>
                  </w:r>
                  <w:r>
                    <w:rPr>
                      <w:rFonts w:hint="eastAsia" w:eastAsia="宋体"/>
                      <w:szCs w:val="21"/>
                    </w:rPr>
                    <w:t>根排气筒 DA001 排放。二层实验室废气经通风橱、万向罩收集后经“两级活性炭吸附”处理后通过 DA002 排气筒排放；四层实验室废气经通风橱、万向罩收集后经“两级活性炭吸附”处理后通过 DA003 排气筒排放。危废暂存间废气引至一楼合成实验室废气处理装置“两级活性炭吸附”处理后排气筒排放。</w:t>
                  </w:r>
                </w:p>
              </w:tc>
              <w:tc>
                <w:tcPr>
                  <w:tcW w:w="1606"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left"/>
                    <w:rPr>
                      <w:rFonts w:hint="default" w:cs="Times New Roman"/>
                      <w:color w:val="000000"/>
                      <w:sz w:val="21"/>
                      <w:szCs w:val="21"/>
                      <w:lang w:eastAsia="zh-CN"/>
                    </w:rPr>
                  </w:pPr>
                  <w:r>
                    <w:rPr>
                      <w:rFonts w:hint="default" w:cs="Times New Roman"/>
                      <w:color w:val="000000"/>
                      <w:sz w:val="21"/>
                      <w:szCs w:val="21"/>
                      <w:lang w:eastAsia="zh-CN"/>
                    </w:rPr>
                    <w:t>一层实验室废气经通风橱、万向罩收集后经“</w:t>
                  </w:r>
                  <w:r>
                    <w:rPr>
                      <w:rFonts w:hint="eastAsia" w:cs="Times New Roman"/>
                      <w:color w:val="000000"/>
                      <w:sz w:val="21"/>
                      <w:szCs w:val="21"/>
                      <w:lang w:val="en-US" w:eastAsia="zh-CN"/>
                    </w:rPr>
                    <w:t>1#</w:t>
                  </w:r>
                  <w:r>
                    <w:rPr>
                      <w:rFonts w:hint="default" w:cs="Times New Roman"/>
                      <w:color w:val="000000"/>
                      <w:sz w:val="21"/>
                      <w:szCs w:val="21"/>
                      <w:lang w:eastAsia="zh-CN"/>
                    </w:rPr>
                    <w:t>碱喷淋+</w:t>
                  </w:r>
                  <w:r>
                    <w:rPr>
                      <w:rFonts w:hint="eastAsia" w:cs="Times New Roman"/>
                      <w:color w:val="000000"/>
                      <w:sz w:val="21"/>
                      <w:szCs w:val="21"/>
                      <w:lang w:val="en-US" w:eastAsia="zh-CN"/>
                    </w:rPr>
                    <w:t>1#</w:t>
                  </w:r>
                  <w:r>
                    <w:rPr>
                      <w:rFonts w:hint="default" w:cs="Times New Roman"/>
                      <w:color w:val="000000"/>
                      <w:sz w:val="21"/>
                      <w:szCs w:val="21"/>
                      <w:lang w:eastAsia="zh-CN"/>
                    </w:rPr>
                    <w:t>除雾器+</w:t>
                  </w:r>
                  <w:r>
                    <w:rPr>
                      <w:rFonts w:hint="eastAsia" w:cs="Times New Roman"/>
                      <w:color w:val="000000"/>
                      <w:sz w:val="21"/>
                      <w:szCs w:val="21"/>
                      <w:lang w:val="en-US" w:eastAsia="zh-CN"/>
                    </w:rPr>
                    <w:t>1#</w:t>
                  </w:r>
                  <w:r>
                    <w:rPr>
                      <w:rFonts w:hint="default" w:cs="Times New Roman"/>
                      <w:color w:val="000000"/>
                      <w:sz w:val="21"/>
                      <w:szCs w:val="21"/>
                      <w:lang w:eastAsia="zh-CN"/>
                    </w:rPr>
                    <w:t>活性炭吸附”处理</w:t>
                  </w:r>
                  <w:r>
                    <w:rPr>
                      <w:rFonts w:hint="eastAsia" w:cs="Times New Roman"/>
                      <w:color w:val="000000"/>
                      <w:sz w:val="21"/>
                      <w:szCs w:val="21"/>
                      <w:lang w:eastAsia="zh-CN"/>
                    </w:rPr>
                    <w:t>，三层东侧实验室废气</w:t>
                  </w:r>
                  <w:r>
                    <w:rPr>
                      <w:rFonts w:hint="default" w:cs="Times New Roman"/>
                      <w:color w:val="000000"/>
                      <w:sz w:val="21"/>
                      <w:szCs w:val="21"/>
                      <w:lang w:eastAsia="zh-CN"/>
                    </w:rPr>
                    <w:t>经通风橱、万向罩收集后经“</w:t>
                  </w:r>
                  <w:r>
                    <w:rPr>
                      <w:rFonts w:hint="eastAsia" w:cs="Times New Roman"/>
                      <w:color w:val="000000"/>
                      <w:sz w:val="21"/>
                      <w:szCs w:val="21"/>
                      <w:lang w:val="en-US" w:eastAsia="zh-CN"/>
                    </w:rPr>
                    <w:t>2#</w:t>
                  </w:r>
                  <w:r>
                    <w:rPr>
                      <w:rFonts w:hint="default" w:cs="Times New Roman"/>
                      <w:color w:val="000000"/>
                      <w:sz w:val="21"/>
                      <w:szCs w:val="21"/>
                      <w:lang w:eastAsia="zh-CN"/>
                    </w:rPr>
                    <w:t>碱喷淋+</w:t>
                  </w:r>
                  <w:r>
                    <w:rPr>
                      <w:rFonts w:hint="eastAsia" w:cs="Times New Roman"/>
                      <w:color w:val="000000"/>
                      <w:sz w:val="21"/>
                      <w:szCs w:val="21"/>
                      <w:lang w:val="en-US" w:eastAsia="zh-CN"/>
                    </w:rPr>
                    <w:t>2#</w:t>
                  </w:r>
                  <w:r>
                    <w:rPr>
                      <w:rFonts w:hint="default" w:cs="Times New Roman"/>
                      <w:color w:val="000000"/>
                      <w:sz w:val="21"/>
                      <w:szCs w:val="21"/>
                      <w:lang w:eastAsia="zh-CN"/>
                    </w:rPr>
                    <w:t>除雾器+</w:t>
                  </w:r>
                  <w:r>
                    <w:rPr>
                      <w:rFonts w:hint="eastAsia" w:cs="Times New Roman"/>
                      <w:color w:val="000000"/>
                      <w:sz w:val="21"/>
                      <w:szCs w:val="21"/>
                      <w:lang w:val="en-US" w:eastAsia="zh-CN"/>
                    </w:rPr>
                    <w:t>2#</w:t>
                  </w:r>
                  <w:r>
                    <w:rPr>
                      <w:rFonts w:hint="default" w:cs="Times New Roman"/>
                      <w:color w:val="000000"/>
                      <w:sz w:val="21"/>
                      <w:szCs w:val="21"/>
                      <w:lang w:eastAsia="zh-CN"/>
                    </w:rPr>
                    <w:t>活性炭吸附”处理</w:t>
                  </w:r>
                  <w:r>
                    <w:rPr>
                      <w:rFonts w:hint="eastAsia" w:cs="Times New Roman"/>
                      <w:color w:val="000000"/>
                      <w:sz w:val="21"/>
                      <w:szCs w:val="21"/>
                      <w:lang w:eastAsia="zh-CN"/>
                    </w:rPr>
                    <w:t>，三层西侧实验室废气</w:t>
                  </w:r>
                  <w:r>
                    <w:rPr>
                      <w:rFonts w:hint="default" w:cs="Times New Roman"/>
                      <w:color w:val="000000"/>
                      <w:sz w:val="21"/>
                      <w:szCs w:val="21"/>
                      <w:lang w:eastAsia="zh-CN"/>
                    </w:rPr>
                    <w:t>经通风橱、万向罩收集后经“</w:t>
                  </w:r>
                  <w:r>
                    <w:rPr>
                      <w:rFonts w:hint="eastAsia" w:cs="Times New Roman"/>
                      <w:color w:val="000000"/>
                      <w:sz w:val="21"/>
                      <w:szCs w:val="21"/>
                      <w:lang w:val="en-US" w:eastAsia="zh-CN"/>
                    </w:rPr>
                    <w:t>3#</w:t>
                  </w:r>
                  <w:r>
                    <w:rPr>
                      <w:rFonts w:hint="default" w:cs="Times New Roman"/>
                      <w:color w:val="000000"/>
                      <w:sz w:val="21"/>
                      <w:szCs w:val="21"/>
                      <w:lang w:eastAsia="zh-CN"/>
                    </w:rPr>
                    <w:t>碱喷淋+</w:t>
                  </w:r>
                  <w:r>
                    <w:rPr>
                      <w:rFonts w:hint="eastAsia" w:cs="Times New Roman"/>
                      <w:color w:val="000000"/>
                      <w:sz w:val="21"/>
                      <w:szCs w:val="21"/>
                      <w:lang w:val="en-US" w:eastAsia="zh-CN"/>
                    </w:rPr>
                    <w:t>3#</w:t>
                  </w:r>
                  <w:r>
                    <w:rPr>
                      <w:rFonts w:hint="default" w:cs="Times New Roman"/>
                      <w:color w:val="000000"/>
                      <w:sz w:val="21"/>
                      <w:szCs w:val="21"/>
                      <w:lang w:eastAsia="zh-CN"/>
                    </w:rPr>
                    <w:t>除雾器+</w:t>
                  </w:r>
                  <w:r>
                    <w:rPr>
                      <w:rFonts w:hint="eastAsia" w:cs="Times New Roman"/>
                      <w:color w:val="000000"/>
                      <w:sz w:val="21"/>
                      <w:szCs w:val="21"/>
                      <w:lang w:val="en-US" w:eastAsia="zh-CN"/>
                    </w:rPr>
                    <w:t>3#</w:t>
                  </w:r>
                  <w:r>
                    <w:rPr>
                      <w:rFonts w:hint="default" w:cs="Times New Roman"/>
                      <w:color w:val="000000"/>
                      <w:sz w:val="21"/>
                      <w:szCs w:val="21"/>
                      <w:lang w:eastAsia="zh-CN"/>
                    </w:rPr>
                    <w:t>活性炭吸附”处理</w:t>
                  </w:r>
                  <w:r>
                    <w:rPr>
                      <w:rFonts w:hint="eastAsia" w:cs="Times New Roman"/>
                      <w:color w:val="000000"/>
                      <w:sz w:val="21"/>
                      <w:szCs w:val="21"/>
                      <w:lang w:eastAsia="zh-CN"/>
                    </w:rPr>
                    <w:t>，共同</w:t>
                  </w:r>
                  <w:r>
                    <w:rPr>
                      <w:rFonts w:hint="default" w:cs="Times New Roman"/>
                      <w:color w:val="000000"/>
                      <w:sz w:val="21"/>
                      <w:szCs w:val="21"/>
                      <w:lang w:eastAsia="zh-CN"/>
                    </w:rPr>
                    <w:t>通过1根排气筒 DA001 排放。</w:t>
                  </w:r>
                </w:p>
                <w:p>
                  <w:pPr>
                    <w:keepNext w:val="0"/>
                    <w:keepLines w:val="0"/>
                    <w:pageBreakBefore w:val="0"/>
                    <w:widowControl w:val="0"/>
                    <w:kinsoku/>
                    <w:wordWrap/>
                    <w:overflowPunct/>
                    <w:topLinePunct w:val="0"/>
                    <w:autoSpaceDE/>
                    <w:autoSpaceDN/>
                    <w:bidi w:val="0"/>
                    <w:spacing w:line="240" w:lineRule="auto"/>
                    <w:ind w:firstLine="0" w:firstLineChars="0"/>
                    <w:jc w:val="left"/>
                    <w:rPr>
                      <w:rFonts w:hint="default" w:cs="Times New Roman"/>
                      <w:color w:val="000000"/>
                      <w:sz w:val="21"/>
                      <w:szCs w:val="21"/>
                      <w:lang w:eastAsia="zh-CN"/>
                    </w:rPr>
                  </w:pPr>
                  <w:r>
                    <w:rPr>
                      <w:rFonts w:hint="eastAsia" w:cs="Times New Roman"/>
                      <w:color w:val="000000"/>
                      <w:sz w:val="21"/>
                      <w:szCs w:val="21"/>
                      <w:lang w:eastAsia="zh-CN"/>
                    </w:rPr>
                    <w:t>二层东侧</w:t>
                  </w:r>
                  <w:r>
                    <w:rPr>
                      <w:rFonts w:hint="default" w:cs="Times New Roman"/>
                      <w:color w:val="000000"/>
                      <w:sz w:val="21"/>
                      <w:szCs w:val="21"/>
                      <w:lang w:eastAsia="zh-CN"/>
                    </w:rPr>
                    <w:t>实验室废气经通风橱、万向罩收集后经“</w:t>
                  </w:r>
                  <w:r>
                    <w:rPr>
                      <w:rFonts w:hint="eastAsia" w:cs="Times New Roman"/>
                      <w:color w:val="000000"/>
                      <w:sz w:val="21"/>
                      <w:szCs w:val="21"/>
                      <w:lang w:val="en-US" w:eastAsia="zh-CN"/>
                    </w:rPr>
                    <w:t>1#</w:t>
                  </w:r>
                  <w:r>
                    <w:rPr>
                      <w:rFonts w:hint="default" w:cs="Times New Roman"/>
                      <w:color w:val="000000"/>
                      <w:sz w:val="21"/>
                      <w:szCs w:val="21"/>
                      <w:lang w:eastAsia="zh-CN"/>
                    </w:rPr>
                    <w:t>一级活性炭吸附”处理</w:t>
                  </w:r>
                  <w:r>
                    <w:rPr>
                      <w:rFonts w:hint="eastAsia" w:cs="Times New Roman"/>
                      <w:color w:val="000000"/>
                      <w:sz w:val="21"/>
                      <w:szCs w:val="21"/>
                      <w:lang w:eastAsia="zh-CN"/>
                    </w:rPr>
                    <w:t>，二层西侧</w:t>
                  </w:r>
                  <w:r>
                    <w:rPr>
                      <w:rFonts w:hint="default" w:cs="Times New Roman"/>
                      <w:color w:val="000000"/>
                      <w:sz w:val="21"/>
                      <w:szCs w:val="21"/>
                      <w:lang w:eastAsia="zh-CN"/>
                    </w:rPr>
                    <w:t>实验室废气经通风橱、万向罩收集后经“</w:t>
                  </w:r>
                  <w:r>
                    <w:rPr>
                      <w:rFonts w:hint="eastAsia" w:cs="Times New Roman"/>
                      <w:color w:val="000000"/>
                      <w:sz w:val="21"/>
                      <w:szCs w:val="21"/>
                      <w:lang w:val="en-US" w:eastAsia="zh-CN"/>
                    </w:rPr>
                    <w:t>2#</w:t>
                  </w:r>
                  <w:r>
                    <w:rPr>
                      <w:rFonts w:hint="default" w:cs="Times New Roman"/>
                      <w:color w:val="000000"/>
                      <w:sz w:val="21"/>
                      <w:szCs w:val="21"/>
                      <w:lang w:eastAsia="zh-CN"/>
                    </w:rPr>
                    <w:t>一级活性炭吸附”处理</w:t>
                  </w:r>
                  <w:r>
                    <w:rPr>
                      <w:rFonts w:hint="eastAsia" w:cs="Times New Roman"/>
                      <w:color w:val="000000"/>
                      <w:sz w:val="21"/>
                      <w:szCs w:val="21"/>
                      <w:lang w:eastAsia="zh-CN"/>
                    </w:rPr>
                    <w:t>，共同</w:t>
                  </w:r>
                  <w:r>
                    <w:rPr>
                      <w:rFonts w:hint="default" w:cs="Times New Roman"/>
                      <w:color w:val="000000"/>
                      <w:sz w:val="21"/>
                      <w:szCs w:val="21"/>
                      <w:lang w:eastAsia="zh-CN"/>
                    </w:rPr>
                    <w:t>通过1根排气筒 DA00</w:t>
                  </w:r>
                  <w:r>
                    <w:rPr>
                      <w:rFonts w:hint="eastAsia" w:cs="Times New Roman"/>
                      <w:color w:val="000000"/>
                      <w:sz w:val="21"/>
                      <w:szCs w:val="21"/>
                      <w:lang w:val="en-US" w:eastAsia="zh-CN"/>
                    </w:rPr>
                    <w:t>2</w:t>
                  </w:r>
                  <w:r>
                    <w:rPr>
                      <w:rFonts w:hint="default" w:cs="Times New Roman"/>
                      <w:color w:val="000000"/>
                      <w:sz w:val="21"/>
                      <w:szCs w:val="21"/>
                      <w:lang w:eastAsia="zh-CN"/>
                    </w:rPr>
                    <w:t>排放。</w:t>
                  </w:r>
                </w:p>
                <w:p>
                  <w:pPr>
                    <w:keepNext w:val="0"/>
                    <w:keepLines w:val="0"/>
                    <w:pageBreakBefore w:val="0"/>
                    <w:widowControl w:val="0"/>
                    <w:kinsoku/>
                    <w:wordWrap/>
                    <w:overflowPunct/>
                    <w:topLinePunct w:val="0"/>
                    <w:autoSpaceDE/>
                    <w:autoSpaceDN/>
                    <w:bidi w:val="0"/>
                    <w:spacing w:line="240" w:lineRule="auto"/>
                    <w:ind w:firstLine="0" w:firstLineChars="0"/>
                    <w:jc w:val="left"/>
                    <w:rPr>
                      <w:rFonts w:hint="default" w:cs="Times New Roman"/>
                      <w:color w:val="000000"/>
                      <w:sz w:val="21"/>
                      <w:szCs w:val="21"/>
                      <w:lang w:eastAsia="zh-CN"/>
                    </w:rPr>
                  </w:pPr>
                  <w:r>
                    <w:rPr>
                      <w:rFonts w:hint="default" w:cs="Times New Roman"/>
                      <w:color w:val="000000"/>
                      <w:sz w:val="21"/>
                      <w:szCs w:val="21"/>
                      <w:lang w:eastAsia="zh-CN"/>
                    </w:rPr>
                    <w:t>四层实验室废气经通风橱、万向罩收集后经“两级活性炭吸附”处理后通过 DA003 排气筒排放。</w:t>
                  </w:r>
                </w:p>
                <w:p>
                  <w:pPr>
                    <w:keepNext w:val="0"/>
                    <w:keepLines w:val="0"/>
                    <w:pageBreakBefore w:val="0"/>
                    <w:widowControl w:val="0"/>
                    <w:kinsoku/>
                    <w:wordWrap/>
                    <w:overflowPunct/>
                    <w:topLinePunct w:val="0"/>
                    <w:autoSpaceDE/>
                    <w:autoSpaceDN/>
                    <w:bidi w:val="0"/>
                    <w:spacing w:line="240" w:lineRule="auto"/>
                    <w:ind w:firstLine="0" w:firstLineChars="0"/>
                    <w:jc w:val="left"/>
                    <w:rPr>
                      <w:rFonts w:hint="default" w:ascii="Times New Roman" w:hAnsi="Times New Roman" w:eastAsia="宋体" w:cs="Times New Roman"/>
                      <w:sz w:val="21"/>
                      <w:szCs w:val="21"/>
                      <w:lang w:val="en-US" w:eastAsia="zh-CN"/>
                    </w:rPr>
                  </w:pPr>
                  <w:r>
                    <w:rPr>
                      <w:rFonts w:hint="default" w:cs="Times New Roman"/>
                      <w:color w:val="000000"/>
                      <w:sz w:val="21"/>
                      <w:szCs w:val="21"/>
                      <w:lang w:eastAsia="zh-CN"/>
                    </w:rPr>
                    <w:t>危废暂存间废气引至一楼合成实验室废气处理装置“</w:t>
                  </w:r>
                  <w:r>
                    <w:rPr>
                      <w:rFonts w:hint="eastAsia" w:cs="Times New Roman"/>
                      <w:color w:val="000000"/>
                      <w:sz w:val="21"/>
                      <w:szCs w:val="21"/>
                      <w:lang w:val="en-US" w:eastAsia="zh-CN"/>
                    </w:rPr>
                    <w:t>1#</w:t>
                  </w:r>
                  <w:r>
                    <w:rPr>
                      <w:rFonts w:hint="default" w:cs="Times New Roman"/>
                      <w:color w:val="000000"/>
                      <w:sz w:val="21"/>
                      <w:szCs w:val="21"/>
                      <w:lang w:eastAsia="zh-CN"/>
                    </w:rPr>
                    <w:t>碱喷淋+</w:t>
                  </w:r>
                  <w:r>
                    <w:rPr>
                      <w:rFonts w:hint="eastAsia" w:cs="Times New Roman"/>
                      <w:color w:val="000000"/>
                      <w:sz w:val="21"/>
                      <w:szCs w:val="21"/>
                      <w:lang w:val="en-US" w:eastAsia="zh-CN"/>
                    </w:rPr>
                    <w:t>1#</w:t>
                  </w:r>
                  <w:r>
                    <w:rPr>
                      <w:rFonts w:hint="default" w:cs="Times New Roman"/>
                      <w:color w:val="000000"/>
                      <w:sz w:val="21"/>
                      <w:szCs w:val="21"/>
                      <w:lang w:eastAsia="zh-CN"/>
                    </w:rPr>
                    <w:t>除雾器+</w:t>
                  </w:r>
                  <w:r>
                    <w:rPr>
                      <w:rFonts w:hint="eastAsia" w:cs="Times New Roman"/>
                      <w:color w:val="000000"/>
                      <w:sz w:val="21"/>
                      <w:szCs w:val="21"/>
                      <w:lang w:val="en-US" w:eastAsia="zh-CN"/>
                    </w:rPr>
                    <w:t>1#</w:t>
                  </w:r>
                  <w:r>
                    <w:rPr>
                      <w:rFonts w:hint="default" w:cs="Times New Roman"/>
                      <w:color w:val="000000"/>
                      <w:sz w:val="21"/>
                      <w:szCs w:val="21"/>
                      <w:lang w:eastAsia="zh-CN"/>
                    </w:rPr>
                    <w:t>活性炭吸附”处理后排气筒排放。</w:t>
                  </w:r>
                </w:p>
              </w:tc>
              <w:tc>
                <w:tcPr>
                  <w:tcW w:w="772" w:type="pct"/>
                  <w:tcBorders>
                    <w:top w:val="single" w:color="auto" w:sz="6" w:space="0"/>
                    <w:left w:val="single" w:color="auto" w:sz="6" w:space="0"/>
                    <w:right w:val="single" w:color="auto" w:sz="6" w:space="0"/>
                  </w:tcBorders>
                  <w:noWrap w:val="0"/>
                  <w:tcMar>
                    <w:top w:w="0" w:type="dxa"/>
                    <w:left w:w="0" w:type="dxa"/>
                    <w:bottom w:w="0" w:type="dxa"/>
                    <w:right w:w="0" w:type="dxa"/>
                  </w:tcMar>
                  <w:vAlign w:val="center"/>
                </w:tcPr>
                <w:p>
                  <w:pPr>
                    <w:spacing w:line="240" w:lineRule="auto"/>
                    <w:ind w:firstLine="0" w:firstLineChars="0"/>
                    <w:jc w:val="center"/>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一层、三层废气</w:t>
                  </w:r>
                  <w:r>
                    <w:rPr>
                      <w:rFonts w:hint="default" w:ascii="Times New Roman" w:hAnsi="Times New Roman" w:eastAsia="宋体" w:cs="Times New Roman"/>
                      <w:color w:val="000000"/>
                      <w:sz w:val="21"/>
                      <w:szCs w:val="21"/>
                      <w:lang w:val="en-US" w:eastAsia="zh-CN"/>
                    </w:rPr>
                    <w:t>环保措施由环评中“两级活性炭吸附”变更为实际安装3套“碱喷淋+除雾器+活性炭吸附”，分别处理一层</w:t>
                  </w:r>
                  <w:r>
                    <w:rPr>
                      <w:rFonts w:hint="eastAsia" w:ascii="Times New Roman" w:hAnsi="Times New Roman" w:eastAsia="宋体" w:cs="Times New Roman"/>
                      <w:color w:val="000000"/>
                      <w:sz w:val="21"/>
                      <w:szCs w:val="21"/>
                      <w:lang w:val="en-US" w:eastAsia="zh-CN"/>
                    </w:rPr>
                    <w:t>废气</w:t>
                  </w:r>
                  <w:r>
                    <w:rPr>
                      <w:rFonts w:hint="default" w:ascii="Times New Roman" w:hAnsi="Times New Roman" w:eastAsia="宋体" w:cs="Times New Roman"/>
                      <w:color w:val="000000"/>
                      <w:sz w:val="21"/>
                      <w:szCs w:val="21"/>
                      <w:lang w:val="en-US" w:eastAsia="zh-CN"/>
                    </w:rPr>
                    <w:t>、三层东侧</w:t>
                  </w:r>
                  <w:r>
                    <w:rPr>
                      <w:rFonts w:hint="eastAsia" w:ascii="Times New Roman" w:hAnsi="Times New Roman" w:eastAsia="宋体" w:cs="Times New Roman"/>
                      <w:color w:val="000000"/>
                      <w:sz w:val="21"/>
                      <w:szCs w:val="21"/>
                      <w:lang w:val="en-US" w:eastAsia="zh-CN"/>
                    </w:rPr>
                    <w:t>废气</w:t>
                  </w:r>
                  <w:r>
                    <w:rPr>
                      <w:rFonts w:hint="default" w:ascii="Times New Roman" w:hAnsi="Times New Roman" w:eastAsia="宋体" w:cs="Times New Roman"/>
                      <w:color w:val="000000"/>
                      <w:sz w:val="21"/>
                      <w:szCs w:val="21"/>
                      <w:lang w:val="en-US" w:eastAsia="zh-CN"/>
                    </w:rPr>
                    <w:t>和三层西侧废气；</w:t>
                  </w:r>
                </w:p>
                <w:p>
                  <w:pPr>
                    <w:spacing w:line="240" w:lineRule="auto"/>
                    <w:ind w:firstLine="0" w:firstLineChars="0"/>
                    <w:jc w:val="center"/>
                    <w:rPr>
                      <w:rFonts w:hint="default"/>
                      <w:lang w:val="en-US" w:eastAsia="zh-CN"/>
                    </w:rPr>
                  </w:pPr>
                  <w:r>
                    <w:rPr>
                      <w:rFonts w:hint="eastAsia" w:ascii="Times New Roman" w:hAnsi="Times New Roman" w:eastAsia="宋体" w:cs="Times New Roman"/>
                      <w:color w:val="000000"/>
                      <w:sz w:val="21"/>
                      <w:szCs w:val="21"/>
                      <w:lang w:val="en-US" w:eastAsia="zh-CN"/>
                    </w:rPr>
                    <w:t>二层废气</w:t>
                  </w:r>
                  <w:r>
                    <w:rPr>
                      <w:rFonts w:hint="default" w:ascii="Times New Roman" w:hAnsi="Times New Roman" w:eastAsia="宋体" w:cs="Times New Roman"/>
                      <w:color w:val="000000"/>
                      <w:sz w:val="21"/>
                      <w:szCs w:val="21"/>
                      <w:lang w:val="en-US" w:eastAsia="zh-CN"/>
                    </w:rPr>
                    <w:t>环保措施由环评中“两级活性炭吸附”变更为实际安装2套“一级活性炭吸附”，分别处理二楼东侧</w:t>
                  </w:r>
                  <w:r>
                    <w:rPr>
                      <w:rFonts w:hint="eastAsia" w:ascii="Times New Roman" w:hAnsi="Times New Roman" w:eastAsia="宋体" w:cs="Times New Roman"/>
                      <w:color w:val="000000"/>
                      <w:sz w:val="21"/>
                      <w:szCs w:val="21"/>
                      <w:lang w:val="en-US" w:eastAsia="zh-CN"/>
                    </w:rPr>
                    <w:t>废气</w:t>
                  </w:r>
                  <w:r>
                    <w:rPr>
                      <w:rFonts w:hint="default" w:ascii="Times New Roman" w:hAnsi="Times New Roman" w:eastAsia="宋体" w:cs="Times New Roman"/>
                      <w:color w:val="000000"/>
                      <w:sz w:val="21"/>
                      <w:szCs w:val="21"/>
                      <w:lang w:val="en-US" w:eastAsia="zh-CN"/>
                    </w:rPr>
                    <w:t>和二楼西侧废气；</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废水处理设施</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eastAsia="宋体"/>
                      <w:szCs w:val="21"/>
                    </w:rPr>
                  </w:pPr>
                  <w:r>
                    <w:rPr>
                      <w:rFonts w:hint="default" w:eastAsia="宋体"/>
                      <w:szCs w:val="21"/>
                    </w:rPr>
                    <w:t>地面清洗废水、深度清洗废水等生产废水、生活污水符合接管标准后通过园区污水管网直接排入济南银丰国际生物城污水处理站，</w:t>
                  </w:r>
                  <w:r>
                    <w:rPr>
                      <w:rFonts w:hint="eastAsia"/>
                      <w:szCs w:val="21"/>
                      <w:lang w:eastAsia="zh-CN"/>
                    </w:rPr>
                    <w:t>经污水处理站处理满足《污水排入城镇下水道水质标准》（GB/T 31962-2015）中表1的A等级标准后通过市政污水管网排入巨野河污水处理厂</w:t>
                  </w:r>
                  <w:r>
                    <w:rPr>
                      <w:rFonts w:hint="default" w:eastAsia="宋体"/>
                      <w:szCs w:val="21"/>
                    </w:rPr>
                    <w:t>，由其进一步处理至《城镇污水处理厂污染物排放标准》（GB18918-2002）一级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color w:val="000000"/>
                      <w:sz w:val="21"/>
                      <w:szCs w:val="21"/>
                      <w:lang w:eastAsia="zh-CN"/>
                    </w:rPr>
                    <w:t>表1的A等</w:t>
                  </w:r>
                  <w:r>
                    <w:rPr>
                      <w:rFonts w:hint="default" w:cs="Times New Roman"/>
                      <w:color w:val="000000"/>
                      <w:sz w:val="21"/>
                      <w:szCs w:val="21"/>
                      <w:lang w:eastAsia="zh-CN"/>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397" w:hRule="atLeast"/>
                <w:jc w:val="center"/>
              </w:trPr>
              <w:tc>
                <w:tcPr>
                  <w:tcW w:w="282" w:type="pct"/>
                  <w:vMerge w:val="continue"/>
                  <w:tcBorders>
                    <w:left w:val="single" w:color="auto" w:sz="4"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减振、隔声</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eastAsia="宋体"/>
                      <w:szCs w:val="21"/>
                    </w:rPr>
                  </w:pPr>
                  <w:r>
                    <w:rPr>
                      <w:rFonts w:hint="eastAsia" w:eastAsia="宋体"/>
                      <w:szCs w:val="21"/>
                    </w:rPr>
                    <w:t>在选型时尽量选用低噪声设备，噪声设备全部布设于室内，合理布置噪声源位置，针对噪声源位置和噪声的特点分别采用减振、隔声、消声等措施。</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在选型时尽量选用低噪声设备，噪声设备全部布设于室内，合理布置噪声源位置，针对噪声源位置和噪声的特点分别采用减振、隔声、消声等措施。</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113" w:type="dxa"/>
                  <w:left w:w="28" w:type="dxa"/>
                  <w:bottom w:w="113" w:type="dxa"/>
                  <w:right w:w="28" w:type="dxa"/>
                </w:tblCellMar>
              </w:tblPrEx>
              <w:trPr>
                <w:trHeight w:val="397" w:hRule="atLeast"/>
                <w:jc w:val="center"/>
              </w:trPr>
              <w:tc>
                <w:tcPr>
                  <w:tcW w:w="282" w:type="pct"/>
                  <w:vMerge w:val="continue"/>
                  <w:tcBorders>
                    <w:left w:val="single" w:color="auto" w:sz="4"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p>
              </w:tc>
              <w:tc>
                <w:tcPr>
                  <w:tcW w:w="671" w:type="pct"/>
                  <w:gridSpan w:val="2"/>
                  <w:tcBorders>
                    <w:top w:val="single" w:color="auto" w:sz="6" w:space="0"/>
                    <w:left w:val="single" w:color="auto" w:sz="6" w:space="0"/>
                    <w:bottom w:val="single" w:color="auto" w:sz="6" w:space="0"/>
                    <w:right w:val="single" w:color="auto" w:sz="4" w:space="0"/>
                  </w:tcBorders>
                  <w:noWrap w:val="0"/>
                  <w:tcMar>
                    <w:top w:w="0" w:type="dxa"/>
                    <w:left w:w="0" w:type="dxa"/>
                    <w:bottom w:w="0" w:type="dxa"/>
                    <w:right w:w="0" w:type="dxa"/>
                  </w:tcMar>
                  <w:vAlign w:val="center"/>
                </w:tcPr>
                <w:p>
                  <w:pPr>
                    <w:pStyle w:val="42"/>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固废</w:t>
                  </w:r>
                </w:p>
              </w:tc>
              <w:tc>
                <w:tcPr>
                  <w:tcW w:w="1667" w:type="pct"/>
                  <w:gridSpan w:val="2"/>
                  <w:tcBorders>
                    <w:top w:val="single" w:color="auto" w:sz="6" w:space="0"/>
                    <w:left w:val="single" w:color="auto" w:sz="4" w:space="0"/>
                    <w:bottom w:val="single" w:color="auto" w:sz="6" w:space="0"/>
                    <w:right w:val="single" w:color="auto" w:sz="6" w:space="0"/>
                  </w:tcBorders>
                  <w:noWrap w:val="0"/>
                  <w:tcMar>
                    <w:top w:w="0" w:type="dxa"/>
                    <w:left w:w="0" w:type="dxa"/>
                    <w:bottom w:w="0" w:type="dxa"/>
                    <w:right w:w="0" w:type="dxa"/>
                  </w:tcMar>
                  <w:vAlign w:val="center"/>
                </w:tcPr>
                <w:p>
                  <w:pPr>
                    <w:pStyle w:val="42"/>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本项目危废暂存间设置在一楼东半楼东南侧，占地面积50</w:t>
                  </w:r>
                  <w:r>
                    <w:rPr>
                      <w:rFonts w:hint="eastAsia" w:cs="Times New Roman"/>
                      <w:sz w:val="21"/>
                      <w:szCs w:val="21"/>
                      <w:lang w:eastAsia="zh-CN"/>
                    </w:rPr>
                    <w:t>㎡</w:t>
                  </w:r>
                  <w:r>
                    <w:rPr>
                      <w:rFonts w:hint="default" w:ascii="Times New Roman" w:hAnsi="Times New Roman" w:eastAsia="宋体" w:cs="Times New Roman"/>
                      <w:sz w:val="21"/>
                      <w:szCs w:val="21"/>
                    </w:rPr>
                    <w:t>，用于暂存实验废物、合成实验废液、初洗废液和二次清洗废液、质检废液、过期试剂、废活性炭、废干燥剂、废吸附剂、废催化剂等危险废物，委托有资质单位处置；在一楼东半楼东南侧设置一般固废仓库，占地面积10</w:t>
                  </w:r>
                  <w:r>
                    <w:rPr>
                      <w:rFonts w:hint="eastAsia" w:cs="Times New Roman"/>
                      <w:sz w:val="21"/>
                      <w:szCs w:val="21"/>
                      <w:lang w:eastAsia="zh-CN"/>
                    </w:rPr>
                    <w:t>㎡</w:t>
                  </w:r>
                  <w:r>
                    <w:rPr>
                      <w:rFonts w:hint="default" w:ascii="Times New Roman" w:hAnsi="Times New Roman" w:eastAsia="宋体" w:cs="Times New Roman"/>
                      <w:sz w:val="21"/>
                      <w:szCs w:val="21"/>
                    </w:rPr>
                    <w:t>，用于存储废包装物、一次性口罩、手套等。各楼层设置垃圾桶，生活垃圾由环卫部门定期清运。</w:t>
                  </w:r>
                </w:p>
              </w:tc>
              <w:tc>
                <w:tcPr>
                  <w:tcW w:w="1606"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ascii="Times New Roman" w:hAnsi="Times New Roman" w:eastAsia="宋体" w:cs="Times New Roman"/>
                      <w:sz w:val="21"/>
                      <w:szCs w:val="21"/>
                      <w:lang w:eastAsia="zh-CN"/>
                    </w:rPr>
                  </w:pPr>
                  <w:r>
                    <w:rPr>
                      <w:rFonts w:hint="default" w:cs="Times New Roman"/>
                      <w:color w:val="000000"/>
                      <w:sz w:val="21"/>
                      <w:szCs w:val="21"/>
                      <w:lang w:eastAsia="zh-CN"/>
                    </w:rPr>
                    <w:t>本项目危废暂存间设置在一楼东半楼东南侧，占地面积50</w:t>
                  </w:r>
                  <w:r>
                    <w:rPr>
                      <w:rFonts w:hint="eastAsia" w:cs="Times New Roman"/>
                      <w:color w:val="000000"/>
                      <w:sz w:val="21"/>
                      <w:szCs w:val="21"/>
                      <w:lang w:eastAsia="zh-CN"/>
                    </w:rPr>
                    <w:t>㎡</w:t>
                  </w:r>
                  <w:r>
                    <w:rPr>
                      <w:rFonts w:hint="default" w:cs="Times New Roman"/>
                      <w:color w:val="000000"/>
                      <w:sz w:val="21"/>
                      <w:szCs w:val="21"/>
                      <w:lang w:eastAsia="zh-CN"/>
                    </w:rPr>
                    <w:t>，用于暂存实验废物、合成实验废液、初洗废液和二次清洗废液、质检废液、过期试剂、废活性炭、废干燥剂、废吸附剂、喷淋塔废液</w:t>
                  </w:r>
                  <w:r>
                    <w:rPr>
                      <w:rFonts w:hint="eastAsia" w:cs="Times New Roman"/>
                      <w:color w:val="000000"/>
                      <w:sz w:val="21"/>
                      <w:szCs w:val="21"/>
                      <w:lang w:eastAsia="zh-CN"/>
                    </w:rPr>
                    <w:t>、</w:t>
                  </w:r>
                  <w:r>
                    <w:rPr>
                      <w:rFonts w:hint="default" w:cs="Times New Roman"/>
                      <w:color w:val="000000"/>
                      <w:sz w:val="21"/>
                      <w:szCs w:val="21"/>
                      <w:lang w:eastAsia="zh-CN"/>
                    </w:rPr>
                    <w:t>废催化剂等危险废物，委托有资质单位处置；在一楼东半楼东南侧设置一般固废仓库，占地面积10</w:t>
                  </w:r>
                  <w:r>
                    <w:rPr>
                      <w:rFonts w:hint="eastAsia" w:cs="Times New Roman"/>
                      <w:color w:val="000000"/>
                      <w:sz w:val="21"/>
                      <w:szCs w:val="21"/>
                      <w:lang w:eastAsia="zh-CN"/>
                    </w:rPr>
                    <w:t>㎡</w:t>
                  </w:r>
                  <w:r>
                    <w:rPr>
                      <w:rFonts w:hint="default" w:cs="Times New Roman"/>
                      <w:color w:val="000000"/>
                      <w:sz w:val="21"/>
                      <w:szCs w:val="21"/>
                      <w:lang w:eastAsia="zh-CN"/>
                    </w:rPr>
                    <w:t>，用于存储废包装物、一次性口罩、手套等。各楼层设置垃圾桶，生活垃圾由环卫部门定期清运。</w:t>
                  </w:r>
                </w:p>
              </w:tc>
              <w:tc>
                <w:tcPr>
                  <w:tcW w:w="772" w:type="pct"/>
                  <w:tcBorders>
                    <w:top w:val="single" w:color="auto" w:sz="6" w:space="0"/>
                    <w:left w:val="single" w:color="auto" w:sz="6" w:space="0"/>
                    <w:bottom w:val="single" w:color="auto" w:sz="6" w:space="0"/>
                    <w:right w:val="single" w:color="auto" w:sz="6" w:space="0"/>
                  </w:tcBorders>
                  <w:noWrap w:val="0"/>
                  <w:tcMar>
                    <w:top w:w="0" w:type="dxa"/>
                    <w:left w:w="0" w:type="dxa"/>
                    <w:bottom w:w="0" w:type="dxa"/>
                    <w:right w:w="0" w:type="dxa"/>
                  </w:tcMar>
                  <w:vAlign w:val="center"/>
                </w:tcPr>
                <w:p>
                  <w:pPr>
                    <w:keepNext w:val="0"/>
                    <w:keepLines w:val="0"/>
                    <w:pageBreakBefore w:val="0"/>
                    <w:widowControl w:val="0"/>
                    <w:kinsoku/>
                    <w:wordWrap/>
                    <w:overflowPunct/>
                    <w:topLinePunct w:val="0"/>
                    <w:autoSpaceDE/>
                    <w:autoSpaceDN/>
                    <w:bidi w:val="0"/>
                    <w:spacing w:line="240" w:lineRule="auto"/>
                    <w:ind w:firstLine="0" w:firstLineChars="0"/>
                    <w:jc w:val="center"/>
                    <w:rPr>
                      <w:rFonts w:hint="default" w:cs="Times New Roman"/>
                      <w:color w:val="000000"/>
                      <w:sz w:val="21"/>
                      <w:szCs w:val="21"/>
                      <w:lang w:eastAsia="zh-CN"/>
                    </w:rPr>
                  </w:pPr>
                  <w:r>
                    <w:rPr>
                      <w:rFonts w:hint="eastAsia" w:cs="Times New Roman"/>
                      <w:color w:val="000000"/>
                      <w:sz w:val="21"/>
                      <w:szCs w:val="21"/>
                      <w:lang w:eastAsia="zh-CN"/>
                    </w:rPr>
                    <w:t>识别危废：水质指标不符合</w:t>
                  </w:r>
                  <w:r>
                    <w:rPr>
                      <w:rFonts w:hint="default" w:cs="Times New Roman"/>
                      <w:color w:val="000000"/>
                      <w:sz w:val="21"/>
                      <w:szCs w:val="21"/>
                      <w:lang w:eastAsia="zh-CN"/>
                    </w:rPr>
                    <w:t>济南银丰国际生物城污水处理站</w:t>
                  </w:r>
                  <w:r>
                    <w:rPr>
                      <w:rFonts w:hint="eastAsia" w:cs="Times New Roman"/>
                      <w:color w:val="000000"/>
                      <w:sz w:val="21"/>
                      <w:szCs w:val="21"/>
                      <w:lang w:eastAsia="zh-CN"/>
                    </w:rPr>
                    <w:t>进水水质要求的喷淋塔废液，</w:t>
                  </w:r>
                  <w:r>
                    <w:rPr>
                      <w:rFonts w:hint="default" w:cs="Times New Roman"/>
                      <w:color w:val="000000"/>
                      <w:sz w:val="21"/>
                      <w:szCs w:val="21"/>
                      <w:lang w:eastAsia="zh-CN"/>
                    </w:rPr>
                    <w:t>委托有资质单位处置</w:t>
                  </w:r>
                </w:p>
              </w:tc>
            </w:tr>
          </w:tbl>
          <w:p>
            <w:pPr>
              <w:pStyle w:val="33"/>
              <w:ind w:firstLine="0" w:firstLineChars="0"/>
              <w:jc w:val="center"/>
              <w:rPr>
                <w:rFonts w:cs="Times New Roman"/>
                <w:color w:val="auto"/>
                <w:highlight w:val="none"/>
              </w:rPr>
            </w:pPr>
            <w:r>
              <w:rPr>
                <w:rFonts w:cs="Times New Roman"/>
                <w:b/>
                <w:bCs/>
                <w:color w:val="auto"/>
                <w:szCs w:val="24"/>
                <w:highlight w:val="none"/>
              </w:rPr>
              <w:t>表2-2  本项目主要产品情况</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1819"/>
              <w:gridCol w:w="997"/>
              <w:gridCol w:w="1762"/>
              <w:gridCol w:w="1762"/>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535" w:type="pct"/>
                  <w:shd w:val="clear" w:color="auto" w:fill="auto"/>
                  <w:vAlign w:val="center"/>
                </w:tcPr>
                <w:p>
                  <w:pPr>
                    <w:pStyle w:val="42"/>
                    <w:rPr>
                      <w:b/>
                      <w:bCs/>
                      <w:color w:val="auto"/>
                      <w:szCs w:val="21"/>
                      <w:highlight w:val="none"/>
                      <w:lang w:val="zh-CN"/>
                    </w:rPr>
                  </w:pPr>
                  <w:r>
                    <w:rPr>
                      <w:b/>
                      <w:bCs/>
                      <w:color w:val="auto"/>
                      <w:szCs w:val="21"/>
                      <w:highlight w:val="none"/>
                    </w:rPr>
                    <w:t>序号</w:t>
                  </w:r>
                </w:p>
              </w:tc>
              <w:tc>
                <w:tcPr>
                  <w:tcW w:w="1020" w:type="pct"/>
                  <w:shd w:val="clear" w:color="auto" w:fill="auto"/>
                  <w:vAlign w:val="center"/>
                </w:tcPr>
                <w:p>
                  <w:pPr>
                    <w:pStyle w:val="42"/>
                    <w:rPr>
                      <w:b/>
                      <w:bCs/>
                      <w:color w:val="auto"/>
                      <w:szCs w:val="21"/>
                      <w:highlight w:val="none"/>
                      <w:lang w:val="zh-CN"/>
                    </w:rPr>
                  </w:pPr>
                  <w:r>
                    <w:rPr>
                      <w:b/>
                      <w:bCs/>
                      <w:color w:val="auto"/>
                      <w:szCs w:val="21"/>
                      <w:highlight w:val="none"/>
                    </w:rPr>
                    <w:t>名称</w:t>
                  </w:r>
                </w:p>
              </w:tc>
              <w:tc>
                <w:tcPr>
                  <w:tcW w:w="559" w:type="pct"/>
                  <w:shd w:val="clear" w:color="auto" w:fill="auto"/>
                  <w:vAlign w:val="center"/>
                </w:tcPr>
                <w:p>
                  <w:pPr>
                    <w:pStyle w:val="42"/>
                    <w:rPr>
                      <w:b/>
                      <w:bCs/>
                      <w:color w:val="auto"/>
                      <w:szCs w:val="21"/>
                      <w:highlight w:val="none"/>
                      <w:lang w:val="zh-CN"/>
                    </w:rPr>
                  </w:pPr>
                  <w:r>
                    <w:rPr>
                      <w:rFonts w:hint="eastAsia"/>
                      <w:b/>
                      <w:bCs/>
                      <w:color w:val="auto"/>
                      <w:szCs w:val="21"/>
                      <w:highlight w:val="none"/>
                    </w:rPr>
                    <w:t>单位</w:t>
                  </w:r>
                </w:p>
              </w:tc>
              <w:tc>
                <w:tcPr>
                  <w:tcW w:w="988" w:type="pct"/>
                  <w:shd w:val="clear" w:color="auto" w:fill="auto"/>
                  <w:vAlign w:val="center"/>
                </w:tcPr>
                <w:p>
                  <w:pPr>
                    <w:pStyle w:val="42"/>
                    <w:rPr>
                      <w:b/>
                      <w:bCs/>
                      <w:color w:val="auto"/>
                      <w:szCs w:val="21"/>
                      <w:highlight w:val="none"/>
                      <w:lang w:val="zh-CN" w:eastAsia="zh-TW"/>
                    </w:rPr>
                  </w:pPr>
                  <w:r>
                    <w:rPr>
                      <w:b/>
                      <w:bCs/>
                      <w:color w:val="auto"/>
                      <w:szCs w:val="21"/>
                      <w:highlight w:val="none"/>
                    </w:rPr>
                    <w:t>环评年产量</w:t>
                  </w:r>
                </w:p>
              </w:tc>
              <w:tc>
                <w:tcPr>
                  <w:tcW w:w="988" w:type="pct"/>
                  <w:shd w:val="clear" w:color="auto" w:fill="auto"/>
                  <w:vAlign w:val="center"/>
                </w:tcPr>
                <w:p>
                  <w:pPr>
                    <w:pStyle w:val="42"/>
                    <w:rPr>
                      <w:b/>
                      <w:bCs/>
                      <w:color w:val="auto"/>
                      <w:szCs w:val="21"/>
                      <w:highlight w:val="none"/>
                      <w:lang w:val="zh-CN"/>
                    </w:rPr>
                  </w:pPr>
                  <w:r>
                    <w:rPr>
                      <w:b/>
                      <w:bCs/>
                      <w:color w:val="auto"/>
                      <w:szCs w:val="21"/>
                      <w:highlight w:val="none"/>
                    </w:rPr>
                    <w:t>实际年产量</w:t>
                  </w:r>
                </w:p>
              </w:tc>
              <w:tc>
                <w:tcPr>
                  <w:tcW w:w="906" w:type="pct"/>
                  <w:shd w:val="clear" w:color="auto" w:fill="auto"/>
                  <w:vAlign w:val="center"/>
                </w:tcPr>
                <w:p>
                  <w:pPr>
                    <w:pStyle w:val="42"/>
                    <w:rPr>
                      <w:color w:val="auto"/>
                      <w:szCs w:val="21"/>
                      <w:highlight w:val="none"/>
                    </w:rPr>
                  </w:pPr>
                  <w:r>
                    <w:rPr>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35" w:type="pct"/>
                  <w:shd w:val="clear" w:color="auto" w:fill="auto"/>
                  <w:vAlign w:val="center"/>
                </w:tcPr>
                <w:p>
                  <w:pPr>
                    <w:pStyle w:val="42"/>
                    <w:rPr>
                      <w:color w:val="auto"/>
                      <w:szCs w:val="21"/>
                      <w:highlight w:val="none"/>
                    </w:rPr>
                  </w:pPr>
                  <w:r>
                    <w:rPr>
                      <w:color w:val="auto"/>
                      <w:szCs w:val="21"/>
                      <w:highlight w:val="none"/>
                    </w:rPr>
                    <w:t>1</w:t>
                  </w:r>
                </w:p>
              </w:tc>
              <w:tc>
                <w:tcPr>
                  <w:tcW w:w="1020" w:type="pct"/>
                  <w:shd w:val="clear" w:color="auto" w:fill="auto"/>
                  <w:vAlign w:val="center"/>
                </w:tcPr>
                <w:p>
                  <w:pPr>
                    <w:pStyle w:val="42"/>
                    <w:rPr>
                      <w:color w:val="auto"/>
                      <w:szCs w:val="21"/>
                      <w:highlight w:val="none"/>
                    </w:rPr>
                  </w:pPr>
                  <w:r>
                    <w:rPr>
                      <w:rFonts w:hint="eastAsia"/>
                      <w:color w:val="auto"/>
                      <w:szCs w:val="21"/>
                      <w:highlight w:val="none"/>
                    </w:rPr>
                    <w:t>创新药物研发</w:t>
                  </w:r>
                </w:p>
              </w:tc>
              <w:tc>
                <w:tcPr>
                  <w:tcW w:w="559" w:type="pct"/>
                  <w:shd w:val="clear" w:color="auto" w:fill="auto"/>
                  <w:vAlign w:val="center"/>
                </w:tcPr>
                <w:p>
                  <w:pPr>
                    <w:pStyle w:val="42"/>
                    <w:rPr>
                      <w:color w:val="auto"/>
                      <w:szCs w:val="21"/>
                      <w:highlight w:val="none"/>
                    </w:rPr>
                  </w:pPr>
                  <w:r>
                    <w:rPr>
                      <w:rFonts w:hint="eastAsia"/>
                      <w:color w:val="auto"/>
                      <w:szCs w:val="21"/>
                      <w:highlight w:val="none"/>
                      <w:lang w:val="en-US" w:eastAsia="zh-CN"/>
                    </w:rPr>
                    <w:t>/</w:t>
                  </w:r>
                </w:p>
              </w:tc>
              <w:tc>
                <w:tcPr>
                  <w:tcW w:w="988" w:type="pct"/>
                  <w:shd w:val="clear" w:color="auto" w:fill="auto"/>
                  <w:vAlign w:val="center"/>
                </w:tcPr>
                <w:p>
                  <w:pPr>
                    <w:pStyle w:val="42"/>
                    <w:rPr>
                      <w:color w:val="auto"/>
                      <w:szCs w:val="21"/>
                      <w:highlight w:val="none"/>
                    </w:rPr>
                  </w:pPr>
                  <w:r>
                    <w:rPr>
                      <w:rFonts w:hint="eastAsia"/>
                      <w:color w:val="auto"/>
                      <w:szCs w:val="21"/>
                      <w:highlight w:val="none"/>
                      <w:lang w:val="en-US" w:eastAsia="zh-CN"/>
                    </w:rPr>
                    <w:t>/</w:t>
                  </w:r>
                </w:p>
              </w:tc>
              <w:tc>
                <w:tcPr>
                  <w:tcW w:w="988" w:type="pct"/>
                  <w:shd w:val="clear" w:color="auto" w:fill="auto"/>
                  <w:vAlign w:val="center"/>
                </w:tcPr>
                <w:p>
                  <w:pPr>
                    <w:pStyle w:val="42"/>
                    <w:rPr>
                      <w:color w:val="auto"/>
                      <w:szCs w:val="21"/>
                      <w:highlight w:val="none"/>
                    </w:rPr>
                  </w:pPr>
                  <w:r>
                    <w:rPr>
                      <w:rFonts w:hint="eastAsia"/>
                      <w:color w:val="auto"/>
                      <w:szCs w:val="21"/>
                      <w:highlight w:val="none"/>
                      <w:lang w:val="en-US" w:eastAsia="zh-CN"/>
                    </w:rPr>
                    <w:t>/</w:t>
                  </w:r>
                </w:p>
              </w:tc>
              <w:tc>
                <w:tcPr>
                  <w:tcW w:w="906" w:type="pct"/>
                  <w:shd w:val="clear" w:color="auto" w:fill="auto"/>
                  <w:vAlign w:val="center"/>
                </w:tcPr>
                <w:p>
                  <w:pPr>
                    <w:pStyle w:val="42"/>
                    <w:rPr>
                      <w:color w:val="auto"/>
                      <w:szCs w:val="21"/>
                      <w:highlight w:val="none"/>
                    </w:rPr>
                  </w:pPr>
                  <w:r>
                    <w:rPr>
                      <w:color w:val="auto"/>
                      <w:szCs w:val="21"/>
                      <w:highlight w:val="none"/>
                    </w:rPr>
                    <w:t>与环评一致</w:t>
                  </w:r>
                </w:p>
              </w:tc>
            </w:tr>
          </w:tbl>
          <w:p>
            <w:pPr>
              <w:ind w:firstLine="482"/>
              <w:jc w:val="center"/>
              <w:rPr>
                <w:b/>
                <w:bCs/>
                <w:color w:val="auto"/>
                <w:highlight w:val="none"/>
              </w:rPr>
            </w:pPr>
            <w:r>
              <w:rPr>
                <w:b/>
                <w:bCs/>
                <w:color w:val="auto"/>
                <w:highlight w:val="none"/>
              </w:rPr>
              <w:t>表2-</w:t>
            </w:r>
            <w:r>
              <w:rPr>
                <w:rFonts w:hint="eastAsia"/>
                <w:b/>
                <w:bCs/>
                <w:color w:val="auto"/>
                <w:highlight w:val="none"/>
              </w:rPr>
              <w:t>3</w:t>
            </w:r>
            <w:r>
              <w:rPr>
                <w:b/>
                <w:bCs/>
                <w:color w:val="auto"/>
                <w:highlight w:val="none"/>
              </w:rPr>
              <w:t xml:space="preserve">  本项目主要生产设备一览表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2059"/>
              <w:gridCol w:w="2661"/>
              <w:gridCol w:w="785"/>
              <w:gridCol w:w="812"/>
              <w:gridCol w:w="826"/>
              <w:gridCol w:w="1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773"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eastAsia" w:eastAsia="宋体"/>
                      <w:b/>
                      <w:bCs/>
                      <w:sz w:val="21"/>
                      <w:szCs w:val="21"/>
                      <w:lang w:eastAsia="zh-CN"/>
                    </w:rPr>
                  </w:pPr>
                  <w:r>
                    <w:rPr>
                      <w:rFonts w:hint="eastAsia"/>
                      <w:b/>
                      <w:bCs/>
                      <w:sz w:val="21"/>
                      <w:szCs w:val="21"/>
                      <w:lang w:eastAsia="zh-CN"/>
                    </w:rPr>
                    <w:t>位置</w:t>
                  </w:r>
                </w:p>
              </w:tc>
              <w:tc>
                <w:tcPr>
                  <w:tcW w:w="2355"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rPr>
                  </w:pPr>
                  <w:r>
                    <w:rPr>
                      <w:rFonts w:hint="default" w:eastAsia="宋体"/>
                      <w:b/>
                      <w:bCs/>
                      <w:sz w:val="21"/>
                      <w:szCs w:val="21"/>
                    </w:rPr>
                    <w:t>设备名称</w:t>
                  </w:r>
                </w:p>
              </w:tc>
              <w:tc>
                <w:tcPr>
                  <w:tcW w:w="1981"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规格型号</w:t>
                  </w:r>
                </w:p>
              </w:tc>
              <w:tc>
                <w:tcPr>
                  <w:tcW w:w="855"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eastAsia"/>
                      <w:b/>
                      <w:bCs/>
                      <w:sz w:val="21"/>
                      <w:szCs w:val="21"/>
                      <w:lang w:eastAsia="zh-CN"/>
                    </w:rPr>
                    <w:t>单位</w:t>
                  </w:r>
                </w:p>
              </w:tc>
              <w:tc>
                <w:tcPr>
                  <w:tcW w:w="888"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环评</w:t>
                  </w:r>
                </w:p>
                <w:p>
                  <w:pPr>
                    <w:pStyle w:val="42"/>
                    <w:bidi w:val="0"/>
                    <w:spacing w:line="240" w:lineRule="auto"/>
                    <w:jc w:val="center"/>
                    <w:rPr>
                      <w:rFonts w:hint="default" w:eastAsia="宋体"/>
                      <w:b/>
                      <w:bCs/>
                      <w:sz w:val="21"/>
                      <w:szCs w:val="21"/>
                      <w:lang w:eastAsia="zh-CN"/>
                    </w:rPr>
                  </w:pPr>
                  <w:r>
                    <w:rPr>
                      <w:rFonts w:hint="eastAsia"/>
                      <w:b/>
                      <w:bCs/>
                      <w:sz w:val="21"/>
                      <w:szCs w:val="21"/>
                      <w:lang w:eastAsia="zh-CN"/>
                    </w:rPr>
                    <w:t>数量</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实际</w:t>
                  </w:r>
                </w:p>
                <w:p>
                  <w:pPr>
                    <w:pStyle w:val="42"/>
                    <w:bidi w:val="0"/>
                    <w:spacing w:line="240" w:lineRule="auto"/>
                    <w:jc w:val="center"/>
                    <w:rPr>
                      <w:rFonts w:hint="default" w:eastAsia="宋体"/>
                      <w:b/>
                      <w:bCs/>
                      <w:sz w:val="21"/>
                      <w:szCs w:val="21"/>
                      <w:lang w:eastAsia="zh-CN"/>
                    </w:rPr>
                  </w:pPr>
                  <w:r>
                    <w:rPr>
                      <w:rFonts w:hint="eastAsia"/>
                      <w:b/>
                      <w:bCs/>
                      <w:sz w:val="21"/>
                      <w:szCs w:val="21"/>
                      <w:lang w:eastAsia="zh-CN"/>
                    </w:rPr>
                    <w:t>数量</w:t>
                  </w:r>
                </w:p>
              </w:tc>
              <w:tc>
                <w:tcPr>
                  <w:tcW w:w="1178" w:type="dxa"/>
                  <w:tcBorders>
                    <w:top w:val="single" w:color="auto" w:sz="4" w:space="0"/>
                    <w:left w:val="single" w:color="auto" w:sz="4" w:space="0"/>
                    <w:right w:val="single" w:color="auto" w:sz="4" w:space="0"/>
                  </w:tcBorders>
                  <w:noWrap w:val="0"/>
                  <w:vAlign w:val="center"/>
                </w:tcPr>
                <w:p>
                  <w:pPr>
                    <w:pStyle w:val="42"/>
                    <w:bidi w:val="0"/>
                    <w:spacing w:line="240" w:lineRule="auto"/>
                    <w:jc w:val="center"/>
                    <w:rPr>
                      <w:rFonts w:hint="default" w:eastAsia="宋体"/>
                      <w:b/>
                      <w:bCs/>
                      <w:sz w:val="21"/>
                      <w:szCs w:val="21"/>
                      <w:lang w:eastAsia="zh-CN"/>
                    </w:rPr>
                  </w:pPr>
                  <w:r>
                    <w:rPr>
                      <w:rFonts w:hint="default" w:eastAsia="宋体"/>
                      <w:b/>
                      <w:bCs/>
                      <w:sz w:val="21"/>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restart"/>
                  <w:tcBorders>
                    <w:top w:val="single" w:color="auto" w:sz="4" w:space="0"/>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r>
                    <w:rPr>
                      <w:rFonts w:hint="eastAsia" w:cs="Times New Roman"/>
                      <w:i w:val="0"/>
                      <w:iCs w:val="0"/>
                      <w:kern w:val="2"/>
                      <w:sz w:val="21"/>
                      <w:szCs w:val="21"/>
                      <w:u w:val="none"/>
                      <w:lang w:val="en-US" w:eastAsia="zh-CN" w:bidi="ar-SA"/>
                    </w:rPr>
                    <w:t>一层</w:t>
                  </w: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反应釜</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6</w:t>
                  </w:r>
                </w:p>
              </w:tc>
              <w:tc>
                <w:tcPr>
                  <w:tcW w:w="1178" w:type="dxa"/>
                  <w:vMerge w:val="restart"/>
                  <w:tcBorders>
                    <w:left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高低温一体机</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2</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离心机</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kern w:val="2"/>
                      <w:sz w:val="21"/>
                      <w:szCs w:val="21"/>
                      <w:lang w:val="en-US" w:eastAsia="zh-CN" w:bidi="ar-SA"/>
                    </w:rPr>
                    <w:t>2</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真空干燥箱</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eastAsia="宋体" w:cs="Times New Roman"/>
                      <w:sz w:val="21"/>
                      <w:szCs w:val="21"/>
                      <w:lang w:val="en-US" w:eastAsia="zh-CN"/>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鼓风干燥箱</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真空泵</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eastAsia="宋体" w:cs="Times New Roman"/>
                      <w:b w:val="0"/>
                      <w:bCs w:val="0"/>
                      <w:kern w:val="2"/>
                      <w:sz w:val="21"/>
                      <w:szCs w:val="21"/>
                      <w:lang w:val="en-US" w:eastAsia="zh-CN" w:bidi="ar-SA"/>
                    </w:rPr>
                    <w:t>高压制备液相</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restart"/>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eastAsia="宋体" w:cs="Times New Roman"/>
                      <w:b w:val="0"/>
                      <w:bCs w:val="0"/>
                      <w:color w:val="000000"/>
                      <w:kern w:val="2"/>
                      <w:sz w:val="21"/>
                      <w:szCs w:val="21"/>
                      <w:lang w:val="en-US" w:eastAsia="zh-CN" w:bidi="ar-SA"/>
                    </w:rPr>
                    <w:t>冻干机</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Lines="0" w:afterLines="0" w:line="240" w:lineRule="auto"/>
                    <w:ind w:firstLine="0" w:firstLineChars="0"/>
                    <w:jc w:val="center"/>
                    <w:textAlignment w:val="center"/>
                    <w:rPr>
                      <w:rFonts w:hint="default" w:ascii="宋体" w:hAnsi="宋体" w:eastAsia="宋体" w:cs="宋体"/>
                      <w:i w:val="0"/>
                      <w:iCs w:val="0"/>
                      <w:color w:val="FF0000"/>
                      <w:kern w:val="2"/>
                      <w:sz w:val="18"/>
                      <w:szCs w:val="18"/>
                      <w:u w:val="none"/>
                      <w:lang w:val="en-US" w:eastAsia="zh-CN" w:bidi="ar-SA"/>
                    </w:rPr>
                  </w:pPr>
                  <w:r>
                    <w:rPr>
                      <w:rFonts w:hint="eastAsia" w:ascii="宋体" w:hAnsi="宋体" w:eastAsia="宋体" w:cs="宋体"/>
                      <w:i w:val="0"/>
                      <w:iCs w:val="0"/>
                      <w:color w:val="000000"/>
                      <w:kern w:val="0"/>
                      <w:sz w:val="21"/>
                      <w:szCs w:val="21"/>
                      <w:u w:val="none"/>
                      <w:lang w:val="en-US" w:eastAsia="zh-CN" w:bidi="ar"/>
                    </w:rPr>
                    <w:t>液相色谱仪</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Lines="0" w:afterLines="0" w:line="240" w:lineRule="auto"/>
                    <w:ind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制备液相</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Lines="0" w:afterLines="0" w:line="240" w:lineRule="auto"/>
                    <w:ind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冰箱</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6</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Lines="0" w:afterLines="0" w:line="240" w:lineRule="auto"/>
                    <w:ind w:firstLine="0" w:firstLineChars="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旋转蒸发仪</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动态轴向压缩柱</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DAC-150</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色谱柱</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30/50</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低温恒温反应浴</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智能高低温程控恒温槽</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智能数显恒温水浴锅</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数控超声波清洗器</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1</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平板直联上出料密闭离心机</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1</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bottom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szCs w:val="21"/>
                    </w:rPr>
                    <w:t>多功能反应器</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50L</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szCs w:val="21"/>
                    </w:rPr>
                    <w:t>2</w:t>
                  </w:r>
                </w:p>
              </w:tc>
              <w:tc>
                <w:tcPr>
                  <w:tcW w:w="1178" w:type="dxa"/>
                  <w:vMerge w:val="continue"/>
                  <w:tcBorders>
                    <w:left w:val="single" w:color="auto" w:sz="4" w:space="0"/>
                    <w:right w:val="single" w:color="auto" w:sz="4" w:space="0"/>
                  </w:tcBorders>
                  <w:noWrap w:val="0"/>
                  <w:vAlign w:val="center"/>
                </w:tcPr>
                <w:p>
                  <w:pPr>
                    <w:pStyle w:val="42"/>
                    <w:jc w:val="center"/>
                    <w:rPr>
                      <w:rFonts w:hint="eastAsia"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restart"/>
                  <w:tcBorders>
                    <w:top w:val="single" w:color="auto" w:sz="4" w:space="0"/>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二层</w:t>
                  </w: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低温冷却反应浴</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DFY-10L/40</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eastAsia="宋体" w:cs="Times New Roman"/>
                      <w:sz w:val="21"/>
                      <w:szCs w:val="21"/>
                      <w:lang w:val="en-US" w:eastAsia="zh-CN"/>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10</w:t>
                  </w:r>
                </w:p>
              </w:tc>
              <w:tc>
                <w:tcPr>
                  <w:tcW w:w="1178" w:type="dxa"/>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低温恒温槽</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DC1050</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restart"/>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电子天平</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SQP/500mg-1100g/0.01g</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15</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9</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精密电子天平</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SQP/500mg-1100g/0.01g</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eastAsia="宋体" w:cs="Times New Roman"/>
                      <w:sz w:val="21"/>
                      <w:szCs w:val="21"/>
                      <w:lang w:val="en-US" w:eastAsia="zh-CN"/>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12</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noWrap w:val="0"/>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手提紫外分析仪</w:t>
                  </w:r>
                </w:p>
              </w:tc>
              <w:tc>
                <w:tcPr>
                  <w:tcW w:w="1981"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ZF-7A</w:t>
                  </w:r>
                </w:p>
              </w:tc>
              <w:tc>
                <w:tcPr>
                  <w:tcW w:w="855"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tcBorders>
                    <w:top w:val="single" w:color="auto" w:sz="4" w:space="0"/>
                    <w:left w:val="single" w:color="auto" w:sz="4" w:space="0"/>
                    <w:bottom w:val="single" w:color="auto" w:sz="4" w:space="0"/>
                    <w:right w:val="single" w:color="auto" w:sz="4" w:space="0"/>
                  </w:tcBorders>
                  <w:noWrap w:val="0"/>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w:t>
                  </w:r>
                </w:p>
              </w:tc>
              <w:tc>
                <w:tcPr>
                  <w:tcW w:w="884" w:type="dxa"/>
                  <w:tcBorders>
                    <w:top w:val="single" w:color="auto" w:sz="4" w:space="0"/>
                    <w:left w:val="single" w:color="auto" w:sz="4" w:space="0"/>
                    <w:bottom w:val="single" w:color="auto" w:sz="4" w:space="0"/>
                    <w:right w:val="single" w:color="auto" w:sz="4" w:space="0"/>
                  </w:tcBorders>
                  <w:noWrap w:val="0"/>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tcBorders>
                    <w:left w:val="single" w:color="auto" w:sz="4" w:space="0"/>
                    <w:right w:val="single" w:color="auto" w:sz="4" w:space="0"/>
                  </w:tcBorders>
                  <w:noWrap w:val="0"/>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三用紫外分析仪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ZF-1</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暗箱式自动紫外分析仪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ZF-20C</w:t>
                  </w:r>
                </w:p>
              </w:tc>
              <w:tc>
                <w:tcPr>
                  <w:tcW w:w="855" w:type="dxa"/>
                  <w:vAlign w:val="center"/>
                </w:tcPr>
                <w:p>
                  <w:pPr>
                    <w:pStyle w:val="42"/>
                    <w:ind w:firstLine="0" w:firstLineChars="0"/>
                    <w:rPr>
                      <w:rFonts w:hint="default" w:eastAsia="宋体" w:cs="Times New Roman"/>
                      <w:sz w:val="21"/>
                      <w:szCs w:val="21"/>
                      <w:lang w:val="en-US" w:eastAsia="zh-CN"/>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暗箱三用紫外分析仪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ZF-7</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快速制备液相系统</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7</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动态轴向压缩柱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DAC-100</w:t>
                  </w:r>
                </w:p>
              </w:tc>
              <w:tc>
                <w:tcPr>
                  <w:tcW w:w="855" w:type="dxa"/>
                  <w:vAlign w:val="center"/>
                </w:tcPr>
                <w:p>
                  <w:pPr>
                    <w:pStyle w:val="42"/>
                    <w:ind w:firstLine="0" w:firstLineChars="0"/>
                    <w:rPr>
                      <w:rFonts w:hint="default" w:eastAsia="宋体" w:cs="Times New Roman"/>
                      <w:sz w:val="21"/>
                      <w:szCs w:val="21"/>
                      <w:lang w:val="en-US" w:eastAsia="zh-CN"/>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超声波清洗机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BK-360B</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恒温振荡器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ZD-85</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干式恒温器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DH100-2</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医用离心机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L500-A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冷却水循环装置</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CCA-1112A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25</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恒温油槽</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OSB-2200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23</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隔膜真空泵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NVP-1000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25</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隔膜真空泵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MP-201Z</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10</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旋片式真空泵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2XZ-2</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蠕动泵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WG600S</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循环水式多用真空泵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SHB-III</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BSH-3A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19</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循环水式多用真空泵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SHZ-D（3）</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电热恒温鼓风干燥箱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DHG-9053A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鼓风干燥箱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DHG-45A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DZF-6053</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5</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海尔电冰箱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BCD-539WDCO</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医用冷藏箱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HYC-650/(2-8)℃</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医用低温保存箱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DW-25W518/(﹣10-25)℃</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卧式冷藏冷冻冰柜</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BC/BD-720HCZ/32.5kg/12h</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颗粒雪花机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A-250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数显加热磁力搅拌器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RCT basic</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7</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磁力搅拌器</w:t>
                  </w:r>
                </w:p>
              </w:tc>
              <w:tc>
                <w:tcPr>
                  <w:tcW w:w="1981" w:type="dxa"/>
                  <w:vAlign w:val="center"/>
                </w:tcPr>
                <w:p>
                  <w:pPr>
                    <w:pStyle w:val="42"/>
                    <w:ind w:firstLine="0" w:firstLineChars="0"/>
                    <w:rPr>
                      <w:szCs w:val="21"/>
                    </w:rPr>
                  </w:pPr>
                  <w:r>
                    <w:rPr>
                      <w:szCs w:val="21"/>
                    </w:rPr>
                    <w:t>LC-DMS-H</w:t>
                  </w:r>
                </w:p>
                <w:p>
                  <w:pPr>
                    <w:pStyle w:val="42"/>
                    <w:ind w:firstLine="0" w:firstLineChars="0"/>
                    <w:rPr>
                      <w:rFonts w:hint="default" w:ascii="Times New Roman" w:hAnsi="Times New Roman" w:eastAsia="宋体" w:cs="Times New Roman"/>
                      <w:kern w:val="2"/>
                      <w:sz w:val="21"/>
                      <w:szCs w:val="21"/>
                      <w:lang w:val="en-US" w:eastAsia="zh-CN" w:bidi="ar-SA"/>
                    </w:rPr>
                  </w:pPr>
                  <w:r>
                    <w:rPr>
                      <w:szCs w:val="21"/>
                    </w:rPr>
                    <w:t>C-MAG MS4</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39</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tcBorders>
                    <w:left w:val="single" w:color="auto" w:sz="4" w:space="0"/>
                    <w:right w:val="single" w:color="auto" w:sz="4" w:space="0"/>
                  </w:tcBorders>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集热式恒温磁力搅拌器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DF-101S</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46</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restart"/>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r>
                    <w:rPr>
                      <w:rFonts w:hint="eastAsia" w:cs="Times New Roman"/>
                      <w:i w:val="0"/>
                      <w:iCs w:val="0"/>
                      <w:kern w:val="2"/>
                      <w:sz w:val="21"/>
                      <w:szCs w:val="21"/>
                      <w:u w:val="none"/>
                      <w:lang w:val="en-US" w:eastAsia="zh-CN" w:bidi="ar-SA"/>
                    </w:rPr>
                    <w:t>三层</w:t>
                  </w: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低温冷却反应浴</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DFY-10L/40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4</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低温恒温槽</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DC1050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电子天平</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SQP/500mg-1100g/0.01g</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5</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精密电子天平</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SQP/500mg-1100g/0.01g</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5</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手提紫外分析仪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ZF-7A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22</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三用紫外分析仪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ZF-1</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暗箱式自动紫外分析仪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ZF-20C</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14</w:t>
                  </w:r>
                </w:p>
              </w:tc>
              <w:tc>
                <w:tcPr>
                  <w:tcW w:w="1178" w:type="dxa"/>
                  <w:vMerge w:val="restart"/>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暗箱三用紫外分析仪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ZF-7</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23</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快速制备液相系统</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动态轴向压缩柱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DAC-100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7</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超声波清洗机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BK-360B</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恒温振荡器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ZD-85</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干式恒温器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DH100-2</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医用离心机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L500-A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冷却水循环装置</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CCA-1112A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19</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恒温油槽</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OSB-2200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19</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隔膜真空泵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NVP-1000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隔膜真空泵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MP-201Z</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7</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旋片式真空泵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2XZ-2</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18"/>
                      <w:szCs w:val="18"/>
                      <w:lang w:val="en-US" w:eastAsia="zh-CN" w:bidi="ar-SA"/>
                    </w:rPr>
                    <w:t>3</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蠕动泵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WG600S</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循环水式多用真空泵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SHB-III</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BSH-3A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13</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循环水式多用真空泵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SHZ-D（3）</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4</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电热恒温鼓风干燥箱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DHG-9053A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鼓风干燥箱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DHG-45A</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DZF-6053</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海尔电冰箱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BCD-539WDCO</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医用冷藏箱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HYC-650/(2-8)℃</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医用低温保存箱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DW-25W518/(﹣10-25)℃</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卧式冷藏冷冻冰柜</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BC/BD-720HCZ/32.5kg/12h</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3</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颗粒雪花机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A-250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数显加热磁力搅拌器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RCT basic</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25</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磁力搅拌器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CJ78-1</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15</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集热式恒温磁力搅拌器</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DF-101S</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136</w:t>
                  </w:r>
                </w:p>
              </w:tc>
              <w:tc>
                <w:tcPr>
                  <w:tcW w:w="1178" w:type="dxa"/>
                  <w:vMerge w:val="restart"/>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隔膜真空泵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szCs w:val="21"/>
                    </w:rPr>
                    <w:t>MZ2CNT</w:t>
                  </w:r>
                </w:p>
              </w:tc>
              <w:tc>
                <w:tcPr>
                  <w:tcW w:w="855" w:type="dxa"/>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2</w:t>
                  </w:r>
                  <w:r>
                    <w:rPr>
                      <w:szCs w:val="21"/>
                    </w:rPr>
                    <w:t>7</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eastAsia" w:ascii="Times New Roman" w:hAnsi="Times New Roman" w:eastAsia="宋体" w:cs="Times New Roman"/>
                      <w:b w:val="0"/>
                      <w:bCs w:val="0"/>
                      <w:kern w:val="2"/>
                      <w:sz w:val="21"/>
                      <w:szCs w:val="21"/>
                      <w:lang w:val="en-US" w:eastAsia="zh-CN" w:bidi="ar-SA"/>
                    </w:rPr>
                  </w:pPr>
                  <w:r>
                    <w:rPr>
                      <w:rFonts w:hint="eastAsia"/>
                      <w:szCs w:val="21"/>
                    </w:rPr>
                    <w:t>全自动雪花制冰机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szCs w:val="21"/>
                    </w:rPr>
                    <w:t>IMS-40</w:t>
                  </w:r>
                </w:p>
              </w:tc>
              <w:tc>
                <w:tcPr>
                  <w:tcW w:w="855" w:type="dxa"/>
                  <w:vAlign w:val="center"/>
                </w:tcPr>
                <w:p>
                  <w:pPr>
                    <w:pStyle w:val="42"/>
                    <w:ind w:firstLine="0" w:firstLineChars="0"/>
                    <w:rPr>
                      <w:rFonts w:hint="eastAsia" w:ascii="Times New Roman" w:hAnsi="Times New Roman" w:eastAsia="宋体" w:cs="Times New Roman"/>
                      <w:kern w:val="2"/>
                      <w:sz w:val="21"/>
                      <w:szCs w:val="21"/>
                      <w:lang w:val="en-US" w:eastAsia="zh-CN" w:bidi="ar-SA"/>
                    </w:rPr>
                  </w:pPr>
                </w:p>
              </w:tc>
              <w:tc>
                <w:tcPr>
                  <w:tcW w:w="888" w:type="dxa"/>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vAlign w:val="center"/>
                </w:tcPr>
                <w:p>
                  <w:pPr>
                    <w:pStyle w:val="42"/>
                    <w:ind w:firstLine="0" w:firstLineChars="0"/>
                    <w:jc w:val="center"/>
                    <w:rPr>
                      <w:rFonts w:hint="eastAsia"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照生冻干机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4.5L/-84℃</w:t>
                  </w:r>
                </w:p>
              </w:tc>
              <w:tc>
                <w:tcPr>
                  <w:tcW w:w="855" w:type="dxa"/>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微波合成仪</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szCs w:val="21"/>
                    </w:rPr>
                    <w:t>Monowave 400</w:t>
                  </w:r>
                </w:p>
              </w:tc>
              <w:tc>
                <w:tcPr>
                  <w:tcW w:w="855" w:type="dxa"/>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szCs w:val="21"/>
                    </w:rPr>
                    <w:t>2</w:t>
                  </w:r>
                  <w:r>
                    <w:rPr>
                      <w:szCs w:val="21"/>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restart"/>
                  <w:vAlign w:val="center"/>
                </w:tcPr>
                <w:p>
                  <w:pPr>
                    <w:pStyle w:val="42"/>
                    <w:keepNext w:val="0"/>
                    <w:keepLines w:val="0"/>
                    <w:widowControl/>
                    <w:suppressLineNumbers w:val="0"/>
                    <w:ind w:firstLine="0" w:firstLineChars="0"/>
                    <w:jc w:val="center"/>
                    <w:textAlignment w:val="auto"/>
                    <w:rPr>
                      <w:rFonts w:hint="default" w:ascii="Times New Roman" w:hAnsi="Times New Roman" w:eastAsia="宋体" w:cs="Times New Roman"/>
                      <w:i w:val="0"/>
                      <w:iCs w:val="0"/>
                      <w:kern w:val="2"/>
                      <w:sz w:val="21"/>
                      <w:szCs w:val="21"/>
                      <w:u w:val="none"/>
                      <w:lang w:val="en-US" w:eastAsia="zh-CN" w:bidi="ar-SA"/>
                    </w:rPr>
                  </w:pPr>
                  <w:r>
                    <w:rPr>
                      <w:rFonts w:hint="eastAsia" w:cs="Times New Roman"/>
                      <w:i w:val="0"/>
                      <w:iCs w:val="0"/>
                      <w:kern w:val="2"/>
                      <w:sz w:val="21"/>
                      <w:szCs w:val="21"/>
                      <w:u w:val="none"/>
                      <w:lang w:val="en-US" w:eastAsia="zh-CN" w:bidi="ar-SA"/>
                    </w:rPr>
                    <w:t>四层</w:t>
                  </w: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50L 反应釜</w:t>
                  </w:r>
                </w:p>
              </w:tc>
              <w:tc>
                <w:tcPr>
                  <w:tcW w:w="1981"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6</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6</w:t>
                  </w:r>
                </w:p>
              </w:tc>
              <w:tc>
                <w:tcPr>
                  <w:tcW w:w="1178" w:type="dxa"/>
                  <w:vAlign w:val="center"/>
                </w:tcPr>
                <w:p>
                  <w:pPr>
                    <w:pStyle w:val="42"/>
                    <w:jc w:val="center"/>
                    <w:rPr>
                      <w:rFonts w:hint="default" w:eastAsia="宋体"/>
                      <w:b w:val="0"/>
                      <w:bCs w:val="0"/>
                      <w:sz w:val="21"/>
                      <w:szCs w:val="21"/>
                      <w:lang w:eastAsia="zh-CN"/>
                    </w:rPr>
                  </w:pPr>
                  <w:r>
                    <w:rPr>
                      <w:rFonts w:hint="eastAsia" w:cs="Times New Roman"/>
                      <w:color w:val="000000"/>
                      <w:sz w:val="21"/>
                      <w:szCs w:val="21"/>
                      <w:lang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sz w:val="21"/>
                      <w:szCs w:val="21"/>
                      <w:u w:val="none"/>
                      <w:lang w:val="en-US" w:eastAsia="zh-CN"/>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高低温一体机</w:t>
                  </w:r>
                </w:p>
              </w:tc>
              <w:tc>
                <w:tcPr>
                  <w:tcW w:w="1981"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5</w:t>
                  </w:r>
                </w:p>
              </w:tc>
              <w:tc>
                <w:tcPr>
                  <w:tcW w:w="1178" w:type="dxa"/>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sz w:val="21"/>
                      <w:szCs w:val="21"/>
                      <w:u w:val="none"/>
                      <w:lang w:val="en-US" w:eastAsia="zh-CN"/>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离心机</w:t>
                  </w:r>
                </w:p>
              </w:tc>
              <w:tc>
                <w:tcPr>
                  <w:tcW w:w="1981"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cs="Times New Roman"/>
                      <w:b w:val="0"/>
                      <w:bCs w:val="0"/>
                      <w:sz w:val="21"/>
                      <w:szCs w:val="21"/>
                      <w:lang w:val="en-US" w:eastAsia="zh-CN"/>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restart"/>
                  <w:vAlign w:val="center"/>
                </w:tcPr>
                <w:p>
                  <w:pPr>
                    <w:pStyle w:val="42"/>
                    <w:jc w:val="center"/>
                    <w:rPr>
                      <w:rFonts w:hint="default" w:eastAsia="宋体"/>
                      <w:b w:val="0"/>
                      <w:bCs w:val="0"/>
                      <w:sz w:val="21"/>
                      <w:szCs w:val="21"/>
                      <w:lang w:eastAsia="zh-CN"/>
                    </w:rPr>
                  </w:pPr>
                  <w:r>
                    <w:rPr>
                      <w:rFonts w:hint="eastAsia" w:cs="Times New Roman"/>
                      <w:b w:val="0"/>
                      <w:bCs w:val="0"/>
                      <w:kern w:val="2"/>
                      <w:sz w:val="21"/>
                      <w:szCs w:val="21"/>
                      <w:lang w:val="en-US" w:eastAsia="zh-CN" w:bidi="ar-SA"/>
                    </w:rPr>
                    <w:t>剩余设备不再建设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sz w:val="21"/>
                      <w:szCs w:val="21"/>
                      <w:u w:val="none"/>
                      <w:lang w:val="en-US" w:eastAsia="zh-CN"/>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0</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sz w:val="21"/>
                      <w:szCs w:val="21"/>
                      <w:u w:val="none"/>
                      <w:lang w:val="en-US" w:eastAsia="zh-CN"/>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鼓风干燥箱</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sz w:val="21"/>
                      <w:szCs w:val="21"/>
                      <w:u w:val="none"/>
                      <w:lang w:val="en-US" w:eastAsia="zh-CN"/>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default" w:ascii="Times New Roman" w:hAnsi="Times New Roman" w:eastAsia="宋体" w:cs="Times New Roman"/>
                      <w:b w:val="0"/>
                      <w:bCs w:val="0"/>
                      <w:kern w:val="2"/>
                      <w:sz w:val="21"/>
                      <w:szCs w:val="21"/>
                      <w:lang w:val="en-US" w:eastAsia="zh-CN" w:bidi="ar-SA"/>
                    </w:rPr>
                    <w:t>真空泵</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w:t>
                  </w:r>
                </w:p>
              </w:tc>
              <w:tc>
                <w:tcPr>
                  <w:tcW w:w="884" w:type="dxa"/>
                  <w:vAlign w:val="center"/>
                </w:tcPr>
                <w:p>
                  <w:pPr>
                    <w:pStyle w:val="42"/>
                    <w:ind w:firstLine="0" w:firstLineChars="0"/>
                    <w:jc w:val="center"/>
                    <w:rPr>
                      <w:rFonts w:hint="default" w:ascii="Times New Roman" w:hAnsi="Times New Roman" w:eastAsia="宋体"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3</w:t>
                  </w:r>
                </w:p>
              </w:tc>
              <w:tc>
                <w:tcPr>
                  <w:tcW w:w="1178" w:type="dxa"/>
                  <w:vMerge w:val="restart"/>
                  <w:vAlign w:val="center"/>
                </w:tcPr>
                <w:p>
                  <w:pPr>
                    <w:pStyle w:val="42"/>
                    <w:jc w:val="center"/>
                    <w:rPr>
                      <w:rFonts w:hint="default" w:eastAsia="宋体"/>
                      <w:b w:val="0"/>
                      <w:bCs w:val="0"/>
                      <w:sz w:val="21"/>
                      <w:szCs w:val="21"/>
                      <w:lang w:eastAsia="zh-CN"/>
                    </w:rPr>
                  </w:pPr>
                  <w:r>
                    <w:rPr>
                      <w:rFonts w:hint="eastAsia"/>
                      <w:sz w:val="21"/>
                      <w:szCs w:val="21"/>
                      <w:lang w:eastAsia="zh-CN"/>
                    </w:rPr>
                    <w:t>增加部分辅助设备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default"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b w:val="0"/>
                      <w:bCs w:val="0"/>
                      <w:kern w:val="2"/>
                      <w:sz w:val="21"/>
                      <w:szCs w:val="21"/>
                      <w:lang w:val="en-US" w:eastAsia="zh-CN" w:bidi="ar-SA"/>
                    </w:rPr>
                  </w:pPr>
                  <w:r>
                    <w:rPr>
                      <w:rFonts w:hint="eastAsia" w:eastAsia="宋体" w:cs="Times New Roman"/>
                      <w:b w:val="0"/>
                      <w:bCs w:val="0"/>
                      <w:kern w:val="2"/>
                      <w:sz w:val="21"/>
                      <w:szCs w:val="21"/>
                      <w:lang w:val="en-US" w:eastAsia="zh-CN" w:bidi="ar-SA"/>
                    </w:rPr>
                    <w:t>旋转蒸发仪</w:t>
                  </w:r>
                </w:p>
              </w:tc>
              <w:tc>
                <w:tcPr>
                  <w:tcW w:w="1981" w:type="dxa"/>
                  <w:vAlign w:val="center"/>
                </w:tcPr>
                <w:p>
                  <w:pPr>
                    <w:keepNext w:val="0"/>
                    <w:keepLines w:val="0"/>
                    <w:widowControl/>
                    <w:suppressLineNumbers w:val="0"/>
                    <w:ind w:firstLine="0" w:firstLineChars="0"/>
                    <w:jc w:val="center"/>
                    <w:textAlignment w:val="center"/>
                    <w:rPr>
                      <w:rFonts w:hint="eastAsia" w:cs="Times New Roman"/>
                      <w:kern w:val="2"/>
                      <w:sz w:val="21"/>
                      <w:szCs w:val="21"/>
                      <w:lang w:val="en-US" w:eastAsia="zh-CN" w:bidi="ar-SA"/>
                    </w:rPr>
                  </w:pPr>
                  <w:r>
                    <w:rPr>
                      <w:rFonts w:hint="eastAsia" w:cs="Times New Roman"/>
                      <w:kern w:val="2"/>
                      <w:sz w:val="21"/>
                      <w:szCs w:val="21"/>
                      <w:lang w:val="en-US" w:eastAsia="zh-CN" w:bidi="ar-SA"/>
                    </w:rPr>
                    <w:t>/</w:t>
                  </w:r>
                </w:p>
              </w:tc>
              <w:tc>
                <w:tcPr>
                  <w:tcW w:w="855" w:type="dxa"/>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台</w:t>
                  </w:r>
                </w:p>
              </w:tc>
              <w:tc>
                <w:tcPr>
                  <w:tcW w:w="888" w:type="dxa"/>
                  <w:vAlign w:val="center"/>
                </w:tcPr>
                <w:p>
                  <w:pPr>
                    <w:pStyle w:val="42"/>
                    <w:rPr>
                      <w:rFonts w:hint="default" w:cs="Times New Roman"/>
                      <w:kern w:val="2"/>
                      <w:sz w:val="21"/>
                      <w:szCs w:val="21"/>
                      <w:lang w:val="en-US" w:eastAsia="zh-CN" w:bidi="ar-SA"/>
                    </w:rPr>
                  </w:pPr>
                  <w:r>
                    <w:rPr>
                      <w:rFonts w:hint="eastAsia" w:cs="Times New Roman"/>
                      <w:kern w:val="2"/>
                      <w:sz w:val="21"/>
                      <w:szCs w:val="21"/>
                      <w:lang w:val="en-US" w:eastAsia="zh-CN" w:bidi="ar-SA"/>
                    </w:rPr>
                    <w:t>0</w:t>
                  </w:r>
                </w:p>
              </w:tc>
              <w:tc>
                <w:tcPr>
                  <w:tcW w:w="884" w:type="dxa"/>
                  <w:vAlign w:val="center"/>
                </w:tcPr>
                <w:p>
                  <w:pPr>
                    <w:pStyle w:val="42"/>
                    <w:ind w:firstLine="0" w:firstLineChars="0"/>
                    <w:jc w:val="center"/>
                    <w:rPr>
                      <w:rFonts w:hint="default" w:cs="Times New Roman"/>
                      <w:b w:val="0"/>
                      <w:bCs w:val="0"/>
                      <w:spacing w:val="0"/>
                      <w:w w:val="100"/>
                      <w:kern w:val="2"/>
                      <w:position w:val="0"/>
                      <w:sz w:val="21"/>
                      <w:szCs w:val="21"/>
                      <w:lang w:val="en-US" w:eastAsia="zh-CN" w:bidi="ar-SA"/>
                    </w:rPr>
                  </w:pPr>
                  <w:r>
                    <w:rPr>
                      <w:rFonts w:hint="eastAsia" w:cs="Times New Roman"/>
                      <w:b w:val="0"/>
                      <w:bCs w:val="0"/>
                      <w:spacing w:val="0"/>
                      <w:w w:val="100"/>
                      <w:kern w:val="2"/>
                      <w:position w:val="0"/>
                      <w:sz w:val="21"/>
                      <w:szCs w:val="21"/>
                      <w:lang w:val="en-US" w:eastAsia="zh-CN" w:bidi="ar-SA"/>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层析柱设备</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CXBLG-9.5</w:t>
                  </w:r>
                </w:p>
              </w:tc>
              <w:tc>
                <w:tcPr>
                  <w:tcW w:w="855" w:type="dxa"/>
                  <w:vAlign w:val="center"/>
                </w:tcPr>
                <w:p>
                  <w:pPr>
                    <w:pStyle w:val="42"/>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1</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低温恒温反应浴</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DFY-20L/40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低温冷却液反应浴</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DFY-10L/40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低温冷却液循环装置</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ascii="Times New Roman" w:hAnsi="Times New Roman" w:eastAsia="宋体" w:cs="Times New Roman"/>
                      <w:sz w:val="21"/>
                      <w:szCs w:val="21"/>
                    </w:rPr>
                    <w:t>DLSB-10L/20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防爆冷热一体循环机</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FLR-100</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2</w:t>
                  </w:r>
                </w:p>
              </w:tc>
              <w:tc>
                <w:tcPr>
                  <w:tcW w:w="1178" w:type="dxa"/>
                  <w:vMerge w:val="continue"/>
                  <w:vAlign w:val="center"/>
                </w:tcPr>
                <w:p>
                  <w:pPr>
                    <w:pStyle w:val="42"/>
                    <w:jc w:val="center"/>
                    <w:rPr>
                      <w:rFonts w:hint="default" w:eastAsia="宋体"/>
                      <w:b w:val="0"/>
                      <w:bCs w:val="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3" w:type="dxa"/>
                  <w:vMerge w:val="continue"/>
                  <w:vAlign w:val="center"/>
                </w:tcPr>
                <w:p>
                  <w:pPr>
                    <w:pStyle w:val="42"/>
                    <w:keepNext w:val="0"/>
                    <w:keepLines w:val="0"/>
                    <w:widowControl/>
                    <w:suppressLineNumbers w:val="0"/>
                    <w:ind w:firstLine="0" w:firstLineChars="0"/>
                    <w:jc w:val="center"/>
                    <w:textAlignment w:val="auto"/>
                    <w:rPr>
                      <w:rFonts w:hint="eastAsia" w:ascii="Times New Roman" w:hAnsi="Times New Roman" w:eastAsia="宋体" w:cs="Times New Roman"/>
                      <w:i w:val="0"/>
                      <w:iCs w:val="0"/>
                      <w:kern w:val="2"/>
                      <w:sz w:val="21"/>
                      <w:szCs w:val="21"/>
                      <w:u w:val="none"/>
                      <w:lang w:val="en-US" w:eastAsia="zh-CN" w:bidi="ar-SA"/>
                    </w:rPr>
                  </w:pPr>
                </w:p>
              </w:tc>
              <w:tc>
                <w:tcPr>
                  <w:tcW w:w="23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高低温循环装置</w:t>
                  </w:r>
                </w:p>
              </w:tc>
              <w:tc>
                <w:tcPr>
                  <w:tcW w:w="1981"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GDSZ-50/100EX</w:t>
                  </w:r>
                </w:p>
              </w:tc>
              <w:tc>
                <w:tcPr>
                  <w:tcW w:w="855"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台</w:t>
                  </w:r>
                </w:p>
              </w:tc>
              <w:tc>
                <w:tcPr>
                  <w:tcW w:w="888"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w:t>
                  </w:r>
                </w:p>
              </w:tc>
              <w:tc>
                <w:tcPr>
                  <w:tcW w:w="884" w:type="dxa"/>
                  <w:vAlign w:val="center"/>
                </w:tcPr>
                <w:p>
                  <w:pPr>
                    <w:pStyle w:val="42"/>
                    <w:ind w:firstLine="0"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Cs w:val="21"/>
                    </w:rPr>
                    <w:t>3</w:t>
                  </w:r>
                </w:p>
              </w:tc>
              <w:tc>
                <w:tcPr>
                  <w:tcW w:w="1178" w:type="dxa"/>
                  <w:vMerge w:val="continue"/>
                  <w:vAlign w:val="center"/>
                </w:tcPr>
                <w:p>
                  <w:pPr>
                    <w:pStyle w:val="42"/>
                    <w:jc w:val="center"/>
                    <w:rPr>
                      <w:rFonts w:hint="default" w:eastAsia="宋体"/>
                      <w:b w:val="0"/>
                      <w:bCs w:val="0"/>
                      <w:sz w:val="21"/>
                      <w:szCs w:val="21"/>
                      <w:lang w:eastAsia="zh-CN"/>
                    </w:rPr>
                  </w:pPr>
                </w:p>
              </w:tc>
            </w:tr>
          </w:tbl>
          <w:p>
            <w:pPr>
              <w:ind w:firstLine="482"/>
              <w:jc w:val="center"/>
              <w:rPr>
                <w:b/>
                <w:bCs/>
                <w:color w:val="auto"/>
                <w:highlight w:val="none"/>
              </w:rPr>
            </w:pPr>
            <w:r>
              <w:rPr>
                <w:b/>
                <w:bCs/>
                <w:color w:val="auto"/>
                <w:highlight w:val="none"/>
              </w:rPr>
              <w:t>表2-</w:t>
            </w:r>
            <w:r>
              <w:rPr>
                <w:rFonts w:hint="eastAsia"/>
                <w:b/>
                <w:bCs/>
                <w:color w:val="auto"/>
                <w:highlight w:val="none"/>
              </w:rPr>
              <w:t>4</w:t>
            </w:r>
            <w:r>
              <w:rPr>
                <w:b/>
                <w:bCs/>
                <w:color w:val="auto"/>
                <w:highlight w:val="none"/>
              </w:rPr>
              <w:t xml:space="preserve">  本项目原辅材料使用一览表</w:t>
            </w:r>
          </w:p>
          <w:tbl>
            <w:tblPr>
              <w:tblStyle w:val="27"/>
              <w:tblW w:w="497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737"/>
              <w:gridCol w:w="1209"/>
              <w:gridCol w:w="734"/>
              <w:gridCol w:w="1937"/>
              <w:gridCol w:w="849"/>
              <w:gridCol w:w="1048"/>
              <w:gridCol w:w="978"/>
              <w:gridCol w:w="9"/>
              <w:gridCol w:w="135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764" w:hRule="atLeast"/>
                <w:jc w:val="center"/>
              </w:trPr>
              <w:tc>
                <w:tcPr>
                  <w:tcW w:w="416" w:type="pct"/>
                  <w:noWrap w:val="0"/>
                  <w:vAlign w:val="center"/>
                </w:tcPr>
                <w:p>
                  <w:pPr>
                    <w:pStyle w:val="42"/>
                    <w:bidi w:val="0"/>
                    <w:spacing w:line="240" w:lineRule="auto"/>
                    <w:jc w:val="center"/>
                    <w:rPr>
                      <w:rFonts w:hint="eastAsia"/>
                      <w:b/>
                      <w:bCs/>
                      <w:sz w:val="21"/>
                      <w:szCs w:val="21"/>
                      <w:lang w:val="en-US" w:eastAsia="zh-CN"/>
                    </w:rPr>
                  </w:pPr>
                  <w:r>
                    <w:rPr>
                      <w:rFonts w:hint="eastAsia"/>
                      <w:b/>
                      <w:bCs/>
                      <w:sz w:val="21"/>
                      <w:szCs w:val="21"/>
                      <w:lang w:val="en-US" w:eastAsia="zh-CN"/>
                    </w:rPr>
                    <w:t>序号</w:t>
                  </w:r>
                </w:p>
              </w:tc>
              <w:tc>
                <w:tcPr>
                  <w:tcW w:w="682" w:type="pct"/>
                  <w:noWrap w:val="0"/>
                  <w:vAlign w:val="center"/>
                </w:tcPr>
                <w:p>
                  <w:pPr>
                    <w:pStyle w:val="42"/>
                    <w:bidi w:val="0"/>
                    <w:spacing w:line="240" w:lineRule="auto"/>
                    <w:jc w:val="center"/>
                    <w:rPr>
                      <w:rFonts w:hint="eastAsia"/>
                      <w:b/>
                      <w:bCs/>
                      <w:sz w:val="21"/>
                      <w:szCs w:val="21"/>
                      <w:lang w:val="en-US" w:eastAsia="zh-CN"/>
                    </w:rPr>
                  </w:pPr>
                  <w:r>
                    <w:rPr>
                      <w:rFonts w:hint="eastAsia"/>
                      <w:b/>
                      <w:bCs/>
                      <w:sz w:val="21"/>
                      <w:szCs w:val="21"/>
                      <w:lang w:val="en-US" w:eastAsia="zh-CN"/>
                    </w:rPr>
                    <w:t>名称</w:t>
                  </w:r>
                </w:p>
              </w:tc>
              <w:tc>
                <w:tcPr>
                  <w:tcW w:w="414" w:type="pct"/>
                  <w:noWrap w:val="0"/>
                  <w:vAlign w:val="center"/>
                </w:tcPr>
                <w:p>
                  <w:pPr>
                    <w:pStyle w:val="42"/>
                    <w:rPr>
                      <w:rFonts w:hint="eastAsia" w:eastAsia="宋体"/>
                      <w:b/>
                      <w:bCs/>
                      <w:sz w:val="21"/>
                      <w:szCs w:val="21"/>
                      <w:lang w:val="en-US" w:eastAsia="zh-CN"/>
                    </w:rPr>
                  </w:pPr>
                  <w:r>
                    <w:rPr>
                      <w:rFonts w:hint="eastAsia" w:eastAsia="宋体"/>
                      <w:b/>
                      <w:bCs/>
                      <w:spacing w:val="0"/>
                      <w:w w:val="100"/>
                      <w:position w:val="0"/>
                      <w:sz w:val="21"/>
                      <w:szCs w:val="21"/>
                    </w:rPr>
                    <w:t>单位</w:t>
                  </w:r>
                </w:p>
              </w:tc>
              <w:tc>
                <w:tcPr>
                  <w:tcW w:w="1093" w:type="pct"/>
                  <w:tcBorders>
                    <w:right w:val="single" w:color="auto" w:sz="4" w:space="0"/>
                  </w:tcBorders>
                  <w:noWrap w:val="0"/>
                  <w:vAlign w:val="center"/>
                </w:tcPr>
                <w:p>
                  <w:pPr>
                    <w:pStyle w:val="42"/>
                    <w:ind w:firstLine="0" w:firstLineChars="0"/>
                    <w:rPr>
                      <w:rFonts w:hint="eastAsia" w:ascii="Times New Roman" w:hAnsi="Times New Roman" w:eastAsia="宋体" w:cs="Times New Roman"/>
                      <w:b/>
                      <w:bCs/>
                      <w:kern w:val="2"/>
                      <w:sz w:val="21"/>
                      <w:szCs w:val="21"/>
                      <w:lang w:val="en-US" w:eastAsia="zh-CN" w:bidi="ar-SA"/>
                    </w:rPr>
                  </w:pPr>
                  <w:r>
                    <w:rPr>
                      <w:rFonts w:hint="eastAsia" w:ascii="Times New Roman" w:hAnsi="Times New Roman" w:cs="Times New Roman"/>
                      <w:b/>
                      <w:bCs/>
                      <w:kern w:val="2"/>
                      <w:sz w:val="21"/>
                      <w:szCs w:val="21"/>
                      <w:lang w:bidi="ar-SA"/>
                    </w:rPr>
                    <w:t>规格、级别</w:t>
                  </w:r>
                </w:p>
              </w:tc>
              <w:tc>
                <w:tcPr>
                  <w:tcW w:w="479" w:type="pct"/>
                  <w:tcBorders>
                    <w:left w:val="single" w:color="auto" w:sz="4" w:space="0"/>
                  </w:tcBorders>
                  <w:noWrap w:val="0"/>
                  <w:vAlign w:val="center"/>
                </w:tcPr>
                <w:p>
                  <w:pPr>
                    <w:pStyle w:val="42"/>
                    <w:ind w:firstLine="0" w:firstLineChars="0"/>
                    <w:rPr>
                      <w:rFonts w:hint="eastAsia" w:ascii="Times New Roman" w:hAnsi="Times New Roman" w:eastAsia="宋体" w:cs="Times New Roman"/>
                      <w:b/>
                      <w:bCs/>
                      <w:kern w:val="2"/>
                      <w:sz w:val="21"/>
                      <w:szCs w:val="21"/>
                      <w:lang w:val="en-US" w:eastAsia="zh-CN" w:bidi="ar-SA"/>
                    </w:rPr>
                  </w:pPr>
                  <w:r>
                    <w:rPr>
                      <w:rFonts w:hint="eastAsia" w:ascii="Times New Roman" w:hAnsi="Times New Roman" w:cs="Times New Roman"/>
                      <w:b/>
                      <w:bCs/>
                      <w:kern w:val="2"/>
                      <w:sz w:val="21"/>
                      <w:szCs w:val="21"/>
                      <w:lang w:bidi="ar-SA"/>
                    </w:rPr>
                    <w:t>形态</w:t>
                  </w:r>
                </w:p>
              </w:tc>
              <w:tc>
                <w:tcPr>
                  <w:tcW w:w="591" w:type="pct"/>
                  <w:noWrap w:val="0"/>
                  <w:vAlign w:val="center"/>
                </w:tcPr>
                <w:p>
                  <w:pPr>
                    <w:pStyle w:val="42"/>
                    <w:bidi w:val="0"/>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环评年用量</w:t>
                  </w:r>
                </w:p>
              </w:tc>
              <w:tc>
                <w:tcPr>
                  <w:tcW w:w="552" w:type="pct"/>
                  <w:noWrap w:val="0"/>
                  <w:vAlign w:val="center"/>
                </w:tcPr>
                <w:p>
                  <w:pPr>
                    <w:pStyle w:val="42"/>
                    <w:bidi w:val="0"/>
                    <w:spacing w:line="240" w:lineRule="auto"/>
                    <w:jc w:val="center"/>
                    <w:rPr>
                      <w:rFonts w:hint="eastAsia"/>
                      <w:b/>
                      <w:bCs/>
                      <w:sz w:val="21"/>
                      <w:szCs w:val="21"/>
                      <w:lang w:val="en-US" w:eastAsia="zh-CN"/>
                    </w:rPr>
                  </w:pPr>
                  <w:r>
                    <w:rPr>
                      <w:rFonts w:hint="eastAsia"/>
                      <w:b/>
                      <w:bCs/>
                      <w:sz w:val="21"/>
                      <w:szCs w:val="21"/>
                      <w:lang w:val="en-US" w:eastAsia="zh-CN"/>
                    </w:rPr>
                    <w:t>实际年用量</w:t>
                  </w:r>
                </w:p>
              </w:tc>
              <w:tc>
                <w:tcPr>
                  <w:tcW w:w="770" w:type="pct"/>
                  <w:gridSpan w:val="2"/>
                  <w:noWrap w:val="0"/>
                  <w:vAlign w:val="center"/>
                </w:tcPr>
                <w:p>
                  <w:pPr>
                    <w:pStyle w:val="42"/>
                    <w:bidi w:val="0"/>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sz w:val="21"/>
                      <w:szCs w:val="21"/>
                      <w:lang w:val="en-US" w:eastAsia="zh-CN"/>
                    </w:rPr>
                    <w:t>备注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甲醇</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14000</w:t>
                  </w:r>
                </w:p>
              </w:tc>
              <w:tc>
                <w:tcPr>
                  <w:tcW w:w="770" w:type="pct"/>
                  <w:gridSpan w:val="2"/>
                  <w:noWrap w:val="0"/>
                  <w:vAlign w:val="center"/>
                </w:tcPr>
                <w:p>
                  <w:pPr>
                    <w:pStyle w:val="42"/>
                    <w:bidi w:val="0"/>
                    <w:spacing w:line="240" w:lineRule="auto"/>
                    <w:ind w:firstLine="0" w:firstLineChars="0"/>
                    <w:jc w:val="center"/>
                    <w:rPr>
                      <w:rFonts w:hint="eastAsia" w:ascii="Times New Roman" w:hAnsi="Times New Roman" w:eastAsia="宋体" w:cs="Times New Roman"/>
                      <w:kern w:val="2"/>
                      <w:sz w:val="21"/>
                      <w:szCs w:val="21"/>
                      <w:lang w:val="en-US" w:eastAsia="zh-CN" w:bidi="ar-SA"/>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2</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乙醇</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24000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24000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3</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丙酮</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4</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甲苯</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5</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冰乙酸</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6</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二氯甲烷</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7</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四氢呋喃</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11200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11200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8</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甲基四氢呋喃</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9</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异丙醇</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8400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8400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10</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乙酸乙酯</w:t>
                  </w:r>
                </w:p>
              </w:tc>
              <w:tc>
                <w:tcPr>
                  <w:tcW w:w="414" w:type="pct"/>
                  <w:noWrap w:val="0"/>
                  <w:vAlign w:val="center"/>
                </w:tcPr>
                <w:p>
                  <w:pPr>
                    <w:pStyle w:val="42"/>
                    <w:rPr>
                      <w:rFonts w:hint="eastAsia" w:ascii="Times New Roman" w:hAnsi="Times New Roman" w:eastAsia="宋体" w:cs="Times New Roman"/>
                      <w:b w:val="0"/>
                      <w:bCs w:val="0"/>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11</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石油醚</w:t>
                  </w:r>
                </w:p>
              </w:tc>
              <w:tc>
                <w:tcPr>
                  <w:tcW w:w="414" w:type="pct"/>
                  <w:noWrap w:val="0"/>
                  <w:vAlign w:val="center"/>
                </w:tcPr>
                <w:p>
                  <w:pPr>
                    <w:pStyle w:val="42"/>
                    <w:rPr>
                      <w:rFonts w:hint="eastAsia" w:ascii="Times New Roman" w:hAnsi="Times New Roman" w:eastAsia="宋体" w:cs="Times New Roman"/>
                      <w:b w:val="0"/>
                      <w:bCs w:val="0"/>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12</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二甲基甲酰胺</w:t>
                  </w:r>
                </w:p>
              </w:tc>
              <w:tc>
                <w:tcPr>
                  <w:tcW w:w="414" w:type="pct"/>
                  <w:noWrap w:val="0"/>
                  <w:vAlign w:val="center"/>
                </w:tcPr>
                <w:p>
                  <w:pPr>
                    <w:pStyle w:val="42"/>
                    <w:rPr>
                      <w:rFonts w:hint="eastAsia" w:ascii="Times New Roman" w:hAnsi="Times New Roman" w:eastAsia="宋体" w:cs="Times New Roman"/>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13</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乙腈</w:t>
                  </w:r>
                </w:p>
              </w:tc>
              <w:tc>
                <w:tcPr>
                  <w:tcW w:w="414" w:type="pct"/>
                  <w:noWrap w:val="0"/>
                  <w:vAlign w:val="center"/>
                </w:tcPr>
                <w:p>
                  <w:pPr>
                    <w:pStyle w:val="42"/>
                    <w:ind w:firstLine="0" w:firstLineChars="0"/>
                    <w:rPr>
                      <w:rFonts w:hint="eastAsia" w:ascii="Times New Roman" w:hAnsi="Times New Roman" w:eastAsia="宋体" w:cs="Times New Roman"/>
                      <w:b w:val="0"/>
                      <w:bCs w:val="0"/>
                      <w:sz w:val="21"/>
                      <w:szCs w:val="21"/>
                      <w:lang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4200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4200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14</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二甲亚砜</w:t>
                  </w:r>
                </w:p>
              </w:tc>
              <w:tc>
                <w:tcPr>
                  <w:tcW w:w="414" w:type="pct"/>
                  <w:noWrap w:val="0"/>
                  <w:vAlign w:val="center"/>
                </w:tcPr>
                <w:p>
                  <w:pPr>
                    <w:pStyle w:val="42"/>
                    <w:ind w:firstLine="0" w:firstLineChars="0"/>
                    <w:rPr>
                      <w:rFonts w:hint="eastAsia" w:ascii="Times New Roman" w:hAnsi="Times New Roman" w:eastAsia="宋体" w:cs="Times New Roman"/>
                      <w:spacing w:val="0"/>
                      <w:w w:val="100"/>
                      <w:position w:val="0"/>
                      <w:sz w:val="21"/>
                      <w:szCs w:val="21"/>
                      <w:lang w:val="en-US" w:eastAsia="zh-CN"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15</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正庚烷</w:t>
                  </w:r>
                </w:p>
              </w:tc>
              <w:tc>
                <w:tcPr>
                  <w:tcW w:w="414" w:type="pct"/>
                  <w:noWrap w:val="0"/>
                  <w:vAlign w:val="center"/>
                </w:tcPr>
                <w:p>
                  <w:pPr>
                    <w:pStyle w:val="42"/>
                    <w:ind w:firstLine="0" w:firstLineChars="0"/>
                    <w:rPr>
                      <w:rFonts w:hint="eastAsia" w:ascii="Times New Roman" w:hAnsi="Times New Roman" w:eastAsia="宋体" w:cs="Times New Roman"/>
                      <w:spacing w:val="0"/>
                      <w:w w:val="100"/>
                      <w:position w:val="0"/>
                      <w:sz w:val="21"/>
                      <w:szCs w:val="21"/>
                      <w:lang w:val="en-US" w:eastAsia="zh-CN"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25L/桶、工业级</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16</w:t>
                  </w:r>
                </w:p>
              </w:tc>
              <w:tc>
                <w:tcPr>
                  <w:tcW w:w="682" w:type="pct"/>
                  <w:noWrap w:val="0"/>
                  <w:vAlign w:val="center"/>
                </w:tcPr>
                <w:p>
                  <w:pPr>
                    <w:pStyle w:val="42"/>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氯化钠</w:t>
                  </w:r>
                </w:p>
              </w:tc>
              <w:tc>
                <w:tcPr>
                  <w:tcW w:w="414" w:type="pct"/>
                  <w:noWrap w:val="0"/>
                  <w:vAlign w:val="center"/>
                </w:tcPr>
                <w:p>
                  <w:pPr>
                    <w:pStyle w:val="42"/>
                    <w:ind w:firstLine="0" w:firstLineChars="0"/>
                    <w:rPr>
                      <w:rFonts w:hint="eastAsia" w:ascii="Times New Roman" w:hAnsi="Times New Roman" w:eastAsia="宋体" w:cs="Times New Roman"/>
                      <w:spacing w:val="0"/>
                      <w:w w:val="100"/>
                      <w:position w:val="0"/>
                      <w:sz w:val="21"/>
                      <w:szCs w:val="21"/>
                      <w:lang w:val="en-US" w:eastAsia="zh-CN" w:bidi="ar-SA"/>
                    </w:rPr>
                  </w:pPr>
                  <w:r>
                    <w:rPr>
                      <w:rFonts w:hint="eastAsia" w:ascii="Times New Roman" w:hAnsi="Times New Roman" w:eastAsia="宋体" w:cs="Times New Roman"/>
                      <w:b w:val="0"/>
                      <w:bCs w:val="0"/>
                      <w:sz w:val="21"/>
                      <w:szCs w:val="21"/>
                      <w:lang w:val="en-US" w:eastAsia="zh-CN"/>
                    </w:rPr>
                    <w:t>kg</w:t>
                  </w:r>
                </w:p>
              </w:tc>
              <w:tc>
                <w:tcPr>
                  <w:tcW w:w="1093"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552" w:type="pct"/>
                  <w:noWrap w:val="0"/>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770" w:type="pct"/>
                  <w:gridSpan w:val="2"/>
                  <w:noWrap w:val="0"/>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17</w:t>
                  </w:r>
                </w:p>
              </w:tc>
              <w:tc>
                <w:tcPr>
                  <w:tcW w:w="68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盐酸</w:t>
                  </w:r>
                </w:p>
              </w:tc>
              <w:tc>
                <w:tcPr>
                  <w:tcW w:w="414" w:type="pct"/>
                  <w:vAlign w:val="center"/>
                </w:tcPr>
                <w:p>
                  <w:pPr>
                    <w:pStyle w:val="42"/>
                    <w:ind w:firstLine="0" w:firstLineChars="0"/>
                    <w:rPr>
                      <w:rFonts w:hint="eastAsia" w:ascii="Times New Roman" w:hAnsi="Times New Roman" w:eastAsia="宋体" w:cs="Times New Roman"/>
                      <w:spacing w:val="0"/>
                      <w:w w:val="100"/>
                      <w:kern w:val="2"/>
                      <w:position w:val="0"/>
                      <w:sz w:val="21"/>
                      <w:szCs w:val="21"/>
                      <w:lang w:val="en-US" w:eastAsia="zh-CN" w:bidi="ar-SA"/>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i w:val="0"/>
                      <w:iCs w:val="0"/>
                      <w:kern w:val="2"/>
                      <w:sz w:val="21"/>
                      <w:szCs w:val="21"/>
                      <w:u w:val="none"/>
                      <w:lang w:val="en-US" w:eastAsia="zh-CN" w:bidi="ar-SA"/>
                    </w:rPr>
                    <w:t>18</w:t>
                  </w:r>
                </w:p>
              </w:tc>
              <w:tc>
                <w:tcPr>
                  <w:tcW w:w="68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浓硫酸</w:t>
                  </w:r>
                </w:p>
              </w:tc>
              <w:tc>
                <w:tcPr>
                  <w:tcW w:w="414" w:type="pct"/>
                  <w:vAlign w:val="center"/>
                </w:tcPr>
                <w:p>
                  <w:pPr>
                    <w:pStyle w:val="42"/>
                    <w:ind w:firstLine="0" w:firstLineChars="0"/>
                    <w:rPr>
                      <w:rFonts w:hint="eastAsia" w:ascii="Times New Roman" w:hAnsi="Times New Roman" w:eastAsia="宋体" w:cs="Times New Roman"/>
                      <w:spacing w:val="0"/>
                      <w:w w:val="100"/>
                      <w:kern w:val="2"/>
                      <w:position w:val="0"/>
                      <w:sz w:val="21"/>
                      <w:szCs w:val="21"/>
                      <w:lang w:val="en-US" w:eastAsia="zh-CN" w:bidi="ar-SA"/>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tcBorders>
                    <w:right w:val="single" w:color="auto" w:sz="4" w:space="0"/>
                  </w:tcBorders>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tcBorders>
                    <w:left w:val="single" w:color="auto" w:sz="4" w:space="0"/>
                  </w:tcBorders>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800</w:t>
                  </w:r>
                </w:p>
              </w:tc>
              <w:tc>
                <w:tcPr>
                  <w:tcW w:w="552" w:type="pct"/>
                  <w:vAlign w:val="center"/>
                </w:tcPr>
                <w:p>
                  <w:pPr>
                    <w:pStyle w:val="42"/>
                    <w:bidi w:val="0"/>
                    <w:spacing w:line="240" w:lineRule="auto"/>
                    <w:ind w:firstLine="0" w:firstLineChars="0"/>
                    <w:jc w:val="center"/>
                    <w:rPr>
                      <w:rFonts w:hint="eastAsia"/>
                      <w:sz w:val="21"/>
                      <w:szCs w:val="21"/>
                      <w:u w:val="none"/>
                      <w:lang w:val="en-US" w:eastAsia="zh-CN" w:bidi="ar-SA"/>
                    </w:rPr>
                  </w:pPr>
                  <w:r>
                    <w:rPr>
                      <w:rFonts w:hint="eastAsia" w:cs="Times New Roman"/>
                      <w:kern w:val="2"/>
                      <w:sz w:val="21"/>
                      <w:szCs w:val="21"/>
                      <w:lang w:val="en-US" w:eastAsia="zh-CN" w:bidi="ar-SA"/>
                    </w:rPr>
                    <w:t>800</w:t>
                  </w:r>
                </w:p>
              </w:tc>
              <w:tc>
                <w:tcPr>
                  <w:tcW w:w="770" w:type="pct"/>
                  <w:gridSpan w:val="2"/>
                  <w:vAlign w:val="center"/>
                </w:tcPr>
                <w:p>
                  <w:pPr>
                    <w:pStyle w:val="42"/>
                    <w:bidi w:val="0"/>
                    <w:spacing w:line="240" w:lineRule="auto"/>
                    <w:ind w:firstLine="0" w:firstLineChars="0"/>
                    <w:jc w:val="center"/>
                    <w:rPr>
                      <w:rFonts w:hint="eastAsia"/>
                      <w:sz w:val="21"/>
                      <w:szCs w:val="21"/>
                      <w:u w:val="none"/>
                      <w:lang w:val="en-US" w:eastAsia="zh-CN" w:bidi="ar-SA"/>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乙酸酐</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氯仿</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二氯亚砜</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硝基乙烷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甲基叔丁基醚</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二异丁基氢化铝</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正丁基锂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氰基甲酸乙酯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27</w:t>
                  </w:r>
                </w:p>
              </w:tc>
              <w:tc>
                <w:tcPr>
                  <w:tcW w:w="682" w:type="pct"/>
                  <w:vAlign w:val="center"/>
                </w:tcPr>
                <w:p>
                  <w:pPr>
                    <w:pStyle w:val="42"/>
                    <w:ind w:firstLine="0" w:firstLineChars="0"/>
                    <w:rPr>
                      <w:rFonts w:hint="default" w:cs="Times New Roman"/>
                      <w:kern w:val="2"/>
                      <w:sz w:val="21"/>
                      <w:szCs w:val="21"/>
                      <w:lang w:val="en-US" w:eastAsia="zh-CN" w:bidi="ar-SA"/>
                    </w:rPr>
                  </w:pPr>
                  <w:r>
                    <w:rPr>
                      <w:rFonts w:hint="eastAsia" w:cs="Times New Roman"/>
                      <w:kern w:val="2"/>
                      <w:sz w:val="21"/>
                      <w:szCs w:val="21"/>
                      <w:lang w:val="en-US" w:eastAsia="zh-CN" w:bidi="ar-SA"/>
                    </w:rPr>
                    <w:t>(+)-二异松蒎基氯硼烷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偶氮二甲酸二异丙酯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29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水合肼</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二碳酸二叔丁酯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120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120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三乙胺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氯化氢二氧六环溶液</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N,N-二异丙基乙胺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双氧水</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250ml/瓶、分析纯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1-溴-4-氯-2-氟 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二异丙基氨基锂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左旋环氧氯丙烷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烯丙基氯化镁</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39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叔丁基过氧化氢</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吡啶</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次氯酸钠溶液</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亚硝酸叔丁酯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叔丁醇钾溶液（THF）</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2-丁酮</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三氟乙酸乙酯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1，2-乙二硫醇</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氟化氢吡啶</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钛酸四异丙酯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49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R(+)-alpha-苯乙胺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2-吡啶-5 溴苯甲醛</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二溴甲烷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三氯氧磷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三氟甲磺酸酐</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二氟丙二酸二甲酯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六氟异丙醇</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单氰胺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溴乙酸乙酯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1-氟-3-碘丙烷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59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原甲酸三乙酯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四氢铝锂四氢呋喃溶液</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双(三甲基硅烷基)氨基钠四氢呋喃溶液</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(S)-3-氨基吡咯烷-1-甲酸叔丁酯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(S)-3-叔丁氧羰基氨基吡咯烷</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100ml/瓶、分析纯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液体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氢氧化钠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557" w:type="pct"/>
                  <w:gridSpan w:val="2"/>
                  <w:tcBorders>
                    <w:bottom w:val="single" w:color="auto" w:sz="4" w:space="0"/>
                    <w:right w:val="single" w:color="auto" w:sz="4" w:space="0"/>
                  </w:tcBorders>
                  <w:vAlign w:val="center"/>
                </w:tcPr>
                <w:p>
                  <w:pPr>
                    <w:pStyle w:val="42"/>
                    <w:bidi w:val="0"/>
                    <w:spacing w:line="240" w:lineRule="auto"/>
                    <w:ind w:firstLine="0" w:firstLineChars="0"/>
                    <w:jc w:val="center"/>
                    <w:rPr>
                      <w:rFonts w:hint="eastAsia"/>
                      <w:sz w:val="21"/>
                      <w:szCs w:val="21"/>
                      <w:u w:val="none"/>
                      <w:lang w:val="en-US" w:eastAsia="zh-CN" w:bidi="ar-SA"/>
                    </w:rPr>
                  </w:pPr>
                  <w:r>
                    <w:rPr>
                      <w:rFonts w:hint="eastAsia" w:cs="Times New Roman"/>
                      <w:kern w:val="2"/>
                      <w:sz w:val="21"/>
                      <w:szCs w:val="21"/>
                      <w:lang w:val="en-US" w:eastAsia="zh-CN" w:bidi="ar-SA"/>
                    </w:rPr>
                    <w:t>1000</w:t>
                  </w:r>
                </w:p>
              </w:tc>
              <w:tc>
                <w:tcPr>
                  <w:tcW w:w="765" w:type="pct"/>
                  <w:tcBorders>
                    <w:left w:val="single" w:color="auto" w:sz="4" w:space="0"/>
                    <w:bottom w:val="single" w:color="auto" w:sz="4" w:space="0"/>
                  </w:tcBorders>
                  <w:vAlign w:val="center"/>
                </w:tcPr>
                <w:p>
                  <w:pPr>
                    <w:pStyle w:val="42"/>
                    <w:bidi w:val="0"/>
                    <w:spacing w:line="240" w:lineRule="auto"/>
                    <w:ind w:firstLine="0" w:firstLineChars="0"/>
                    <w:jc w:val="center"/>
                    <w:rPr>
                      <w:rFonts w:hint="eastAsia"/>
                      <w:sz w:val="21"/>
                      <w:szCs w:val="21"/>
                      <w:u w:val="none"/>
                      <w:lang w:val="en-US" w:eastAsia="zh-CN" w:bidi="ar-SA"/>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无水硫酸钠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1323" w:type="pct"/>
                  <w:gridSpan w:val="3"/>
                  <w:vMerge w:val="restart"/>
                  <w:tcBorders>
                    <w:top w:val="single" w:color="auto" w:sz="4" w:space="0"/>
                  </w:tcBorders>
                  <w:vAlign w:val="center"/>
                </w:tcPr>
                <w:p>
                  <w:pPr>
                    <w:pStyle w:val="42"/>
                    <w:bidi w:val="0"/>
                    <w:spacing w:line="240" w:lineRule="auto"/>
                    <w:ind w:firstLine="0" w:firstLineChars="0"/>
                    <w:jc w:val="center"/>
                    <w:rPr>
                      <w:rFonts w:hint="eastAsia" w:eastAsia="宋体"/>
                      <w:sz w:val="21"/>
                      <w:szCs w:val="21"/>
                      <w:lang w:val="en-US" w:eastAsia="zh-CN"/>
                    </w:rPr>
                  </w:pPr>
                  <w:r>
                    <w:rPr>
                      <w:rFonts w:hint="eastAsia"/>
                      <w:sz w:val="21"/>
                      <w:szCs w:val="21"/>
                      <w:u w:val="none"/>
                      <w:lang w:val="en-US" w:eastAsia="zh-CN" w:bidi="ar-SA"/>
                    </w:rPr>
                    <w:t>调试验收监测期间，无水硫酸钠、无水硫酸镁暂未使用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无水硫酸镁</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1323" w:type="pct"/>
                  <w:gridSpan w:val="3"/>
                  <w:vMerge w:val="continue"/>
                  <w:vAlign w:val="center"/>
                </w:tcPr>
                <w:p>
                  <w:pPr>
                    <w:pStyle w:val="42"/>
                    <w:bidi w:val="0"/>
                    <w:spacing w:line="240" w:lineRule="auto"/>
                    <w:ind w:firstLine="0" w:firstLineChars="0"/>
                    <w:jc w:val="center"/>
                    <w:rPr>
                      <w:rFonts w:hint="eastAsia" w:eastAsia="宋体"/>
                      <w:sz w:val="21"/>
                      <w:szCs w:val="21"/>
                      <w:lang w:val="en-US"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硅胶</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锌粉</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69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硼氢化钠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120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120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氢化铝锂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氢氧化钾</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硝酸银</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钯碳</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1kg/瓶、分析纯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氢氧化钯碳</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(1,5-环辛二烯)(五甲基环戊二烯)氯化钌</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N-溴代丁二酰亚胺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3,5-二氟苯乙酸</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双(三甲基硅基)氨基钠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79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邻苯二甲酰亚胺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三苯基膦</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双三苯基膦二氯化钯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三(二亚苄-BASE 丙酮)二钯(0)</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(S)-4-(9-蒽 基)-3-(叔丁基)-2,3-二氢苯并[D][1,3]氧,膦戊轭</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碳酸钾</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HATU</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3-氯-3-甲基-1-丁炔</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300g/瓶、分析纯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甲烷亚磺酸钠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硼氢化锂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89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羟胺磺酸</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2，2，2-三氟乙基三氟甲烷磺酸酯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联硼酸频哪醇酯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醋酸钾</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1,1'-双(二苯基膦)二茂铁]二氯化钯二氯甲烷络合物</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碳酸铯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碳酸氢钠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磷酸氢二钾</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对甲苯磺酸</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双三甲基硅基胺基锂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99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肼基乙酸乙酯盐酸盐</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氢氧化锂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亚氯酸钠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二溴海因</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3.4-二苄氧基苯甲醛</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乙酸铵</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lang w:val="en-US" w:eastAsia="zh-CN"/>
                    </w:rPr>
                  </w:pPr>
                  <w:r>
                    <w:rPr>
                      <w:rFonts w:hint="eastAsia" w:ascii="Times New Roman" w:hAnsi="Times New Roman" w:eastAsia="宋体" w:cs="Times New Roman"/>
                      <w:i w:val="0"/>
                      <w:iCs w:val="0"/>
                      <w:kern w:val="2"/>
                      <w:sz w:val="21"/>
                      <w:szCs w:val="21"/>
                      <w:u w:val="none"/>
                      <w:lang w:val="en-US" w:eastAsia="zh-CN" w:bidi="ar-SA"/>
                    </w:rPr>
                    <w:t>105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铁粉</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106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三氯化铁</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107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叔丁基亚磺酰胺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108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二氧化铂</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14</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109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[1,1'-双(二苯基膦基)二茂铁]二氯化钯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马来酸酐</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3-甲氧基-4-溴甲基苯甲酸甲酯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1-Boc-哌嗪</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113</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对甲苯磺酰氯</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70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114</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四丁基碘化铵</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40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115</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酒石酸</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56</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116</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N-碘代丁二酰亚胺</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117</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4 A 分子筛（粉末）</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118</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一水和对甲苯磺酸</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119</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活性炭</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20kg/袋、工业级</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80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120</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氧化铝</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ascii="Times New Roman" w:hAnsi="Times New Roman" w:eastAsia="宋体" w:cs="Times New Roman"/>
                      <w:b w:val="0"/>
                      <w:bCs w:val="0"/>
                      <w:sz w:val="21"/>
                      <w:szCs w:val="21"/>
                      <w:lang w:val="en-US" w:eastAsia="zh-CN"/>
                    </w:rPr>
                    <w:t>kg</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500g/瓶、分析纯</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固体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100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ascii="Times New Roman" w:hAnsi="Times New Roman" w:eastAsia="宋体" w:cs="Times New Roman"/>
                      <w:kern w:val="2"/>
                      <w:sz w:val="21"/>
                      <w:szCs w:val="21"/>
                      <w:u w:val="none"/>
                      <w:lang w:val="en-US" w:eastAsia="zh-CN" w:bidi="ar-SA"/>
                    </w:rPr>
                  </w:pPr>
                  <w:r>
                    <w:rPr>
                      <w:rFonts w:hint="eastAsia" w:ascii="Times New Roman" w:hAnsi="Times New Roman" w:eastAsia="宋体" w:cs="Times New Roman"/>
                      <w:i w:val="0"/>
                      <w:iCs w:val="0"/>
                      <w:kern w:val="2"/>
                      <w:sz w:val="21"/>
                      <w:szCs w:val="21"/>
                      <w:u w:val="none"/>
                      <w:lang w:val="en-US" w:eastAsia="zh-CN" w:bidi="ar-SA"/>
                    </w:rPr>
                    <w:t>121</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氢气</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L</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气体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500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416" w:type="pct"/>
                  <w:vAlign w:val="center"/>
                </w:tcPr>
                <w:p>
                  <w:pPr>
                    <w:pStyle w:val="42"/>
                    <w:rPr>
                      <w:rFonts w:hint="eastAsia" w:eastAsia="宋体" w:cs="Times New Roman"/>
                      <w:sz w:val="21"/>
                      <w:szCs w:val="21"/>
                      <w:u w:val="none"/>
                      <w:lang w:val="en-US" w:eastAsia="zh-CN" w:bidi="ar-SA"/>
                    </w:rPr>
                  </w:pPr>
                  <w:r>
                    <w:rPr>
                      <w:rFonts w:hint="eastAsia" w:cs="Times New Roman"/>
                      <w:i w:val="0"/>
                      <w:iCs w:val="0"/>
                      <w:kern w:val="2"/>
                      <w:sz w:val="21"/>
                      <w:szCs w:val="21"/>
                      <w:u w:val="none"/>
                      <w:lang w:val="en-US" w:eastAsia="zh-CN" w:bidi="ar-SA"/>
                    </w:rPr>
                    <w:t>122</w:t>
                  </w:r>
                </w:p>
              </w:tc>
              <w:tc>
                <w:tcPr>
                  <w:tcW w:w="682" w:type="pct"/>
                  <w:vAlign w:val="center"/>
                </w:tcPr>
                <w:p>
                  <w:pPr>
                    <w:pStyle w:val="42"/>
                    <w:ind w:firstLine="0" w:firstLineChars="0"/>
                    <w:rPr>
                      <w:rFonts w:hint="eastAsia" w:cs="Times New Roman"/>
                      <w:kern w:val="2"/>
                      <w:sz w:val="21"/>
                      <w:szCs w:val="21"/>
                      <w:lang w:val="en-US" w:eastAsia="zh-CN" w:bidi="ar-SA"/>
                    </w:rPr>
                  </w:pPr>
                  <w:r>
                    <w:rPr>
                      <w:rFonts w:hint="eastAsia" w:cs="Times New Roman"/>
                      <w:kern w:val="2"/>
                      <w:sz w:val="21"/>
                      <w:szCs w:val="21"/>
                      <w:lang w:val="en-US" w:eastAsia="zh-CN" w:bidi="ar-SA"/>
                    </w:rPr>
                    <w:t>氮气</w:t>
                  </w:r>
                </w:p>
              </w:tc>
              <w:tc>
                <w:tcPr>
                  <w:tcW w:w="414" w:type="pct"/>
                  <w:vAlign w:val="center"/>
                </w:tcPr>
                <w:p>
                  <w:pPr>
                    <w:pStyle w:val="42"/>
                    <w:ind w:firstLine="0" w:firstLineChars="0"/>
                    <w:rPr>
                      <w:rFonts w:hint="eastAsia" w:ascii="Times New Roman" w:hAnsi="Times New Roman" w:eastAsia="宋体" w:cs="Times New Roman"/>
                      <w:b w:val="0"/>
                      <w:bCs w:val="0"/>
                      <w:sz w:val="21"/>
                      <w:szCs w:val="21"/>
                      <w:lang w:val="en-US" w:eastAsia="zh-CN"/>
                    </w:rPr>
                  </w:pPr>
                  <w:r>
                    <w:rPr>
                      <w:rFonts w:hint="eastAsia" w:cs="Times New Roman"/>
                      <w:b w:val="0"/>
                      <w:bCs w:val="0"/>
                      <w:sz w:val="21"/>
                      <w:szCs w:val="21"/>
                      <w:lang w:val="en-US" w:eastAsia="zh-CN"/>
                    </w:rPr>
                    <w:t>L</w:t>
                  </w:r>
                </w:p>
              </w:tc>
              <w:tc>
                <w:tcPr>
                  <w:tcW w:w="1093"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10L/罐、工业级</w:t>
                  </w:r>
                </w:p>
              </w:tc>
              <w:tc>
                <w:tcPr>
                  <w:tcW w:w="479"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bidi="ar-SA"/>
                    </w:rPr>
                    <w:t>气体</w:t>
                  </w:r>
                </w:p>
              </w:tc>
              <w:tc>
                <w:tcPr>
                  <w:tcW w:w="591"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2800</w:t>
                  </w:r>
                </w:p>
              </w:tc>
              <w:tc>
                <w:tcPr>
                  <w:tcW w:w="552" w:type="pct"/>
                  <w:vAlign w:val="center"/>
                </w:tcPr>
                <w:p>
                  <w:pPr>
                    <w:pStyle w:val="42"/>
                    <w:ind w:firstLine="0" w:firstLineChars="0"/>
                    <w:rPr>
                      <w:rFonts w:hint="eastAsia"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2800</w:t>
                  </w:r>
                </w:p>
              </w:tc>
              <w:tc>
                <w:tcPr>
                  <w:tcW w:w="770" w:type="pct"/>
                  <w:gridSpan w:val="2"/>
                  <w:vAlign w:val="center"/>
                </w:tcPr>
                <w:p>
                  <w:pPr>
                    <w:pStyle w:val="42"/>
                    <w:bidi w:val="0"/>
                    <w:spacing w:line="240" w:lineRule="auto"/>
                    <w:ind w:firstLine="0" w:firstLineChars="0"/>
                    <w:jc w:val="center"/>
                    <w:rPr>
                      <w:rFonts w:hint="eastAsia" w:cs="Times New Roman"/>
                      <w:sz w:val="21"/>
                      <w:szCs w:val="21"/>
                      <w:lang w:eastAsia="zh-CN"/>
                    </w:rPr>
                  </w:pPr>
                  <w:r>
                    <w:rPr>
                      <w:rFonts w:hint="eastAsia" w:cs="Times New Roman"/>
                      <w:sz w:val="21"/>
                      <w:szCs w:val="21"/>
                      <w:lang w:eastAsia="zh-CN"/>
                    </w:rPr>
                    <w:t>与环评一致</w:t>
                  </w:r>
                </w:p>
              </w:tc>
            </w:tr>
          </w:tbl>
          <w:p>
            <w:pPr>
              <w:pStyle w:val="33"/>
              <w:ind w:firstLine="482"/>
              <w:rPr>
                <w:rFonts w:cs="Times New Roman"/>
                <w:b/>
                <w:bCs/>
                <w:color w:val="auto"/>
                <w:highlight w:val="none"/>
              </w:rPr>
            </w:pPr>
            <w:r>
              <w:rPr>
                <w:rFonts w:cs="Times New Roman"/>
                <w:b/>
                <w:bCs/>
                <w:color w:val="auto"/>
                <w:highlight w:val="none"/>
              </w:rPr>
              <w:t>2、公用工程</w:t>
            </w:r>
          </w:p>
          <w:p>
            <w:pPr>
              <w:pStyle w:val="33"/>
              <w:ind w:firstLine="476"/>
              <w:rPr>
                <w:rFonts w:hint="default" w:ascii="Times New Roman" w:hAnsi="Times New Roman" w:eastAsia="宋体" w:cs="Times New Roman"/>
                <w:spacing w:val="-1"/>
                <w:sz w:val="24"/>
                <w:lang w:val="en-US" w:eastAsia="zh-CN" w:bidi="ar-SA"/>
              </w:rPr>
            </w:pPr>
            <w:r>
              <w:rPr>
                <w:rFonts w:hint="default" w:cs="Times New Roman"/>
                <w:spacing w:val="-1"/>
                <w:sz w:val="24"/>
                <w:lang w:val="en-US" w:eastAsia="zh-CN" w:bidi="ar-SA"/>
              </w:rPr>
              <w:t>（1）</w:t>
            </w:r>
            <w:r>
              <w:rPr>
                <w:rFonts w:hint="default" w:ascii="Times New Roman" w:hAnsi="Times New Roman" w:eastAsia="宋体" w:cs="Times New Roman"/>
                <w:spacing w:val="-1"/>
                <w:sz w:val="24"/>
                <w:lang w:val="en-US" w:eastAsia="zh-CN" w:bidi="ar-SA"/>
              </w:rPr>
              <w:t>给水：本项目新鲜水由园区自来水管网提供，</w:t>
            </w:r>
            <w:r>
              <w:rPr>
                <w:rFonts w:hint="eastAsia" w:cs="Times New Roman"/>
                <w:spacing w:val="-1"/>
                <w:sz w:val="24"/>
                <w:lang w:val="en-US" w:eastAsia="zh-CN" w:bidi="ar-SA"/>
              </w:rPr>
              <w:t>纯水</w:t>
            </w:r>
            <w:r>
              <w:rPr>
                <w:rFonts w:hint="eastAsia" w:cs="Times New Roman"/>
                <w:color w:val="auto"/>
                <w:spacing w:val="0"/>
                <w:kern w:val="0"/>
                <w:sz w:val="24"/>
                <w:szCs w:val="24"/>
                <w:lang w:eastAsia="zh-CN" w:bidi="ar"/>
              </w:rPr>
              <w:t>用水为</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eastAsia" w:cs="Times New Roman"/>
                <w:color w:val="auto"/>
                <w:sz w:val="24"/>
                <w:szCs w:val="24"/>
                <w:lang w:val="en-US" w:eastAsia="zh-CN"/>
              </w:rPr>
              <w:t>制备纯水。</w:t>
            </w:r>
            <w:r>
              <w:rPr>
                <w:rFonts w:hint="default" w:ascii="Times New Roman" w:hAnsi="Times New Roman" w:eastAsia="宋体" w:cs="Times New Roman"/>
                <w:spacing w:val="-1"/>
                <w:sz w:val="24"/>
                <w:lang w:val="en-US" w:eastAsia="zh-CN" w:bidi="ar-SA"/>
              </w:rPr>
              <w:t>用水主要包括办公生活用水、清洗用水、合成实验用水、质检用水、地面清洗用水</w:t>
            </w:r>
            <w:r>
              <w:rPr>
                <w:rFonts w:hint="eastAsia" w:cs="Times New Roman"/>
                <w:spacing w:val="-1"/>
                <w:sz w:val="24"/>
                <w:lang w:val="en-US" w:eastAsia="zh-CN" w:bidi="ar-SA"/>
              </w:rPr>
              <w:t>、喷淋用水</w:t>
            </w:r>
            <w:r>
              <w:rPr>
                <w:rFonts w:hint="default" w:ascii="Times New Roman" w:hAnsi="Times New Roman" w:eastAsia="宋体" w:cs="Times New Roman"/>
                <w:spacing w:val="-1"/>
                <w:sz w:val="24"/>
                <w:lang w:val="en-US" w:eastAsia="zh-CN" w:bidi="ar-SA"/>
              </w:rPr>
              <w:t>。</w:t>
            </w:r>
          </w:p>
          <w:p>
            <w:pPr>
              <w:pStyle w:val="33"/>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1）生活用水</w:t>
            </w:r>
            <w:r>
              <w:rPr>
                <w:rFonts w:hint="eastAsia" w:cs="Times New Roman"/>
                <w:color w:val="auto"/>
                <w:spacing w:val="0"/>
                <w:kern w:val="0"/>
                <w:sz w:val="24"/>
                <w:szCs w:val="24"/>
                <w:lang w:eastAsia="zh-CN" w:bidi="ar"/>
              </w:rPr>
              <w:t>：</w:t>
            </w:r>
            <w:r>
              <w:rPr>
                <w:rFonts w:hint="default" w:cs="Times New Roman"/>
                <w:color w:val="auto"/>
                <w:spacing w:val="0"/>
                <w:kern w:val="0"/>
                <w:sz w:val="24"/>
                <w:szCs w:val="24"/>
                <w:lang w:bidi="ar"/>
              </w:rPr>
              <w:t>本项目生活用水量为3000</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/a，全部为新鲜水。</w:t>
            </w:r>
          </w:p>
          <w:p>
            <w:pPr>
              <w:pStyle w:val="33"/>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2）清洗用水</w:t>
            </w:r>
            <w:r>
              <w:rPr>
                <w:rFonts w:hint="eastAsia" w:cs="Times New Roman"/>
                <w:color w:val="auto"/>
                <w:spacing w:val="0"/>
                <w:kern w:val="0"/>
                <w:sz w:val="24"/>
                <w:szCs w:val="24"/>
                <w:lang w:eastAsia="zh-CN" w:bidi="ar"/>
              </w:rPr>
              <w:t>：</w:t>
            </w:r>
            <w:r>
              <w:rPr>
                <w:rFonts w:hint="default" w:cs="Times New Roman"/>
                <w:color w:val="auto"/>
                <w:spacing w:val="0"/>
                <w:kern w:val="0"/>
                <w:sz w:val="24"/>
                <w:szCs w:val="24"/>
                <w:lang w:bidi="ar"/>
              </w:rPr>
              <w:t>每天实验结束后，仪器、器皿需要进行多次清洗，首先采用乙醇对其进行初次清洗，溶解清除残留的实验物料，再用自来水进行第二次清洗，除去乙醇等有机污染物，仪器、器皿前两次清洗之后，还需用水对其进行连续清洗，以满足下次实验使用的要求。</w:t>
            </w:r>
          </w:p>
          <w:p>
            <w:pPr>
              <w:pStyle w:val="33"/>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①乙醇初洗：本项目每天实验结束后，用乙醇进行初洗，乙醇总用量约为36</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p>
          <w:p>
            <w:pPr>
              <w:pStyle w:val="33"/>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②第二次清洗用水：用自来水进行第二次清洗，自来水用量约为36</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p>
          <w:p>
            <w:pPr>
              <w:pStyle w:val="33"/>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③深度清洗用水：仪器、器皿前两次清洗之后，还需用水对仪器、器皿进行连续清洗，清洗用水用量约为6480</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p>
          <w:p>
            <w:pPr>
              <w:pStyle w:val="33"/>
              <w:numPr>
                <w:ilvl w:val="0"/>
                <w:numId w:val="4"/>
              </w:numPr>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合成实验用水</w:t>
            </w:r>
            <w:r>
              <w:rPr>
                <w:rFonts w:hint="eastAsia" w:cs="Times New Roman"/>
                <w:color w:val="auto"/>
                <w:spacing w:val="0"/>
                <w:kern w:val="0"/>
                <w:sz w:val="24"/>
                <w:szCs w:val="24"/>
                <w:lang w:eastAsia="zh-CN" w:bidi="ar"/>
              </w:rPr>
              <w:t>：</w:t>
            </w:r>
            <w:r>
              <w:rPr>
                <w:rFonts w:hint="default" w:cs="Times New Roman"/>
                <w:color w:val="auto"/>
                <w:spacing w:val="0"/>
                <w:kern w:val="0"/>
                <w:sz w:val="24"/>
                <w:szCs w:val="24"/>
                <w:lang w:bidi="ar"/>
              </w:rPr>
              <w:t>根据实验需要，合成工艺用水量为15</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r>
              <w:rPr>
                <w:rFonts w:hint="eastAsia" w:cs="Times New Roman"/>
                <w:color w:val="auto"/>
                <w:spacing w:val="0"/>
                <w:kern w:val="0"/>
                <w:sz w:val="24"/>
                <w:szCs w:val="24"/>
                <w:lang w:eastAsia="zh-CN" w:bidi="ar"/>
              </w:rPr>
              <w:t>，用水为</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eastAsia" w:cs="Times New Roman"/>
                <w:color w:val="auto"/>
                <w:sz w:val="24"/>
                <w:szCs w:val="24"/>
                <w:lang w:val="en-US" w:eastAsia="zh-CN"/>
              </w:rPr>
              <w:t>制备纯水。</w:t>
            </w:r>
          </w:p>
          <w:p>
            <w:pPr>
              <w:pStyle w:val="33"/>
              <w:numPr>
                <w:ilvl w:val="0"/>
                <w:numId w:val="4"/>
              </w:numPr>
              <w:ind w:firstLine="476"/>
              <w:rPr>
                <w:rFonts w:hint="default" w:cs="Times New Roman"/>
                <w:color w:val="auto"/>
                <w:spacing w:val="0"/>
                <w:kern w:val="0"/>
                <w:sz w:val="24"/>
                <w:szCs w:val="24"/>
                <w:lang w:bidi="ar"/>
              </w:rPr>
            </w:pPr>
            <w:r>
              <w:rPr>
                <w:rFonts w:hint="default" w:cs="Times New Roman"/>
                <w:color w:val="auto"/>
                <w:spacing w:val="0"/>
                <w:kern w:val="0"/>
                <w:sz w:val="24"/>
                <w:szCs w:val="24"/>
                <w:lang w:bidi="ar"/>
              </w:rPr>
              <w:t>质检用水</w:t>
            </w:r>
            <w:r>
              <w:rPr>
                <w:rFonts w:hint="eastAsia" w:cs="Times New Roman"/>
                <w:color w:val="auto"/>
                <w:spacing w:val="0"/>
                <w:kern w:val="0"/>
                <w:sz w:val="24"/>
                <w:szCs w:val="24"/>
                <w:lang w:eastAsia="zh-CN" w:bidi="ar"/>
              </w:rPr>
              <w:t>：</w:t>
            </w:r>
            <w:r>
              <w:rPr>
                <w:rFonts w:hint="default" w:cs="Times New Roman"/>
                <w:color w:val="auto"/>
                <w:spacing w:val="0"/>
                <w:kern w:val="0"/>
                <w:sz w:val="24"/>
                <w:szCs w:val="24"/>
                <w:lang w:bidi="ar"/>
              </w:rPr>
              <w:t>项目质检总用水量约为30</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r>
              <w:rPr>
                <w:rFonts w:hint="eastAsia" w:cs="Times New Roman"/>
                <w:color w:val="auto"/>
                <w:spacing w:val="0"/>
                <w:kern w:val="0"/>
                <w:sz w:val="24"/>
                <w:szCs w:val="24"/>
                <w:lang w:eastAsia="zh-CN" w:bidi="ar"/>
              </w:rPr>
              <w:t>，用水为</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eastAsia" w:cs="Times New Roman"/>
                <w:color w:val="auto"/>
                <w:sz w:val="24"/>
                <w:szCs w:val="24"/>
                <w:lang w:val="en-US" w:eastAsia="zh-CN"/>
              </w:rPr>
              <w:t>制备纯水。</w:t>
            </w:r>
          </w:p>
          <w:p>
            <w:pPr>
              <w:pStyle w:val="33"/>
              <w:numPr>
                <w:ilvl w:val="0"/>
                <w:numId w:val="4"/>
              </w:numPr>
              <w:ind w:firstLine="480"/>
              <w:rPr>
                <w:rFonts w:hint="default" w:cs="Times New Roman"/>
                <w:color w:val="auto"/>
                <w:spacing w:val="0"/>
                <w:kern w:val="0"/>
                <w:sz w:val="24"/>
                <w:szCs w:val="24"/>
                <w:lang w:bidi="ar"/>
              </w:rPr>
            </w:pPr>
            <w:r>
              <w:rPr>
                <w:rFonts w:hint="default" w:cs="Times New Roman"/>
                <w:color w:val="auto"/>
                <w:spacing w:val="0"/>
                <w:kern w:val="0"/>
                <w:sz w:val="24"/>
                <w:szCs w:val="24"/>
                <w:lang w:bidi="ar"/>
              </w:rPr>
              <w:t>地面清洁用水</w:t>
            </w:r>
            <w:r>
              <w:rPr>
                <w:rFonts w:hint="eastAsia" w:cs="Times New Roman"/>
                <w:color w:val="auto"/>
                <w:spacing w:val="0"/>
                <w:kern w:val="0"/>
                <w:sz w:val="24"/>
                <w:szCs w:val="24"/>
                <w:lang w:eastAsia="zh-CN" w:bidi="ar"/>
              </w:rPr>
              <w:t>：</w:t>
            </w:r>
            <w:r>
              <w:rPr>
                <w:rFonts w:hint="default" w:cs="Times New Roman"/>
                <w:color w:val="auto"/>
                <w:spacing w:val="0"/>
                <w:kern w:val="0"/>
                <w:sz w:val="24"/>
                <w:szCs w:val="24"/>
                <w:lang w:bidi="ar"/>
              </w:rPr>
              <w:t>地面清洁用水量约为1217</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/a，来自新鲜水。</w:t>
            </w:r>
          </w:p>
          <w:p>
            <w:pPr>
              <w:pStyle w:val="33"/>
              <w:numPr>
                <w:ilvl w:val="0"/>
                <w:numId w:val="4"/>
              </w:numPr>
              <w:ind w:firstLine="520"/>
              <w:rPr>
                <w:rFonts w:hint="default" w:cs="Times New Roman"/>
                <w:color w:val="auto"/>
                <w:spacing w:val="0"/>
                <w:kern w:val="0"/>
                <w:sz w:val="24"/>
                <w:szCs w:val="24"/>
                <w:lang w:bidi="ar"/>
              </w:rPr>
            </w:pPr>
            <w:r>
              <w:rPr>
                <w:rFonts w:hint="eastAsia" w:ascii="Times New Roman" w:hAnsi="Times New Roman" w:cs="Times New Roman"/>
                <w:spacing w:val="10"/>
                <w:sz w:val="24"/>
                <w:lang w:eastAsia="zh-CN"/>
              </w:rPr>
              <w:t>喷淋塔用水：</w:t>
            </w:r>
            <w:r>
              <w:rPr>
                <w:rFonts w:hint="eastAsia" w:ascii="Times New Roman" w:hAnsi="Times New Roman" w:eastAsia="宋体" w:cs="Times New Roman"/>
                <w:spacing w:val="10"/>
                <w:sz w:val="24"/>
                <w:szCs w:val="24"/>
              </w:rPr>
              <w:t>本项目碱喷淋塔所用碱液循环使用，水分蒸发及时补充，补充水量约为</w:t>
            </w:r>
            <w:r>
              <w:rPr>
                <w:rFonts w:hint="eastAsia" w:ascii="Times New Roman" w:hAnsi="Times New Roman" w:eastAsia="宋体" w:cs="Times New Roman"/>
                <w:spacing w:val="10"/>
                <w:sz w:val="24"/>
                <w:szCs w:val="24"/>
                <w:lang w:val="en-US" w:eastAsia="zh-CN"/>
              </w:rPr>
              <w:t>1</w:t>
            </w:r>
            <w:r>
              <w:rPr>
                <w:rFonts w:hint="eastAsia" w:cs="Times New Roman"/>
                <w:spacing w:val="10"/>
                <w:sz w:val="24"/>
                <w:szCs w:val="24"/>
                <w:lang w:eastAsia="zh-CN"/>
              </w:rPr>
              <w:t>m³</w:t>
            </w:r>
            <w:r>
              <w:rPr>
                <w:rFonts w:hint="eastAsia" w:ascii="Times New Roman" w:hAnsi="Times New Roman" w:eastAsia="宋体" w:cs="Times New Roman"/>
                <w:spacing w:val="10"/>
                <w:sz w:val="24"/>
                <w:szCs w:val="24"/>
              </w:rPr>
              <w:t>/a，</w:t>
            </w:r>
            <w:r>
              <w:rPr>
                <w:rFonts w:hint="eastAsia" w:cs="Times New Roman"/>
                <w:spacing w:val="10"/>
                <w:sz w:val="24"/>
                <w:lang w:eastAsia="zh-CN"/>
              </w:rPr>
              <w:t>来自新鲜水</w:t>
            </w:r>
            <w:r>
              <w:rPr>
                <w:rFonts w:hint="eastAsia" w:ascii="Times New Roman" w:hAnsi="Times New Roman" w:eastAsia="宋体" w:cs="Times New Roman"/>
                <w:spacing w:val="10"/>
                <w:sz w:val="24"/>
                <w:szCs w:val="24"/>
              </w:rPr>
              <w:t>。</w:t>
            </w:r>
          </w:p>
          <w:p>
            <w:pPr>
              <w:pStyle w:val="33"/>
              <w:ind w:firstLine="476"/>
              <w:rPr>
                <w:rFonts w:hint="eastAsia" w:cs="Times New Roman"/>
                <w:spacing w:val="10"/>
                <w:sz w:val="24"/>
              </w:rPr>
            </w:pPr>
            <w:r>
              <w:rPr>
                <w:rFonts w:hint="default" w:cs="Times New Roman"/>
                <w:color w:val="auto"/>
                <w:spacing w:val="0"/>
                <w:kern w:val="0"/>
                <w:sz w:val="24"/>
                <w:szCs w:val="24"/>
                <w:lang w:bidi="ar"/>
              </w:rPr>
              <w:t>综上所述，本项目新鲜水总用水量为</w:t>
            </w:r>
            <w:r>
              <w:rPr>
                <w:rFonts w:hint="eastAsia" w:cs="Times New Roman"/>
                <w:color w:val="auto"/>
                <w:spacing w:val="0"/>
                <w:kern w:val="0"/>
                <w:sz w:val="24"/>
                <w:szCs w:val="24"/>
                <w:lang w:val="en-US" w:eastAsia="zh-CN" w:bidi="ar"/>
              </w:rPr>
              <w:t>10734</w:t>
            </w:r>
            <w:r>
              <w:rPr>
                <w:rFonts w:hint="eastAsia" w:cs="Times New Roman"/>
                <w:color w:val="auto"/>
                <w:spacing w:val="0"/>
                <w:kern w:val="0"/>
                <w:sz w:val="24"/>
                <w:szCs w:val="24"/>
                <w:lang w:eastAsia="zh-CN" w:bidi="ar"/>
              </w:rPr>
              <w:t>m³</w:t>
            </w:r>
            <w:r>
              <w:rPr>
                <w:rFonts w:hint="eastAsia" w:cs="Times New Roman"/>
                <w:spacing w:val="10"/>
                <w:sz w:val="24"/>
              </w:rPr>
              <w:t>/a</w:t>
            </w:r>
            <w:r>
              <w:rPr>
                <w:rFonts w:hint="eastAsia" w:cs="Times New Roman"/>
                <w:spacing w:val="10"/>
                <w:sz w:val="24"/>
                <w:lang w:eastAsia="zh-CN"/>
              </w:rPr>
              <w:t>，</w:t>
            </w:r>
            <w:r>
              <w:rPr>
                <w:rFonts w:hint="default" w:cs="Times New Roman"/>
                <w:color w:val="auto"/>
                <w:spacing w:val="0"/>
                <w:kern w:val="0"/>
                <w:sz w:val="24"/>
                <w:szCs w:val="24"/>
                <w:lang w:bidi="ar"/>
              </w:rPr>
              <w:t>乙醇总用量约为36</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r>
              <w:rPr>
                <w:rFonts w:hint="eastAsia" w:cs="Times New Roman"/>
                <w:color w:val="auto"/>
                <w:spacing w:val="0"/>
                <w:kern w:val="0"/>
                <w:sz w:val="24"/>
                <w:szCs w:val="24"/>
                <w:lang w:eastAsia="zh-CN" w:bidi="ar"/>
              </w:rPr>
              <w:t>，纯水</w:t>
            </w:r>
            <w:r>
              <w:rPr>
                <w:rFonts w:hint="default" w:cs="Times New Roman"/>
                <w:color w:val="auto"/>
                <w:spacing w:val="0"/>
                <w:kern w:val="0"/>
                <w:sz w:val="24"/>
                <w:szCs w:val="24"/>
                <w:lang w:bidi="ar"/>
              </w:rPr>
              <w:t>总用量约为</w:t>
            </w:r>
            <w:r>
              <w:rPr>
                <w:rFonts w:hint="eastAsia" w:cs="Times New Roman"/>
                <w:color w:val="auto"/>
                <w:spacing w:val="0"/>
                <w:kern w:val="0"/>
                <w:sz w:val="24"/>
                <w:szCs w:val="24"/>
                <w:lang w:val="en-US" w:eastAsia="zh-CN" w:bidi="ar"/>
              </w:rPr>
              <w:t>45</w:t>
            </w:r>
            <w:r>
              <w:rPr>
                <w:rFonts w:hint="eastAsia" w:cs="Times New Roman"/>
                <w:color w:val="auto"/>
                <w:spacing w:val="0"/>
                <w:kern w:val="0"/>
                <w:sz w:val="24"/>
                <w:szCs w:val="24"/>
                <w:lang w:eastAsia="zh-CN" w:bidi="ar"/>
              </w:rPr>
              <w:t>m³</w:t>
            </w:r>
            <w:r>
              <w:rPr>
                <w:rFonts w:hint="default" w:cs="Times New Roman"/>
                <w:color w:val="auto"/>
                <w:spacing w:val="0"/>
                <w:kern w:val="0"/>
                <w:sz w:val="24"/>
                <w:szCs w:val="24"/>
                <w:lang w:bidi="ar"/>
              </w:rPr>
              <w:t>/a</w:t>
            </w:r>
            <w:r>
              <w:rPr>
                <w:rFonts w:hint="eastAsia" w:cs="Times New Roman"/>
                <w:spacing w:val="10"/>
                <w:sz w:val="24"/>
              </w:rPr>
              <w:t>。</w:t>
            </w:r>
          </w:p>
          <w:p>
            <w:pPr>
              <w:pStyle w:val="33"/>
              <w:numPr>
                <w:ilvl w:val="0"/>
                <w:numId w:val="5"/>
              </w:numPr>
              <w:ind w:firstLine="476"/>
              <w:rPr>
                <w:rFonts w:cs="Times New Roman"/>
                <w:spacing w:val="10"/>
                <w:sz w:val="24"/>
              </w:rPr>
            </w:pPr>
            <w:r>
              <w:rPr>
                <w:rFonts w:hint="default" w:ascii="Times New Roman" w:hAnsi="Times New Roman" w:eastAsia="宋体" w:cs="Times New Roman"/>
                <w:spacing w:val="-1"/>
                <w:sz w:val="24"/>
              </w:rPr>
              <w:t>排水：</w:t>
            </w:r>
            <w:r>
              <w:rPr>
                <w:rFonts w:hint="default" w:ascii="Times New Roman" w:hAnsi="Times New Roman" w:eastAsia="宋体" w:cs="Times New Roman"/>
                <w:spacing w:val="-1"/>
                <w:sz w:val="24"/>
                <w:lang w:val="en-US" w:eastAsia="zh-CN"/>
              </w:rPr>
              <w:t>本</w:t>
            </w:r>
            <w:r>
              <w:rPr>
                <w:rFonts w:cs="Times New Roman"/>
                <w:spacing w:val="10"/>
                <w:sz w:val="24"/>
              </w:rPr>
              <w:t>项目废水</w:t>
            </w:r>
            <w:r>
              <w:rPr>
                <w:rFonts w:hint="eastAsia" w:cs="Times New Roman"/>
                <w:spacing w:val="10"/>
                <w:sz w:val="24"/>
                <w:lang w:eastAsia="zh-CN"/>
              </w:rPr>
              <w:t>主要为生活污水、清洗废水、合成实验废液、质检废液、地面清洁废水、</w:t>
            </w:r>
            <w:r>
              <w:rPr>
                <w:rFonts w:hint="eastAsia"/>
                <w:b w:val="0"/>
                <w:bCs w:val="0"/>
                <w:sz w:val="24"/>
                <w:lang w:eastAsia="zh-CN"/>
              </w:rPr>
              <w:t>喷淋塔废液</w:t>
            </w:r>
            <w:r>
              <w:rPr>
                <w:rFonts w:hint="eastAsia" w:cs="Times New Roman"/>
                <w:spacing w:val="10"/>
                <w:sz w:val="24"/>
                <w:lang w:eastAsia="zh-CN"/>
              </w:rPr>
              <w:t>。</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1）生活污水</w:t>
            </w:r>
            <w:r>
              <w:rPr>
                <w:rFonts w:hint="eastAsia"/>
                <w:spacing w:val="0"/>
                <w:sz w:val="24"/>
                <w:lang w:val="en-US" w:eastAsia="zh-CN"/>
              </w:rPr>
              <w:t>：</w:t>
            </w:r>
            <w:r>
              <w:rPr>
                <w:rFonts w:hint="default"/>
                <w:spacing w:val="0"/>
                <w:sz w:val="24"/>
                <w:lang w:val="en-US" w:eastAsia="zh-CN"/>
              </w:rPr>
              <w:t>本项目生活污水排放量为2400</w:t>
            </w:r>
            <w:r>
              <w:rPr>
                <w:rFonts w:hint="eastAsia"/>
                <w:spacing w:val="0"/>
                <w:sz w:val="24"/>
                <w:lang w:val="en-US" w:eastAsia="zh-CN"/>
              </w:rPr>
              <w:t>m³</w:t>
            </w:r>
            <w:r>
              <w:rPr>
                <w:rFonts w:hint="default"/>
                <w:spacing w:val="0"/>
                <w:sz w:val="24"/>
                <w:lang w:val="en-US" w:eastAsia="zh-CN"/>
              </w:rPr>
              <w:t xml:space="preserve">/a。 </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2）清洗废水</w:t>
            </w:r>
            <w:r>
              <w:rPr>
                <w:rFonts w:hint="eastAsia"/>
                <w:spacing w:val="0"/>
                <w:sz w:val="24"/>
                <w:lang w:val="en-US" w:eastAsia="zh-CN"/>
              </w:rPr>
              <w:t>：</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①初洗废液和二次清洗废液</w:t>
            </w:r>
            <w:r>
              <w:rPr>
                <w:rFonts w:hint="eastAsia"/>
                <w:spacing w:val="0"/>
                <w:sz w:val="24"/>
                <w:lang w:val="en-US" w:eastAsia="zh-CN"/>
              </w:rPr>
              <w:t>：</w:t>
            </w:r>
            <w:r>
              <w:rPr>
                <w:rFonts w:hint="default"/>
                <w:spacing w:val="0"/>
                <w:sz w:val="24"/>
                <w:lang w:val="en-US" w:eastAsia="zh-CN"/>
              </w:rPr>
              <w:t>项目器皿初洗废液和二次清洗废液产生量约为 72</w:t>
            </w:r>
            <w:r>
              <w:rPr>
                <w:rFonts w:hint="eastAsia"/>
                <w:spacing w:val="0"/>
                <w:sz w:val="24"/>
                <w:lang w:val="en-US" w:eastAsia="zh-CN"/>
              </w:rPr>
              <w:t>m³</w:t>
            </w:r>
            <w:r>
              <w:rPr>
                <w:rFonts w:hint="default"/>
                <w:spacing w:val="0"/>
                <w:sz w:val="24"/>
                <w:lang w:val="en-US" w:eastAsia="zh-CN"/>
              </w:rPr>
              <w:t>/a，因该废液中有机污染物浓度较高，根据《国家危险废物名录（2021 年版）》，属于 HW49 其他废物，废物代码900-047-49，暂存于危废暂存间，委托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spacing w:val="0"/>
                <w:sz w:val="24"/>
                <w:lang w:val="en-US" w:eastAsia="zh-CN"/>
              </w:rPr>
              <w:t>处置。</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②深度清洗废水：器皿二次清洗之后清洗废水产生量约为5832</w:t>
            </w:r>
            <w:r>
              <w:rPr>
                <w:rFonts w:hint="eastAsia"/>
                <w:spacing w:val="0"/>
                <w:sz w:val="24"/>
                <w:lang w:val="en-US" w:eastAsia="zh-CN"/>
              </w:rPr>
              <w:t>m³</w:t>
            </w:r>
            <w:r>
              <w:rPr>
                <w:rFonts w:hint="default"/>
                <w:spacing w:val="0"/>
                <w:sz w:val="24"/>
                <w:lang w:val="en-US" w:eastAsia="zh-CN"/>
              </w:rPr>
              <w:t>/a。</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3）合成实验废液</w:t>
            </w:r>
            <w:r>
              <w:rPr>
                <w:rFonts w:hint="eastAsia"/>
                <w:spacing w:val="0"/>
                <w:sz w:val="24"/>
                <w:lang w:val="en-US" w:eastAsia="zh-CN"/>
              </w:rPr>
              <w:t>：</w:t>
            </w:r>
            <w:r>
              <w:rPr>
                <w:rFonts w:hint="default"/>
                <w:spacing w:val="0"/>
                <w:sz w:val="24"/>
                <w:lang w:val="en-US" w:eastAsia="zh-CN"/>
              </w:rPr>
              <w:t>合成实验废液产生量约为</w:t>
            </w:r>
            <w:r>
              <w:rPr>
                <w:rFonts w:hint="eastAsia"/>
                <w:spacing w:val="0"/>
                <w:sz w:val="24"/>
                <w:lang w:val="en-US" w:eastAsia="zh-CN"/>
              </w:rPr>
              <w:t>101.75m³</w:t>
            </w:r>
            <w:r>
              <w:rPr>
                <w:rFonts w:hint="default"/>
                <w:spacing w:val="0"/>
                <w:sz w:val="24"/>
                <w:lang w:val="en-US" w:eastAsia="zh-CN"/>
              </w:rPr>
              <w:t>/a，因该废液中有机污染物浓度较高，根据《国家危险废物名录（2021 年版）》，属于HW49其他废物，废物代码900-047-49，暂存于危废暂存间，委托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spacing w:val="0"/>
                <w:sz w:val="24"/>
                <w:lang w:val="en-US" w:eastAsia="zh-CN"/>
              </w:rPr>
              <w:t>处置。</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4）质检废液</w:t>
            </w:r>
            <w:r>
              <w:rPr>
                <w:rFonts w:hint="eastAsia"/>
                <w:spacing w:val="0"/>
                <w:sz w:val="24"/>
                <w:lang w:val="en-US" w:eastAsia="zh-CN"/>
              </w:rPr>
              <w:t>：</w:t>
            </w:r>
            <w:r>
              <w:rPr>
                <w:rFonts w:hint="default"/>
                <w:spacing w:val="0"/>
                <w:sz w:val="24"/>
                <w:lang w:val="en-US" w:eastAsia="zh-CN"/>
              </w:rPr>
              <w:t>质检废液产生量约为30</w:t>
            </w:r>
            <w:r>
              <w:rPr>
                <w:rFonts w:hint="eastAsia"/>
                <w:spacing w:val="0"/>
                <w:sz w:val="24"/>
                <w:lang w:val="en-US" w:eastAsia="zh-CN"/>
              </w:rPr>
              <w:t>m³</w:t>
            </w:r>
            <w:r>
              <w:rPr>
                <w:rFonts w:hint="default"/>
                <w:spacing w:val="0"/>
                <w:sz w:val="24"/>
                <w:lang w:val="en-US" w:eastAsia="zh-CN"/>
              </w:rPr>
              <w:t>/a，因该废液中有机污染物浓度较高，根据《国家危险废物名录（2021 年版）》，属于 HW49 其他废物，废物代码900-047-49，暂存于危废暂存间，委托</w:t>
            </w:r>
            <w:r>
              <w:rPr>
                <w:rFonts w:hint="default" w:ascii="Times New Roman" w:hAnsi="Times New Roman" w:cs="Times New Roman"/>
                <w:sz w:val="24"/>
                <w:szCs w:val="24"/>
                <w:lang w:eastAsia="zh-CN"/>
              </w:rPr>
              <w:t>山东环沃环保科技有限公司、济南德正环保科技有限公司</w:t>
            </w:r>
            <w:r>
              <w:rPr>
                <w:rFonts w:hint="default"/>
                <w:spacing w:val="0"/>
                <w:sz w:val="24"/>
                <w:lang w:val="en-US" w:eastAsia="zh-CN"/>
              </w:rPr>
              <w:t>处置。</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5）地面清洗废水</w:t>
            </w:r>
            <w:r>
              <w:rPr>
                <w:rFonts w:hint="eastAsia"/>
                <w:spacing w:val="0"/>
                <w:sz w:val="24"/>
                <w:lang w:val="en-US" w:eastAsia="zh-CN"/>
              </w:rPr>
              <w:t>：</w:t>
            </w:r>
            <w:r>
              <w:rPr>
                <w:rFonts w:hint="default"/>
                <w:spacing w:val="0"/>
                <w:sz w:val="24"/>
                <w:lang w:val="en-US" w:eastAsia="zh-CN"/>
              </w:rPr>
              <w:t>本项目地面清洗废水量为973.6</w:t>
            </w:r>
            <w:r>
              <w:rPr>
                <w:rFonts w:hint="eastAsia"/>
                <w:spacing w:val="0"/>
                <w:sz w:val="24"/>
                <w:lang w:val="en-US" w:eastAsia="zh-CN"/>
              </w:rPr>
              <w:t>m³</w:t>
            </w:r>
            <w:r>
              <w:rPr>
                <w:rFonts w:hint="default"/>
                <w:spacing w:val="0"/>
                <w:sz w:val="24"/>
                <w:lang w:val="en-US" w:eastAsia="zh-CN"/>
              </w:rPr>
              <w:t>/a。</w:t>
            </w:r>
          </w:p>
          <w:p>
            <w:pPr>
              <w:numPr>
                <w:ilvl w:val="0"/>
                <w:numId w:val="0"/>
              </w:numPr>
              <w:adjustRightInd w:val="0"/>
              <w:snapToGrid w:val="0"/>
              <w:ind w:firstLine="480" w:firstLineChars="200"/>
              <w:rPr>
                <w:rFonts w:hint="default"/>
                <w:lang w:val="en-US" w:eastAsia="zh-CN"/>
              </w:rPr>
            </w:pPr>
            <w:r>
              <w:rPr>
                <w:rFonts w:hint="eastAsia"/>
                <w:spacing w:val="0"/>
                <w:sz w:val="24"/>
                <w:lang w:val="en-US" w:eastAsia="zh-CN"/>
              </w:rPr>
              <w:t>6）喷淋塔废液：碱喷淋装置中碱液循环使用，每年更换一次，碱喷淋废液产生量约为0.5m³/a，喷淋塔废液水质指标检测符合</w:t>
            </w:r>
            <w:r>
              <w:rPr>
                <w:rFonts w:hint="default" w:eastAsia="宋体"/>
                <w:szCs w:val="21"/>
              </w:rPr>
              <w:t>济南银丰国际生物城污水处理站</w:t>
            </w:r>
            <w:r>
              <w:rPr>
                <w:rFonts w:hint="eastAsia" w:eastAsia="宋体"/>
                <w:szCs w:val="21"/>
                <w:lang w:eastAsia="zh-CN"/>
              </w:rPr>
              <w:t>进水水质要求的排入</w:t>
            </w:r>
            <w:r>
              <w:rPr>
                <w:rFonts w:hint="default" w:eastAsia="宋体"/>
                <w:szCs w:val="21"/>
              </w:rPr>
              <w:t>济南银丰国际生物城污水处理站</w:t>
            </w:r>
            <w:r>
              <w:rPr>
                <w:rFonts w:hint="eastAsia" w:eastAsia="宋体"/>
                <w:szCs w:val="21"/>
                <w:lang w:eastAsia="zh-CN"/>
              </w:rPr>
              <w:t>处理</w:t>
            </w:r>
            <w:r>
              <w:rPr>
                <w:rFonts w:hint="eastAsia"/>
                <w:szCs w:val="21"/>
                <w:lang w:eastAsia="zh-CN"/>
              </w:rPr>
              <w:t>，水质指标不</w:t>
            </w:r>
            <w:r>
              <w:rPr>
                <w:rFonts w:hint="eastAsia"/>
                <w:spacing w:val="0"/>
                <w:sz w:val="24"/>
                <w:lang w:val="en-US" w:eastAsia="zh-CN"/>
              </w:rPr>
              <w:t>符合</w:t>
            </w:r>
            <w:r>
              <w:rPr>
                <w:rFonts w:hint="default" w:eastAsia="宋体"/>
                <w:szCs w:val="21"/>
              </w:rPr>
              <w:t>济南银丰国际生物城污水处理站</w:t>
            </w:r>
            <w:r>
              <w:rPr>
                <w:rFonts w:hint="eastAsia" w:eastAsia="宋体"/>
                <w:szCs w:val="21"/>
                <w:lang w:eastAsia="zh-CN"/>
              </w:rPr>
              <w:t>进水水质要求的</w:t>
            </w:r>
            <w:r>
              <w:rPr>
                <w:rFonts w:hint="eastAsia"/>
                <w:szCs w:val="21"/>
                <w:lang w:eastAsia="zh-CN"/>
              </w:rPr>
              <w:t>，</w:t>
            </w:r>
            <w:r>
              <w:rPr>
                <w:rFonts w:hint="eastAsia"/>
                <w:spacing w:val="0"/>
                <w:sz w:val="24"/>
                <w:lang w:val="en-US" w:eastAsia="zh-CN"/>
              </w:rPr>
              <w:t>暂存于危险废物暂存间，委托有资质单位处置。</w:t>
            </w:r>
          </w:p>
          <w:p>
            <w:pPr>
              <w:numPr>
                <w:ilvl w:val="-1"/>
                <w:numId w:val="0"/>
              </w:numPr>
              <w:adjustRightInd w:val="0"/>
              <w:snapToGrid w:val="0"/>
              <w:spacing w:line="360" w:lineRule="auto"/>
              <w:ind w:firstLine="480" w:firstLineChars="200"/>
              <w:jc w:val="both"/>
              <w:rPr>
                <w:rFonts w:hint="default"/>
                <w:spacing w:val="0"/>
                <w:sz w:val="24"/>
                <w:lang w:val="en-US" w:eastAsia="zh-CN"/>
              </w:rPr>
            </w:pPr>
            <w:r>
              <w:rPr>
                <w:rFonts w:hint="default"/>
                <w:spacing w:val="0"/>
                <w:sz w:val="24"/>
                <w:lang w:val="en-US" w:eastAsia="zh-CN"/>
              </w:rPr>
              <w:t>综上所述，本项目废水产生总量为9205.6</w:t>
            </w:r>
            <w:r>
              <w:rPr>
                <w:rFonts w:hint="eastAsia"/>
                <w:spacing w:val="0"/>
                <w:sz w:val="24"/>
                <w:lang w:val="en-US" w:eastAsia="zh-CN"/>
              </w:rPr>
              <w:t>m³</w:t>
            </w:r>
            <w:r>
              <w:rPr>
                <w:rFonts w:hint="default"/>
                <w:spacing w:val="0"/>
                <w:sz w:val="24"/>
                <w:lang w:val="en-US" w:eastAsia="zh-CN"/>
              </w:rPr>
              <w:t>/a，</w:t>
            </w:r>
          </w:p>
          <w:p>
            <w:pPr>
              <w:numPr>
                <w:ilvl w:val="-1"/>
                <w:numId w:val="0"/>
              </w:numPr>
              <w:adjustRightInd w:val="0"/>
              <w:snapToGrid w:val="0"/>
              <w:spacing w:line="360" w:lineRule="auto"/>
              <w:ind w:firstLine="480" w:firstLineChars="200"/>
              <w:jc w:val="both"/>
              <w:rPr>
                <w:rFonts w:hint="default" w:eastAsia="宋体"/>
                <w:szCs w:val="21"/>
              </w:rPr>
            </w:pPr>
            <w:r>
              <w:rPr>
                <w:rFonts w:hint="eastAsia"/>
                <w:spacing w:val="0"/>
                <w:sz w:val="24"/>
                <w:lang w:val="en-US" w:eastAsia="zh-CN"/>
              </w:rPr>
              <w:t>本项目</w:t>
            </w:r>
            <w:r>
              <w:rPr>
                <w:rFonts w:hint="default" w:eastAsia="宋体"/>
                <w:szCs w:val="21"/>
              </w:rPr>
              <w:t>地面清洗废水、深度清洗废水等生产废水、生活污水符合接管标准后通过园区污水管网直接排入济南银丰国际生物城污水处理站，</w:t>
            </w:r>
            <w:r>
              <w:rPr>
                <w:rFonts w:hint="eastAsia"/>
                <w:szCs w:val="21"/>
                <w:lang w:eastAsia="zh-CN"/>
              </w:rPr>
              <w:t>经污水处理站处理满足《污水排入城镇下水道水质标准》（GB/T 31962-2015）中表1的A等级标准后通过市政污水管网排入巨野河污水处理厂</w:t>
            </w:r>
            <w:r>
              <w:rPr>
                <w:rFonts w:hint="default" w:eastAsia="宋体"/>
                <w:szCs w:val="21"/>
              </w:rPr>
              <w:t>，由其进一步处理至《城镇污水处理厂污染物排放标准》（GB18918-2002）一级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3"/>
              <w:adjustRightInd/>
              <w:jc w:val="both"/>
              <w:rPr>
                <w:rFonts w:cs="Times New Roman"/>
                <w:color w:val="auto"/>
                <w:szCs w:val="24"/>
                <w:highlight w:val="none"/>
              </w:rPr>
            </w:pPr>
            <w:r>
              <w:rPr>
                <w:rFonts w:cs="Times New Roman"/>
                <w:color w:val="auto"/>
                <w:szCs w:val="24"/>
                <w:highlight w:val="none"/>
              </w:rPr>
              <w:t>项目水平衡图见图 2-1。</w:t>
            </w:r>
          </w:p>
          <w:p>
            <w:pPr>
              <w:pStyle w:val="33"/>
              <w:ind w:firstLine="0" w:firstLineChars="0"/>
              <w:jc w:val="center"/>
              <w:rPr>
                <w:color w:val="auto"/>
                <w:highlight w:val="none"/>
              </w:rPr>
            </w:pPr>
            <w:r>
              <w:rPr>
                <w:rFonts w:cs="Times New Roman"/>
                <w:b/>
                <w:bCs/>
                <w:color w:val="auto"/>
                <w:szCs w:val="24"/>
                <w:highlight w:val="none"/>
              </w:rPr>
              <w:pict>
                <v:shape id="_x0000_i1025" o:spt="75" alt="图片1" type="#_x0000_t75" style="height:526.75pt;width:446.05pt;" filled="f" o:preferrelative="t" stroked="f" coordsize="21600,21600">
                  <v:path/>
                  <v:fill on="f" focussize="0,0"/>
                  <v:stroke on="f"/>
                  <v:imagedata r:id="rId8" o:title="图片1"/>
                  <o:lock v:ext="edit" aspectratio="t"/>
                  <w10:wrap type="none"/>
                  <w10:anchorlock/>
                </v:shape>
              </w:pict>
            </w:r>
          </w:p>
          <w:p>
            <w:pPr>
              <w:pStyle w:val="33"/>
              <w:ind w:firstLine="0" w:firstLineChars="0"/>
              <w:jc w:val="center"/>
              <w:rPr>
                <w:rFonts w:cs="Times New Roman"/>
                <w:b/>
                <w:bCs/>
                <w:color w:val="auto"/>
                <w:spacing w:val="-1"/>
                <w:highlight w:val="none"/>
              </w:rPr>
            </w:pPr>
            <w:r>
              <w:rPr>
                <w:rFonts w:cs="Times New Roman"/>
                <w:b/>
                <w:bCs/>
                <w:color w:val="auto"/>
                <w:spacing w:val="-1"/>
                <w:highlight w:val="none"/>
              </w:rPr>
              <w:t>图2-1  项目水平衡图（单位：</w:t>
            </w:r>
            <w:r>
              <w:rPr>
                <w:rFonts w:hint="eastAsia" w:cs="Times New Roman"/>
                <w:b/>
                <w:bCs/>
                <w:color w:val="auto"/>
                <w:spacing w:val="-1"/>
                <w:highlight w:val="none"/>
                <w:lang w:eastAsia="zh-CN"/>
              </w:rPr>
              <w:t>m³</w:t>
            </w:r>
            <w:r>
              <w:rPr>
                <w:rFonts w:cs="Times New Roman"/>
                <w:b/>
                <w:bCs/>
                <w:color w:val="auto"/>
                <w:spacing w:val="-1"/>
                <w:highlight w:val="none"/>
                <w:vertAlign w:val="superscript"/>
              </w:rPr>
              <w:t>/</w:t>
            </w:r>
            <w:r>
              <w:rPr>
                <w:rFonts w:cs="Times New Roman"/>
                <w:b/>
                <w:bCs/>
                <w:color w:val="auto"/>
                <w:spacing w:val="-1"/>
                <w:highlight w:val="none"/>
              </w:rPr>
              <w:t>a）</w:t>
            </w:r>
          </w:p>
          <w:p>
            <w:pPr>
              <w:numPr>
                <w:ilvl w:val="0"/>
                <w:numId w:val="6"/>
              </w:numPr>
              <w:ind w:firstLine="480"/>
              <w:jc w:val="left"/>
              <w:rPr>
                <w:color w:val="auto"/>
                <w:highlight w:val="none"/>
              </w:rPr>
            </w:pPr>
            <w:r>
              <w:rPr>
                <w:color w:val="auto"/>
                <w:highlight w:val="none"/>
              </w:rPr>
              <w:t>供电：由济南市高新区供电公司统一供给。</w:t>
            </w:r>
          </w:p>
          <w:p>
            <w:pPr>
              <w:adjustRightInd w:val="0"/>
              <w:snapToGrid w:val="0"/>
              <w:ind w:firstLine="480"/>
              <w:rPr>
                <w:color w:val="auto"/>
                <w:highlight w:val="none"/>
              </w:rPr>
            </w:pPr>
            <w:r>
              <w:rPr>
                <w:color w:val="auto"/>
                <w:highlight w:val="none"/>
              </w:rPr>
              <w:t>（4）供热：</w:t>
            </w:r>
            <w:r>
              <w:rPr>
                <w:rFonts w:hint="default" w:ascii="Times New Roman" w:hAnsi="Times New Roman" w:eastAsia="宋体" w:cs="Times New Roman"/>
                <w:sz w:val="24"/>
                <w:szCs w:val="24"/>
              </w:rPr>
              <w:t>项目采用空调供暖制冷</w:t>
            </w:r>
            <w:r>
              <w:rPr>
                <w:rFonts w:hint="default" w:ascii="Times New Roman" w:hAnsi="Times New Roman" w:eastAsia="宋体" w:cs="Times New Roman"/>
                <w:sz w:val="24"/>
                <w:szCs w:val="24"/>
                <w:lang w:eastAsia="zh-CN"/>
              </w:rPr>
              <w:t>。</w:t>
            </w:r>
          </w:p>
          <w:p>
            <w:pPr>
              <w:pStyle w:val="33"/>
              <w:spacing w:line="240" w:lineRule="auto"/>
              <w:ind w:firstLine="476" w:firstLineChars="0"/>
              <w:rPr>
                <w:rFonts w:cs="Times New Roman"/>
                <w:b/>
                <w:bCs/>
                <w:color w:val="auto"/>
                <w:spacing w:val="-1"/>
                <w:highlight w:val="none"/>
              </w:rPr>
            </w:pPr>
            <w:r>
              <w:rPr>
                <w:rFonts w:cs="Times New Roman"/>
                <w:b/>
                <w:bCs/>
                <w:color w:val="auto"/>
                <w:spacing w:val="-1"/>
                <w:highlight w:val="none"/>
              </w:rPr>
              <w:t>3、劳动定员及工作制度</w:t>
            </w:r>
          </w:p>
          <w:p>
            <w:pPr>
              <w:pStyle w:val="33"/>
              <w:ind w:firstLine="476"/>
              <w:rPr>
                <w:rFonts w:hint="default" w:eastAsia="宋体" w:cs="Times New Roman"/>
                <w:szCs w:val="24"/>
                <w:highlight w:val="none"/>
                <w:lang w:val="en-US" w:eastAsia="zh-CN"/>
              </w:rPr>
            </w:pPr>
            <w:r>
              <w:rPr>
                <w:rFonts w:hint="default" w:eastAsia="宋体" w:cs="Times New Roman"/>
                <w:color w:val="000000"/>
                <w:sz w:val="24"/>
                <w:szCs w:val="24"/>
                <w:highlight w:val="none"/>
                <w:lang w:eastAsia="zh-CN"/>
              </w:rPr>
              <w:t>本</w:t>
            </w:r>
            <w:r>
              <w:rPr>
                <w:rFonts w:hint="default" w:cs="Times New Roman"/>
                <w:sz w:val="24"/>
                <w:szCs w:val="24"/>
                <w:lang w:eastAsia="zh-CN"/>
              </w:rPr>
              <w:t>项目</w:t>
            </w:r>
            <w:r>
              <w:rPr>
                <w:rFonts w:hint="default" w:ascii="Times New Roman" w:hAnsi="Times New Roman" w:cs="Times New Roman"/>
                <w:sz w:val="24"/>
                <w:szCs w:val="24"/>
              </w:rPr>
              <w:t>职工定员</w:t>
            </w:r>
            <w:r>
              <w:rPr>
                <w:rFonts w:hint="eastAsia" w:cs="Times New Roman"/>
                <w:sz w:val="24"/>
                <w:szCs w:val="24"/>
                <w:lang w:val="en-US" w:eastAsia="zh-CN"/>
              </w:rPr>
              <w:t>200</w:t>
            </w:r>
            <w:r>
              <w:rPr>
                <w:rFonts w:hint="default" w:ascii="Times New Roman" w:hAnsi="Times New Roman" w:cs="Times New Roman"/>
                <w:sz w:val="24"/>
                <w:szCs w:val="24"/>
              </w:rPr>
              <w:t>人，</w:t>
            </w:r>
            <w:r>
              <w:rPr>
                <w:rFonts w:hint="default" w:ascii="Times New Roman" w:hAnsi="Times New Roman" w:eastAsia="宋体" w:cs="Times New Roman"/>
                <w:szCs w:val="24"/>
                <w:highlight w:val="none"/>
                <w:lang w:val="en-US" w:eastAsia="zh-CN"/>
              </w:rPr>
              <w:t>每天工作8小时</w:t>
            </w:r>
            <w:r>
              <w:rPr>
                <w:rFonts w:hint="default" w:ascii="Times New Roman" w:hAnsi="Times New Roman" w:cs="Times New Roman"/>
                <w:sz w:val="24"/>
                <w:szCs w:val="24"/>
              </w:rPr>
              <w:t>，年工作</w:t>
            </w:r>
            <w:r>
              <w:rPr>
                <w:rFonts w:hint="default" w:cs="Times New Roman"/>
                <w:sz w:val="24"/>
                <w:szCs w:val="24"/>
                <w:lang w:val="en-US" w:eastAsia="zh-CN"/>
              </w:rPr>
              <w:t>300</w:t>
            </w:r>
            <w:r>
              <w:rPr>
                <w:rFonts w:hint="default" w:ascii="Times New Roman" w:hAnsi="Times New Roman" w:cs="Times New Roman"/>
                <w:sz w:val="24"/>
                <w:szCs w:val="24"/>
              </w:rPr>
              <w:t>天</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年工作时间2400小时</w:t>
            </w:r>
            <w:r>
              <w:rPr>
                <w:rFonts w:hint="default" w:cs="Times New Roman"/>
                <w:szCs w:val="24"/>
                <w:highlight w:val="none"/>
                <w:lang w:val="en-US" w:eastAsia="zh-CN"/>
              </w:rPr>
              <w:t>，</w:t>
            </w:r>
            <w:r>
              <w:rPr>
                <w:rFonts w:hint="default" w:ascii="Times New Roman" w:hAnsi="Times New Roman" w:eastAsia="宋体" w:cs="Times New Roman"/>
                <w:szCs w:val="24"/>
                <w:highlight w:val="none"/>
                <w:lang w:val="en-US" w:eastAsia="zh-CN"/>
              </w:rPr>
              <w:t>夜间不生产</w:t>
            </w:r>
            <w:r>
              <w:rPr>
                <w:rFonts w:hint="default" w:eastAsia="宋体" w:cs="Times New Roman"/>
                <w:szCs w:val="24"/>
                <w:highlight w:val="none"/>
                <w:lang w:val="en-US" w:eastAsia="zh-CN"/>
              </w:rPr>
              <w:t>。</w:t>
            </w:r>
          </w:p>
          <w:p>
            <w:pPr>
              <w:pStyle w:val="33"/>
              <w:ind w:firstLine="476" w:firstLineChars="0"/>
              <w:rPr>
                <w:rFonts w:cs="Times New Roman"/>
                <w:b/>
                <w:bCs/>
                <w:color w:val="auto"/>
                <w:spacing w:val="-1"/>
                <w:highlight w:val="none"/>
              </w:rPr>
            </w:pPr>
            <w:r>
              <w:rPr>
                <w:rFonts w:cs="Times New Roman"/>
                <w:b/>
                <w:bCs/>
                <w:color w:val="auto"/>
                <w:spacing w:val="-1"/>
                <w:highlight w:val="none"/>
              </w:rPr>
              <w:t>4、工程投资</w:t>
            </w:r>
          </w:p>
          <w:p>
            <w:pPr>
              <w:pStyle w:val="33"/>
              <w:ind w:firstLine="476"/>
              <w:rPr>
                <w:rFonts w:hint="default" w:ascii="Times New Roman" w:hAnsi="Times New Roman" w:eastAsia="宋体" w:cs="Times New Roman"/>
                <w:spacing w:val="-1"/>
                <w:sz w:val="24"/>
                <w:lang w:val="en-US" w:eastAsia="zh-CN"/>
              </w:rPr>
            </w:pPr>
            <w:r>
              <w:rPr>
                <w:rFonts w:hint="default" w:ascii="Times New Roman" w:hAnsi="Times New Roman" w:eastAsia="宋体" w:cs="Times New Roman"/>
                <w:spacing w:val="-1"/>
                <w:sz w:val="24"/>
                <w:lang w:val="en-US" w:eastAsia="zh-CN"/>
              </w:rPr>
              <w:t>本项目</w:t>
            </w:r>
            <w:r>
              <w:rPr>
                <w:rFonts w:hint="default" w:ascii="Times New Roman" w:hAnsi="Times New Roman" w:eastAsia="宋体" w:cs="Times New Roman"/>
                <w:spacing w:val="-1"/>
                <w:sz w:val="24"/>
                <w:szCs w:val="20"/>
              </w:rPr>
              <w:t>总投资</w:t>
            </w:r>
            <w:r>
              <w:rPr>
                <w:rFonts w:hint="eastAsia" w:cs="Times New Roman"/>
                <w:spacing w:val="-1"/>
                <w:sz w:val="24"/>
                <w:szCs w:val="20"/>
                <w:lang w:val="en-US" w:eastAsia="zh-CN"/>
              </w:rPr>
              <w:t>7100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szCs w:val="20"/>
                <w:lang w:eastAsia="zh-CN"/>
              </w:rPr>
              <w:t>其中</w:t>
            </w:r>
            <w:r>
              <w:rPr>
                <w:rFonts w:hint="default" w:ascii="Times New Roman" w:hAnsi="Times New Roman" w:eastAsia="宋体" w:cs="Times New Roman"/>
                <w:spacing w:val="-1"/>
                <w:sz w:val="24"/>
                <w:szCs w:val="20"/>
              </w:rPr>
              <w:t>环保投资</w:t>
            </w:r>
            <w:r>
              <w:rPr>
                <w:rFonts w:hint="eastAsia" w:cs="Times New Roman"/>
                <w:spacing w:val="-1"/>
                <w:sz w:val="24"/>
                <w:szCs w:val="20"/>
                <w:lang w:val="en-US" w:eastAsia="zh-CN"/>
              </w:rPr>
              <w:t>720</w:t>
            </w:r>
            <w:r>
              <w:rPr>
                <w:rFonts w:hint="default" w:ascii="Times New Roman" w:hAnsi="Times New Roman" w:eastAsia="宋体" w:cs="Times New Roman"/>
                <w:spacing w:val="-1"/>
                <w:sz w:val="24"/>
                <w:szCs w:val="20"/>
              </w:rPr>
              <w:t>万元</w:t>
            </w:r>
            <w:r>
              <w:rPr>
                <w:rFonts w:hint="default" w:ascii="Times New Roman" w:hAnsi="Times New Roman" w:eastAsia="宋体" w:cs="Times New Roman"/>
                <w:spacing w:val="-1"/>
                <w:sz w:val="24"/>
                <w:lang w:val="en-US" w:eastAsia="zh-CN"/>
              </w:rPr>
              <w:t>，占总投资的</w:t>
            </w:r>
            <w:r>
              <w:rPr>
                <w:rFonts w:hint="eastAsia" w:cs="Times New Roman"/>
                <w:spacing w:val="-1"/>
                <w:sz w:val="24"/>
                <w:lang w:val="en-US" w:eastAsia="zh-CN"/>
              </w:rPr>
              <w:t>10.1</w:t>
            </w:r>
            <w:r>
              <w:rPr>
                <w:rFonts w:hint="default" w:ascii="Times New Roman" w:hAnsi="Times New Roman" w:eastAsia="宋体" w:cs="Times New Roman"/>
                <w:spacing w:val="-1"/>
                <w:sz w:val="24"/>
                <w:lang w:val="en-US" w:eastAsia="zh-CN"/>
              </w:rPr>
              <w:t>%。</w:t>
            </w:r>
          </w:p>
          <w:p>
            <w:pPr>
              <w:pStyle w:val="33"/>
              <w:ind w:firstLine="476" w:firstLineChars="0"/>
              <w:rPr>
                <w:rFonts w:cs="Times New Roman"/>
                <w:b/>
                <w:bCs/>
                <w:color w:val="auto"/>
                <w:spacing w:val="-1"/>
                <w:highlight w:val="none"/>
              </w:rPr>
            </w:pPr>
            <w:r>
              <w:rPr>
                <w:rFonts w:cs="Times New Roman"/>
                <w:b/>
                <w:bCs/>
                <w:color w:val="auto"/>
                <w:spacing w:val="-1"/>
                <w:highlight w:val="none"/>
              </w:rPr>
              <w:t>5、项目平面布置及环境保护目标</w:t>
            </w:r>
          </w:p>
          <w:p>
            <w:pPr>
              <w:pStyle w:val="33"/>
              <w:ind w:firstLine="476"/>
              <w:jc w:val="both"/>
              <w:rPr>
                <w:rFonts w:cs="Times New Roman"/>
                <w:color w:val="auto"/>
                <w:spacing w:val="-1"/>
                <w:highlight w:val="none"/>
              </w:rPr>
            </w:pPr>
            <w:r>
              <w:rPr>
                <w:rFonts w:cs="Times New Roman"/>
                <w:color w:val="auto"/>
                <w:spacing w:val="-1"/>
                <w:highlight w:val="none"/>
              </w:rPr>
              <w:t>本</w:t>
            </w:r>
            <w:r>
              <w:rPr>
                <w:rFonts w:cs="Times New Roman"/>
                <w:color w:val="auto"/>
                <w:szCs w:val="24"/>
                <w:highlight w:val="none"/>
              </w:rPr>
              <w:t>项目位于</w:t>
            </w:r>
            <w:r>
              <w:rPr>
                <w:rFonts w:hint="eastAsia" w:cs="Times New Roman"/>
                <w:color w:val="auto"/>
                <w:szCs w:val="24"/>
                <w:highlight w:val="none"/>
                <w:lang w:eastAsia="zh-CN"/>
              </w:rPr>
              <w:t>济南市高新区大正路1777号生物医药园西侧银丰国际城12#楼</w:t>
            </w:r>
            <w:r>
              <w:rPr>
                <w:rFonts w:cs="Times New Roman"/>
                <w:color w:val="auto"/>
                <w:szCs w:val="24"/>
                <w:highlight w:val="none"/>
              </w:rPr>
              <w:t>。项目</w:t>
            </w:r>
            <w:r>
              <w:rPr>
                <w:rFonts w:hint="eastAsia" w:cs="Times New Roman"/>
                <w:color w:val="auto"/>
                <w:szCs w:val="24"/>
                <w:highlight w:val="none"/>
              </w:rPr>
              <w:t>车间内</w:t>
            </w:r>
            <w:r>
              <w:rPr>
                <w:rFonts w:cs="Times New Roman"/>
                <w:color w:val="auto"/>
                <w:szCs w:val="24"/>
                <w:highlight w:val="none"/>
              </w:rPr>
              <w:t>分区明确，总平面布置较好的满足了人员流动的顺畅性，方便</w:t>
            </w:r>
            <w:r>
              <w:rPr>
                <w:rFonts w:hint="eastAsia" w:cs="Times New Roman"/>
                <w:color w:val="auto"/>
                <w:szCs w:val="24"/>
                <w:highlight w:val="none"/>
              </w:rPr>
              <w:t>生产、</w:t>
            </w:r>
            <w:r>
              <w:rPr>
                <w:rFonts w:cs="Times New Roman"/>
                <w:color w:val="auto"/>
                <w:szCs w:val="24"/>
                <w:highlight w:val="none"/>
              </w:rPr>
              <w:t>活动。</w:t>
            </w:r>
            <w:r>
              <w:rPr>
                <w:rFonts w:cs="Times New Roman"/>
                <w:bCs/>
                <w:color w:val="auto"/>
                <w:szCs w:val="21"/>
                <w:highlight w:val="none"/>
              </w:rPr>
              <w:t>项目所在区域范围内</w:t>
            </w:r>
            <w:r>
              <w:rPr>
                <w:rFonts w:cs="Times New Roman"/>
                <w:color w:val="auto"/>
                <w:szCs w:val="24"/>
                <w:highlight w:val="none"/>
              </w:rPr>
              <w:t>无自然保护区、风景名胜区、国家重点保护文物或历史文化保护地，也无社会关注的具有历史、科学、民族、文化意义的保护地</w:t>
            </w:r>
            <w:r>
              <w:rPr>
                <w:rFonts w:cs="Times New Roman"/>
                <w:color w:val="auto"/>
                <w:highlight w:val="none"/>
              </w:rPr>
              <w:t>。</w:t>
            </w:r>
          </w:p>
          <w:p>
            <w:pPr>
              <w:pStyle w:val="33"/>
              <w:ind w:firstLine="476"/>
              <w:rPr>
                <w:rFonts w:cs="Times New Roman"/>
                <w:color w:val="auto"/>
                <w:spacing w:val="-1"/>
                <w:highlight w:val="none"/>
              </w:rPr>
            </w:pPr>
            <w:r>
              <w:rPr>
                <w:rFonts w:cs="Times New Roman"/>
                <w:color w:val="auto"/>
                <w:spacing w:val="-1"/>
                <w:highlight w:val="none"/>
              </w:rPr>
              <w:t>项目地理位置见附图1，本项目周边敏感目标分布图见附图2，厂区总平面布置图见附图3。</w:t>
            </w: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5</w:t>
            </w:r>
            <w:r>
              <w:rPr>
                <w:rFonts w:cs="Times New Roman"/>
                <w:b/>
                <w:bCs/>
                <w:color w:val="auto"/>
                <w:highlight w:val="none"/>
              </w:rPr>
              <w:t xml:space="preserve">  本项目主要环境保护目标一览表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837"/>
              <w:gridCol w:w="1137"/>
              <w:gridCol w:w="1788"/>
              <w:gridCol w:w="2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环境类别</w:t>
                  </w:r>
                </w:p>
              </w:tc>
              <w:tc>
                <w:tcPr>
                  <w:tcW w:w="1031"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保护目标</w:t>
                  </w:r>
                </w:p>
              </w:tc>
              <w:tc>
                <w:tcPr>
                  <w:tcW w:w="638"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相对方位</w:t>
                  </w:r>
                </w:p>
              </w:tc>
              <w:tc>
                <w:tcPr>
                  <w:tcW w:w="10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相对距离(m)</w:t>
                  </w:r>
                </w:p>
              </w:tc>
              <w:tc>
                <w:tcPr>
                  <w:tcW w:w="1625"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环境功能要求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环境空气</w:t>
                  </w:r>
                </w:p>
              </w:tc>
              <w:tc>
                <w:tcPr>
                  <w:tcW w:w="1031" w:type="pct"/>
                  <w:tcBorders>
                    <w:top w:val="single" w:color="auto" w:sz="4" w:space="0"/>
                    <w:left w:val="single" w:color="auto" w:sz="4" w:space="0"/>
                    <w:bottom w:val="single" w:color="auto" w:sz="4" w:space="0"/>
                    <w:right w:val="single" w:color="auto" w:sz="4" w:space="0"/>
                  </w:tcBorders>
                  <w:noWrap w:val="0"/>
                  <w:vAlign w:val="center"/>
                </w:tcPr>
                <w:p>
                  <w:pPr>
                    <w:pStyle w:val="52"/>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color w:val="auto"/>
                      <w:spacing w:val="0"/>
                      <w:kern w:val="2"/>
                      <w:sz w:val="21"/>
                      <w:szCs w:val="21"/>
                      <w:highlight w:val="none"/>
                      <w:lang w:val="en-US" w:eastAsia="zh-CN"/>
                    </w:rPr>
                    <w:t>山东省女子监狱</w:t>
                  </w:r>
                </w:p>
              </w:tc>
              <w:tc>
                <w:tcPr>
                  <w:tcW w:w="638" w:type="pct"/>
                  <w:tcBorders>
                    <w:top w:val="single" w:color="auto" w:sz="4" w:space="0"/>
                    <w:left w:val="single" w:color="auto" w:sz="4" w:space="0"/>
                    <w:bottom w:val="single" w:color="auto" w:sz="4" w:space="0"/>
                    <w:right w:val="single" w:color="auto" w:sz="4" w:space="0"/>
                  </w:tcBorders>
                  <w:noWrap w:val="0"/>
                  <w:vAlign w:val="center"/>
                </w:tcPr>
                <w:p>
                  <w:pPr>
                    <w:pStyle w:val="52"/>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S</w:t>
                  </w:r>
                </w:p>
              </w:tc>
              <w:tc>
                <w:tcPr>
                  <w:tcW w:w="1002" w:type="pct"/>
                  <w:tcBorders>
                    <w:top w:val="single" w:color="auto" w:sz="4" w:space="0"/>
                    <w:left w:val="single" w:color="auto" w:sz="4" w:space="0"/>
                    <w:bottom w:val="single" w:color="auto" w:sz="4" w:space="0"/>
                    <w:right w:val="single" w:color="auto" w:sz="4" w:space="0"/>
                  </w:tcBorders>
                  <w:noWrap w:val="0"/>
                  <w:vAlign w:val="center"/>
                </w:tcPr>
                <w:p>
                  <w:pPr>
                    <w:pStyle w:val="52"/>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bCs/>
                      <w:color w:val="auto"/>
                      <w:spacing w:val="0"/>
                      <w:kern w:val="2"/>
                      <w:sz w:val="21"/>
                      <w:szCs w:val="21"/>
                      <w:highlight w:val="none"/>
                      <w:lang w:val="en-US" w:eastAsia="zh-CN"/>
                    </w:rPr>
                    <w:t>280</w:t>
                  </w:r>
                </w:p>
              </w:tc>
              <w:tc>
                <w:tcPr>
                  <w:tcW w:w="1625" w:type="pct"/>
                  <w:tcBorders>
                    <w:top w:val="single" w:color="auto" w:sz="4" w:space="0"/>
                    <w:left w:val="single" w:color="auto" w:sz="4" w:space="0"/>
                    <w:right w:val="single" w:color="auto" w:sz="4" w:space="0"/>
                  </w:tcBorders>
                  <w:noWrap w:val="0"/>
                  <w:vAlign w:val="center"/>
                </w:tcPr>
                <w:p>
                  <w:pPr>
                    <w:pStyle w:val="52"/>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pacing w:val="0"/>
                      <w:kern w:val="2"/>
                      <w:sz w:val="21"/>
                      <w:szCs w:val="21"/>
                      <w:highlight w:val="none"/>
                    </w:rPr>
                    <w:t>《环境空气质量标准》（GB3095-2012）中二级标准及修改单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地表水</w:t>
                  </w:r>
                </w:p>
              </w:tc>
              <w:tc>
                <w:tcPr>
                  <w:tcW w:w="2672" w:type="pct"/>
                  <w:gridSpan w:val="3"/>
                  <w:tcBorders>
                    <w:top w:val="single" w:color="auto" w:sz="4" w:space="0"/>
                    <w:left w:val="single" w:color="auto" w:sz="4" w:space="0"/>
                    <w:bottom w:val="single" w:color="auto" w:sz="4" w:space="0"/>
                    <w:right w:val="single" w:color="auto" w:sz="4" w:space="0"/>
                  </w:tcBorders>
                  <w:noWrap w:val="0"/>
                  <w:vAlign w:val="center"/>
                </w:tcPr>
                <w:p>
                  <w:pPr>
                    <w:pStyle w:val="52"/>
                    <w:adjustRightInd w:val="0"/>
                    <w:snapToGrid w:val="0"/>
                    <w:spacing w:line="240" w:lineRule="auto"/>
                    <w:ind w:firstLine="0" w:firstLineChars="0"/>
                    <w:jc w:val="center"/>
                    <w:rPr>
                      <w:rFonts w:hint="default" w:ascii="Times New Roman" w:hAnsi="Times New Roman" w:eastAsia="宋体" w:cs="Times New Roman"/>
                      <w:bCs w:val="0"/>
                      <w:color w:val="auto"/>
                      <w:sz w:val="21"/>
                      <w:szCs w:val="21"/>
                      <w:highlight w:val="none"/>
                      <w:lang w:val="en-US" w:eastAsia="zh-CN"/>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500米范围内无特殊地下水资源</w:t>
                  </w:r>
                </w:p>
              </w:tc>
              <w:tc>
                <w:tcPr>
                  <w:tcW w:w="1625" w:type="pct"/>
                  <w:tcBorders>
                    <w:top w:val="single" w:color="auto" w:sz="4" w:space="0"/>
                    <w:left w:val="single" w:color="auto" w:sz="4" w:space="0"/>
                    <w:right w:val="single" w:color="auto" w:sz="4" w:space="0"/>
                  </w:tcBorders>
                  <w:noWrap w:val="0"/>
                  <w:vAlign w:val="center"/>
                </w:tcPr>
                <w:p>
                  <w:pPr>
                    <w:pStyle w:val="52"/>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lang w:eastAsia="zh-CN"/>
                    </w:rPr>
                  </w:pPr>
                  <w:r>
                    <w:rPr>
                      <w:rFonts w:hint="default" w:ascii="Times New Roman" w:hAnsi="Times New Roman"/>
                      <w:bCs/>
                      <w:color w:val="auto"/>
                      <w:spacing w:val="0"/>
                      <w:kern w:val="2"/>
                      <w:sz w:val="21"/>
                      <w:szCs w:val="21"/>
                      <w:highlight w:val="none"/>
                    </w:rPr>
                    <w:t>《地下水质量标准》（GB/T14848-2017）Ⅲ类标准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02" w:type="pct"/>
                  <w:tcBorders>
                    <w:top w:val="single" w:color="auto" w:sz="4" w:space="0"/>
                    <w:left w:val="single" w:color="auto" w:sz="4" w:space="0"/>
                    <w:bottom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噪声</w:t>
                  </w:r>
                </w:p>
              </w:tc>
              <w:tc>
                <w:tcPr>
                  <w:tcW w:w="2672" w:type="pct"/>
                  <w:gridSpan w:val="3"/>
                  <w:tcBorders>
                    <w:top w:val="single" w:color="auto" w:sz="4" w:space="0"/>
                    <w:left w:val="single" w:color="auto" w:sz="4" w:space="0"/>
                    <w:bottom w:val="single" w:color="auto" w:sz="4" w:space="0"/>
                    <w:right w:val="single" w:color="auto" w:sz="4" w:space="0"/>
                  </w:tcBorders>
                  <w:noWrap w:val="0"/>
                  <w:vAlign w:val="center"/>
                </w:tcPr>
                <w:p>
                  <w:pPr>
                    <w:pStyle w:val="52"/>
                    <w:tabs>
                      <w:tab w:val="left" w:pos="249"/>
                      <w:tab w:val="center" w:pos="590"/>
                    </w:tabs>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pacing w:val="0"/>
                      <w:sz w:val="21"/>
                      <w:szCs w:val="21"/>
                      <w:highlight w:val="none"/>
                      <w:lang w:eastAsia="zh-CN"/>
                    </w:rPr>
                    <w:t>厂界外</w:t>
                  </w:r>
                  <w:r>
                    <w:rPr>
                      <w:rFonts w:hint="default" w:ascii="Times New Roman" w:hAnsi="Times New Roman" w:eastAsia="宋体" w:cs="Times New Roman"/>
                      <w:color w:val="auto"/>
                      <w:spacing w:val="0"/>
                      <w:sz w:val="21"/>
                      <w:szCs w:val="21"/>
                      <w:highlight w:val="none"/>
                      <w:lang w:val="en-US" w:eastAsia="zh-CN"/>
                    </w:rPr>
                    <w:t>50米范围内无声环境保护目标</w:t>
                  </w:r>
                </w:p>
              </w:tc>
              <w:tc>
                <w:tcPr>
                  <w:tcW w:w="1625" w:type="pct"/>
                  <w:tcBorders>
                    <w:top w:val="single" w:color="auto" w:sz="4" w:space="0"/>
                    <w:left w:val="single" w:color="auto" w:sz="4" w:space="0"/>
                    <w:bottom w:val="single" w:color="auto" w:sz="4" w:space="0"/>
                    <w:right w:val="single" w:color="auto" w:sz="4" w:space="0"/>
                  </w:tcBorders>
                  <w:noWrap w:val="0"/>
                  <w:vAlign w:val="center"/>
                </w:tcPr>
                <w:p>
                  <w:pPr>
                    <w:pStyle w:val="52"/>
                    <w:adjustRightInd w:val="0"/>
                    <w:snapToGrid w:val="0"/>
                    <w:spacing w:line="240" w:lineRule="auto"/>
                    <w:ind w:firstLine="0" w:firstLineChars="0"/>
                    <w:jc w:val="center"/>
                    <w:rPr>
                      <w:rFonts w:hint="default" w:ascii="Times New Roman" w:hAnsi="Times New Roman"/>
                      <w:bCs/>
                      <w:color w:val="auto"/>
                      <w:spacing w:val="0"/>
                      <w:kern w:val="2"/>
                      <w:sz w:val="21"/>
                      <w:szCs w:val="21"/>
                      <w:highlight w:val="none"/>
                    </w:rPr>
                  </w:pPr>
                  <w:r>
                    <w:rPr>
                      <w:rFonts w:hint="default" w:ascii="Times New Roman" w:hAnsi="Times New Roman"/>
                      <w:bCs/>
                      <w:color w:val="auto"/>
                      <w:spacing w:val="0"/>
                      <w:kern w:val="2"/>
                      <w:sz w:val="21"/>
                      <w:szCs w:val="21"/>
                      <w:highlight w:val="none"/>
                    </w:rPr>
                    <w:t>《声环境质量标准》</w:t>
                  </w:r>
                </w:p>
                <w:p>
                  <w:pPr>
                    <w:pStyle w:val="52"/>
                    <w:adjustRightInd w:val="0"/>
                    <w:snapToGrid w:val="0"/>
                    <w:spacing w:line="240" w:lineRule="auto"/>
                    <w:ind w:firstLine="0" w:firstLineChars="0"/>
                    <w:jc w:val="center"/>
                    <w:rPr>
                      <w:rFonts w:hint="default" w:ascii="Times New Roman" w:hAnsi="Times New Roman" w:eastAsia="宋体" w:cs="Times New Roman"/>
                      <w:bCs/>
                      <w:color w:val="auto"/>
                      <w:sz w:val="21"/>
                      <w:szCs w:val="21"/>
                      <w:highlight w:val="none"/>
                    </w:rPr>
                  </w:pPr>
                  <w:r>
                    <w:rPr>
                      <w:rFonts w:hint="default" w:ascii="Times New Roman" w:hAnsi="Times New Roman"/>
                      <w:bCs/>
                      <w:color w:val="auto"/>
                      <w:spacing w:val="0"/>
                      <w:kern w:val="2"/>
                      <w:sz w:val="21"/>
                      <w:szCs w:val="21"/>
                      <w:highlight w:val="none"/>
                    </w:rPr>
                    <w:t>(GB3096-2008)2类区标准要求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4" w:hRule="atLeast"/>
                <w:jc w:val="center"/>
              </w:trPr>
              <w:tc>
                <w:tcPr>
                  <w:tcW w:w="702" w:type="pct"/>
                  <w:tcBorders>
                    <w:top w:val="single" w:color="auto" w:sz="4" w:space="0"/>
                    <w:left w:val="single" w:color="auto" w:sz="4" w:space="0"/>
                    <w:right w:val="single" w:color="auto" w:sz="4" w:space="0"/>
                  </w:tcBorders>
                  <w:noWrap w:val="0"/>
                  <w:vAlign w:val="center"/>
                </w:tcPr>
                <w:p>
                  <w:pPr>
                    <w:pStyle w:val="3"/>
                    <w:spacing w:line="240" w:lineRule="auto"/>
                    <w:ind w:left="0" w:leftChars="0" w:firstLine="0" w:firstLineChars="0"/>
                    <w:jc w:val="center"/>
                    <w:rPr>
                      <w:rFonts w:hint="default" w:ascii="Times New Roman" w:hAnsi="Times New Roman" w:eastAsia="宋体" w:cs="Times New Roman"/>
                      <w:bCs/>
                      <w:color w:val="auto"/>
                      <w:sz w:val="21"/>
                      <w:szCs w:val="21"/>
                      <w:highlight w:val="none"/>
                    </w:rPr>
                  </w:pPr>
                  <w:r>
                    <w:rPr>
                      <w:rFonts w:hint="eastAsia" w:ascii="Times New Roman" w:hAnsi="Times New Roman"/>
                      <w:bCs/>
                      <w:color w:val="auto"/>
                      <w:spacing w:val="0"/>
                      <w:kern w:val="2"/>
                      <w:sz w:val="21"/>
                      <w:szCs w:val="21"/>
                      <w:highlight w:val="none"/>
                      <w:lang w:eastAsia="zh-CN"/>
                    </w:rPr>
                    <w:t>生态环境</w:t>
                  </w:r>
                </w:p>
              </w:tc>
              <w:tc>
                <w:tcPr>
                  <w:tcW w:w="4297" w:type="pct"/>
                  <w:gridSpan w:val="4"/>
                  <w:tcBorders>
                    <w:top w:val="single" w:color="auto" w:sz="4" w:space="0"/>
                    <w:left w:val="single" w:color="auto" w:sz="4" w:space="0"/>
                    <w:bottom w:val="single" w:color="auto" w:sz="4" w:space="0"/>
                    <w:right w:val="single" w:color="auto" w:sz="4" w:space="0"/>
                  </w:tcBorders>
                  <w:noWrap w:val="0"/>
                  <w:vAlign w:val="center"/>
                </w:tcPr>
                <w:p>
                  <w:pPr>
                    <w:pStyle w:val="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outlineLvl w:val="9"/>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项目新增用地范围内不存在生态环境保护目标</w:t>
                  </w:r>
                </w:p>
              </w:tc>
            </w:tr>
          </w:tbl>
          <w:p>
            <w:pPr>
              <w:pStyle w:val="33"/>
              <w:ind w:firstLine="482"/>
              <w:rPr>
                <w:rFonts w:cs="Times New Roman"/>
                <w:color w:val="auto"/>
                <w:highlight w:val="none"/>
              </w:rPr>
            </w:pPr>
            <w:r>
              <w:rPr>
                <w:rFonts w:cs="Times New Roman"/>
                <w:b/>
                <w:bCs/>
                <w:color w:val="auto"/>
                <w:highlight w:val="none"/>
              </w:rPr>
              <w:t>6、本项目实际建设情况与环评内容的变更情况</w:t>
            </w:r>
          </w:p>
          <w:p>
            <w:pPr>
              <w:pStyle w:val="33"/>
              <w:rPr>
                <w:rFonts w:cs="Times New Roman"/>
                <w:b/>
                <w:bCs/>
                <w:color w:val="auto"/>
                <w:highlight w:val="none"/>
              </w:rPr>
            </w:pPr>
            <w:r>
              <w:rPr>
                <w:rFonts w:cs="Times New Roman"/>
                <w:color w:val="auto"/>
                <w:szCs w:val="24"/>
                <w:highlight w:val="none"/>
              </w:rPr>
              <w:t>根据</w:t>
            </w:r>
            <w:r>
              <w:rPr>
                <w:rFonts w:cs="Times New Roman"/>
                <w:color w:val="auto"/>
                <w:highlight w:val="none"/>
              </w:rPr>
              <w:t>《中华人民共和国环境影响评价法》、《建设项目环境保护管理条例》（国务院令第682号）和关于印发《污染影响类建设项目重大变动清单（试行）》的通知（环办环评函[2020]688号）</w:t>
            </w:r>
            <w:r>
              <w:rPr>
                <w:rFonts w:cs="Times New Roman"/>
                <w:color w:val="auto"/>
                <w:szCs w:val="24"/>
                <w:highlight w:val="none"/>
              </w:rPr>
              <w:t>等有关规定，“建设项目的性质、规模、地点、运营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w:t>
            </w:r>
          </w:p>
          <w:p>
            <w:pPr>
              <w:pStyle w:val="33"/>
              <w:ind w:firstLine="0" w:firstLineChars="0"/>
              <w:jc w:val="center"/>
              <w:rPr>
                <w:rFonts w:cs="Times New Roman"/>
                <w:b/>
                <w:bCs/>
                <w:color w:val="auto"/>
                <w:highlight w:val="none"/>
              </w:rPr>
            </w:pPr>
            <w:r>
              <w:rPr>
                <w:rFonts w:cs="Times New Roman"/>
                <w:b/>
                <w:bCs/>
                <w:color w:val="auto"/>
                <w:highlight w:val="none"/>
              </w:rPr>
              <w:t>表2-</w:t>
            </w:r>
            <w:r>
              <w:rPr>
                <w:rFonts w:hint="eastAsia" w:cs="Times New Roman"/>
                <w:b/>
                <w:bCs/>
                <w:color w:val="auto"/>
                <w:highlight w:val="none"/>
                <w:lang w:val="en-US" w:eastAsia="zh-CN"/>
              </w:rPr>
              <w:t>6</w:t>
            </w:r>
            <w:r>
              <w:rPr>
                <w:rFonts w:cs="Times New Roman"/>
                <w:b/>
                <w:bCs/>
                <w:color w:val="auto"/>
                <w:highlight w:val="none"/>
              </w:rPr>
              <w:t xml:space="preserve">  本项目与环评相比变动情况一览表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1070"/>
              <w:gridCol w:w="2472"/>
              <w:gridCol w:w="2430"/>
              <w:gridCol w:w="2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序号</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变化类别</w:t>
                  </w:r>
                </w:p>
              </w:tc>
              <w:tc>
                <w:tcPr>
                  <w:tcW w:w="247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本项目</w:t>
                  </w:r>
                  <w:r>
                    <w:rPr>
                      <w:rFonts w:hint="default" w:ascii="Times New Roman" w:hAnsi="Times New Roman" w:eastAsia="宋体" w:cs="Times New Roman"/>
                      <w:b/>
                      <w:bCs/>
                      <w:color w:val="auto"/>
                      <w:sz w:val="21"/>
                      <w:szCs w:val="21"/>
                      <w:vertAlign w:val="baseline"/>
                      <w:lang w:val="en-US" w:eastAsia="zh-CN"/>
                    </w:rPr>
                    <w:t>环评</w:t>
                  </w:r>
                </w:p>
              </w:tc>
              <w:tc>
                <w:tcPr>
                  <w:tcW w:w="243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目前实际</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bCs/>
                      <w:color w:val="auto"/>
                      <w:sz w:val="21"/>
                      <w:szCs w:val="21"/>
                      <w:vertAlign w:val="baseline"/>
                      <w:lang w:val="en-US" w:eastAsia="zh-CN"/>
                    </w:rPr>
                  </w:pPr>
                  <w:r>
                    <w:rPr>
                      <w:rFonts w:hint="default" w:ascii="Times New Roman" w:hAnsi="Times New Roman" w:eastAsia="宋体" w:cs="Times New Roman"/>
                      <w:b/>
                      <w:bCs/>
                      <w:color w:val="auto"/>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1</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性质</w:t>
                  </w:r>
                </w:p>
              </w:tc>
              <w:tc>
                <w:tcPr>
                  <w:tcW w:w="247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扩建</w:t>
                  </w:r>
                </w:p>
              </w:tc>
              <w:tc>
                <w:tcPr>
                  <w:tcW w:w="243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扩建</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2</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规模</w:t>
                  </w:r>
                </w:p>
              </w:tc>
              <w:tc>
                <w:tcPr>
                  <w:tcW w:w="247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创新药物研发</w:t>
                  </w:r>
                </w:p>
              </w:tc>
              <w:tc>
                <w:tcPr>
                  <w:tcW w:w="243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default" w:ascii="Times New Roman" w:hAnsi="Times New Roman" w:eastAsia="宋体" w:cs="Times New Roman"/>
                      <w:b w:val="0"/>
                      <w:bCs w:val="0"/>
                      <w:color w:val="auto"/>
                      <w:kern w:val="2"/>
                      <w:sz w:val="21"/>
                      <w:szCs w:val="21"/>
                      <w:vertAlign w:val="baseline"/>
                      <w:lang w:val="en-US" w:eastAsia="zh-CN" w:bidi="ar"/>
                    </w:rPr>
                    <w:t>创新药物研发</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kern w:val="2"/>
                      <w:sz w:val="21"/>
                      <w:szCs w:val="21"/>
                      <w:lang w:val="en-US" w:eastAsia="zh-CN" w:bidi="ar"/>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3</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建设地点</w:t>
                  </w:r>
                </w:p>
              </w:tc>
              <w:tc>
                <w:tcPr>
                  <w:tcW w:w="2472"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济南市高新区大正路1777号生物医药园西侧银丰国际城12#楼</w:t>
                  </w:r>
                </w:p>
              </w:tc>
              <w:tc>
                <w:tcPr>
                  <w:tcW w:w="243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kern w:val="2"/>
                      <w:sz w:val="21"/>
                      <w:szCs w:val="21"/>
                      <w:vertAlign w:val="baseline"/>
                      <w:lang w:val="en-US" w:eastAsia="zh-CN" w:bidi="ar"/>
                    </w:rPr>
                  </w:pPr>
                  <w:r>
                    <w:rPr>
                      <w:rFonts w:hint="eastAsia" w:cs="Times New Roman"/>
                      <w:color w:val="auto"/>
                      <w:sz w:val="21"/>
                      <w:szCs w:val="21"/>
                      <w:lang w:val="en-US" w:eastAsia="zh-CN" w:bidi="ar"/>
                    </w:rPr>
                    <w:t>济南市高新区大正路1777号生物医药园西侧银丰国际城12#楼</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4</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运营工艺</w:t>
                  </w:r>
                </w:p>
              </w:tc>
              <w:tc>
                <w:tcPr>
                  <w:tcW w:w="490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见图</w:t>
                  </w:r>
                  <w:r>
                    <w:rPr>
                      <w:rFonts w:hint="default" w:cs="Times New Roman"/>
                      <w:b w:val="0"/>
                      <w:bCs w:val="0"/>
                      <w:color w:val="auto"/>
                      <w:sz w:val="21"/>
                      <w:szCs w:val="21"/>
                      <w:highlight w:val="none"/>
                      <w:vertAlign w:val="baseline"/>
                      <w:lang w:val="en-US" w:eastAsia="zh-CN"/>
                    </w:rPr>
                    <w:t>2</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cs="Times New Roman"/>
                      <w:b w:val="0"/>
                      <w:bCs w:val="0"/>
                      <w:color w:val="auto"/>
                      <w:sz w:val="21"/>
                      <w:szCs w:val="21"/>
                      <w:highlight w:val="none"/>
                      <w:vertAlign w:val="baseline"/>
                      <w:lang w:val="en-US" w:eastAsia="zh-CN"/>
                    </w:rPr>
                    <w:t>2</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平面布置</w:t>
                  </w:r>
                </w:p>
              </w:tc>
              <w:tc>
                <w:tcPr>
                  <w:tcW w:w="490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color w:val="auto"/>
                      <w:sz w:val="21"/>
                      <w:szCs w:val="21"/>
                      <w:highlight w:val="yellow"/>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见附图3</w:t>
                  </w:r>
                  <w:r>
                    <w:rPr>
                      <w:rFonts w:hint="default" w:cs="Times New Roman"/>
                      <w:b w:val="0"/>
                      <w:bCs w:val="0"/>
                      <w:color w:val="auto"/>
                      <w:sz w:val="21"/>
                      <w:szCs w:val="21"/>
                      <w:highlight w:val="none"/>
                      <w:vertAlign w:val="baseline"/>
                      <w:lang w:val="en-US" w:eastAsia="zh-CN"/>
                    </w:rPr>
                    <w:t>、4</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highlight w:val="yellow"/>
                      <w:vertAlign w:val="baseline"/>
                      <w:lang w:val="en-US" w:eastAsia="zh-CN"/>
                    </w:rPr>
                  </w:pPr>
                  <w:r>
                    <w:rPr>
                      <w:rFonts w:hint="default" w:cs="Times New Roman"/>
                      <w:b w:val="0"/>
                      <w:bCs w:val="0"/>
                      <w:color w:val="auto"/>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6</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生产设备</w:t>
                  </w:r>
                </w:p>
              </w:tc>
              <w:tc>
                <w:tcPr>
                  <w:tcW w:w="4902" w:type="dxa"/>
                  <w:gridSpan w:val="2"/>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见表2-</w:t>
                  </w:r>
                  <w:r>
                    <w:rPr>
                      <w:rFonts w:hint="eastAsia" w:cs="Times New Roman"/>
                      <w:b w:val="0"/>
                      <w:bCs w:val="0"/>
                      <w:color w:val="auto"/>
                      <w:sz w:val="21"/>
                      <w:szCs w:val="21"/>
                      <w:vertAlign w:val="baseline"/>
                      <w:lang w:val="en-US" w:eastAsia="zh-CN"/>
                    </w:rPr>
                    <w:t>2</w:t>
                  </w:r>
                </w:p>
              </w:tc>
              <w:tc>
                <w:tcPr>
                  <w:tcW w:w="2274"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根据实际工作需要，配置的实验仪器设备较环评阶段有适当调整，部分设备不再建设，增加部分辅助设备，原辅料基本一致，未发生变化，因此未增加排污，项目性质不变；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7</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环境保护措施</w:t>
                  </w:r>
                </w:p>
              </w:tc>
              <w:tc>
                <w:tcPr>
                  <w:tcW w:w="2472"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废气：一层、三层实验室废气经通风橱、万向罩收集后分别经“两级活性炭吸附”处理后通过1根排气筒 DA001 排放。二层实验室废气经通风橱、万向罩收集后经“两级活性炭吸附”处理后通过 DA002 排气筒排放；四层实验室废气经通风橱、万向罩收集后经“两级活性炭吸附”处理后通过 DA003 排气筒排放。危废暂存间废气引至一楼合成实验室废气处理装置“两级活性炭吸附”处理后排气筒排放。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废水：地面清洗废水、深度清洗废水等生产废水、生活污水符合接管标准后通过园区污水管网直接排入济南银丰国际生物城污水处理站，</w:t>
                  </w:r>
                  <w:r>
                    <w:rPr>
                      <w:rFonts w:hint="eastAsia"/>
                      <w:sz w:val="21"/>
                      <w:szCs w:val="21"/>
                      <w:lang w:eastAsia="zh-CN"/>
                    </w:rPr>
                    <w:t>经污水处理站处理满足《污水排入城镇下水道水质标准》（GB/T 31962-2015）中表1的A等级标准后通过市政污水管网排入巨野河污水处理厂</w:t>
                  </w:r>
                  <w:r>
                    <w:rPr>
                      <w:rFonts w:hint="default" w:eastAsia="宋体"/>
                      <w:sz w:val="21"/>
                      <w:szCs w:val="21"/>
                      <w:lang w:eastAsia="zh-CN"/>
                    </w:rPr>
                    <w:t>，由其进一步处理至《城镇污水处理厂污染物排放标准》（GB18918-2002）一级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2430" w:type="dxa"/>
                  <w:noWrap w:val="0"/>
                  <w:vAlign w:val="center"/>
                </w:tcPr>
                <w:p>
                  <w:pPr>
                    <w:spacing w:line="240" w:lineRule="auto"/>
                    <w:ind w:left="0" w:leftChars="0" w:firstLine="420" w:firstLineChars="200"/>
                    <w:jc w:val="both"/>
                    <w:rPr>
                      <w:rFonts w:hint="default" w:eastAsia="宋体"/>
                      <w:sz w:val="21"/>
                      <w:szCs w:val="21"/>
                      <w:lang w:eastAsia="zh-CN"/>
                    </w:rPr>
                  </w:pPr>
                  <w:r>
                    <w:rPr>
                      <w:rFonts w:hint="default" w:eastAsia="宋体"/>
                      <w:sz w:val="21"/>
                      <w:szCs w:val="21"/>
                      <w:lang w:eastAsia="zh-CN"/>
                    </w:rPr>
                    <w:t>废气：一层实验室废气经通风橱、万向罩收集后经“1#碱喷淋+1#除雾器+1#活性炭吸附”处理，三层东侧实验室废气经通风橱、万向罩收集后经“2#碱喷淋+2#除雾器+2#活性炭吸附”处理，三层西侧实验室废气经通风橱、万向罩收集后经“3#碱喷淋+3#除雾器+3#活性炭吸附”处理，共同通过1根排气筒 DA001 排放</w:t>
                  </w:r>
                  <w:r>
                    <w:rPr>
                      <w:rFonts w:hint="eastAsia" w:cs="Times New Roman"/>
                      <w:color w:val="000000"/>
                      <w:sz w:val="21"/>
                      <w:szCs w:val="21"/>
                      <w:lang w:eastAsia="zh-CN"/>
                    </w:rPr>
                    <w:t>（距地面</w:t>
                  </w:r>
                  <w:r>
                    <w:rPr>
                      <w:rFonts w:hint="eastAsia" w:cs="Times New Roman"/>
                      <w:color w:val="000000"/>
                      <w:sz w:val="21"/>
                      <w:szCs w:val="21"/>
                      <w:lang w:val="en-US" w:eastAsia="zh-CN"/>
                    </w:rPr>
                    <w:t>27米</w:t>
                  </w:r>
                  <w:r>
                    <w:rPr>
                      <w:rFonts w:hint="eastAsia" w:cs="Times New Roman"/>
                      <w:color w:val="000000"/>
                      <w:sz w:val="21"/>
                      <w:szCs w:val="21"/>
                      <w:lang w:eastAsia="zh-CN"/>
                    </w:rPr>
                    <w:t>）</w:t>
                  </w:r>
                  <w:r>
                    <w:rPr>
                      <w:rFonts w:hint="default" w:cs="Times New Roman"/>
                      <w:color w:val="000000"/>
                      <w:sz w:val="21"/>
                      <w:szCs w:val="21"/>
                      <w:lang w:eastAsia="zh-CN"/>
                    </w:rPr>
                    <w:t>。二层东侧实验室废气经通风橱、万向罩收集后经“</w:t>
                  </w:r>
                  <w:r>
                    <w:rPr>
                      <w:rFonts w:hint="eastAsia" w:cs="Times New Roman"/>
                      <w:color w:val="000000"/>
                      <w:sz w:val="21"/>
                      <w:szCs w:val="21"/>
                      <w:lang w:val="en-US" w:eastAsia="zh-CN"/>
                    </w:rPr>
                    <w:t>1#</w:t>
                  </w:r>
                  <w:r>
                    <w:rPr>
                      <w:rFonts w:hint="default" w:cs="Times New Roman"/>
                      <w:color w:val="000000"/>
                      <w:sz w:val="21"/>
                      <w:szCs w:val="21"/>
                      <w:lang w:eastAsia="zh-CN"/>
                    </w:rPr>
                    <w:t>一级活性炭吸附”处理，二层西侧实验室废气经通风橱、万向罩收集后经“</w:t>
                  </w:r>
                  <w:r>
                    <w:rPr>
                      <w:rFonts w:hint="eastAsia" w:cs="Times New Roman"/>
                      <w:color w:val="000000"/>
                      <w:sz w:val="21"/>
                      <w:szCs w:val="21"/>
                      <w:lang w:val="en-US" w:eastAsia="zh-CN"/>
                    </w:rPr>
                    <w:t>2#</w:t>
                  </w:r>
                  <w:r>
                    <w:rPr>
                      <w:rFonts w:hint="default" w:cs="Times New Roman"/>
                      <w:color w:val="000000"/>
                      <w:sz w:val="21"/>
                      <w:szCs w:val="21"/>
                      <w:lang w:eastAsia="zh-CN"/>
                    </w:rPr>
                    <w:t>一级活性炭吸附”处理，共同通过1根排气筒 DA002排放</w:t>
                  </w:r>
                  <w:r>
                    <w:rPr>
                      <w:rFonts w:hint="eastAsia" w:cs="Times New Roman"/>
                      <w:color w:val="000000"/>
                      <w:sz w:val="21"/>
                      <w:szCs w:val="21"/>
                      <w:lang w:eastAsia="zh-CN"/>
                    </w:rPr>
                    <w:t>（距地面</w:t>
                  </w:r>
                  <w:r>
                    <w:rPr>
                      <w:rFonts w:hint="eastAsia" w:cs="Times New Roman"/>
                      <w:color w:val="000000"/>
                      <w:sz w:val="21"/>
                      <w:szCs w:val="21"/>
                      <w:lang w:val="en-US" w:eastAsia="zh-CN"/>
                    </w:rPr>
                    <w:t>27米</w:t>
                  </w:r>
                  <w:r>
                    <w:rPr>
                      <w:rFonts w:hint="eastAsia" w:cs="Times New Roman"/>
                      <w:color w:val="000000"/>
                      <w:sz w:val="21"/>
                      <w:szCs w:val="21"/>
                      <w:lang w:eastAsia="zh-CN"/>
                    </w:rPr>
                    <w:t>）。</w:t>
                  </w:r>
                  <w:r>
                    <w:rPr>
                      <w:rFonts w:hint="default" w:cs="Times New Roman"/>
                      <w:color w:val="000000"/>
                      <w:sz w:val="21"/>
                      <w:szCs w:val="21"/>
                      <w:lang w:eastAsia="zh-CN"/>
                    </w:rPr>
                    <w:t>四层实验室废气经通风橱、万向罩收集后经“两级活性炭吸附”处理后通过</w:t>
                  </w:r>
                  <w:r>
                    <w:rPr>
                      <w:rFonts w:hint="eastAsia" w:cs="Times New Roman"/>
                      <w:color w:val="000000"/>
                      <w:sz w:val="21"/>
                      <w:szCs w:val="21"/>
                      <w:lang w:eastAsia="zh-CN"/>
                    </w:rPr>
                    <w:t>（距地面</w:t>
                  </w:r>
                  <w:r>
                    <w:rPr>
                      <w:rFonts w:hint="eastAsia" w:cs="Times New Roman"/>
                      <w:color w:val="000000"/>
                      <w:sz w:val="21"/>
                      <w:szCs w:val="21"/>
                      <w:lang w:val="en-US" w:eastAsia="zh-CN"/>
                    </w:rPr>
                    <w:t>29米</w:t>
                  </w:r>
                  <w:r>
                    <w:rPr>
                      <w:rFonts w:hint="eastAsia" w:cs="Times New Roman"/>
                      <w:color w:val="000000"/>
                      <w:sz w:val="21"/>
                      <w:szCs w:val="21"/>
                      <w:lang w:eastAsia="zh-CN"/>
                    </w:rPr>
                    <w:t>）</w:t>
                  </w:r>
                  <w:r>
                    <w:rPr>
                      <w:rFonts w:hint="default" w:cs="Times New Roman"/>
                      <w:color w:val="000000"/>
                      <w:sz w:val="21"/>
                      <w:szCs w:val="21"/>
                      <w:lang w:eastAsia="zh-CN"/>
                    </w:rPr>
                    <w:t xml:space="preserve"> DA003 排气筒排放。危废暂存间废气引至一楼合成实验室废气处理装置“1#碱喷淋+1#除雾器+1#活性炭吸附”处理后通过排气筒DA001排放。</w:t>
                  </w:r>
                </w:p>
                <w:p>
                  <w:pPr>
                    <w:spacing w:line="240" w:lineRule="auto"/>
                    <w:ind w:left="0" w:leftChars="0" w:firstLine="420" w:firstLineChars="200"/>
                    <w:jc w:val="both"/>
                    <w:rPr>
                      <w:rFonts w:hint="default" w:ascii="Times New Roman" w:hAnsi="Times New Roman" w:eastAsia="宋体" w:cs="Times New Roman"/>
                      <w:sz w:val="21"/>
                      <w:szCs w:val="21"/>
                    </w:rPr>
                  </w:pPr>
                  <w:r>
                    <w:rPr>
                      <w:rFonts w:hint="default" w:eastAsia="宋体"/>
                      <w:sz w:val="21"/>
                      <w:szCs w:val="21"/>
                      <w:lang w:eastAsia="zh-CN"/>
                    </w:rPr>
                    <w:t>废水：地面清洗废水、深度清洗废水等生产废水、生活污水符合接管标准后通过园区污水管网直接排入济南银丰国际生物城污水处理站，</w:t>
                  </w:r>
                  <w:r>
                    <w:rPr>
                      <w:rFonts w:hint="eastAsia"/>
                      <w:sz w:val="21"/>
                      <w:szCs w:val="21"/>
                      <w:lang w:eastAsia="zh-CN"/>
                    </w:rPr>
                    <w:t>经污水处理站处理满足《污水排入城镇下水道水质标准》（GB/T 31962-2015）中表1的A等级标准后通过市政污水管网排入巨野河污水处理厂</w:t>
                  </w:r>
                  <w:r>
                    <w:rPr>
                      <w:rFonts w:hint="default" w:eastAsia="宋体"/>
                      <w:sz w:val="21"/>
                      <w:szCs w:val="21"/>
                      <w:lang w:eastAsia="zh-CN"/>
                    </w:rPr>
                    <w:t>，由其进一步处理至《城镇污水处理厂污染物排放标准》（GB18918-2002）一级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tc>
              <w:tc>
                <w:tcPr>
                  <w:tcW w:w="2274" w:type="dxa"/>
                  <w:noWrap w:val="0"/>
                  <w:vAlign w:val="center"/>
                </w:tcPr>
                <w:p>
                  <w:pPr>
                    <w:spacing w:line="240" w:lineRule="auto"/>
                    <w:ind w:firstLine="0" w:firstLineChars="0"/>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一层、三层废气环保措施由环评中“两级活性炭吸附”变更为实际安装3套“碱喷淋+除雾器+活性炭吸附”，分别处理一层</w:t>
                  </w:r>
                  <w:r>
                    <w:rPr>
                      <w:rFonts w:hint="eastAsia" w:cs="Times New Roman"/>
                      <w:b w:val="0"/>
                      <w:bCs w:val="0"/>
                      <w:sz w:val="21"/>
                      <w:szCs w:val="21"/>
                      <w:vertAlign w:val="baseline"/>
                      <w:lang w:val="en-US" w:eastAsia="zh-CN"/>
                    </w:rPr>
                    <w:t>废气</w:t>
                  </w:r>
                  <w:r>
                    <w:rPr>
                      <w:rFonts w:hint="default" w:ascii="Times New Roman" w:hAnsi="Times New Roman" w:eastAsia="宋体" w:cs="Times New Roman"/>
                      <w:b w:val="0"/>
                      <w:bCs w:val="0"/>
                      <w:sz w:val="21"/>
                      <w:szCs w:val="21"/>
                      <w:vertAlign w:val="baseline"/>
                      <w:lang w:val="en-US" w:eastAsia="zh-CN"/>
                    </w:rPr>
                    <w:t>、三层东侧</w:t>
                  </w:r>
                  <w:r>
                    <w:rPr>
                      <w:rFonts w:hint="eastAsia" w:cs="Times New Roman"/>
                      <w:b w:val="0"/>
                      <w:bCs w:val="0"/>
                      <w:sz w:val="21"/>
                      <w:szCs w:val="21"/>
                      <w:vertAlign w:val="baseline"/>
                      <w:lang w:val="en-US" w:eastAsia="zh-CN"/>
                    </w:rPr>
                    <w:t>废气</w:t>
                  </w:r>
                  <w:r>
                    <w:rPr>
                      <w:rFonts w:hint="default" w:ascii="Times New Roman" w:hAnsi="Times New Roman" w:eastAsia="宋体" w:cs="Times New Roman"/>
                      <w:b w:val="0"/>
                      <w:bCs w:val="0"/>
                      <w:sz w:val="21"/>
                      <w:szCs w:val="21"/>
                      <w:vertAlign w:val="baseline"/>
                      <w:lang w:val="en-US" w:eastAsia="zh-CN"/>
                    </w:rPr>
                    <w:t>和三层西侧废气</w:t>
                  </w:r>
                  <w:r>
                    <w:rPr>
                      <w:rFonts w:hint="eastAsia" w:cs="Times New Roman"/>
                      <w:b w:val="0"/>
                      <w:bCs w:val="0"/>
                      <w:sz w:val="21"/>
                      <w:szCs w:val="21"/>
                      <w:vertAlign w:val="baseline"/>
                      <w:lang w:val="en-US" w:eastAsia="zh-CN"/>
                    </w:rPr>
                    <w:t>，</w:t>
                  </w:r>
                  <w:r>
                    <w:rPr>
                      <w:rFonts w:hint="default" w:ascii="Times New Roman" w:hAnsi="Times New Roman" w:eastAsia="宋体" w:cs="Times New Roman"/>
                      <w:b w:val="0"/>
                      <w:bCs w:val="0"/>
                      <w:sz w:val="21"/>
                      <w:szCs w:val="21"/>
                      <w:vertAlign w:val="baseline"/>
                      <w:lang w:val="en-US" w:eastAsia="zh-CN"/>
                    </w:rPr>
                    <w:t>二层废气环保措施由环评中“两级活性炭吸附”变更为实际安装2套“一级活性炭吸附”，分别处理二楼东侧</w:t>
                  </w:r>
                  <w:r>
                    <w:rPr>
                      <w:rFonts w:hint="eastAsia" w:cs="Times New Roman"/>
                      <w:b w:val="0"/>
                      <w:bCs w:val="0"/>
                      <w:sz w:val="21"/>
                      <w:szCs w:val="21"/>
                      <w:vertAlign w:val="baseline"/>
                      <w:lang w:val="en-US" w:eastAsia="zh-CN"/>
                    </w:rPr>
                    <w:t>废气</w:t>
                  </w:r>
                  <w:r>
                    <w:rPr>
                      <w:rFonts w:hint="default" w:ascii="Times New Roman" w:hAnsi="Times New Roman" w:eastAsia="宋体" w:cs="Times New Roman"/>
                      <w:b w:val="0"/>
                      <w:bCs w:val="0"/>
                      <w:sz w:val="21"/>
                      <w:szCs w:val="21"/>
                      <w:vertAlign w:val="baseline"/>
                      <w:lang w:val="en-US" w:eastAsia="zh-CN"/>
                    </w:rPr>
                    <w:t>和二楼西侧废气</w:t>
                  </w:r>
                  <w:r>
                    <w:rPr>
                      <w:rFonts w:hint="eastAsia" w:cs="Times New Roman"/>
                      <w:b w:val="0"/>
                      <w:bCs w:val="0"/>
                      <w:sz w:val="21"/>
                      <w:szCs w:val="21"/>
                      <w:vertAlign w:val="baseline"/>
                      <w:lang w:val="en-US" w:eastAsia="zh-CN"/>
                    </w:rPr>
                    <w:t>，总风量未发生变化，排气筒数量未发生变化，污染物排放总量未发生变化</w:t>
                  </w:r>
                  <w:r>
                    <w:rPr>
                      <w:rFonts w:hint="default" w:ascii="Times New Roman" w:hAnsi="Times New Roman" w:eastAsia="宋体" w:cs="Times New Roman"/>
                      <w:b w:val="0"/>
                      <w:bCs w:val="0"/>
                      <w:sz w:val="21"/>
                      <w:szCs w:val="21"/>
                      <w:vertAlign w:val="baseline"/>
                      <w:lang w:val="en-US" w:eastAsia="zh-CN"/>
                    </w:rPr>
                    <w:t>；DA003高度由环评中距地面27米，实际建设为距地面29米，应属于污染防治措施强化、改进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668"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8</w:t>
                  </w:r>
                </w:p>
              </w:tc>
              <w:tc>
                <w:tcPr>
                  <w:tcW w:w="1070" w:type="dxa"/>
                  <w:noWrap w:val="0"/>
                  <w:vAlign w:val="center"/>
                </w:tcPr>
                <w:p>
                  <w:pPr>
                    <w:pStyle w:val="33"/>
                    <w:spacing w:line="240" w:lineRule="auto"/>
                    <w:ind w:left="0" w:leftChars="0" w:firstLine="0" w:firstLineChars="0"/>
                    <w:jc w:val="center"/>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固体废物</w:t>
                  </w:r>
                </w:p>
              </w:tc>
              <w:tc>
                <w:tcPr>
                  <w:tcW w:w="2472"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本项目危废暂存间设置在一楼东半楼东南侧，占地面积50</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用于暂存实验废物、合成实验废液、初洗废液和二次清洗废液、质检废液、过期试剂、废活性炭、废干燥剂、废吸附剂、废催化剂等危险废物，委托有资质单位处置；在一楼东半楼东南侧设置一般固废仓库，占地面积10</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，用于存储废包装物、一次性口罩、手套等。各楼层设置垃圾桶，生活垃圾由环卫部门定期清运。</w:t>
                  </w:r>
                </w:p>
              </w:tc>
              <w:tc>
                <w:tcPr>
                  <w:tcW w:w="2430" w:type="dxa"/>
                  <w:noWrap w:val="0"/>
                  <w:vAlign w:val="center"/>
                </w:tcPr>
                <w:p>
                  <w:pPr>
                    <w:spacing w:line="240" w:lineRule="auto"/>
                    <w:ind w:left="0" w:leftChars="0" w:firstLine="420" w:firstLineChars="200"/>
                    <w:jc w:val="both"/>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本项目危废暂存间设置在一楼东半楼东南侧，占地面积50</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，用于暂存实验废物、合成实验废液、初洗废液和二次清洗废液、质检废液、过期试剂、废活性炭、废干燥剂、废吸附剂、</w:t>
                  </w:r>
                  <w:r>
                    <w:rPr>
                      <w:rFonts w:hint="default" w:ascii="Times New Roman" w:hAnsi="Times New Roman" w:eastAsia="宋体" w:cs="Times New Roman"/>
                      <w:b w:val="0"/>
                      <w:bCs w:val="0"/>
                      <w:sz w:val="21"/>
                      <w:szCs w:val="21"/>
                      <w:vertAlign w:val="baseline"/>
                      <w:lang w:val="en-US" w:eastAsia="zh-CN"/>
                    </w:rPr>
                    <w:t>喷淋塔废液</w:t>
                  </w:r>
                  <w:r>
                    <w:rPr>
                      <w:rFonts w:hint="eastAsia" w:cs="Times New Roman"/>
                      <w:b w:val="0"/>
                      <w:bCs w:val="0"/>
                      <w:sz w:val="21"/>
                      <w:szCs w:val="21"/>
                      <w:vertAlign w:val="baseline"/>
                      <w:lang w:val="en-US" w:eastAsia="zh-CN"/>
                    </w:rPr>
                    <w:t>、</w:t>
                  </w:r>
                  <w:r>
                    <w:rPr>
                      <w:rFonts w:hint="default" w:ascii="Times New Roman" w:hAnsi="Times New Roman" w:eastAsia="宋体" w:cs="Times New Roman"/>
                      <w:sz w:val="21"/>
                      <w:szCs w:val="21"/>
                      <w:lang w:val="en-US" w:eastAsia="zh-CN"/>
                    </w:rPr>
                    <w:t>废催化剂等危险废物，委托有资质单位处置；在一楼东半楼东南侧设置一般固废仓库，占地面积10</w:t>
                  </w:r>
                  <w:r>
                    <w:rPr>
                      <w:rFonts w:hint="eastAsia" w:cs="Times New Roman"/>
                      <w:sz w:val="21"/>
                      <w:szCs w:val="21"/>
                      <w:lang w:val="en-US" w:eastAsia="zh-CN"/>
                    </w:rPr>
                    <w:t>㎡</w:t>
                  </w:r>
                  <w:r>
                    <w:rPr>
                      <w:rFonts w:hint="default" w:ascii="Times New Roman" w:hAnsi="Times New Roman" w:eastAsia="宋体" w:cs="Times New Roman"/>
                      <w:sz w:val="21"/>
                      <w:szCs w:val="21"/>
                      <w:lang w:val="en-US" w:eastAsia="zh-CN"/>
                    </w:rPr>
                    <w:t>，用于存储废包装物、一次性口罩、手套等。各楼层设置垃圾桶，生活垃圾由环卫部门定期清运。</w:t>
                  </w:r>
                </w:p>
              </w:tc>
              <w:tc>
                <w:tcPr>
                  <w:tcW w:w="2274" w:type="dxa"/>
                  <w:noWrap w:val="0"/>
                  <w:vAlign w:val="center"/>
                </w:tcPr>
                <w:p>
                  <w:pPr>
                    <w:spacing w:line="240" w:lineRule="auto"/>
                    <w:ind w:firstLine="0" w:firstLineChars="0"/>
                    <w:jc w:val="both"/>
                    <w:rPr>
                      <w:rFonts w:hint="default" w:ascii="Times New Roman" w:hAnsi="Times New Roman" w:eastAsia="宋体" w:cs="Times New Roman"/>
                      <w:b w:val="0"/>
                      <w:bCs w:val="0"/>
                      <w:sz w:val="21"/>
                      <w:szCs w:val="21"/>
                      <w:vertAlign w:val="baseline"/>
                      <w:lang w:val="en-US" w:eastAsia="zh-CN"/>
                    </w:rPr>
                  </w:pPr>
                  <w:r>
                    <w:rPr>
                      <w:rFonts w:hint="eastAsia" w:cs="Times New Roman"/>
                      <w:color w:val="000000"/>
                      <w:sz w:val="21"/>
                      <w:szCs w:val="21"/>
                      <w:lang w:eastAsia="zh-CN"/>
                    </w:rPr>
                    <w:t>识别危废：水质指标不符合</w:t>
                  </w:r>
                  <w:r>
                    <w:rPr>
                      <w:rFonts w:hint="default" w:cs="Times New Roman"/>
                      <w:color w:val="000000"/>
                      <w:sz w:val="21"/>
                      <w:szCs w:val="21"/>
                      <w:lang w:eastAsia="zh-CN"/>
                    </w:rPr>
                    <w:t>济南银丰国际生物城污水处理站</w:t>
                  </w:r>
                  <w:r>
                    <w:rPr>
                      <w:rFonts w:hint="eastAsia" w:cs="Times New Roman"/>
                      <w:color w:val="000000"/>
                      <w:sz w:val="21"/>
                      <w:szCs w:val="21"/>
                      <w:lang w:eastAsia="zh-CN"/>
                    </w:rPr>
                    <w:t>进水水质要求的喷淋塔废液，</w:t>
                  </w:r>
                  <w:r>
                    <w:rPr>
                      <w:rFonts w:hint="default" w:cs="Times New Roman"/>
                      <w:color w:val="000000"/>
                      <w:sz w:val="21"/>
                      <w:szCs w:val="21"/>
                      <w:lang w:eastAsia="zh-CN"/>
                    </w:rPr>
                    <w:t>委托有资质单位处置</w:t>
                  </w:r>
                </w:p>
              </w:tc>
            </w:tr>
          </w:tbl>
          <w:p>
            <w:pPr>
              <w:pStyle w:val="33"/>
              <w:rPr>
                <w:rFonts w:cs="Times New Roman"/>
                <w:color w:val="auto"/>
                <w:szCs w:val="24"/>
                <w:highlight w:val="none"/>
              </w:rPr>
            </w:pPr>
            <w:r>
              <w:rPr>
                <w:rFonts w:cs="Times New Roman"/>
                <w:color w:val="auto"/>
                <w:szCs w:val="24"/>
                <w:highlight w:val="none"/>
              </w:rPr>
              <w:t>项目建设过程发生的主要变化为：</w:t>
            </w:r>
          </w:p>
          <w:p>
            <w:pPr>
              <w:pStyle w:val="33"/>
              <w:numPr>
                <w:ilvl w:val="0"/>
                <w:numId w:val="0"/>
              </w:numPr>
              <w:ind w:firstLine="480" w:firstLineChars="200"/>
              <w:rPr>
                <w:rFonts w:hint="eastAsia"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根据实际工作需要，配置的实验仪器设备较环评阶段有适当调整，部分设备不再建设，增加部分辅助设备，</w:t>
            </w:r>
            <w:r>
              <w:rPr>
                <w:rFonts w:hint="eastAsia" w:cs="Times New Roman"/>
                <w:b w:val="0"/>
                <w:bCs w:val="0"/>
                <w:sz w:val="24"/>
                <w:szCs w:val="24"/>
                <w:lang w:val="en-US" w:eastAsia="zh-CN"/>
              </w:rPr>
              <w:t>原辅料基本一致，未发生变化，因此</w:t>
            </w:r>
            <w:r>
              <w:rPr>
                <w:rFonts w:hint="default" w:ascii="Times New Roman" w:hAnsi="Times New Roman" w:eastAsia="宋体" w:cs="Times New Roman"/>
                <w:b w:val="0"/>
                <w:bCs w:val="0"/>
                <w:sz w:val="24"/>
                <w:szCs w:val="24"/>
                <w:lang w:val="en-US" w:eastAsia="zh-CN"/>
              </w:rPr>
              <w:t>未增加排污，项目性质不变</w:t>
            </w:r>
            <w:r>
              <w:rPr>
                <w:rFonts w:hint="eastAsia" w:cs="Times New Roman"/>
                <w:b w:val="0"/>
                <w:bCs w:val="0"/>
                <w:sz w:val="24"/>
                <w:szCs w:val="24"/>
                <w:lang w:val="en-US" w:eastAsia="zh-CN"/>
              </w:rPr>
              <w:t>；识别危废：水质指标不符合济南银丰国际生物城污水处理站进水水质要求的喷淋塔废液，委托有资质单位处置；一层、三层废气环保措施由环评中“两级活性炭吸附”变更为实际安装3套“碱喷淋+除雾器+活性炭吸附”，分别处理一层废气、三层东侧废气和三层西侧废气，二层废气环保措施由环评中“两级活性炭吸附”变更为实际安装2套“一级活性炭</w:t>
            </w:r>
            <w:r>
              <w:rPr>
                <w:rFonts w:hint="eastAsia" w:cs="Times New Roman"/>
                <w:b w:val="0"/>
                <w:bCs w:val="0"/>
                <w:color w:val="auto"/>
                <w:sz w:val="24"/>
                <w:szCs w:val="24"/>
                <w:highlight w:val="none"/>
                <w:lang w:eastAsia="zh-CN"/>
              </w:rPr>
              <w:t>吸附</w:t>
            </w:r>
            <w:r>
              <w:rPr>
                <w:rFonts w:hint="eastAsia" w:cs="Times New Roman"/>
                <w:b w:val="0"/>
                <w:bCs w:val="0"/>
                <w:sz w:val="24"/>
                <w:szCs w:val="24"/>
                <w:lang w:val="en-US" w:eastAsia="zh-CN"/>
              </w:rPr>
              <w:t>”，分别处理二楼东侧废气和二楼西侧废气，总风量未发生变化，排气筒数量未发生变化，污染物排放总量未发生变化；DA003高度由环评中距地面27米，实际建设为距地面29米，应属于污染防治措施强化、改进。</w:t>
            </w:r>
          </w:p>
          <w:p>
            <w:pPr>
              <w:pStyle w:val="33"/>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w:t>
            </w:r>
            <w:r>
              <w:rPr>
                <w:rFonts w:cs="Times New Roman"/>
                <w:color w:val="auto"/>
                <w:highlight w:val="none"/>
              </w:rPr>
              <w:t>和关于印发《污染影响类建设项目重大变动清单（试行）》的通知（环办环评函[2020]688号）</w:t>
            </w:r>
            <w:r>
              <w:rPr>
                <w:rFonts w:cs="Times New Roman"/>
                <w:color w:val="auto"/>
                <w:szCs w:val="24"/>
                <w:highlight w:val="none"/>
              </w:rPr>
              <w:t>等的有关规定，项目性质、实际建设地点、生产工艺、防治污染的措施与环评基本一致</w:t>
            </w:r>
            <w:r>
              <w:rPr>
                <w:rFonts w:hint="eastAsia" w:cs="Times New Roman"/>
                <w:color w:val="auto"/>
                <w:szCs w:val="24"/>
                <w:highlight w:val="none"/>
              </w:rPr>
              <w:t>，不属于重大变动，应纳入竣</w:t>
            </w:r>
            <w:r>
              <w:rPr>
                <w:rFonts w:cs="Times New Roman"/>
                <w:color w:val="auto"/>
                <w:szCs w:val="24"/>
                <w:highlight w:val="none"/>
              </w:rPr>
              <w:t>工环境保护验收管理。</w:t>
            </w:r>
          </w:p>
          <w:p>
            <w:pPr>
              <w:numPr>
                <w:ilvl w:val="0"/>
                <w:numId w:val="7"/>
              </w:numPr>
              <w:ind w:firstLine="482"/>
              <w:rPr>
                <w:b/>
                <w:bCs/>
                <w:color w:val="auto"/>
                <w:highlight w:val="none"/>
              </w:rPr>
            </w:pPr>
            <w:r>
              <w:rPr>
                <w:b/>
                <w:bCs/>
                <w:color w:val="auto"/>
                <w:highlight w:val="none"/>
              </w:rPr>
              <w:t>工艺流程</w:t>
            </w:r>
          </w:p>
          <w:p>
            <w:pPr>
              <w:ind w:firstLine="482"/>
              <w:rPr>
                <w:b/>
                <w:bCs/>
                <w:color w:val="auto"/>
                <w:highlight w:val="none"/>
              </w:rPr>
            </w:pPr>
            <w:r>
              <w:rPr>
                <w:b/>
                <w:bCs/>
                <w:color w:val="auto"/>
                <w:highlight w:val="none"/>
              </w:rPr>
              <w:t>（一）施工期</w:t>
            </w:r>
          </w:p>
          <w:p>
            <w:pPr>
              <w:pStyle w:val="55"/>
              <w:widowControl/>
              <w:rPr>
                <w:color w:val="auto"/>
                <w:highlight w:val="none"/>
              </w:rPr>
            </w:pPr>
            <w:r>
              <w:rPr>
                <w:color w:val="auto"/>
                <w:highlight w:val="none"/>
              </w:rPr>
              <w:t>本项目施工期</w:t>
            </w:r>
            <w:r>
              <w:rPr>
                <w:rFonts w:hint="eastAsia"/>
                <w:color w:val="auto"/>
                <w:highlight w:val="none"/>
                <w:lang w:eastAsia="zh-CN"/>
              </w:rPr>
              <w:t>已结束，</w:t>
            </w:r>
            <w:r>
              <w:rPr>
                <w:color w:val="auto"/>
                <w:highlight w:val="none"/>
              </w:rPr>
              <w:t>不做分析。</w:t>
            </w:r>
          </w:p>
          <w:p>
            <w:pPr>
              <w:adjustRightInd w:val="0"/>
              <w:snapToGrid w:val="0"/>
              <w:ind w:firstLine="482"/>
              <w:jc w:val="left"/>
              <w:rPr>
                <w:b/>
                <w:bCs/>
                <w:color w:val="auto"/>
                <w:highlight w:val="none"/>
              </w:rPr>
            </w:pPr>
            <w:r>
              <w:rPr>
                <w:b/>
                <w:bCs/>
                <w:color w:val="auto"/>
                <w:highlight w:val="none"/>
              </w:rPr>
              <w:t>（二）运营期</w:t>
            </w:r>
          </w:p>
          <w:p>
            <w:pPr>
              <w:widowControl/>
              <w:spacing w:line="360" w:lineRule="auto"/>
              <w:ind w:firstLine="480" w:firstLineChars="200"/>
              <w:jc w:val="left"/>
              <w:rPr>
                <w:rFonts w:hint="eastAsia" w:ascii="Times New Roman" w:hAnsi="Times New Roman" w:eastAsia="宋体" w:cs="Times New Roman"/>
                <w:sz w:val="24"/>
                <w:szCs w:val="24"/>
                <w:lang w:eastAsia="zh-CN"/>
              </w:rPr>
            </w:pPr>
            <w:r>
              <w:rPr>
                <w:rFonts w:hint="default" w:eastAsia="宋体" w:cs="Times New Roman"/>
                <w:color w:val="auto"/>
                <w:sz w:val="24"/>
                <w:szCs w:val="24"/>
                <w:highlight w:val="none"/>
                <w:lang w:eastAsia="zh-CN"/>
              </w:rPr>
              <w:t>本项目研究对象为多种肿瘤、内分泌、心血管、炎症、中枢神经等创新药（化学药），例如 RAF、SERD 和 HIV 靶点分子等多种活性分子。由于研发对象种类较多，且为一个类别的反应，无法具体到具体产品</w:t>
            </w:r>
            <w:r>
              <w:rPr>
                <w:rFonts w:hint="eastAsia" w:ascii="Times New Roman" w:hAnsi="Times New Roman" w:eastAsia="宋体" w:cs="Times New Roman"/>
                <w:sz w:val="24"/>
                <w:szCs w:val="24"/>
                <w:lang w:eastAsia="zh-CN"/>
              </w:rPr>
              <w:t>。</w:t>
            </w:r>
          </w:p>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eastAsia="宋体" w:cs="Times New Roman"/>
                <w:color w:val="auto"/>
                <w:sz w:val="24"/>
                <w:szCs w:val="24"/>
                <w:highlight w:val="none"/>
                <w:lang w:eastAsia="zh-CN"/>
              </w:rPr>
              <w:t>合成实验工艺流程见图 2-2。</w:t>
            </w:r>
          </w:p>
          <w:p>
            <w:pPr>
              <w:widowControl/>
              <w:spacing w:line="360" w:lineRule="auto"/>
              <w:ind w:firstLine="480" w:firstLineChars="200"/>
              <w:jc w:val="left"/>
              <w:rPr>
                <w:rFonts w:hint="default" w:ascii="Times New Roman" w:hAnsi="Times New Roman" w:eastAsia="宋体" w:cs="Times New Roman"/>
                <w:sz w:val="24"/>
                <w:szCs w:val="24"/>
                <w:lang w:eastAsia="zh-CN"/>
              </w:rPr>
            </w:pPr>
            <w:r>
              <w:pict>
                <v:shape id="_x0000_i1026" o:spt="75" type="#_x0000_t75" style="height:206.25pt;width:397.5pt;" filled="f" stroked="f" coordsize="21600,21600">
                  <v:path/>
                  <v:fill on="f" focussize="0,0"/>
                  <v:stroke on="f"/>
                  <v:imagedata r:id="rId9" o:title=""/>
                  <o:lock v:ext="edit" aspectratio="t"/>
                  <w10:wrap type="none"/>
                  <w10:anchorlock/>
                </v:shape>
              </w:pict>
            </w:r>
          </w:p>
          <w:p>
            <w:pPr>
              <w:adjustRightInd w:val="0"/>
              <w:snapToGrid w:val="0"/>
              <w:spacing w:line="360" w:lineRule="auto"/>
              <w:jc w:val="center"/>
              <w:rPr>
                <w:rFonts w:hint="default"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rPr>
              <w:t>图</w:t>
            </w:r>
            <w:r>
              <w:rPr>
                <w:rFonts w:hint="default" w:ascii="Times New Roman" w:hAnsi="Times New Roman" w:eastAsia="宋体" w:cs="Times New Roman"/>
                <w:b/>
                <w:bCs/>
                <w:color w:val="auto"/>
                <w:sz w:val="24"/>
                <w:szCs w:val="24"/>
                <w:highlight w:val="none"/>
                <w:lang w:val="en-US" w:eastAsia="zh-CN"/>
              </w:rPr>
              <w:t>2</w:t>
            </w:r>
            <w:r>
              <w:rPr>
                <w:rFonts w:hint="default" w:eastAsia="宋体" w:cs="Times New Roman"/>
                <w:b/>
                <w:bCs/>
                <w:color w:val="auto"/>
                <w:sz w:val="24"/>
                <w:szCs w:val="24"/>
                <w:highlight w:val="none"/>
                <w:lang w:val="en-US" w:eastAsia="zh-CN"/>
              </w:rPr>
              <w:t>-</w:t>
            </w:r>
            <w:r>
              <w:rPr>
                <w:rFonts w:hint="default"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b/>
                <w:bCs/>
                <w:color w:val="auto"/>
                <w:sz w:val="24"/>
                <w:szCs w:val="24"/>
                <w:highlight w:val="none"/>
                <w:lang w:val="en-US" w:eastAsia="zh-CN"/>
              </w:rPr>
              <w:t xml:space="preserve"> 工艺流程</w:t>
            </w:r>
            <w:r>
              <w:rPr>
                <w:b/>
                <w:bCs/>
                <w:sz w:val="24"/>
                <w:szCs w:val="22"/>
              </w:rPr>
              <w:t>及</w:t>
            </w:r>
            <w:r>
              <w:rPr>
                <w:rFonts w:hint="default" w:ascii="Times New Roman" w:hAnsi="Times New Roman" w:cs="Times New Roman"/>
                <w:b/>
                <w:sz w:val="24"/>
                <w:szCs w:val="24"/>
              </w:rPr>
              <w:t>产污环节图</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工艺流程说明：</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称量：通过电子天平及量筒量取一定量的原料、各类辅料（主要为甲醇、乙醇、盐酸、硫酸、氢氧化钠等）及溶剂（主要为甲醇、乙醇、丙酮、甲苯、冰乙酸、二氯甲烷、四氢呋喃、甲基四氢呋喃、异丙醇、乙酸乙酯、石油醚、二甲基甲酰胺、乙腈、二甲基亚砜、正庚烷中的一种或几种）置于烧杯等玻璃容器中。</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反应：设置好反应条件（温度、压力、搅拌速率、时间等），将各物料、催化剂添加至烧瓶等玻璃容器内，通过搅拌器等辅助设施及酸碱溶液调配比例变化以调节反应条件，控制反应走向。该处反应主要为合成反应，在常规玻璃容器或反应釜内进行，无高温高压工艺，反应过程较温和，无大量放热反应。</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萃取：反应结束后，将溶液转移至分液漏斗中，添加萃取剂（二氯甲烷、乙酸乙酯、石油醚、乙腈、正庚烷或四氢呋喃中的一种）、氯化钠及纯水，充分震荡混合后静置一段时间溶液分层，萃取剂与水分层，截取产品成分所在液相，添加干燥剂（无水硫酸镁或无水硫酸钠或分子筛）进一步去除残存水分，然后通过过滤，去除干燥剂。</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除溶剂：将上述滤液转移至旋转蒸发器，通过设备自带的电加热系统加热容器，将溶剂成分蒸出，沿冷凝管凝结后收集，剩余油状物质为样品粗品。</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脱色：根据粗品性状，颜色不符合要求的需要进行脱色处理。将粗品溶于有机溶剂内（甲醇、乙醇、丙酮、甲苯、冰乙酸、二氯甲烷、四氢呋喃、甲基四氢呋喃、异丙醇、乙酸乙酯、石油醚、二甲基甲酰胺、乙腈、正庚烷中的一种），加入活性炭吸附剂进行脱色，通过水浴或油浴锅（电加热）加热煮沸三十分钟，然后趁热滤去吸附剂，热滤液冷却后析出晶体，过滤收集析出物。</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提纯：将粗品溶于溶剂（甲醇、乙醇、丙酮、甲苯、冰乙酸、二氯甲烷、四氢呋喃、甲基四氢呋喃、异丙醇、乙酸乙酯、石油醚、二甲基甲酰胺、乙腈、甲基叔丁基醚、正庚烷中的一种），通过离子交换树脂或硅胶吸附杂质后，截取有效段溶液，由旋转蒸发仪自带的电加热设施加热至 60~70℃，随着溶剂的蒸发，药品结晶逐渐析出，之后悬浊液进行过滤，得到样品结晶。</w:t>
            </w:r>
          </w:p>
          <w:p>
            <w:pPr>
              <w:widowControl/>
              <w:spacing w:line="360" w:lineRule="auto"/>
              <w:ind w:firstLine="480" w:firstLineChars="200"/>
              <w:jc w:val="left"/>
              <w:rPr>
                <w:rFonts w:hint="default" w:ascii="Times New Roman" w:hAnsi="Times New Roman" w:eastAsia="宋体" w:cs="Times New Roman"/>
                <w:sz w:val="24"/>
                <w:szCs w:val="24"/>
                <w:lang w:eastAsia="zh-CN"/>
              </w:rPr>
            </w:pPr>
            <w:r>
              <w:rPr>
                <w:rFonts w:hint="default" w:eastAsia="宋体" w:cs="Times New Roman"/>
                <w:color w:val="auto"/>
                <w:sz w:val="24"/>
                <w:szCs w:val="24"/>
                <w:highlight w:val="none"/>
                <w:lang w:eastAsia="zh-CN"/>
              </w:rPr>
              <w:t>干燥：为方便用于检验，湿润的样品需通过烘箱进行烘干，采用电加热，加热温度约为 50~60℃。</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检验：取一定量样品进行纯度、分子量、熔点、澄明度等指标的检验，其中纯度及分子量的检验需要将样品溶于溶剂（甲醇、乙醇、乙腈、异丙醇、正庚烷、丙酮、二氯甲烷、四氢呋喃、乙酸乙酯、二甲基甲酰胺中的一种）后通过色谱仪等各类分析检验仪器进行检验。</w:t>
            </w:r>
          </w:p>
          <w:p>
            <w:pPr>
              <w:widowControl/>
              <w:spacing w:line="360" w:lineRule="auto"/>
              <w:ind w:firstLine="480" w:firstLineChars="200"/>
              <w:jc w:val="left"/>
              <w:rPr>
                <w:rFonts w:hint="default" w:eastAsia="宋体" w:cs="Times New Roman"/>
                <w:color w:val="auto"/>
                <w:sz w:val="24"/>
                <w:szCs w:val="24"/>
                <w:highlight w:val="none"/>
                <w:lang w:eastAsia="zh-CN"/>
              </w:rPr>
            </w:pPr>
            <w:r>
              <w:rPr>
                <w:rFonts w:hint="default" w:eastAsia="宋体" w:cs="Times New Roman"/>
                <w:color w:val="auto"/>
                <w:sz w:val="24"/>
                <w:szCs w:val="24"/>
                <w:highlight w:val="none"/>
                <w:lang w:eastAsia="zh-CN"/>
              </w:rPr>
              <w:t>内用：本项目研发小试后得到的各类创新药物样品用于上海盛迪研究院内部其他项目使用，作为临床前评价用样品或制剂研发原料使用，不对外销售。</w:t>
            </w:r>
          </w:p>
          <w:p>
            <w:pPr>
              <w:pStyle w:val="33"/>
              <w:rPr>
                <w:color w:val="auto"/>
                <w:szCs w:val="32"/>
                <w:highlight w:val="none"/>
              </w:rPr>
            </w:pPr>
          </w:p>
        </w:tc>
      </w:tr>
    </w:tbl>
    <w:p>
      <w:pPr>
        <w:snapToGrid w:val="0"/>
        <w:spacing w:line="240" w:lineRule="auto"/>
        <w:ind w:firstLine="0" w:firstLineChars="0"/>
        <w:outlineLvl w:val="0"/>
        <w:rPr>
          <w:b/>
          <w:bCs/>
          <w:color w:val="auto"/>
          <w:sz w:val="30"/>
          <w:szCs w:val="30"/>
          <w:highlight w:val="none"/>
        </w:rPr>
      </w:pPr>
      <w:bookmarkStart w:id="90" w:name="_Toc25077"/>
      <w:r>
        <w:rPr>
          <w:b/>
          <w:bCs/>
          <w:color w:val="auto"/>
          <w:sz w:val="30"/>
          <w:szCs w:val="30"/>
          <w:highlight w:val="none"/>
        </w:rPr>
        <w:br w:type="page"/>
      </w:r>
      <w:bookmarkStart w:id="91" w:name="_Toc30645"/>
      <w:bookmarkStart w:id="92" w:name="_Toc32320"/>
      <w:bookmarkStart w:id="93" w:name="_Toc27411"/>
      <w:bookmarkStart w:id="94" w:name="_Toc16068"/>
      <w:bookmarkStart w:id="95" w:name="_Toc6227"/>
      <w:bookmarkStart w:id="96" w:name="_Toc13067"/>
      <w:bookmarkStart w:id="97" w:name="_Toc26196"/>
      <w:bookmarkStart w:id="98" w:name="_Toc9551"/>
      <w:bookmarkStart w:id="99" w:name="_Toc30922"/>
      <w:bookmarkStart w:id="100" w:name="_Toc30786"/>
      <w:bookmarkStart w:id="101" w:name="_Toc30675"/>
      <w:bookmarkStart w:id="102" w:name="_Toc22635"/>
      <w:bookmarkStart w:id="103" w:name="_Toc25722"/>
      <w:bookmarkStart w:id="104" w:name="_Toc23355"/>
      <w:bookmarkStart w:id="105" w:name="_Toc17651"/>
      <w:bookmarkStart w:id="106" w:name="_Toc383"/>
      <w:bookmarkStart w:id="107" w:name="_Toc17270"/>
      <w:bookmarkStart w:id="108" w:name="_Toc18497"/>
      <w:bookmarkStart w:id="109" w:name="_Toc23748"/>
      <w:bookmarkStart w:id="110" w:name="_Toc21179"/>
      <w:bookmarkStart w:id="111" w:name="_Toc31085"/>
      <w:bookmarkStart w:id="112" w:name="_Toc10002"/>
      <w:bookmarkStart w:id="113" w:name="_Toc23661"/>
      <w:bookmarkStart w:id="114" w:name="_Toc19092"/>
      <w:bookmarkStart w:id="115" w:name="_Toc19405"/>
      <w:bookmarkStart w:id="116" w:name="_Toc3546"/>
      <w:bookmarkStart w:id="117" w:name="_Toc21063"/>
      <w:bookmarkStart w:id="118" w:name="_Toc23704"/>
      <w:bookmarkStart w:id="119" w:name="_Toc31089"/>
      <w:bookmarkStart w:id="120" w:name="_Toc2599"/>
      <w:bookmarkStart w:id="121" w:name="_Toc6506"/>
      <w:bookmarkStart w:id="122" w:name="_Toc20706"/>
      <w:bookmarkStart w:id="123" w:name="_Toc7280"/>
      <w:bookmarkStart w:id="124" w:name="_Toc31388"/>
      <w:bookmarkStart w:id="125" w:name="_Toc25850"/>
      <w:bookmarkStart w:id="126" w:name="_Toc29329"/>
      <w:bookmarkStart w:id="127" w:name="_Toc15909"/>
      <w:bookmarkStart w:id="128" w:name="_Toc25523"/>
      <w:bookmarkStart w:id="129" w:name="_Toc3054"/>
      <w:bookmarkStart w:id="130" w:name="_Toc8534"/>
      <w:bookmarkStart w:id="131" w:name="_Toc31360"/>
      <w:bookmarkStart w:id="132" w:name="_Toc5242"/>
      <w:r>
        <w:rPr>
          <w:b/>
          <w:bCs/>
          <w:color w:val="auto"/>
          <w:sz w:val="30"/>
          <w:szCs w:val="30"/>
          <w:highlight w:val="none"/>
        </w:rPr>
        <w:t>表3  主要污染源、污染物处理和排放情况</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tbl>
      <w:tblPr>
        <w:tblStyle w:val="27"/>
        <w:tblpPr w:leftFromText="180" w:rightFromText="180" w:vertAnchor="text" w:horzAnchor="margin" w:tblpXSpec="center" w:tblpY="158"/>
        <w:tblW w:w="5061" w:type="pct"/>
        <w:tblInd w:w="5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90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pStyle w:val="33"/>
              <w:ind w:firstLine="482"/>
              <w:rPr>
                <w:rFonts w:cs="Times New Roman"/>
                <w:b/>
                <w:bCs/>
                <w:color w:val="auto"/>
                <w:szCs w:val="24"/>
                <w:highlight w:val="none"/>
              </w:rPr>
            </w:pPr>
            <w:r>
              <w:rPr>
                <w:rFonts w:cs="Times New Roman"/>
                <w:b/>
                <w:bCs/>
                <w:color w:val="auto"/>
                <w:szCs w:val="24"/>
                <w:highlight w:val="none"/>
              </w:rPr>
              <w:t>一、主要污染源的产生</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keepNext w:val="0"/>
              <w:keepLines w:val="0"/>
              <w:pageBreakBefore w:val="0"/>
              <w:widowControl w:val="0"/>
              <w:kinsoku/>
              <w:wordWrap/>
              <w:overflowPunct/>
              <w:topLinePunct w:val="0"/>
              <w:autoSpaceDE/>
              <w:autoSpaceDN/>
              <w:bidi w:val="0"/>
              <w:adjustRightInd w:val="0"/>
              <w:snapToGrid w:val="0"/>
              <w:ind w:firstLine="480" w:firstLineChars="200"/>
              <w:textAlignment w:val="baseline"/>
              <w:outlineLvl w:val="9"/>
              <w:rPr>
                <w:rFonts w:hint="default" w:ascii="Times New Roman" w:hAnsi="Times New Roman" w:eastAsia="宋体" w:cs="Times New Roman"/>
                <w:b w:val="0"/>
                <w:bCs w:val="0"/>
                <w:color w:val="000000"/>
                <w:sz w:val="24"/>
                <w:szCs w:val="24"/>
                <w:highlight w:val="none"/>
                <w:lang w:eastAsia="zh-CN"/>
              </w:rPr>
            </w:pPr>
            <w:r>
              <w:rPr>
                <w:rFonts w:hint="default" w:ascii="Times New Roman" w:hAnsi="Times New Roman" w:eastAsia="宋体" w:cs="Times New Roman"/>
                <w:b w:val="0"/>
                <w:bCs w:val="0"/>
                <w:color w:val="000000"/>
                <w:sz w:val="24"/>
                <w:szCs w:val="24"/>
                <w:highlight w:val="none"/>
                <w:lang w:eastAsia="zh-CN"/>
              </w:rPr>
              <w:t>本项目合成反应操作均在通风橱中进行，通风橱呈负压状态，通过风机将挥发出来的气体吸入风管。合成过程产生</w:t>
            </w:r>
            <w:r>
              <w:rPr>
                <w:rFonts w:hint="eastAsia" w:cs="Times New Roman"/>
                <w:b w:val="0"/>
                <w:bCs w:val="0"/>
                <w:color w:val="000000"/>
                <w:sz w:val="24"/>
                <w:szCs w:val="24"/>
                <w:highlight w:val="none"/>
                <w:lang w:eastAsia="zh-CN"/>
              </w:rPr>
              <w:t>会产生酸性废气和有机废气</w:t>
            </w:r>
            <w:r>
              <w:rPr>
                <w:rFonts w:hint="default" w:ascii="Times New Roman" w:hAnsi="Times New Roman" w:eastAsia="宋体" w:cs="Times New Roman"/>
                <w:b w:val="0"/>
                <w:bCs w:val="0"/>
                <w:color w:val="000000"/>
                <w:sz w:val="24"/>
                <w:szCs w:val="24"/>
                <w:highlight w:val="none"/>
                <w:lang w:eastAsia="zh-CN"/>
              </w:rPr>
              <w:t>。</w:t>
            </w:r>
          </w:p>
          <w:p>
            <w:pPr>
              <w:ind w:firstLine="482"/>
              <w:rPr>
                <w:b/>
                <w:bCs/>
                <w:color w:val="auto"/>
                <w:highlight w:val="none"/>
              </w:rPr>
            </w:pPr>
            <w:r>
              <w:rPr>
                <w:b/>
                <w:bCs/>
                <w:color w:val="auto"/>
                <w:highlight w:val="none"/>
              </w:rPr>
              <w:t>2、废水</w:t>
            </w:r>
          </w:p>
          <w:p>
            <w:pPr>
              <w:pStyle w:val="33"/>
              <w:keepNext w:val="0"/>
              <w:keepLines w:val="0"/>
              <w:pageBreakBefore w:val="0"/>
              <w:widowControl w:val="0"/>
              <w:kinsoku/>
              <w:wordWrap/>
              <w:overflowPunct/>
              <w:topLinePunct w:val="0"/>
              <w:autoSpaceDE/>
              <w:autoSpaceDN/>
              <w:bidi w:val="0"/>
              <w:snapToGrid/>
              <w:rPr>
                <w:rFonts w:hint="default" w:cs="Times New Roman"/>
                <w:sz w:val="24"/>
                <w:szCs w:val="24"/>
                <w:lang w:val="en-US" w:eastAsia="zh-CN"/>
              </w:rPr>
            </w:pPr>
            <w:r>
              <w:rPr>
                <w:rFonts w:hint="default" w:eastAsia="宋体" w:cs="Times New Roman"/>
                <w:color w:val="000000"/>
                <w:kern w:val="0"/>
                <w:sz w:val="24"/>
                <w:szCs w:val="24"/>
                <w:highlight w:val="none"/>
                <w:lang w:val="en-US" w:eastAsia="zh-CN" w:bidi="ar"/>
              </w:rPr>
              <w:t>本项目</w:t>
            </w:r>
            <w:r>
              <w:rPr>
                <w:rFonts w:hint="default" w:cs="Times New Roman"/>
                <w:sz w:val="24"/>
                <w:szCs w:val="24"/>
                <w:lang w:val="en-US" w:eastAsia="zh-CN"/>
              </w:rPr>
              <w:t>废水主要是</w:t>
            </w:r>
            <w:r>
              <w:rPr>
                <w:rFonts w:hint="default" w:eastAsia="宋体"/>
                <w:szCs w:val="21"/>
              </w:rPr>
              <w:t>地面清洗废水、深度清洗废水等生产废水、生活污水</w:t>
            </w:r>
            <w:r>
              <w:rPr>
                <w:rFonts w:hint="default" w:cs="Times New Roman"/>
                <w:sz w:val="24"/>
                <w:szCs w:val="24"/>
                <w:lang w:val="en-US" w:eastAsia="zh-CN"/>
              </w:rPr>
              <w:t>。</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rPr>
                <w:rFonts w:hint="default" w:eastAsia="宋体" w:cs="Times New Roman"/>
                <w:color w:val="auto"/>
                <w:szCs w:val="24"/>
                <w:highlight w:val="none"/>
                <w:lang w:eastAsia="zh-CN"/>
              </w:rPr>
            </w:pPr>
            <w:r>
              <w:rPr>
                <w:rFonts w:hint="eastAsia" w:cs="Times New Roman"/>
                <w:sz w:val="24"/>
                <w:szCs w:val="24"/>
                <w:lang w:val="en-US" w:eastAsia="zh-CN"/>
              </w:rPr>
              <w:t>本项目噪声源主要来自实验室设备运行产生的噪声</w:t>
            </w:r>
            <w:r>
              <w:rPr>
                <w:rFonts w:hint="default" w:eastAsia="宋体" w:cs="Times New Roman"/>
                <w:color w:val="auto"/>
                <w:szCs w:val="24"/>
                <w:highlight w:val="none"/>
                <w:lang w:eastAsia="zh-CN"/>
              </w:rPr>
              <w:t>。</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物、合成实验废液、初洗废液和二次清洗废液、质检废液、过期试剂、废活性炭、喷淋塔废液、废催化剂、废干燥剂、废吸附剂；一般固废主要包括：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和生活垃圾。</w:t>
            </w:r>
          </w:p>
          <w:p>
            <w:pPr>
              <w:pStyle w:val="33"/>
              <w:ind w:firstLine="482"/>
              <w:rPr>
                <w:rFonts w:cs="Times New Roman"/>
                <w:b/>
                <w:bCs/>
                <w:color w:val="auto"/>
                <w:szCs w:val="24"/>
                <w:highlight w:val="none"/>
              </w:rPr>
            </w:pPr>
            <w:r>
              <w:rPr>
                <w:rFonts w:cs="Times New Roman"/>
                <w:b/>
                <w:bCs/>
                <w:color w:val="auto"/>
                <w:szCs w:val="24"/>
                <w:highlight w:val="none"/>
              </w:rPr>
              <w:t>二、主要污染源处理和排放情况（附示意图、标出废气、废水监测点位）：</w:t>
            </w:r>
          </w:p>
          <w:p>
            <w:pPr>
              <w:pStyle w:val="33"/>
              <w:ind w:firstLine="482"/>
              <w:rPr>
                <w:rFonts w:cs="Times New Roman"/>
                <w:b/>
                <w:bCs/>
                <w:color w:val="auto"/>
                <w:szCs w:val="24"/>
                <w:highlight w:val="none"/>
              </w:rPr>
            </w:pPr>
            <w:r>
              <w:rPr>
                <w:rFonts w:cs="Times New Roman"/>
                <w:b/>
                <w:bCs/>
                <w:color w:val="auto"/>
                <w:szCs w:val="24"/>
                <w:highlight w:val="none"/>
              </w:rPr>
              <w:t>1、废气</w:t>
            </w:r>
          </w:p>
          <w:p>
            <w:pPr>
              <w:pStyle w:val="33"/>
              <w:rPr>
                <w:rFonts w:hint="eastAsia" w:cs="Times New Roman"/>
                <w:color w:val="auto"/>
                <w:szCs w:val="24"/>
                <w:highlight w:val="none"/>
              </w:rPr>
            </w:pPr>
            <w:r>
              <w:rPr>
                <w:rFonts w:hint="eastAsia" w:cs="Times New Roman"/>
                <w:color w:val="auto"/>
                <w:szCs w:val="24"/>
                <w:highlight w:val="none"/>
              </w:rPr>
              <w:t>本项目合成反应操作均在通风橱中进行，通风橱呈负压状态，通过风机将挥发出来的气体吸入风管。合成过程产生会产生酸性废气和有机废气。</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一层实验室废气（有机、酸性）经通风橱、万向罩收集后经“1#碱喷淋+1#除雾器+1#活性炭吸附”处理，三层东侧实验室废气（有机、酸性）经通风橱、万向罩收集后经“2#碱喷淋+2#除雾器+2#活性炭吸附”处理，三层西侧实验室废气（有机、酸性）经通风橱、万向罩收集后经“3#碱喷淋+3#除雾器+3#活性炭吸附”处理，共同通过1根排气筒 DA001 排放（距地面27米）。危废暂存间废气引至一楼合成实验室废气处理装置“1#碱喷淋+1#除雾器+1#活性炭吸附”处理后通过排气筒DA001排放。</w:t>
            </w:r>
          </w:p>
          <w:p>
            <w:pPr>
              <w:pStyle w:val="33"/>
              <w:rPr>
                <w:rFonts w:hint="eastAsia" w:cs="Times New Roman"/>
                <w:color w:val="auto"/>
                <w:szCs w:val="24"/>
                <w:highlight w:val="none"/>
              </w:rPr>
            </w:pPr>
            <w:r>
              <w:rPr>
                <w:rFonts w:hint="eastAsia" w:cs="Times New Roman"/>
                <w:color w:val="auto"/>
                <w:szCs w:val="24"/>
                <w:highlight w:val="none"/>
              </w:rPr>
              <w:t>本项目二层东侧实验室废气（有机）经通风橱、万向罩收集后经“1#一级活性炭吸附”处理，二层西侧实验室废气（有机）经通风橱、万向罩收集后经“2#一级活性炭吸附”处理，共同通过1根排气筒 DA002排放（距地面27米）。</w:t>
            </w:r>
          </w:p>
          <w:p>
            <w:pPr>
              <w:pStyle w:val="33"/>
              <w:rPr>
                <w:rFonts w:hint="eastAsia" w:cs="Times New Roman"/>
                <w:color w:val="auto"/>
                <w:szCs w:val="24"/>
                <w:highlight w:val="none"/>
              </w:rPr>
            </w:pPr>
            <w:r>
              <w:rPr>
                <w:rFonts w:hint="eastAsia" w:cs="Times New Roman"/>
                <w:color w:val="auto"/>
                <w:szCs w:val="24"/>
                <w:highlight w:val="none"/>
              </w:rPr>
              <w:t>本项目四层合成实验室废气（有机）经通风橱、万向罩收集后经“两级活性炭吸附”处理后通过（距地面29米）DA003排气筒排放。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3"/>
              <w:rPr>
                <w:rFonts w:hint="eastAsia" w:cs="Times New Roman"/>
                <w:color w:val="auto"/>
                <w:szCs w:val="24"/>
                <w:highlight w:val="none"/>
              </w:rPr>
            </w:pPr>
            <w:r>
              <w:rPr>
                <w:rFonts w:hint="eastAsia" w:cs="Times New Roman"/>
                <w:color w:val="auto"/>
                <w:szCs w:val="24"/>
                <w:highlight w:val="none"/>
              </w:rPr>
              <w:t>项目设置3根排气筒，此次验收共对3根排气筒的废气排放情况进行了监测。</w:t>
            </w:r>
          </w:p>
          <w:p>
            <w:pPr>
              <w:pStyle w:val="33"/>
              <w:ind w:firstLine="0" w:firstLineChars="0"/>
              <w:jc w:val="center"/>
              <w:rPr>
                <w:rFonts w:cs="Times New Roman"/>
                <w:color w:val="auto"/>
                <w:highlight w:val="none"/>
              </w:rPr>
            </w:pPr>
            <w:r>
              <w:rPr>
                <w:rFonts w:cs="Times New Roman"/>
                <w:color w:val="auto"/>
                <w:highlight w:val="none"/>
              </w:rPr>
              <w:pict>
                <v:shape id="_x0000_s1109" o:spid="_x0000_s1109" o:spt="100" style="position:absolute;left:0pt;margin-left:292.65pt;margin-top:506.45pt;height:10.5pt;width:10.5pt;z-index:251660288;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1092" o:spid="_x0000_s1092" o:spt="100" style="position:absolute;left:0pt;margin-left:298.65pt;margin-top:384.7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color w:val="auto"/>
                <w:highlight w:val="none"/>
              </w:rPr>
              <w:pict>
                <v:shape id="_x0000_s1078" o:spid="_x0000_s1078" o:spt="100" style="position:absolute;left:0pt;margin-left:296.4pt;margin-top:186.7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hint="default" w:ascii="Times New Roman" w:hAnsi="Times New Roman" w:eastAsia="宋体" w:cs="Times New Roman"/>
                <w:sz w:val="24"/>
              </w:rPr>
              <w:pict>
                <v:shape id="ECB019B1-382A-4266-B25C-5B523AA43C14-1" o:spid="ECB019B1-382A-4266-B25C-5B523AA43C14-1" o:spt="75" alt="C:/Users/Administrator/AppData/Local/Temp/wps.HUADoVwps" type="#_x0000_t75" style="height:554.15pt;width:372.75pt;" filled="f" o:preferrelative="t" stroked="f" coordsize="21600,21600">
                  <v:path/>
                  <v:fill on="f" focussize="0,0"/>
                  <v:stroke on="f"/>
                  <v:imagedata r:id="rId10" o:title="wps"/>
                  <o:lock v:ext="edit" aspectratio="t"/>
                  <w10:wrap type="none"/>
                  <w10:anchorlock/>
                </v:shape>
              </w:pict>
            </w:r>
          </w:p>
          <w:p>
            <w:pPr>
              <w:pStyle w:val="33"/>
              <w:ind w:firstLine="0" w:firstLineChars="0"/>
              <w:jc w:val="center"/>
              <w:rPr>
                <w:rFonts w:cs="Times New Roman"/>
                <w:color w:val="auto"/>
                <w:szCs w:val="24"/>
                <w:highlight w:val="none"/>
              </w:rPr>
            </w:pPr>
            <w:r>
              <w:rPr>
                <w:rFonts w:cs="Times New Roman"/>
                <w:color w:val="auto"/>
                <w:highlight w:val="none"/>
              </w:rPr>
              <w:pict>
                <v:shape id="自选图形 317" o:spid="_x0000_s1074" o:spt="100" style="position:absolute;left:0pt;margin-left:282.55pt;margin-top:7.3pt;height:10.5pt;width:10.5pt;z-index:251659264;mso-width-relative:page;mso-height-relative:page;" coordsize="21600,21600" o:gfxdata="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" path="m0,10800c0,4835,4835,0,10800,0c16765,0,21600,4835,21600,10800c21600,16765,16765,21600,10800,21600c4835,21600,0,16765,0,10800xm5400,10800c5400,13782,7818,16200,10800,16200c13782,16200,16200,13782,16200,10800c16200,7818,13782,5400,10800,5400c7818,5400,5400,7818,5400,10800xe">
                  <v:path o:connecttype="segments" o:connectlocs="10800,0;3163,3163;0,10800;3163,18437;10800,21600;18437,18437;21600,10800;18437,3163" o:connectangles="0,0,0,0,0,0,0,0"/>
                  <v:fill focussize="0,0"/>
                  <v:stroke joinstyle="round"/>
                  <v:imagedata o:title=""/>
                  <o:lock v:ext="edit"/>
                </v:shape>
              </w:pict>
            </w:r>
            <w:r>
              <w:rPr>
                <w:rFonts w:cs="Times New Roman"/>
                <w:b/>
                <w:bCs/>
                <w:color w:val="auto"/>
                <w:szCs w:val="24"/>
                <w:highlight w:val="none"/>
              </w:rPr>
              <w:t>图3-1 废气处理和排放示意图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color w:val="auto"/>
                <w:kern w:val="0"/>
                <w:szCs w:val="24"/>
                <w:highlight w:val="none"/>
                <w:lang w:eastAsia="zh-CN" w:bidi="ar"/>
              </w:rPr>
              <w:t>表1的A等</w:t>
            </w:r>
            <w:r>
              <w:rPr>
                <w:rFonts w:hint="eastAsia" w:cs="Times New Roman"/>
                <w:color w:val="auto"/>
                <w:kern w:val="0"/>
                <w:szCs w:val="24"/>
                <w:highlight w:val="none"/>
                <w:lang w:bidi="ar"/>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3"/>
              <w:adjustRightInd/>
              <w:ind w:firstLine="0" w:firstLineChars="0"/>
              <w:jc w:val="center"/>
              <w:rPr>
                <w:rFonts w:cs="Times New Roman"/>
                <w:b/>
                <w:bCs/>
                <w:color w:val="auto"/>
                <w:szCs w:val="24"/>
                <w:highlight w:val="none"/>
              </w:rPr>
            </w:pPr>
            <w:r>
              <w:rPr>
                <w:color w:val="auto"/>
                <w:highlight w:val="none"/>
              </w:rPr>
              <w:pict>
                <v:shape id="_x0000_s1111" o:spid="_x0000_s1111" o:spt="12" type="#_x0000_t12" style="position:absolute;left:0pt;margin-left:365.75pt;margin-top:47.6pt;height:10.5pt;width:11.25pt;z-index:251662336;mso-width-relative:page;mso-height-relative:page;" fillcolor="#000000" filled="t" coordsize="21600,21600">
                  <v:path/>
                  <v:fill on="t" focussize="0,0"/>
                  <v:stroke joinstyle="miter"/>
                  <v:imagedata o:title=""/>
                  <o:lock v:ext="edit"/>
                </v:shape>
              </w:pict>
            </w:r>
            <w:r>
              <w:rPr>
                <w:color w:val="auto"/>
                <w:highlight w:val="none"/>
              </w:rPr>
              <w:pict>
                <v:shape id="_x0000_s1090" o:spid="_x0000_s1090" o:spt="12" type="#_x0000_t12" style="position:absolute;left:0pt;margin-left:331.95pt;margin-top:28.85pt;height:10.5pt;width:11.25pt;z-index:251659264;mso-width-relative:page;mso-height-relative:page;" fillcolor="#000000" filled="t" coordsize="21600,21600">
                  <v:path/>
                  <v:fill on="t" focussize="0,0"/>
                  <v:stroke joinstyle="miter"/>
                  <v:imagedata o:title=""/>
                  <o:lock v:ext="edit"/>
                </v:shape>
              </w:pict>
            </w:r>
            <w:r>
              <w:rPr>
                <w:rFonts w:hint="eastAsia" w:cs="Times New Roman"/>
                <w:color w:val="auto"/>
                <w:kern w:val="0"/>
                <w:szCs w:val="24"/>
                <w:highlight w:val="none"/>
                <w:lang w:bidi="ar"/>
              </w:rPr>
              <w:pict>
                <v:shape id="_x0000_i1028" o:spt="75" alt="图片1" type="#_x0000_t75" style="height:428.9pt;width:363.1pt;" filled="f" o:preferrelative="t" stroked="f" coordsize="21600,21600">
                  <v:path/>
                  <v:fill on="f" focussize="0,0"/>
                  <v:stroke on="f"/>
                  <v:imagedata r:id="rId8" o:title="图片1"/>
                  <o:lock v:ext="edit" aspectratio="t"/>
                  <w10:wrap type="none"/>
                  <w10:anchorlock/>
                </v:shape>
              </w:pict>
            </w:r>
          </w:p>
          <w:p>
            <w:pPr>
              <w:pStyle w:val="33"/>
              <w:adjustRightInd/>
              <w:jc w:val="center"/>
              <w:rPr>
                <w:rFonts w:cs="Times New Roman"/>
                <w:b/>
                <w:bCs/>
                <w:color w:val="auto"/>
                <w:szCs w:val="24"/>
                <w:highlight w:val="none"/>
              </w:rPr>
            </w:pPr>
            <w:r>
              <w:rPr>
                <w:color w:val="auto"/>
                <w:highlight w:val="none"/>
              </w:rPr>
              <w:pict>
                <v:shape id="_x0000_s1110" o:spid="_x0000_s1110" o:spt="12" type="#_x0000_t12" style="position:absolute;left:0pt;margin-left:294.5pt;margin-top:4.85pt;height:10.5pt;width:11.25pt;z-index:251661312;mso-width-relative:page;mso-height-relative:page;" fillcolor="#000000" filled="t" coordsize="21600,21600">
                  <v:path/>
                  <v:fill on="t" focussize="0,0"/>
                  <v:stroke joinstyle="miter"/>
                  <v:imagedata o:title=""/>
                  <o:lock v:ext="edit"/>
                </v:shape>
              </w:pict>
            </w:r>
            <w:r>
              <w:rPr>
                <w:rFonts w:cs="Times New Roman"/>
                <w:b/>
                <w:bCs/>
                <w:color w:val="auto"/>
                <w:szCs w:val="24"/>
                <w:highlight w:val="none"/>
              </w:rPr>
              <w:t>图3-</w:t>
            </w:r>
            <w:r>
              <w:rPr>
                <w:rFonts w:hint="eastAsia" w:cs="Times New Roman"/>
                <w:b/>
                <w:bCs/>
                <w:color w:val="auto"/>
                <w:szCs w:val="24"/>
                <w:highlight w:val="none"/>
              </w:rPr>
              <w:t xml:space="preserve">2 </w:t>
            </w:r>
            <w:r>
              <w:rPr>
                <w:rFonts w:cs="Times New Roman"/>
                <w:b/>
                <w:bCs/>
                <w:color w:val="auto"/>
                <w:szCs w:val="24"/>
                <w:highlight w:val="none"/>
              </w:rPr>
              <w:t xml:space="preserve"> 废</w:t>
            </w:r>
            <w:r>
              <w:rPr>
                <w:rFonts w:hint="eastAsia" w:cs="Times New Roman"/>
                <w:b/>
                <w:bCs/>
                <w:color w:val="auto"/>
                <w:szCs w:val="24"/>
                <w:highlight w:val="none"/>
              </w:rPr>
              <w:t>水</w:t>
            </w:r>
            <w:r>
              <w:rPr>
                <w:rFonts w:cs="Times New Roman"/>
                <w:b/>
                <w:bCs/>
                <w:color w:val="auto"/>
                <w:szCs w:val="24"/>
                <w:highlight w:val="none"/>
              </w:rPr>
              <w:t>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3、噪声</w:t>
            </w:r>
          </w:p>
          <w:p>
            <w:pPr>
              <w:pStyle w:val="33"/>
              <w:jc w:val="both"/>
              <w:rPr>
                <w:rFonts w:cs="Times New Roman"/>
                <w:color w:val="auto"/>
                <w:highlight w:val="none"/>
              </w:rPr>
            </w:pPr>
            <w:r>
              <w:rPr>
                <w:rFonts w:hint="eastAsia" w:cs="Times New Roman"/>
                <w:color w:val="auto"/>
                <w:szCs w:val="24"/>
                <w:highlight w:val="none"/>
              </w:rPr>
              <w:t>本项目噪声源主要来自实验室设备运行产生的噪声。项目采取实验设备均布置于室内，采取门窗、墙体隔声，全部设备均选用低噪声设备并采取减振措施。加强管理，经常保养和维护机械设备避免设备在不良状态下运行等措施。</w:t>
            </w:r>
          </w:p>
          <w:p>
            <w:pPr>
              <w:pStyle w:val="33"/>
              <w:jc w:val="center"/>
              <w:rPr>
                <w:rFonts w:cs="Times New Roman"/>
                <w:color w:val="auto"/>
                <w:highlight w:val="none"/>
              </w:rPr>
            </w:pPr>
            <w:r>
              <w:rPr>
                <w:rFonts w:cs="Times New Roman"/>
                <w:color w:val="auto"/>
                <w:highlight w:val="none"/>
              </w:rPr>
              <w:pict>
                <v:shape id="自选图形 327" o:spid="_x0000_s1075" o:spt="5" type="#_x0000_t5" style="position:absolute;left:0pt;margin-left:390.25pt;margin-top:34.5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color w:val="auto"/>
                <w:highlight w:val="none"/>
              </w:rPr>
              <w:pict>
                <v:shape id="_x0000_i1029" o:spt="75" type="#_x0000_t75" style="height:67.4pt;width:306.3pt;" filled="f" o:preferrelative="t" stroked="f" coordsize="21600,21600">
                  <v:path/>
                  <v:fill on="f" focussize="0,0"/>
                  <v:stroke on="f"/>
                  <v:imagedata r:id="rId11" o:title=""/>
                  <o:lock v:ext="edit" aspectratio="t"/>
                  <w10:wrap type="none"/>
                  <w10:anchorlock/>
                </v:shape>
              </w:pict>
            </w:r>
          </w:p>
          <w:p>
            <w:pPr>
              <w:pStyle w:val="33"/>
              <w:ind w:firstLine="0" w:firstLineChars="0"/>
              <w:jc w:val="center"/>
              <w:rPr>
                <w:rFonts w:cs="Times New Roman"/>
                <w:b/>
                <w:bCs/>
                <w:color w:val="auto"/>
                <w:szCs w:val="24"/>
                <w:highlight w:val="none"/>
              </w:rPr>
            </w:pPr>
            <w:r>
              <w:rPr>
                <w:rFonts w:cs="Times New Roman"/>
                <w:color w:val="auto"/>
                <w:highlight w:val="none"/>
              </w:rPr>
              <w:pict>
                <v:shape id="自选图形 95" o:spid="_x0000_s1076" o:spt="5" type="#_x0000_t5" style="position:absolute;left:0pt;margin-left:310pt;margin-top:6.05pt;height:9.8pt;width:12pt;z-index:251659264;mso-width-relative:page;mso-height-relative:page;" fillcolor="#000000" filled="t" coordsize="21600,21600" o:gfxdata="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0JlHbYAAAACQEAAA8A&#10;AAAAAAAAAQAgAAAAIgAAAGRycy9kb3ducmV2LnhtbFBLAQIUABQAAAAIAIdO4kDfi7zuFwIAACEE&#10;AAAOAAAAAAAAAAEAIAAAACcBAABkcnMvZTJvRG9jLnhtbFBLBQYAAAAABgAGAFkBAACwBQAAAAA=&#10;">
                  <v:path/>
                  <v:fill on="t" focussize="0,0"/>
                  <v:stroke joinstyle="miter"/>
                  <v:imagedata o:title=""/>
                  <o:lock v:ext="edit"/>
                  <v:textbox>
                    <w:txbxContent>
                      <w:p>
                        <w:pPr>
                          <w:ind w:firstLine="480"/>
                        </w:pPr>
                      </w:p>
                    </w:txbxContent>
                  </v:textbox>
                </v:shape>
              </w:pict>
            </w:r>
            <w:r>
              <w:rPr>
                <w:rFonts w:cs="Times New Roman"/>
                <w:b/>
                <w:bCs/>
                <w:color w:val="auto"/>
                <w:szCs w:val="24"/>
                <w:highlight w:val="none"/>
              </w:rPr>
              <w:t>图3-</w:t>
            </w:r>
            <w:r>
              <w:rPr>
                <w:rFonts w:hint="eastAsia" w:cs="Times New Roman"/>
                <w:b/>
                <w:bCs/>
                <w:color w:val="auto"/>
                <w:szCs w:val="24"/>
                <w:highlight w:val="none"/>
              </w:rPr>
              <w:t>3</w:t>
            </w:r>
            <w:r>
              <w:rPr>
                <w:rFonts w:cs="Times New Roman"/>
                <w:b/>
                <w:bCs/>
                <w:color w:val="auto"/>
                <w:szCs w:val="24"/>
                <w:highlight w:val="none"/>
              </w:rPr>
              <w:t xml:space="preserve">  本项目噪声处理和排放示意图       监测点位</w:t>
            </w:r>
          </w:p>
          <w:p>
            <w:pPr>
              <w:pStyle w:val="33"/>
              <w:ind w:firstLine="482"/>
              <w:rPr>
                <w:rFonts w:cs="Times New Roman"/>
                <w:b/>
                <w:bCs/>
                <w:color w:val="auto"/>
                <w:szCs w:val="24"/>
                <w:highlight w:val="none"/>
              </w:rPr>
            </w:pPr>
            <w:r>
              <w:rPr>
                <w:rFonts w:cs="Times New Roman"/>
                <w:b/>
                <w:bCs/>
                <w:color w:val="auto"/>
                <w:szCs w:val="24"/>
                <w:highlight w:val="none"/>
              </w:rPr>
              <w:t>4、固体废物</w:t>
            </w:r>
          </w:p>
          <w:p>
            <w:pPr>
              <w:pStyle w:val="33"/>
              <w:widowControl/>
              <w:adjustRightInd/>
              <w:rPr>
                <w:rFonts w:hint="eastAsia" w:cs="Times New Roman"/>
                <w:color w:val="auto"/>
                <w:szCs w:val="24"/>
                <w:highlight w:val="none"/>
              </w:rPr>
            </w:pPr>
            <w:r>
              <w:rPr>
                <w:rFonts w:hint="eastAsia" w:cs="Times New Roman"/>
                <w:color w:val="auto"/>
                <w:szCs w:val="24"/>
                <w:highlight w:val="none"/>
              </w:rPr>
              <w:t>项目生产过程中产生的固体废物包括危险废物和一般固废。危险废物主要包括：实验废物、合成实验废液、初洗废液和二次清洗废液、质检废液、过期试剂、废活性炭、废催化剂、废干燥剂、废吸附剂；一般固废主要包括：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实验废物、合成实验废液、初洗废液和二次清洗废液、质检废液、过期试剂、废活性炭、废催化剂、废干燥剂、废吸附剂</w:t>
            </w:r>
            <w:r>
              <w:rPr>
                <w:rFonts w:hint="eastAsia" w:cs="Times New Roman"/>
                <w:color w:val="auto"/>
                <w:szCs w:val="24"/>
                <w:highlight w:val="none"/>
                <w:lang w:eastAsia="zh-CN"/>
              </w:rPr>
              <w:t>、喷淋塔废液（水质指标不符合济南银丰国际生物城污水处理站进水水质要求的）</w:t>
            </w:r>
            <w:r>
              <w:rPr>
                <w:rFonts w:hint="eastAsia" w:cs="Times New Roman"/>
                <w:color w:val="auto"/>
                <w:szCs w:val="24"/>
                <w:highlight w:val="none"/>
              </w:rPr>
              <w:t>收集后暂存于危废间，委托有山东环沃环保科技有限公司、济南德正环保科技有限公司处置；废包装物、一次性口罩手套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收集后外售资源回收部门，生活垃圾由环卫部门定期清运。</w:t>
            </w:r>
          </w:p>
          <w:p>
            <w:pPr>
              <w:pStyle w:val="33"/>
              <w:snapToGrid w:val="0"/>
              <w:ind w:firstLine="0" w:firstLineChars="0"/>
              <w:rPr>
                <w:rFonts w:cs="Times New Roman"/>
                <w:color w:val="auto"/>
                <w:szCs w:val="24"/>
                <w:highlight w:val="none"/>
              </w:rPr>
            </w:pPr>
          </w:p>
        </w:tc>
      </w:tr>
    </w:tbl>
    <w:p>
      <w:pPr>
        <w:snapToGrid w:val="0"/>
        <w:spacing w:line="240" w:lineRule="auto"/>
        <w:ind w:firstLine="0" w:firstLineChars="0"/>
        <w:outlineLvl w:val="0"/>
        <w:rPr>
          <w:b/>
          <w:bCs/>
          <w:color w:val="auto"/>
          <w:sz w:val="30"/>
          <w:szCs w:val="30"/>
          <w:highlight w:val="none"/>
        </w:rPr>
      </w:pPr>
      <w:bookmarkStart w:id="133" w:name="_Toc5948"/>
      <w:r>
        <w:rPr>
          <w:b/>
          <w:bCs/>
          <w:color w:val="auto"/>
          <w:sz w:val="30"/>
          <w:szCs w:val="30"/>
          <w:highlight w:val="none"/>
        </w:rPr>
        <w:br w:type="page"/>
      </w:r>
      <w:bookmarkStart w:id="134" w:name="_Toc23194"/>
      <w:bookmarkStart w:id="135" w:name="_Toc2900"/>
      <w:bookmarkStart w:id="136" w:name="_Toc21355"/>
      <w:bookmarkStart w:id="137" w:name="_Toc17595"/>
      <w:bookmarkStart w:id="138" w:name="_Toc10741"/>
      <w:bookmarkStart w:id="139" w:name="_Toc28915"/>
      <w:bookmarkStart w:id="140" w:name="_Toc13944"/>
      <w:bookmarkStart w:id="141" w:name="_Toc1306"/>
      <w:bookmarkStart w:id="142" w:name="_Toc14434"/>
      <w:bookmarkStart w:id="143" w:name="_Toc12683"/>
      <w:bookmarkStart w:id="144" w:name="_Toc13938"/>
      <w:bookmarkStart w:id="145" w:name="_Toc20908"/>
      <w:bookmarkStart w:id="146" w:name="_Toc3927"/>
      <w:bookmarkStart w:id="147" w:name="_Toc3545"/>
      <w:bookmarkStart w:id="148" w:name="_Toc22181"/>
      <w:bookmarkStart w:id="149" w:name="_Toc6038"/>
      <w:bookmarkStart w:id="150" w:name="_Toc11721"/>
      <w:bookmarkStart w:id="151" w:name="_Toc26525"/>
      <w:bookmarkStart w:id="152" w:name="_Toc23660"/>
      <w:bookmarkStart w:id="153" w:name="_Toc5246"/>
      <w:bookmarkStart w:id="154" w:name="_Toc13383"/>
      <w:bookmarkStart w:id="155" w:name="_Toc23840"/>
      <w:bookmarkStart w:id="156" w:name="_Toc21706"/>
      <w:bookmarkStart w:id="157" w:name="_Toc26043"/>
      <w:bookmarkStart w:id="158" w:name="_Toc28132"/>
      <w:bookmarkStart w:id="159" w:name="_Toc6560"/>
      <w:bookmarkStart w:id="160" w:name="_Toc19570"/>
      <w:bookmarkStart w:id="161" w:name="_Toc28751"/>
      <w:bookmarkStart w:id="162" w:name="_Toc4396"/>
      <w:bookmarkStart w:id="163" w:name="_Toc27173"/>
      <w:bookmarkStart w:id="164" w:name="_Toc30626"/>
      <w:bookmarkStart w:id="165" w:name="_Toc28525"/>
      <w:bookmarkStart w:id="166" w:name="_Toc25885"/>
      <w:bookmarkStart w:id="167" w:name="_Toc16694"/>
      <w:bookmarkStart w:id="168" w:name="_Toc13651"/>
      <w:bookmarkStart w:id="169" w:name="_Toc11717"/>
      <w:bookmarkStart w:id="170" w:name="_Toc25448"/>
      <w:bookmarkStart w:id="171" w:name="_Toc25391"/>
      <w:bookmarkStart w:id="172" w:name="_Toc32283"/>
      <w:bookmarkStart w:id="173" w:name="_Toc4592"/>
      <w:bookmarkStart w:id="174" w:name="_Toc5621"/>
      <w:bookmarkStart w:id="175" w:name="_Toc23130"/>
      <w:r>
        <w:rPr>
          <w:b/>
          <w:bCs/>
          <w:color w:val="auto"/>
          <w:sz w:val="30"/>
          <w:szCs w:val="30"/>
          <w:highlight w:val="none"/>
        </w:rPr>
        <w:t>表4  环评主要结论、审批部门审批决定及批复落实情况</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Style w:val="2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3156" w:hRule="atLeast"/>
        </w:trPr>
        <w:tc>
          <w:tcPr>
            <w:tcW w:w="5000" w:type="pct"/>
            <w:tcBorders>
              <w:top w:val="single" w:color="000000" w:sz="12" w:space="0"/>
              <w:bottom w:val="single" w:color="000000" w:sz="12" w:space="0"/>
            </w:tcBorders>
          </w:tcPr>
          <w:p>
            <w:pPr>
              <w:pStyle w:val="33"/>
              <w:adjustRightInd/>
              <w:ind w:firstLine="482"/>
              <w:rPr>
                <w:rFonts w:cs="Times New Roman"/>
                <w:b/>
                <w:bCs/>
                <w:color w:val="auto"/>
                <w:highlight w:val="none"/>
              </w:rPr>
            </w:pPr>
            <w:r>
              <w:rPr>
                <w:rFonts w:cs="Times New Roman"/>
                <w:b/>
                <w:bCs/>
                <w:color w:val="auto"/>
                <w:highlight w:val="none"/>
              </w:rPr>
              <w:t>一、环评主要结论及建议</w:t>
            </w:r>
          </w:p>
          <w:p>
            <w:pPr>
              <w:pStyle w:val="33"/>
              <w:adjustRightInd/>
              <w:ind w:firstLine="482"/>
              <w:rPr>
                <w:rFonts w:cs="Times New Roman"/>
                <w:b/>
                <w:bCs/>
                <w:color w:val="auto"/>
                <w:highlight w:val="none"/>
              </w:rPr>
            </w:pPr>
            <w:r>
              <w:rPr>
                <w:rFonts w:cs="Times New Roman"/>
                <w:b/>
                <w:bCs/>
                <w:color w:val="auto"/>
                <w:highlight w:val="none"/>
              </w:rPr>
              <w:t>1、结论</w:t>
            </w:r>
          </w:p>
          <w:p>
            <w:pPr>
              <w:tabs>
                <w:tab w:val="left" w:pos="339"/>
              </w:tabs>
              <w:adjustRightInd/>
              <w:snapToGrid/>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大气环境影响分析</w:t>
            </w:r>
          </w:p>
          <w:p>
            <w:pPr>
              <w:spacing w:line="360" w:lineRule="auto"/>
              <w:ind w:firstLine="480" w:firstLineChars="200"/>
              <w:jc w:val="both"/>
              <w:rPr>
                <w:rFonts w:hint="default"/>
                <w:sz w:val="24"/>
                <w:szCs w:val="24"/>
                <w:lang w:val="en-US" w:eastAsia="zh-CN"/>
              </w:rPr>
            </w:pPr>
            <w:r>
              <w:rPr>
                <w:rFonts w:hint="default"/>
                <w:sz w:val="24"/>
                <w:szCs w:val="24"/>
                <w:lang w:val="en-US" w:eastAsia="zh-CN"/>
              </w:rPr>
              <w:t>本项目正常工况下，有组织VOCs排放量为0.9t/a、氯化氢排放量为0.04t/a、硫酸雾排放量为0.0071t/a、甲苯排放量为0.043t/a、丙酮排放量为0.043t/a、二氯甲烷排放量为0.043t/a、氯仿排放量为0.0032t/a、异丙醇排放量为0.051t/a、乙酸乙酯排放量为0.177t/a、2-丁酮排放量为0.0005t/a。有组织废气排放浓度及速率满足相应标准要求，项目建设对周围大气环境影响可接受。</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（2）</w:t>
            </w:r>
            <w:r>
              <w:rPr>
                <w:rFonts w:hint="default" w:ascii="Times New Roman" w:hAnsi="Times New Roman" w:eastAsia="宋体" w:cs="Times New Roman"/>
                <w:b w:val="0"/>
                <w:color w:val="000000"/>
                <w:kern w:val="0"/>
                <w:sz w:val="24"/>
                <w:szCs w:val="24"/>
                <w:lang w:val="en-US" w:eastAsia="zh-CN" w:bidi="ar"/>
              </w:rPr>
              <w:t xml:space="preserve">水环境影响分析 </w:t>
            </w:r>
          </w:p>
          <w:p>
            <w:pPr>
              <w:pStyle w:val="33"/>
              <w:rPr>
                <w:rFonts w:hint="default" w:cs="Times New Roman"/>
              </w:rPr>
            </w:pPr>
            <w:r>
              <w:rPr>
                <w:rFonts w:hint="default" w:cs="Times New Roman"/>
              </w:rPr>
              <w:t>本项目废水排放量较小，污水水质简单，经银丰国际生物城内污水处理站处理后可达到污水处理厂的接管标准要求，从处理能力、废水量和处理效果方面考虑，项目废水进入污水处理厂处理是可靠的，对污水处理厂影响较小。</w:t>
            </w:r>
          </w:p>
          <w:p>
            <w:pPr>
              <w:keepNext w:val="0"/>
              <w:keepLines w:val="0"/>
              <w:widowControl/>
              <w:suppressLineNumbers w:val="0"/>
              <w:jc w:val="left"/>
              <w:rPr>
                <w:color w:val="000000"/>
                <w:kern w:val="0"/>
                <w:lang w:bidi="ar"/>
              </w:rPr>
            </w:pPr>
            <w:r>
              <w:rPr>
                <w:rFonts w:hint="default" w:ascii="Times New Roman" w:hAnsi="Times New Roman" w:cs="Times New Roman"/>
                <w:b w:val="0"/>
                <w:color w:val="000000"/>
                <w:kern w:val="0"/>
                <w:sz w:val="24"/>
                <w:szCs w:val="24"/>
                <w:lang w:val="en-US" w:eastAsia="zh-CN" w:bidi="ar"/>
              </w:rPr>
              <w:t>（3）</w:t>
            </w:r>
            <w:r>
              <w:rPr>
                <w:rFonts w:hint="default" w:ascii="Times New Roman" w:hAnsi="Times New Roman" w:eastAsia="宋体" w:cs="Times New Roman"/>
                <w:b w:val="0"/>
                <w:color w:val="000000"/>
                <w:kern w:val="0"/>
                <w:sz w:val="24"/>
                <w:szCs w:val="24"/>
                <w:lang w:val="en-US" w:eastAsia="zh-CN" w:bidi="ar"/>
              </w:rPr>
              <w:t xml:space="preserve">噪声环境影响分析 </w:t>
            </w:r>
          </w:p>
          <w:p>
            <w:pPr>
              <w:bidi w:val="0"/>
              <w:adjustRightInd/>
              <w:snapToGrid/>
              <w:spacing w:line="360" w:lineRule="auto"/>
              <w:ind w:firstLine="480" w:firstLineChars="200"/>
              <w:rPr>
                <w:rFonts w:hint="default" w:cs="Times New Roman"/>
                <w:sz w:val="24"/>
                <w:szCs w:val="24"/>
                <w:lang w:eastAsia="zh-CN"/>
              </w:rPr>
            </w:pPr>
            <w:r>
              <w:rPr>
                <w:rFonts w:hint="default" w:cs="Times New Roman"/>
                <w:sz w:val="24"/>
                <w:szCs w:val="24"/>
                <w:lang w:eastAsia="zh-CN"/>
              </w:rPr>
              <w:t>本项目营运期主要高噪声设备为水泵、真空泵等产生的噪声，噪声值在75-90dB（A）之间，根据噪声源和环境特征，采用《环境影响评价技术导则声环境》(HJ2.4-2009)推荐方法和模式采用声源的A声级来预测噪声源对厂界和敏感点声环境质量的影响。经预测，项目建成后东、南、西、北厂界噪声满足《工业企业厂界环境噪声排放标准》（GB12348-2008）中的2类标准要求（昼间≤60dB（A））。</w:t>
            </w:r>
          </w:p>
          <w:p>
            <w:pPr>
              <w:bidi w:val="0"/>
              <w:adjustRightInd/>
              <w:snapToGrid/>
              <w:spacing w:line="360" w:lineRule="auto"/>
              <w:ind w:firstLine="480" w:firstLineChars="200"/>
              <w:rPr>
                <w:rFonts w:hint="default" w:cs="Times New Roman"/>
                <w:sz w:val="24"/>
                <w:szCs w:val="24"/>
                <w:lang w:eastAsia="zh-CN"/>
              </w:rPr>
            </w:pPr>
            <w:r>
              <w:rPr>
                <w:rFonts w:hint="default" w:cs="Times New Roman"/>
                <w:sz w:val="24"/>
                <w:szCs w:val="24"/>
                <w:lang w:eastAsia="zh-CN"/>
              </w:rPr>
              <w:t>综上所述，本项目对周围声环境影响较小。</w:t>
            </w:r>
          </w:p>
          <w:p>
            <w:pPr>
              <w:keepNext w:val="0"/>
              <w:keepLines w:val="0"/>
              <w:widowControl/>
              <w:suppressLineNumbers w:val="0"/>
              <w:spacing w:line="360" w:lineRule="auto"/>
              <w:jc w:val="left"/>
              <w:rPr>
                <w:color w:val="000000"/>
                <w:kern w:val="0"/>
                <w:lang w:bidi="ar"/>
              </w:rPr>
            </w:pPr>
            <w:r>
              <w:rPr>
                <w:rFonts w:hint="default" w:ascii="Times New Roman" w:hAnsi="Times New Roman" w:cs="Times New Roman"/>
                <w:b w:val="0"/>
                <w:color w:val="000000"/>
                <w:kern w:val="0"/>
                <w:sz w:val="24"/>
                <w:szCs w:val="24"/>
                <w:lang w:val="en-US" w:eastAsia="zh-CN" w:bidi="ar"/>
              </w:rPr>
              <w:t>（4）</w:t>
            </w:r>
            <w:r>
              <w:rPr>
                <w:rFonts w:hint="default" w:ascii="Times New Roman" w:hAnsi="Times New Roman" w:eastAsia="宋体" w:cs="Times New Roman"/>
                <w:b w:val="0"/>
                <w:color w:val="000000"/>
                <w:kern w:val="0"/>
                <w:sz w:val="24"/>
                <w:szCs w:val="24"/>
                <w:lang w:val="en-US" w:eastAsia="zh-CN" w:bidi="ar"/>
              </w:rPr>
              <w:t xml:space="preserve">固体废物的处置分析 </w:t>
            </w:r>
          </w:p>
          <w:p>
            <w:pPr>
              <w:adjustRightInd w:val="0"/>
              <w:snapToGrid w:val="0"/>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本项目一般固废处置满足《一般工业固体废物贮存和填埋污染控制标准》（GB 18599-2020）。</w:t>
            </w:r>
            <w:r>
              <w:rPr>
                <w:rFonts w:hint="eastAsia" w:ascii="Times New Roman" w:hAnsi="Times New Roman" w:eastAsia="宋体" w:cs="Times New Roman"/>
                <w:sz w:val="24"/>
                <w:szCs w:val="24"/>
                <w:lang w:eastAsia="zh-CN"/>
              </w:rPr>
              <w:t>所有危废均放置于危废暂存间，按《危险废物贮存污染控制标准》</w:t>
            </w:r>
            <w:r>
              <w:rPr>
                <w:rFonts w:hint="default" w:ascii="Times New Roman" w:hAnsi="Times New Roman" w:eastAsia="宋体" w:cs="Times New Roman"/>
                <w:sz w:val="24"/>
                <w:szCs w:val="24"/>
              </w:rPr>
              <w:t>GB18597-2001）及其修改单要求采取防渗措施，按要求设置危险废物标识，防扬散、防流失、防渗漏，定期由有危险废物处理资质的单位处置。</w:t>
            </w: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r>
              <w:rPr>
                <w:rFonts w:cs="Times New Roman"/>
                <w:b/>
                <w:bCs/>
                <w:color w:val="auto"/>
                <w:highlight w:val="none"/>
              </w:rPr>
              <w:t>二、环评批复</w:t>
            </w:r>
          </w:p>
          <w:p>
            <w:pPr>
              <w:keepNext w:val="0"/>
              <w:keepLines w:val="0"/>
              <w:widowControl/>
              <w:suppressLineNumbers w:val="0"/>
              <w:ind w:firstLine="0" w:firstLineChars="0"/>
              <w:jc w:val="right"/>
              <w:rPr>
                <w:rFonts w:hint="default"/>
                <w:sz w:val="24"/>
                <w:lang w:val="en-US" w:eastAsia="zh-CN"/>
              </w:rPr>
            </w:pPr>
            <w:bookmarkStart w:id="176" w:name="bookmark4"/>
            <w:bookmarkStart w:id="177" w:name="bookmark3"/>
            <w:bookmarkStart w:id="178" w:name="bookmark5"/>
            <w:r>
              <w:rPr>
                <w:rFonts w:hint="default"/>
                <w:sz w:val="24"/>
                <w:lang w:val="en-US" w:eastAsia="zh-CN"/>
              </w:rPr>
              <w:t>济环报告表[2021]G50号</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济南市生态环境局关于山东盛迪医药有限公司创新药物研发一期项目</w:t>
            </w:r>
          </w:p>
          <w:p>
            <w:pPr>
              <w:keepNext w:val="0"/>
              <w:keepLines w:val="0"/>
              <w:widowControl/>
              <w:suppressLineNumbers w:val="0"/>
              <w:ind w:firstLine="0" w:firstLineChars="0"/>
              <w:jc w:val="center"/>
              <w:rPr>
                <w:rFonts w:hint="default"/>
                <w:sz w:val="24"/>
                <w:lang w:val="en-US" w:eastAsia="zh-CN"/>
              </w:rPr>
            </w:pPr>
            <w:r>
              <w:rPr>
                <w:rFonts w:hint="default"/>
                <w:sz w:val="24"/>
                <w:lang w:val="en-US" w:eastAsia="zh-CN"/>
              </w:rPr>
              <w:t>环境影响报告表的批复</w:t>
            </w:r>
          </w:p>
          <w:p>
            <w:pPr>
              <w:keepNext w:val="0"/>
              <w:keepLines w:val="0"/>
              <w:widowControl/>
              <w:suppressLineNumbers w:val="0"/>
              <w:ind w:firstLine="0" w:firstLineChars="0"/>
              <w:jc w:val="left"/>
              <w:rPr>
                <w:rFonts w:hint="default"/>
                <w:sz w:val="24"/>
                <w:lang w:val="en-US" w:eastAsia="zh-CN"/>
              </w:rPr>
            </w:pPr>
            <w:r>
              <w:rPr>
                <w:rFonts w:hint="default"/>
                <w:sz w:val="24"/>
                <w:lang w:val="en-US" w:eastAsia="zh-CN"/>
              </w:rPr>
              <w:t>山东盛迪医药有限公司</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一、山东盛迪医药有限公司创新药物研发一期项目位于山东省济南高新区大正路1777号生物医药园西侧银丰国际生物城12#楼。项目占地面积2436</w:t>
            </w:r>
            <w:r>
              <w:rPr>
                <w:rFonts w:hint="eastAsia"/>
                <w:sz w:val="24"/>
                <w:lang w:val="en-US" w:eastAsia="zh-CN"/>
              </w:rPr>
              <w:t>㎡</w:t>
            </w:r>
            <w:r>
              <w:rPr>
                <w:rFonts w:hint="default"/>
                <w:sz w:val="24"/>
                <w:lang w:val="en-US" w:eastAsia="zh-CN"/>
              </w:rPr>
              <w:t>。总投资9000万元。项目主要为创新药物的研发。我局受理该项目并在济南市生态环境局网站进行了公示。在落实报告表提出的环境保护措施和我局审批意见要求的前提下，同意该项目建设。</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二、项目建设应重点做好以下工作</w:t>
            </w:r>
            <w:r>
              <w:rPr>
                <w:rFonts w:hint="eastAsia"/>
                <w:sz w:val="24"/>
                <w:lang w:val="en-US" w:eastAsia="zh-CN"/>
              </w:rPr>
              <w:t>：</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一)项目一般废包装物、一次性口罩、手套综合利用。生活垃圾由环卫部门定期清运。建设危险废物贮存场所，实验废物、实验废液、过期试剂、废活性炭(每年更换一次)、废吸附剂、废干燥剂、废催化剂等危险废物委托有资质的单位处置。</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(二)项目生活污水、地面清洁废水、深度清洗废水经银丰国际生物城内污水处理站处理，满足《污水排入城镇下水道水质标准》(GB/T31962-2015)标准要求后，经市政污水管网排入巨野河污水处理厂。</w:t>
            </w:r>
          </w:p>
          <w:p>
            <w:pPr>
              <w:keepNext w:val="0"/>
              <w:keepLines w:val="0"/>
              <w:widowControl/>
              <w:suppressLineNumbers w:val="0"/>
              <w:ind w:firstLine="480" w:firstLineChars="200"/>
              <w:jc w:val="both"/>
              <w:rPr>
                <w:rFonts w:hint="default"/>
                <w:sz w:val="24"/>
                <w:lang w:val="en-US" w:eastAsia="zh-CN"/>
              </w:rPr>
            </w:pPr>
            <w:r>
              <w:rPr>
                <w:rFonts w:hint="default"/>
                <w:sz w:val="24"/>
                <w:lang w:val="en-US" w:eastAsia="zh-CN"/>
              </w:rPr>
              <w:t>(三)本项目有组织废气中氯化氢经废气处理设施处理</w:t>
            </w:r>
            <w:r>
              <w:rPr>
                <w:rFonts w:hint="eastAsia"/>
                <w:sz w:val="24"/>
                <w:lang w:val="en-US" w:eastAsia="zh-CN"/>
              </w:rPr>
              <w:t>，</w:t>
            </w:r>
            <w:r>
              <w:rPr>
                <w:rFonts w:hint="default"/>
                <w:sz w:val="24"/>
                <w:lang w:val="en-US" w:eastAsia="zh-CN"/>
              </w:rPr>
              <w:t>满足《制药工业大气污染物排放标准》(GB37823-2019)表2标准要求后排放</w:t>
            </w:r>
            <w:r>
              <w:rPr>
                <w:rFonts w:hint="eastAsia"/>
                <w:sz w:val="24"/>
                <w:lang w:val="en-US" w:eastAsia="zh-CN"/>
              </w:rPr>
              <w:t>；</w:t>
            </w:r>
            <w:r>
              <w:rPr>
                <w:rFonts w:hint="default"/>
                <w:sz w:val="24"/>
                <w:lang w:val="en-US" w:eastAsia="zh-CN"/>
              </w:rPr>
              <w:t>有组织废气中硫酸雾经废气处理设施处理，满足《大气污染物综合排放标准》(GB16297-1996)表2标准要求后排放</w:t>
            </w:r>
            <w:r>
              <w:rPr>
                <w:rFonts w:hint="eastAsia"/>
                <w:sz w:val="24"/>
                <w:lang w:val="en-US" w:eastAsia="zh-CN"/>
              </w:rPr>
              <w:t>；</w:t>
            </w:r>
            <w:r>
              <w:rPr>
                <w:rFonts w:hint="default"/>
                <w:sz w:val="24"/>
                <w:lang w:val="en-US" w:eastAsia="zh-CN"/>
              </w:rPr>
              <w:t>有组织废气中VOCs经废气处理设施处理，满足《挥发性有机物排放标准第7部分:其他行业》(DB37/2801.7-2019)表1“非重点行业”II时段最高允许排放浓度限值要求后排放。无组织氯化氢满足《制药工业大气污染物排放标准》(GB37823-2019)表4企业边界大气污染物浓度限值要求</w:t>
            </w:r>
            <w:r>
              <w:rPr>
                <w:rFonts w:hint="eastAsia"/>
                <w:sz w:val="24"/>
                <w:lang w:val="en-US" w:eastAsia="zh-CN"/>
              </w:rPr>
              <w:t>；</w:t>
            </w:r>
            <w:r>
              <w:rPr>
                <w:rFonts w:hint="default"/>
                <w:sz w:val="24"/>
                <w:lang w:val="en-US" w:eastAsia="zh-CN"/>
              </w:rPr>
              <w:t>无组织硫酸雾满足《大气污染物综合排放标准》(GB16297-1996)表2标准要求</w:t>
            </w:r>
            <w:r>
              <w:rPr>
                <w:rFonts w:hint="eastAsia"/>
                <w:sz w:val="24"/>
                <w:lang w:val="en-US" w:eastAsia="zh-CN"/>
              </w:rPr>
              <w:t>；</w:t>
            </w:r>
            <w:r>
              <w:rPr>
                <w:rFonts w:hint="default"/>
                <w:sz w:val="24"/>
                <w:lang w:val="en-US" w:eastAsia="zh-CN"/>
              </w:rPr>
              <w:t>无组织VOCs满足《挥发性有机物排放标准第7部分:其他行业》(DB37/28017-2019)表2监控点浓度限值和《挥发性有机物无组织排放控制标准》(GB37822-2019)标准要求。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(四)合理布置各类噪声源，并采取消音、隔声、减震等降噪措施，确保厂界噪声达到《工业企业厂界环境噪声排放标准》(GB12348-2008)2类标准要求。</w:t>
            </w:r>
          </w:p>
          <w:p>
            <w:pPr>
              <w:keepNext w:val="0"/>
              <w:keepLines w:val="0"/>
              <w:widowControl/>
              <w:suppressLineNumbers w:val="0"/>
              <w:ind w:firstLine="480" w:firstLineChars="200"/>
              <w:jc w:val="left"/>
              <w:rPr>
                <w:rFonts w:hint="default"/>
                <w:sz w:val="24"/>
                <w:lang w:val="en-US" w:eastAsia="zh-CN"/>
              </w:rPr>
            </w:pPr>
            <w:r>
              <w:rPr>
                <w:rFonts w:hint="default"/>
                <w:sz w:val="24"/>
                <w:lang w:val="en-US" w:eastAsia="zh-CN"/>
              </w:rPr>
              <w:t>三、该项目建成后，要按《建设项目竣工环境保护验收暂行办法》的规定程序进行建设项目竣工环境保护验收。并按国家有关规定申领排污许可证。</w:t>
            </w:r>
          </w:p>
          <w:p>
            <w:pPr>
              <w:keepNext w:val="0"/>
              <w:keepLines w:val="0"/>
              <w:widowControl/>
              <w:suppressLineNumbers w:val="0"/>
              <w:ind w:firstLine="0" w:firstLineChars="0"/>
              <w:jc w:val="right"/>
              <w:rPr>
                <w:rFonts w:hint="default"/>
                <w:sz w:val="24"/>
                <w:lang w:val="en-US" w:eastAsia="zh-CN"/>
              </w:rPr>
            </w:pPr>
            <w:r>
              <w:rPr>
                <w:rFonts w:hint="eastAsia"/>
                <w:sz w:val="24"/>
                <w:lang w:val="en-US" w:eastAsia="zh-CN"/>
              </w:rPr>
              <w:t>2021年6月15日</w:t>
            </w:r>
          </w:p>
          <w:p>
            <w:pPr>
              <w:pStyle w:val="3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2" w:firstLineChars="200"/>
              <w:textAlignment w:val="baseline"/>
              <w:rPr>
                <w:rFonts w:hint="default" w:cs="Times New Roman"/>
                <w:b/>
                <w:bCs/>
                <w:sz w:val="24"/>
                <w:lang w:eastAsia="zh-CN"/>
              </w:rPr>
            </w:pPr>
          </w:p>
          <w:p>
            <w:pPr>
              <w:widowControl/>
              <w:ind w:firstLine="0" w:firstLineChars="0"/>
              <w:jc w:val="right"/>
              <w:rPr>
                <w:rFonts w:hint="eastAsia" w:eastAsia="宋体"/>
                <w:color w:val="auto"/>
                <w:highlight w:val="none"/>
                <w:lang w:eastAsia="zh-CN"/>
              </w:rPr>
            </w:pPr>
          </w:p>
          <w:bookmarkEnd w:id="176"/>
          <w:bookmarkEnd w:id="177"/>
          <w:bookmarkEnd w:id="178"/>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p>
          <w:p>
            <w:pPr>
              <w:pStyle w:val="33"/>
              <w:adjustRightInd/>
              <w:ind w:firstLine="482"/>
              <w:rPr>
                <w:rFonts w:cs="Times New Roman"/>
                <w:b/>
                <w:bCs/>
                <w:color w:val="auto"/>
                <w:highlight w:val="none"/>
              </w:rPr>
            </w:pPr>
            <w:r>
              <w:rPr>
                <w:rFonts w:cs="Times New Roman"/>
                <w:b/>
                <w:bCs/>
                <w:color w:val="auto"/>
                <w:highlight w:val="none"/>
              </w:rPr>
              <w:t>三、环评批复落实情况</w:t>
            </w:r>
          </w:p>
          <w:tbl>
            <w:tblPr>
              <w:tblStyle w:val="27"/>
              <w:tblW w:w="4796" w:type="pct"/>
              <w:tblInd w:w="16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33"/>
              <w:gridCol w:w="3251"/>
              <w:gridCol w:w="3287"/>
              <w:gridCol w:w="137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03" w:hRule="atLeast"/>
              </w:trPr>
              <w:tc>
                <w:tcPr>
                  <w:tcW w:w="370"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项目</w:t>
                  </w:r>
                </w:p>
              </w:tc>
              <w:tc>
                <w:tcPr>
                  <w:tcW w:w="1903"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环评批复要求</w:t>
                  </w:r>
                </w:p>
              </w:tc>
              <w:tc>
                <w:tcPr>
                  <w:tcW w:w="1924"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实际落实情况</w:t>
                  </w:r>
                </w:p>
              </w:tc>
              <w:tc>
                <w:tcPr>
                  <w:tcW w:w="802" w:type="pct"/>
                  <w:tcBorders>
                    <w:tl2br w:val="nil"/>
                    <w:tr2bl w:val="nil"/>
                  </w:tcBorders>
                  <w:shd w:val="clear" w:color="auto" w:fill="auto"/>
                  <w:vAlign w:val="center"/>
                </w:tcPr>
                <w:p>
                  <w:pPr>
                    <w:adjustRightInd w:val="0"/>
                    <w:snapToGrid w:val="0"/>
                    <w:spacing w:line="240" w:lineRule="auto"/>
                    <w:ind w:firstLine="0" w:firstLineChars="0"/>
                    <w:jc w:val="center"/>
                    <w:rPr>
                      <w:color w:val="auto"/>
                      <w:sz w:val="21"/>
                      <w:szCs w:val="21"/>
                      <w:highlight w:val="none"/>
                    </w:rPr>
                  </w:pPr>
                  <w:r>
                    <w:rPr>
                      <w:b/>
                      <w:bCs/>
                      <w:color w:val="auto"/>
                      <w:sz w:val="21"/>
                      <w:szCs w:val="21"/>
                      <w:highlight w:val="none"/>
                    </w:rPr>
                    <w:t>变更情况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0"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工程内容</w:t>
                  </w:r>
                </w:p>
              </w:tc>
              <w:tc>
                <w:tcPr>
                  <w:tcW w:w="1903" w:type="pct"/>
                  <w:tcBorders>
                    <w:tl2br w:val="nil"/>
                    <w:tr2bl w:val="nil"/>
                  </w:tcBorders>
                  <w:shd w:val="clear" w:color="auto" w:fill="auto"/>
                  <w:vAlign w:val="center"/>
                </w:tcPr>
                <w:p>
                  <w:pPr>
                    <w:spacing w:line="240" w:lineRule="auto"/>
                    <w:ind w:firstLine="0" w:firstLineChars="0"/>
                    <w:jc w:val="both"/>
                    <w:rPr>
                      <w:color w:val="auto"/>
                      <w:sz w:val="21"/>
                      <w:szCs w:val="21"/>
                      <w:highlight w:val="none"/>
                    </w:rPr>
                  </w:pPr>
                  <w:r>
                    <w:rPr>
                      <w:rFonts w:hint="default" w:ascii="Times New Roman" w:hAnsi="Times New Roman" w:eastAsia="宋体" w:cs="Times New Roman"/>
                      <w:color w:val="000000"/>
                      <w:sz w:val="21"/>
                      <w:szCs w:val="21"/>
                      <w:lang w:val="en-US" w:eastAsia="zh-CN"/>
                    </w:rPr>
                    <w:t>山东盛迪医药有限公司创新药物研发一期项目位于山东省济南高新区大正路1777号生物医药园西侧银丰国际生物城12#楼。项目占地面积2436</w:t>
                  </w:r>
                  <w:r>
                    <w:rPr>
                      <w:rFonts w:hint="eastAsia"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。总投资9000万元。项目主要为创新药物的研发。</w:t>
                  </w:r>
                </w:p>
              </w:tc>
              <w:tc>
                <w:tcPr>
                  <w:tcW w:w="1924" w:type="pct"/>
                  <w:tcBorders>
                    <w:tl2br w:val="nil"/>
                    <w:tr2bl w:val="nil"/>
                  </w:tcBorders>
                  <w:shd w:val="clear" w:color="auto" w:fill="auto"/>
                  <w:vAlign w:val="center"/>
                </w:tcPr>
                <w:p>
                  <w:pPr>
                    <w:spacing w:line="240" w:lineRule="auto"/>
                    <w:ind w:firstLine="0" w:firstLineChars="0"/>
                    <w:jc w:val="both"/>
                    <w:rPr>
                      <w:color w:val="auto"/>
                      <w:sz w:val="21"/>
                      <w:szCs w:val="21"/>
                      <w:highlight w:val="none"/>
                    </w:rPr>
                  </w:pPr>
                  <w:r>
                    <w:rPr>
                      <w:rFonts w:hint="default" w:ascii="Times New Roman" w:hAnsi="Times New Roman" w:eastAsia="宋体" w:cs="Times New Roman"/>
                      <w:color w:val="000000"/>
                      <w:sz w:val="21"/>
                      <w:szCs w:val="21"/>
                      <w:lang w:val="en-US" w:eastAsia="zh-CN"/>
                    </w:rPr>
                    <w:t>山东盛迪医药有限公司创新药物研发一期项目位于山东省济南高新区大正路1777号生物医药园西侧银丰国际生物城12#楼。项目占地面积2436</w:t>
                  </w:r>
                  <w:r>
                    <w:rPr>
                      <w:rFonts w:hint="eastAsia" w:cs="Times New Roman"/>
                      <w:color w:val="000000"/>
                      <w:sz w:val="21"/>
                      <w:szCs w:val="21"/>
                      <w:lang w:val="en-US" w:eastAsia="zh-CN"/>
                    </w:rPr>
                    <w:t>㎡</w:t>
                  </w:r>
                  <w:r>
                    <w:rPr>
                      <w:rFonts w:hint="default" w:ascii="Times New Roman" w:hAnsi="Times New Roman" w:eastAsia="宋体" w:cs="Times New Roman"/>
                      <w:color w:val="000000"/>
                      <w:sz w:val="21"/>
                      <w:szCs w:val="21"/>
                      <w:lang w:val="en-US" w:eastAsia="zh-CN"/>
                    </w:rPr>
                    <w:t>。总投资</w:t>
                  </w:r>
                  <w:r>
                    <w:rPr>
                      <w:rFonts w:hint="eastAsia" w:cs="Times New Roman"/>
                      <w:color w:val="000000"/>
                      <w:sz w:val="21"/>
                      <w:szCs w:val="21"/>
                      <w:lang w:val="en-US" w:eastAsia="zh-CN"/>
                    </w:rPr>
                    <w:t>7100</w:t>
                  </w:r>
                  <w:r>
                    <w:rPr>
                      <w:rFonts w:hint="default" w:ascii="Times New Roman" w:hAnsi="Times New Roman" w:eastAsia="宋体" w:cs="Times New Roman"/>
                      <w:color w:val="000000"/>
                      <w:sz w:val="21"/>
                      <w:szCs w:val="21"/>
                      <w:lang w:val="en-US" w:eastAsia="zh-CN"/>
                    </w:rPr>
                    <w:t>万元。项目主要为创新药物的研发。</w:t>
                  </w: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hint="default" w:ascii="Times New Roman" w:hAnsi="Times New Roman" w:cs="Times New Roman"/>
                      <w:sz w:val="21"/>
                      <w:szCs w:val="21"/>
                      <w:vertAlign w:val="baseline"/>
                      <w:lang w:eastAsia="zh-CN"/>
                    </w:rPr>
                    <w:t>已落实，总投资7100万元</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606" w:hRule="atLeast"/>
              </w:trPr>
              <w:tc>
                <w:tcPr>
                  <w:tcW w:w="370"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废气</w:t>
                  </w:r>
                </w:p>
              </w:tc>
              <w:tc>
                <w:tcPr>
                  <w:tcW w:w="1903" w:type="pct"/>
                  <w:tcBorders>
                    <w:tl2br w:val="nil"/>
                    <w:tr2bl w:val="nil"/>
                  </w:tcBorders>
                  <w:shd w:val="clear" w:color="auto" w:fill="auto"/>
                  <w:vAlign w:val="center"/>
                </w:tcPr>
                <w:p>
                  <w:pPr>
                    <w:spacing w:line="240" w:lineRule="auto"/>
                    <w:ind w:firstLine="0" w:firstLineChars="0"/>
                    <w:jc w:val="both"/>
                    <w:rPr>
                      <w:color w:val="auto"/>
                      <w:sz w:val="21"/>
                      <w:szCs w:val="21"/>
                      <w:highlight w:val="none"/>
                    </w:rPr>
                  </w:pPr>
                  <w:r>
                    <w:rPr>
                      <w:rFonts w:hint="default" w:ascii="Times New Roman" w:hAnsi="Times New Roman" w:cs="Times New Roman"/>
                      <w:color w:val="000000"/>
                      <w:sz w:val="21"/>
                      <w:szCs w:val="21"/>
                      <w:vertAlign w:val="baseline"/>
                      <w:lang w:eastAsia="zh-CN"/>
                    </w:rPr>
                    <w:t>本项目有组织废气中氯化氢经废气处理设施处理，满足《制药工业大气污染物排放标准》(GB37823-2019)表2标准要求后排放;有组织废气中硫酸雾经废气处理设施处理，满足《大气污染物综合排放标准》(GB16297-1996)表2标准要求后排放；有组织废气中VOCs经废气处理设施处理，满足《挥发性有机物排放标准第7部分:其他行业》(DB37/2801.7-2019)表1“非重点行业”II时段最高允许排放浓度限值要求后排放。无组织氯化氢满足《制药工业大气污染物排放标准》(GB37823-2019)表4企业边界大气污染物浓度限值要求；无组织硫酸雾满足《大气污染物综合排放标准》(GB16297-1996)表2标准要求；无组织VOCs满足《挥发性有机物排放标准第7部分:其他行业》(DB37/28017-2019)表2监控点浓度限值和《挥发性有机物无组织排放控制标准》(GB37822-2019)标准要求。</w:t>
                  </w:r>
                </w:p>
              </w:tc>
              <w:tc>
                <w:tcPr>
                  <w:tcW w:w="1924" w:type="pct"/>
                  <w:tcBorders>
                    <w:tl2br w:val="nil"/>
                    <w:tr2bl w:val="nil"/>
                  </w:tcBorders>
                  <w:shd w:val="clear" w:color="auto" w:fill="auto"/>
                  <w:vAlign w:val="center"/>
                </w:tcPr>
                <w:p>
                  <w:pPr>
                    <w:pStyle w:val="3"/>
                    <w:snapToGrid w:val="0"/>
                    <w:spacing w:line="240" w:lineRule="auto"/>
                    <w:ind w:firstLine="0" w:firstLineChars="0"/>
                    <w:jc w:val="both"/>
                    <w:rPr>
                      <w:rFonts w:hint="eastAsia" w:ascii="Times New Roman" w:hAnsi="Times New Roman" w:cs="Times New Roman" w:eastAsiaTheme="minorEastAsia"/>
                      <w:sz w:val="21"/>
                      <w:szCs w:val="21"/>
                      <w:highlight w:val="none"/>
                      <w:lang w:eastAsia="zh-CN"/>
                    </w:rPr>
                  </w:pPr>
                  <w:r>
                    <w:rPr>
                      <w:rFonts w:hint="eastAsia" w:ascii="Times New Roman" w:hAnsi="Times New Roman" w:cs="Times New Roman" w:eastAsiaTheme="minorEastAsia"/>
                      <w:sz w:val="21"/>
                      <w:szCs w:val="21"/>
                      <w:highlight w:val="none"/>
                      <w:lang w:eastAsia="zh-CN"/>
                    </w:rPr>
                    <w:t>本项目合成反应操作均在通风橱中进行，通风橱呈负压状态，通过风机将挥发出来的气体吸入风管。合成过程产生会产生酸性废气和有机废气。</w:t>
                  </w:r>
                </w:p>
                <w:p>
                  <w:pPr>
                    <w:pStyle w:val="3"/>
                    <w:snapToGrid w:val="0"/>
                    <w:spacing w:line="240" w:lineRule="auto"/>
                    <w:ind w:firstLine="0" w:firstLineChars="0"/>
                    <w:jc w:val="both"/>
                    <w:rPr>
                      <w:rFonts w:hint="eastAsia" w:ascii="Times New Roman" w:hAnsi="Times New Roman" w:cs="Times New Roman" w:eastAsiaTheme="minorEastAsia"/>
                      <w:sz w:val="21"/>
                      <w:szCs w:val="21"/>
                      <w:highlight w:val="none"/>
                      <w:lang w:eastAsia="zh-CN"/>
                    </w:rPr>
                  </w:pPr>
                  <w:r>
                    <w:rPr>
                      <w:rFonts w:hint="eastAsia" w:ascii="Times New Roman" w:hAnsi="Times New Roman" w:cs="Times New Roman" w:eastAsiaTheme="minorEastAsia"/>
                      <w:sz w:val="21"/>
                      <w:szCs w:val="21"/>
                      <w:highlight w:val="none"/>
                      <w:lang w:eastAsia="zh-CN"/>
                    </w:rPr>
                    <w:t>①有组织废气：</w:t>
                  </w:r>
                </w:p>
                <w:p>
                  <w:pPr>
                    <w:pStyle w:val="3"/>
                    <w:snapToGrid w:val="0"/>
                    <w:spacing w:line="240" w:lineRule="auto"/>
                    <w:ind w:firstLine="0" w:firstLineChars="0"/>
                    <w:jc w:val="both"/>
                    <w:rPr>
                      <w:rFonts w:hint="eastAsia" w:ascii="Times New Roman" w:hAnsi="Times New Roman" w:cs="Times New Roman" w:eastAsiaTheme="minorEastAsia"/>
                      <w:sz w:val="21"/>
                      <w:szCs w:val="21"/>
                      <w:highlight w:val="none"/>
                      <w:lang w:eastAsia="zh-CN"/>
                    </w:rPr>
                  </w:pPr>
                  <w:r>
                    <w:rPr>
                      <w:rFonts w:hint="eastAsia" w:ascii="Times New Roman" w:hAnsi="Times New Roman" w:cs="Times New Roman" w:eastAsiaTheme="minorEastAsia"/>
                      <w:sz w:val="21"/>
                      <w:szCs w:val="21"/>
                      <w:highlight w:val="none"/>
                      <w:lang w:eastAsia="zh-CN"/>
                    </w:rPr>
                    <w:t>本项目一层实验室废气（有机、酸性）经通风橱、万向罩收集后经“1#碱喷淋+1#除雾器+1#活性炭吸附”处理，三层东侧实验室废气（有机、酸性）经通风橱、万向罩收集后经“2#碱喷淋+2#除雾器+2#活性炭吸附”处理，三层西侧实验室废气（有机、酸性）经通风橱、万向罩收集后经“3#碱喷淋+3#除雾器+3#活性炭吸附”处理，共同通过1根排气筒 DA001 排放（距地面27米）。危废暂存间废气引至一楼合成实验室废气处理装置“1#碱喷淋+1#除雾器+1#活性炭吸附”处理后通过排气筒DA001排放。</w:t>
                  </w:r>
                </w:p>
                <w:p>
                  <w:pPr>
                    <w:pStyle w:val="3"/>
                    <w:snapToGrid w:val="0"/>
                    <w:spacing w:line="240" w:lineRule="auto"/>
                    <w:ind w:firstLine="0" w:firstLineChars="0"/>
                    <w:jc w:val="both"/>
                    <w:rPr>
                      <w:rFonts w:hint="default" w:ascii="Times New Roman" w:hAnsi="Times New Roman" w:eastAsia="宋体" w:cs="Times New Roman"/>
                      <w:sz w:val="21"/>
                      <w:szCs w:val="21"/>
                      <w:highlight w:val="none"/>
                      <w:lang w:eastAsia="zh-CN"/>
                    </w:rPr>
                  </w:pPr>
                  <w:r>
                    <w:rPr>
                      <w:rFonts w:hint="eastAsia" w:ascii="Times New Roman" w:hAnsi="Times New Roman" w:cs="Times New Roman" w:eastAsiaTheme="minorEastAsia"/>
                      <w:sz w:val="21"/>
                      <w:szCs w:val="21"/>
                      <w:highlight w:val="none"/>
                      <w:lang w:eastAsia="zh-CN"/>
                    </w:rPr>
                    <w:t>本项目二层东侧实验室废气（有机</w:t>
                  </w:r>
                  <w:r>
                    <w:rPr>
                      <w:rFonts w:hint="default" w:ascii="Times New Roman" w:hAnsi="Times New Roman" w:eastAsia="宋体" w:cs="Times New Roman"/>
                      <w:sz w:val="21"/>
                      <w:szCs w:val="21"/>
                      <w:highlight w:val="none"/>
                      <w:lang w:eastAsia="zh-CN"/>
                    </w:rPr>
                    <w:t>）经通风橱、万向罩收集后经“1#一级活性炭吸附”处理，二层西侧实验室废气（有机）经通风橱、万向罩收集后经“2#一级活性炭吸附”处理，共同通过1根排气筒 DA002排放（距地面27米）。</w:t>
                  </w:r>
                </w:p>
                <w:p>
                  <w:pPr>
                    <w:pStyle w:val="3"/>
                    <w:snapToGrid w:val="0"/>
                    <w:spacing w:line="240" w:lineRule="auto"/>
                    <w:ind w:firstLine="0" w:firstLineChars="0"/>
                    <w:jc w:val="both"/>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本项目四层合成实验室废气（有机）经通风橱、万向罩收集后经“两级活性炭吸附”处理后通过（距地面29米）DA003排气筒排放。</w:t>
                  </w:r>
                </w:p>
                <w:p>
                  <w:pPr>
                    <w:pStyle w:val="3"/>
                    <w:snapToGrid w:val="0"/>
                    <w:spacing w:line="240" w:lineRule="auto"/>
                    <w:ind w:firstLine="0" w:firstLineChars="0"/>
                    <w:jc w:val="both"/>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②无组织废气：</w:t>
                  </w:r>
                </w:p>
                <w:p>
                  <w:pPr>
                    <w:pStyle w:val="3"/>
                    <w:snapToGrid w:val="0"/>
                    <w:spacing w:line="240" w:lineRule="auto"/>
                    <w:ind w:firstLine="0" w:firstLineChars="0"/>
                    <w:jc w:val="both"/>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未被收集的实验室废气等，实验室通风后无组织排放。</w:t>
                  </w:r>
                </w:p>
                <w:p>
                  <w:pPr>
                    <w:pStyle w:val="22"/>
                    <w:spacing w:line="240" w:lineRule="auto"/>
                    <w:ind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验收监测期间，一层、三层合成实验室废气排气筒DA001中主要污染物VOCs最高排放浓度为</w:t>
                  </w:r>
                  <w:r>
                    <w:rPr>
                      <w:rFonts w:hint="default" w:ascii="Times New Roman" w:hAnsi="Times New Roman" w:eastAsia="宋体" w:cs="Times New Roman"/>
                      <w:color w:val="auto"/>
                      <w:sz w:val="21"/>
                      <w:szCs w:val="21"/>
                      <w:highlight w:val="none"/>
                      <w:lang w:val="en-US" w:eastAsia="zh-CN"/>
                    </w:rPr>
                    <w:t>1.79</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0.150</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color w:val="auto"/>
                      <w:sz w:val="21"/>
                      <w:szCs w:val="21"/>
                      <w:highlight w:val="none"/>
                      <w:lang w:eastAsia="zh-CN"/>
                    </w:rPr>
                    <w:t>甲苯</w:t>
                  </w:r>
                  <w:r>
                    <w:rPr>
                      <w:rFonts w:hint="default" w:ascii="Times New Roman" w:hAnsi="Times New Roman" w:eastAsia="宋体" w:cs="Times New Roman"/>
                      <w:color w:val="auto"/>
                      <w:sz w:val="21"/>
                      <w:szCs w:val="21"/>
                      <w:highlight w:val="none"/>
                    </w:rPr>
                    <w:t>最高排放浓度为</w:t>
                  </w:r>
                  <w:r>
                    <w:rPr>
                      <w:rFonts w:hint="default" w:ascii="Times New Roman" w:hAnsi="Times New Roman" w:eastAsia="宋体" w:cs="Times New Roman"/>
                      <w:color w:val="auto"/>
                      <w:sz w:val="21"/>
                      <w:szCs w:val="21"/>
                      <w:highlight w:val="none"/>
                      <w:lang w:val="en-US" w:eastAsia="zh-CN"/>
                    </w:rPr>
                    <w:t>0.141</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0.013</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sz w:val="21"/>
                      <w:szCs w:val="21"/>
                      <w:lang w:eastAsia="zh-CN"/>
                    </w:rPr>
                    <w:t>排放浓度、排放速率均满足《挥发性有机物排放标准第 7 部分：其他行业》（DB37/2801.7-2019） 表 1“非重点行业”II 时段最高允许排放浓度限值。</w:t>
                  </w:r>
                  <w:r>
                    <w:rPr>
                      <w:rFonts w:hint="default" w:ascii="Times New Roman" w:hAnsi="Times New Roman" w:eastAsia="宋体" w:cs="Times New Roman"/>
                      <w:color w:val="auto"/>
                      <w:sz w:val="21"/>
                      <w:szCs w:val="21"/>
                      <w:highlight w:val="none"/>
                      <w:lang w:eastAsia="zh-CN"/>
                    </w:rPr>
                    <w:t>氯化氢</w:t>
                  </w:r>
                  <w:r>
                    <w:rPr>
                      <w:rFonts w:hint="default" w:ascii="Times New Roman" w:hAnsi="Times New Roman" w:eastAsia="宋体" w:cs="Times New Roman"/>
                      <w:color w:val="auto"/>
                      <w:sz w:val="21"/>
                      <w:szCs w:val="21"/>
                      <w:highlight w:val="none"/>
                    </w:rPr>
                    <w:t>最高排放浓度为</w:t>
                  </w:r>
                  <w:r>
                    <w:rPr>
                      <w:rFonts w:hint="default" w:ascii="Times New Roman" w:hAnsi="Times New Roman" w:eastAsia="宋体" w:cs="Times New Roman"/>
                      <w:color w:val="auto"/>
                      <w:sz w:val="21"/>
                      <w:szCs w:val="21"/>
                      <w:highlight w:val="none"/>
                      <w:lang w:val="en-US" w:eastAsia="zh-CN"/>
                    </w:rPr>
                    <w:t>2.8</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0.235</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sz w:val="21"/>
                      <w:szCs w:val="21"/>
                      <w:lang w:eastAsia="zh-CN"/>
                    </w:rPr>
                    <w:t>排放浓度满足《制药工业大气污染物排放标准》（GB37823-2019）表 2 标准。二层合成实验室废气排气筒DA002</w:t>
                  </w:r>
                  <w:r>
                    <w:rPr>
                      <w:rFonts w:hint="default" w:ascii="Times New Roman" w:hAnsi="Times New Roman" w:eastAsia="宋体" w:cs="Times New Roman"/>
                      <w:color w:val="auto"/>
                      <w:sz w:val="21"/>
                      <w:szCs w:val="21"/>
                      <w:highlight w:val="none"/>
                    </w:rPr>
                    <w:t>中主要污染物VOCs最高排放浓度为</w:t>
                  </w:r>
                  <w:r>
                    <w:rPr>
                      <w:rFonts w:hint="default" w:ascii="Times New Roman" w:hAnsi="Times New Roman" w:eastAsia="宋体" w:cs="Times New Roman"/>
                      <w:color w:val="auto"/>
                      <w:sz w:val="21"/>
                      <w:szCs w:val="21"/>
                      <w:highlight w:val="none"/>
                      <w:lang w:val="en-US" w:eastAsia="zh-CN"/>
                    </w:rPr>
                    <w:t>1.78</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0.134</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color w:val="auto"/>
                      <w:sz w:val="21"/>
                      <w:szCs w:val="21"/>
                      <w:highlight w:val="none"/>
                      <w:lang w:eastAsia="zh-CN"/>
                    </w:rPr>
                    <w:t>甲苯</w:t>
                  </w:r>
                  <w:r>
                    <w:rPr>
                      <w:rFonts w:hint="default" w:ascii="Times New Roman" w:hAnsi="Times New Roman" w:eastAsia="宋体" w:cs="Times New Roman"/>
                      <w:color w:val="auto"/>
                      <w:sz w:val="21"/>
                      <w:szCs w:val="21"/>
                      <w:highlight w:val="none"/>
                    </w:rPr>
                    <w:t>最高排放浓度为</w:t>
                  </w:r>
                  <w:r>
                    <w:rPr>
                      <w:rFonts w:hint="default" w:ascii="Times New Roman" w:hAnsi="Times New Roman" w:eastAsia="宋体" w:cs="Times New Roman"/>
                      <w:color w:val="auto"/>
                      <w:sz w:val="21"/>
                      <w:szCs w:val="21"/>
                      <w:highlight w:val="none"/>
                      <w:lang w:val="en-US" w:eastAsia="zh-CN"/>
                    </w:rPr>
                    <w:t>0.132</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0.010</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sz w:val="21"/>
                      <w:szCs w:val="21"/>
                      <w:lang w:eastAsia="zh-CN"/>
                    </w:rPr>
                    <w:t>排放浓度、排放速率均满足《挥发性有机物排放标准第 7 部分：其他行业》（DB37/2801.7-2019） 表 1“非重点行业”II 时段最高允许排放浓度限值。四层合成实验室废气排气筒DA003</w:t>
                  </w:r>
                  <w:r>
                    <w:rPr>
                      <w:rFonts w:hint="default" w:ascii="Times New Roman" w:hAnsi="Times New Roman" w:eastAsia="宋体" w:cs="Times New Roman"/>
                      <w:color w:val="auto"/>
                      <w:sz w:val="21"/>
                      <w:szCs w:val="21"/>
                      <w:highlight w:val="none"/>
                    </w:rPr>
                    <w:t>中主要污染物VOCs最高排放浓度为</w:t>
                  </w:r>
                  <w:r>
                    <w:rPr>
                      <w:rFonts w:hint="default" w:ascii="Times New Roman" w:hAnsi="Times New Roman" w:eastAsia="宋体" w:cs="Times New Roman"/>
                      <w:color w:val="auto"/>
                      <w:sz w:val="21"/>
                      <w:szCs w:val="21"/>
                      <w:highlight w:val="none"/>
                      <w:lang w:val="en-US" w:eastAsia="zh-CN"/>
                    </w:rPr>
                    <w:t>1.77</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w:t>
                  </w:r>
                  <w:r>
                    <w:rPr>
                      <w:rFonts w:hint="default" w:ascii="Times New Roman" w:hAnsi="Times New Roman" w:eastAsia="宋体" w:cs="Times New Roman"/>
                      <w:color w:val="auto"/>
                      <w:sz w:val="21"/>
                      <w:szCs w:val="21"/>
                      <w:highlight w:val="none"/>
                      <w:lang w:val="en-US" w:eastAsia="zh-CN"/>
                    </w:rPr>
                    <w:t>0.083</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color w:val="auto"/>
                      <w:sz w:val="21"/>
                      <w:szCs w:val="21"/>
                      <w:highlight w:val="none"/>
                      <w:lang w:eastAsia="zh-CN"/>
                    </w:rPr>
                    <w:t>甲苯</w:t>
                  </w:r>
                  <w:r>
                    <w:rPr>
                      <w:rFonts w:hint="default" w:ascii="Times New Roman" w:hAnsi="Times New Roman" w:eastAsia="宋体" w:cs="Times New Roman"/>
                      <w:color w:val="auto"/>
                      <w:sz w:val="21"/>
                      <w:szCs w:val="21"/>
                      <w:highlight w:val="none"/>
                    </w:rPr>
                    <w:t>最高排放浓度为</w:t>
                  </w:r>
                  <w:r>
                    <w:rPr>
                      <w:rFonts w:hint="default" w:ascii="Times New Roman" w:hAnsi="Times New Roman" w:eastAsia="宋体" w:cs="Times New Roman"/>
                      <w:color w:val="auto"/>
                      <w:sz w:val="21"/>
                      <w:szCs w:val="21"/>
                      <w:highlight w:val="none"/>
                      <w:lang w:val="en-US" w:eastAsia="zh-CN"/>
                    </w:rPr>
                    <w:t>0.121</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，最高排放速率为5.6×10</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kg/h ，</w:t>
                  </w:r>
                  <w:r>
                    <w:rPr>
                      <w:rFonts w:hint="default" w:ascii="Times New Roman" w:hAnsi="Times New Roman" w:eastAsia="宋体" w:cs="Times New Roman"/>
                      <w:sz w:val="21"/>
                      <w:szCs w:val="21"/>
                      <w:lang w:eastAsia="zh-CN"/>
                    </w:rPr>
                    <w:t>排放浓度、排放速率均满足《挥发性有机物排放标准第 7 部分：其他行业》（DB37/2801.7-2019） 表 1“非重点行业”II 时段最高允许排放浓度限值。</w:t>
                  </w:r>
                </w:p>
                <w:p>
                  <w:pPr>
                    <w:pStyle w:val="22"/>
                    <w:spacing w:line="240" w:lineRule="auto"/>
                    <w:ind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验收监测期间，厂界无组织排放的VOCs周界外浓度最高点浓度为</w:t>
                  </w:r>
                  <w:r>
                    <w:rPr>
                      <w:rFonts w:hint="default" w:ascii="Times New Roman" w:hAnsi="Times New Roman" w:eastAsia="宋体" w:cs="Times New Roman"/>
                      <w:color w:val="auto"/>
                      <w:sz w:val="21"/>
                      <w:szCs w:val="21"/>
                      <w:highlight w:val="none"/>
                      <w:lang w:val="en-US" w:eastAsia="zh-CN"/>
                    </w:rPr>
                    <w:t>1.26</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甲苯为未检出，</w:t>
                  </w:r>
                  <w:r>
                    <w:rPr>
                      <w:rFonts w:hint="default" w:ascii="Times New Roman" w:hAnsi="Times New Roman" w:eastAsia="宋体" w:cs="Times New Roman"/>
                      <w:sz w:val="21"/>
                      <w:szCs w:val="21"/>
                      <w:lang w:eastAsia="zh-CN"/>
                    </w:rPr>
                    <w:t>满足《挥发性有机物排放标准第 7 部分：其他行业》（DB37/2801.7-2019）表 2 监控点浓度限值要求。氯化氢为未检出，满足《制药工业大气污染物排放标准》（GB37823-2019） 表 4 企业边界大气污染物浓度限值要求。</w:t>
                  </w:r>
                </w:p>
                <w:p>
                  <w:pPr>
                    <w:pStyle w:val="22"/>
                    <w:spacing w:line="240" w:lineRule="auto"/>
                    <w:ind w:firstLine="0" w:firstLineChars="0"/>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车间外通风口下风向1m处非甲烷总烃最大1h平均浓度值为1.4</w:t>
                  </w:r>
                  <w:r>
                    <w:rPr>
                      <w:rFonts w:hint="default" w:ascii="Times New Roman" w:hAnsi="Times New Roman" w:eastAsia="宋体" w:cs="Times New Roman"/>
                      <w:color w:val="auto"/>
                      <w:sz w:val="21"/>
                      <w:szCs w:val="21"/>
                      <w:highlight w:val="none"/>
                      <w:lang w:val="en-US" w:eastAsia="zh-CN"/>
                    </w:rPr>
                    <w:t>0</w:t>
                  </w:r>
                  <w:r>
                    <w:rPr>
                      <w:rFonts w:hint="default" w:ascii="Times New Roman" w:hAnsi="Times New Roman" w:eastAsia="宋体" w:cs="Times New Roman"/>
                      <w:color w:val="auto"/>
                      <w:sz w:val="21"/>
                      <w:szCs w:val="21"/>
                      <w:highlight w:val="none"/>
                    </w:rPr>
                    <w:t>mg/</w:t>
                  </w:r>
                  <w:r>
                    <w:rPr>
                      <w:rFonts w:hint="eastAsia" w:ascii="Times New Roman" w:hAnsi="Times New Roman" w:cs="Times New Roman"/>
                      <w:color w:val="auto"/>
                      <w:sz w:val="21"/>
                      <w:szCs w:val="21"/>
                      <w:highlight w:val="none"/>
                      <w:lang w:eastAsia="zh-CN"/>
                    </w:rPr>
                    <w:t>m³</w:t>
                  </w:r>
                  <w:r>
                    <w:rPr>
                      <w:rFonts w:hint="default" w:ascii="Times New Roman" w:hAnsi="Times New Roman" w:eastAsia="宋体" w:cs="Times New Roman"/>
                      <w:color w:val="auto"/>
                      <w:sz w:val="21"/>
                      <w:szCs w:val="21"/>
                      <w:highlight w:val="none"/>
                    </w:rPr>
                    <w:t>，满足</w:t>
                  </w:r>
                  <w:r>
                    <w:rPr>
                      <w:rFonts w:hint="default" w:ascii="Times New Roman" w:hAnsi="Times New Roman" w:eastAsia="宋体" w:cs="Times New Roman"/>
                      <w:bCs/>
                      <w:color w:val="auto"/>
                      <w:sz w:val="21"/>
                      <w:szCs w:val="21"/>
                      <w:highlight w:val="none"/>
                    </w:rPr>
                    <w:t>《挥发性有机物无组织排放控制标准》（GB37822-2019）的附录A中表A.1限值要求。</w:t>
                  </w:r>
                </w:p>
                <w:p>
                  <w:pPr>
                    <w:pStyle w:val="12"/>
                    <w:spacing w:line="240" w:lineRule="auto"/>
                    <w:ind w:firstLine="0" w:firstLineChars="0"/>
                    <w:rPr>
                      <w:rFonts w:ascii="Times New Roman" w:hAnsi="Times New Roman"/>
                      <w:color w:val="auto"/>
                      <w:sz w:val="21"/>
                      <w:szCs w:val="21"/>
                      <w:highlight w:val="none"/>
                    </w:rPr>
                  </w:pP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hint="default" w:ascii="Times New Roman" w:hAnsi="Times New Roman" w:cs="Times New Roman"/>
                      <w:sz w:val="21"/>
                      <w:szCs w:val="21"/>
                      <w:vertAlign w:val="baseline"/>
                      <w:lang w:eastAsia="zh-CN"/>
                    </w:rPr>
                    <w:t>已落实</w:t>
                  </w:r>
                  <w:r>
                    <w:rPr>
                      <w:rFonts w:hint="eastAsia" w:ascii="Times New Roman" w:hAnsi="Times New Roman" w:cs="Times New Roman"/>
                      <w:sz w:val="21"/>
                      <w:szCs w:val="21"/>
                      <w:vertAlign w:val="baseline"/>
                      <w:lang w:eastAsia="zh-CN"/>
                    </w:rPr>
                    <w:t>，</w:t>
                  </w:r>
                  <w:r>
                    <w:rPr>
                      <w:rFonts w:hint="default" w:ascii="Times New Roman" w:hAnsi="Times New Roman" w:cs="Times New Roman"/>
                      <w:sz w:val="21"/>
                      <w:szCs w:val="21"/>
                      <w:vertAlign w:val="baseline"/>
                      <w:lang w:eastAsia="zh-CN"/>
                    </w:rPr>
                    <w:t>一层、三层废气环保措施由环评中“两级活性炭吸附”变更为实际安装3套“碱喷淋+除雾器+活性炭吸附”，分别处理一层废气、三层东侧废气和三层西侧废气，二层废气环保措施由环评中“两级活性炭吸附”变更为实际安装2套“一级活性炭吸附”，分别处理二楼东侧废气和二楼西侧废气，总风量未发生变化，排气筒数量未发生变化，污染物排放总量未发生变化；DA003高度由环评中距地面27米，实际建设为距地面29米，应属于污染防治措施强化、改进</w:t>
                  </w:r>
                  <w:r>
                    <w:rPr>
                      <w:rFonts w:hint="eastAsia" w:ascii="Times New Roman" w:hAnsi="Times New Roman" w:cs="Times New Roman"/>
                      <w:sz w:val="21"/>
                      <w:szCs w:val="21"/>
                      <w:vertAlign w:val="baseline"/>
                      <w:lang w:eastAsia="zh-CN"/>
                    </w:rPr>
                    <w:t>；调试验收监测期间，无水硫酸钠、无水硫酸镁暂未使用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8" w:hRule="atLeast"/>
              </w:trPr>
              <w:tc>
                <w:tcPr>
                  <w:tcW w:w="370"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废水</w:t>
                  </w:r>
                </w:p>
              </w:tc>
              <w:tc>
                <w:tcPr>
                  <w:tcW w:w="1903" w:type="pct"/>
                  <w:tcBorders>
                    <w:tl2br w:val="nil"/>
                    <w:tr2bl w:val="nil"/>
                  </w:tcBorders>
                  <w:shd w:val="clear" w:color="auto" w:fill="auto"/>
                  <w:vAlign w:val="center"/>
                </w:tcPr>
                <w:p>
                  <w:pPr>
                    <w:spacing w:line="240" w:lineRule="auto"/>
                    <w:ind w:firstLine="0" w:firstLineChars="0"/>
                    <w:jc w:val="both"/>
                    <w:rPr>
                      <w:color w:val="auto"/>
                      <w:sz w:val="21"/>
                      <w:szCs w:val="21"/>
                      <w:highlight w:val="none"/>
                    </w:rPr>
                  </w:pPr>
                  <w:r>
                    <w:rPr>
                      <w:rFonts w:hint="default" w:ascii="Times New Roman" w:hAnsi="Times New Roman" w:cs="Times New Roman"/>
                      <w:sz w:val="21"/>
                      <w:szCs w:val="21"/>
                      <w:vertAlign w:val="baseline"/>
                      <w:lang w:eastAsia="zh-CN"/>
                    </w:rPr>
                    <w:t>项目生活污水、地面清洁废水、深度清洗废水经银丰国际生物城内污水处理站处理，满足《污水排入城镇下水道水质标准》(GB/T31962-2015)标准要求后，经市政污水管网排入巨野河污水处理厂。</w:t>
                  </w:r>
                </w:p>
              </w:tc>
              <w:tc>
                <w:tcPr>
                  <w:tcW w:w="1924" w:type="pct"/>
                  <w:tcBorders>
                    <w:tl2br w:val="nil"/>
                    <w:tr2bl w:val="nil"/>
                  </w:tcBorders>
                  <w:shd w:val="clear" w:color="auto" w:fill="auto"/>
                  <w:vAlign w:val="center"/>
                </w:tcPr>
                <w:p>
                  <w:pPr>
                    <w:spacing w:line="240" w:lineRule="auto"/>
                    <w:ind w:firstLine="0" w:firstLineChars="0"/>
                    <w:jc w:val="both"/>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本项目地面清洗废水、深度清洗废水等生产废水、生活污水符合接管标准后通过园区污水管网直接排入济南银丰国际生物城污水处理站，经污水处理站处理满足《污水排入城镇下水道水质标准》（GB/T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sz w:val="21"/>
                      <w:szCs w:val="21"/>
                      <w:vertAlign w:val="baseline"/>
                      <w:lang w:eastAsia="zh-CN"/>
                    </w:rPr>
                    <w:t>表1的A等</w:t>
                  </w:r>
                  <w:r>
                    <w:rPr>
                      <w:rFonts w:hint="default" w:ascii="Times New Roman" w:hAnsi="Times New Roman" w:cs="Times New Roman"/>
                      <w:sz w:val="21"/>
                      <w:szCs w:val="21"/>
                      <w:vertAlign w:val="baseline"/>
                      <w:lang w:eastAsia="zh-CN"/>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spacing w:line="240" w:lineRule="auto"/>
                    <w:ind w:firstLine="0" w:firstLineChars="0"/>
                    <w:jc w:val="both"/>
                    <w:rPr>
                      <w:color w:val="auto"/>
                      <w:sz w:val="21"/>
                      <w:szCs w:val="21"/>
                      <w:highlight w:val="none"/>
                    </w:rPr>
                  </w:pPr>
                  <w:r>
                    <w:rPr>
                      <w:rFonts w:hint="eastAsia" w:cs="Times New Roman"/>
                      <w:sz w:val="21"/>
                      <w:szCs w:val="21"/>
                      <w:vertAlign w:val="baseline"/>
                      <w:lang w:eastAsia="zh-CN"/>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31962-2015）表1中A级标准。</w:t>
                  </w: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0" w:hRule="atLeast"/>
              </w:trPr>
              <w:tc>
                <w:tcPr>
                  <w:tcW w:w="370"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噪声</w:t>
                  </w:r>
                </w:p>
              </w:tc>
              <w:tc>
                <w:tcPr>
                  <w:tcW w:w="1903" w:type="pct"/>
                  <w:tcBorders>
                    <w:tl2br w:val="nil"/>
                    <w:tr2bl w:val="nil"/>
                  </w:tcBorders>
                  <w:shd w:val="clear" w:color="auto" w:fill="auto"/>
                  <w:vAlign w:val="center"/>
                </w:tcPr>
                <w:p>
                  <w:pPr>
                    <w:spacing w:line="240" w:lineRule="auto"/>
                    <w:ind w:firstLine="0" w:firstLineChars="0"/>
                    <w:jc w:val="both"/>
                    <w:rPr>
                      <w:color w:val="auto"/>
                      <w:sz w:val="21"/>
                      <w:szCs w:val="21"/>
                      <w:highlight w:val="none"/>
                    </w:rPr>
                  </w:pPr>
                  <w:r>
                    <w:rPr>
                      <w:rFonts w:hint="default" w:ascii="Times New Roman" w:hAnsi="Times New Roman" w:cs="Times New Roman"/>
                      <w:sz w:val="21"/>
                      <w:szCs w:val="21"/>
                      <w:vertAlign w:val="baseline"/>
                      <w:lang w:eastAsia="zh-CN"/>
                    </w:rPr>
                    <w:t>合理布置各类噪声源，并采取消音、隔声、减震等降噪措施，确保厂界噪声达到《工业企业厂界环境噪声排放标准》(GB12348-2008)2类标准要求。</w:t>
                  </w:r>
                </w:p>
              </w:tc>
              <w:tc>
                <w:tcPr>
                  <w:tcW w:w="1924" w:type="pct"/>
                  <w:tcBorders>
                    <w:tl2br w:val="nil"/>
                    <w:tr2bl w:val="nil"/>
                  </w:tcBorders>
                  <w:shd w:val="clear" w:color="auto" w:fill="auto"/>
                  <w:vAlign w:val="center"/>
                </w:tcPr>
                <w:p>
                  <w:pPr>
                    <w:numPr>
                      <w:ilvl w:val="-1"/>
                      <w:numId w:val="0"/>
                    </w:numPr>
                    <w:spacing w:line="240" w:lineRule="auto"/>
                    <w:ind w:firstLine="0" w:firstLineChars="0"/>
                    <w:jc w:val="both"/>
                    <w:rPr>
                      <w:rFonts w:hint="default" w:ascii="Times New Roman" w:hAnsi="Times New Roman" w:cs="Times New Roman"/>
                      <w:sz w:val="21"/>
                      <w:szCs w:val="21"/>
                      <w:vertAlign w:val="baseline"/>
                      <w:lang w:eastAsia="zh-CN"/>
                    </w:rPr>
                  </w:pPr>
                  <w:r>
                    <w:rPr>
                      <w:rFonts w:hint="eastAsia" w:cs="Times New Roman"/>
                      <w:sz w:val="21"/>
                      <w:szCs w:val="21"/>
                      <w:vertAlign w:val="baseline"/>
                      <w:lang w:eastAsia="zh-CN"/>
                    </w:rPr>
                    <w:t>本项目噪声源主要来自实验室设备运行产生的噪声</w:t>
                  </w:r>
                  <w:r>
                    <w:rPr>
                      <w:rFonts w:hint="default" w:ascii="Times New Roman" w:hAnsi="Times New Roman" w:cs="Times New Roman"/>
                      <w:sz w:val="21"/>
                      <w:szCs w:val="21"/>
                      <w:vertAlign w:val="baseline"/>
                      <w:lang w:eastAsia="zh-CN"/>
                    </w:rPr>
                    <w:t>。本项目</w:t>
                  </w:r>
                  <w:r>
                    <w:rPr>
                      <w:rFonts w:hint="eastAsia" w:cs="Times New Roman"/>
                      <w:sz w:val="21"/>
                      <w:szCs w:val="21"/>
                      <w:vertAlign w:val="baseline"/>
                      <w:lang w:eastAsia="zh-CN"/>
                    </w:rPr>
                    <w:t>采取</w:t>
                  </w:r>
                  <w:r>
                    <w:rPr>
                      <w:rFonts w:hint="default" w:ascii="Times New Roman" w:hAnsi="Times New Roman" w:cs="Times New Roman"/>
                      <w:sz w:val="21"/>
                      <w:szCs w:val="21"/>
                      <w:vertAlign w:val="baseline"/>
                      <w:lang w:eastAsia="zh-CN"/>
                    </w:rPr>
                    <w:t>实验设备均布置于室内，采取门窗、墙体隔声，全部设备均选用低噪声设备并采取减振措施。加强管理，经常保养和维护机械设备避免设备在不良状态下运行</w:t>
                  </w:r>
                  <w:r>
                    <w:rPr>
                      <w:rFonts w:hint="eastAsia" w:cs="Times New Roman"/>
                      <w:sz w:val="21"/>
                      <w:szCs w:val="21"/>
                      <w:vertAlign w:val="baseline"/>
                      <w:lang w:eastAsia="zh-CN"/>
                    </w:rPr>
                    <w:t>等措施</w:t>
                  </w:r>
                  <w:r>
                    <w:rPr>
                      <w:rFonts w:hint="default" w:ascii="Times New Roman" w:hAnsi="Times New Roman" w:cs="Times New Roman"/>
                      <w:sz w:val="21"/>
                      <w:szCs w:val="21"/>
                      <w:vertAlign w:val="baseline"/>
                      <w:lang w:eastAsia="zh-CN"/>
                    </w:rPr>
                    <w:t>。</w:t>
                  </w:r>
                </w:p>
                <w:p>
                  <w:pPr>
                    <w:numPr>
                      <w:ilvl w:val="-1"/>
                      <w:numId w:val="0"/>
                    </w:numPr>
                    <w:spacing w:line="240" w:lineRule="auto"/>
                    <w:ind w:left="0" w:leftChars="0" w:firstLine="0" w:firstLineChars="0"/>
                    <w:jc w:val="both"/>
                    <w:rPr>
                      <w:color w:val="auto"/>
                      <w:sz w:val="21"/>
                      <w:szCs w:val="21"/>
                      <w:highlight w:val="none"/>
                    </w:rPr>
                  </w:pPr>
                  <w:r>
                    <w:rPr>
                      <w:rFonts w:hint="eastAsia" w:cs="Times New Roman"/>
                      <w:sz w:val="21"/>
                      <w:szCs w:val="21"/>
                      <w:vertAlign w:val="baseline"/>
                      <w:lang w:eastAsia="zh-CN"/>
                    </w:rPr>
                    <w:t>验收监测期间，项目1#东厂界、2#南厂界、3#西厂界、4#北偏西厂界、5#北偏东厂界，昼间厂界噪声最大值分别为57.4dB（A）、57.2dB（A）、57.0dB（A）、57.8dB（A）、57.2dB（A），均满足《工业企业厂界环境噪声排放标准》(GB12348-2008)2类昼间标准。项目夜间不运行。</w:t>
                  </w: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hint="default" w:ascii="Times New Roman" w:hAnsi="Times New Roman" w:cs="Times New Roman"/>
                      <w:sz w:val="21"/>
                      <w:szCs w:val="21"/>
                      <w:vertAlign w:val="baseline"/>
                      <w:lang w:eastAsia="zh-CN"/>
                    </w:rPr>
                    <w:t>已落实，无变更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b/>
                      <w:bCs/>
                      <w:color w:val="auto"/>
                      <w:sz w:val="21"/>
                      <w:szCs w:val="21"/>
                      <w:highlight w:val="none"/>
                    </w:rPr>
                  </w:pPr>
                  <w:r>
                    <w:rPr>
                      <w:rFonts w:ascii="Times New Roman" w:hAnsi="Times New Roman"/>
                      <w:b/>
                      <w:bCs/>
                      <w:color w:val="auto"/>
                      <w:sz w:val="21"/>
                      <w:szCs w:val="21"/>
                      <w:highlight w:val="none"/>
                    </w:rPr>
                    <w:t>固废</w:t>
                  </w:r>
                </w:p>
              </w:tc>
              <w:tc>
                <w:tcPr>
                  <w:tcW w:w="1903"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default" w:ascii="Times New Roman" w:hAnsi="Times New Roman" w:cs="Times New Roman"/>
                      <w:sz w:val="21"/>
                      <w:szCs w:val="21"/>
                      <w:vertAlign w:val="baseline"/>
                      <w:lang w:eastAsia="zh-CN"/>
                    </w:rPr>
                    <w:t>项目一般废包装物、一次性口罩、手套综合利用。生活垃圾由环卫部门定期清运。建设危险废物贮存场所，实验废物、实验废液、过期试剂、废活性炭(每年更换一次)、废吸附剂、废干燥剂、废催化剂等危险废物委托有资质的单位处置。</w:t>
                  </w:r>
                </w:p>
              </w:tc>
              <w:tc>
                <w:tcPr>
                  <w:tcW w:w="1924" w:type="pct"/>
                  <w:tcBorders>
                    <w:tl2br w:val="nil"/>
                    <w:tr2bl w:val="nil"/>
                  </w:tcBorders>
                  <w:shd w:val="clear" w:color="auto" w:fill="auto"/>
                  <w:vAlign w:val="center"/>
                </w:tcPr>
                <w:p>
                  <w:pPr>
                    <w:spacing w:line="240" w:lineRule="auto"/>
                    <w:ind w:firstLine="0" w:firstLineChars="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项目生产过程中产生的固体废物包括危险废物和一般固废。危险废物主要包括：实验废物、合成实验废液、初洗废液和二次清洗废液、质检废液、过期试剂、废活性炭、废催化剂、废干燥剂、废吸附剂；一般固废主要包括：废包装物、一次性口罩手套和生活垃圾。</w:t>
                  </w:r>
                </w:p>
                <w:p>
                  <w:pPr>
                    <w:spacing w:line="240" w:lineRule="auto"/>
                    <w:ind w:firstLine="0" w:firstLineChars="0"/>
                    <w:jc w:val="left"/>
                    <w:rPr>
                      <w:rFonts w:hint="default" w:ascii="Times New Roman" w:hAnsi="Times New Roman" w:cs="Times New Roman"/>
                      <w:sz w:val="21"/>
                      <w:szCs w:val="21"/>
                      <w:vertAlign w:val="baseline"/>
                      <w:lang w:eastAsia="zh-CN"/>
                    </w:rPr>
                  </w:pPr>
                  <w:r>
                    <w:rPr>
                      <w:rFonts w:hint="default" w:ascii="Times New Roman" w:hAnsi="Times New Roman" w:cs="Times New Roman"/>
                      <w:sz w:val="21"/>
                      <w:szCs w:val="21"/>
                      <w:vertAlign w:val="baseline"/>
                      <w:lang w:eastAsia="zh-CN"/>
                    </w:rPr>
                    <w:t>实验废物、合成实验废液、初洗废液和二次清洗废液、质检废液、过期试剂、废活性炭、废催化剂、废干燥剂、废吸附剂、喷淋塔废液（水质指标不符合济南银丰国际生物城污水处理站进水水质要求的）收集后暂存于危废间，委托有山东环沃环保科技有限公司、济南德正环保科技有限公司处置；废包装物、一次性口罩手套收集后外售资源回收部门，生活垃圾由环卫部门定期清运。</w:t>
                  </w:r>
                </w:p>
                <w:p>
                  <w:pPr>
                    <w:spacing w:line="240" w:lineRule="auto"/>
                    <w:ind w:firstLine="0" w:firstLineChars="0"/>
                    <w:jc w:val="left"/>
                    <w:rPr>
                      <w:color w:val="auto"/>
                      <w:sz w:val="21"/>
                      <w:szCs w:val="21"/>
                      <w:highlight w:val="none"/>
                    </w:rPr>
                  </w:pPr>
                  <w:r>
                    <w:rPr>
                      <w:rFonts w:hint="default" w:ascii="Times New Roman" w:hAnsi="Times New Roman" w:cs="Times New Roman"/>
                      <w:sz w:val="21"/>
                      <w:szCs w:val="21"/>
                      <w:vertAlign w:val="baseline"/>
                      <w:lang w:eastAsia="zh-CN"/>
                    </w:rPr>
                    <w:t>一般固废的处置符合《一般工业固体废物贮存和填埋污染控制标准》(GB18599-2020)的要求，危险废物的处理措施和处置方案满足《危险废物贮存污染控制标准》（GB18597-2001）及修改单要求。</w:t>
                  </w: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hint="default" w:ascii="Times New Roman" w:hAnsi="Times New Roman" w:cs="Times New Roman"/>
                      <w:sz w:val="21"/>
                      <w:szCs w:val="21"/>
                      <w:vertAlign w:val="baseline"/>
                      <w:lang w:eastAsia="zh-CN"/>
                    </w:rPr>
                    <w:t>已落实，识别危废：水质指标不符合济南银丰国际生物城污水处理站进水水质要求的喷淋塔废液，委托有资质单位处置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370" w:type="pct"/>
                  <w:tcBorders>
                    <w:tl2br w:val="nil"/>
                    <w:tr2bl w:val="nil"/>
                  </w:tcBorders>
                  <w:shd w:val="clear" w:color="auto" w:fill="auto"/>
                  <w:vAlign w:val="center"/>
                </w:tcPr>
                <w:p>
                  <w:pPr>
                    <w:pStyle w:val="22"/>
                    <w:spacing w:line="240" w:lineRule="auto"/>
                    <w:ind w:firstLine="0" w:firstLineChars="0"/>
                    <w:jc w:val="both"/>
                    <w:rPr>
                      <w:rFonts w:ascii="Times New Roman" w:hAnsi="Times New Roman"/>
                      <w:b/>
                      <w:bCs/>
                      <w:color w:val="auto"/>
                      <w:sz w:val="21"/>
                      <w:szCs w:val="21"/>
                      <w:highlight w:val="none"/>
                    </w:rPr>
                  </w:pPr>
                  <w:r>
                    <w:rPr>
                      <w:rFonts w:ascii="Times New Roman" w:hAnsi="Times New Roman"/>
                      <w:b/>
                      <w:bCs/>
                      <w:color w:val="auto"/>
                      <w:sz w:val="21"/>
                      <w:szCs w:val="21"/>
                      <w:highlight w:val="none"/>
                    </w:rPr>
                    <w:t>排污许可</w:t>
                  </w:r>
                </w:p>
              </w:tc>
              <w:tc>
                <w:tcPr>
                  <w:tcW w:w="1903"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color w:val="auto"/>
                      <w:sz w:val="21"/>
                      <w:szCs w:val="21"/>
                      <w:highlight w:val="none"/>
                    </w:rPr>
                    <w:t>按国家有关规定申领排污许可证</w:t>
                  </w:r>
                </w:p>
              </w:tc>
              <w:tc>
                <w:tcPr>
                  <w:tcW w:w="1924" w:type="pct"/>
                  <w:tcBorders>
                    <w:tl2br w:val="nil"/>
                    <w:tr2bl w:val="nil"/>
                  </w:tcBorders>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根据《固定污染源排污许可分类管理名录（2019 年版）》，项目行业类别属于M7340医学研究和试验发展，不在固定污染源排污许可分类管理名录之内，</w:t>
                  </w:r>
                  <w:r>
                    <w:rPr>
                      <w:rFonts w:hint="eastAsia"/>
                      <w:color w:val="auto"/>
                      <w:sz w:val="21"/>
                      <w:szCs w:val="21"/>
                      <w:highlight w:val="none"/>
                      <w:lang w:eastAsia="zh-CN"/>
                    </w:rPr>
                    <w:t>可不</w:t>
                  </w:r>
                  <w:r>
                    <w:rPr>
                      <w:rFonts w:hint="eastAsia"/>
                      <w:color w:val="auto"/>
                      <w:sz w:val="21"/>
                      <w:szCs w:val="21"/>
                      <w:highlight w:val="none"/>
                    </w:rPr>
                    <w:t>需申请排污许可证。</w:t>
                  </w:r>
                </w:p>
              </w:tc>
              <w:tc>
                <w:tcPr>
                  <w:tcW w:w="802" w:type="pct"/>
                  <w:tcBorders>
                    <w:tl2br w:val="nil"/>
                    <w:tr2bl w:val="nil"/>
                  </w:tcBorders>
                  <w:shd w:val="clear" w:color="auto" w:fill="auto"/>
                  <w:vAlign w:val="center"/>
                </w:tcPr>
                <w:p>
                  <w:pPr>
                    <w:pStyle w:val="22"/>
                    <w:spacing w:line="240" w:lineRule="auto"/>
                    <w:ind w:firstLine="0" w:firstLineChars="0"/>
                    <w:jc w:val="center"/>
                    <w:rPr>
                      <w:rFonts w:ascii="Times New Roman" w:hAnsi="Times New Roman"/>
                      <w:color w:val="auto"/>
                      <w:sz w:val="21"/>
                      <w:szCs w:val="21"/>
                      <w:highlight w:val="none"/>
                    </w:rPr>
                  </w:pPr>
                  <w:r>
                    <w:rPr>
                      <w:rFonts w:ascii="Times New Roman" w:hAnsi="Times New Roman"/>
                      <w:color w:val="auto"/>
                      <w:sz w:val="21"/>
                      <w:szCs w:val="21"/>
                      <w:highlight w:val="none"/>
                    </w:rPr>
                    <w:t>已落实，无变更</w:t>
                  </w:r>
                </w:p>
              </w:tc>
            </w:tr>
          </w:tbl>
          <w:p>
            <w:pPr>
              <w:pStyle w:val="33"/>
              <w:adjustRightInd/>
              <w:rPr>
                <w:rFonts w:cs="Times New Roman"/>
                <w:color w:val="auto"/>
                <w:highlight w:val="none"/>
              </w:rPr>
            </w:pPr>
          </w:p>
          <w:p>
            <w:pPr>
              <w:pStyle w:val="33"/>
              <w:adjustRightInd/>
              <w:rPr>
                <w:rFonts w:cs="Times New Roman"/>
                <w:color w:val="auto"/>
                <w:highlight w:val="none"/>
              </w:rPr>
            </w:pPr>
          </w:p>
          <w:p>
            <w:pPr>
              <w:pStyle w:val="33"/>
              <w:snapToGrid w:val="0"/>
              <w:ind w:firstLine="0" w:firstLineChars="0"/>
              <w:rPr>
                <w:rFonts w:cs="Times New Roman"/>
                <w:color w:val="auto"/>
                <w:highlight w:val="none"/>
              </w:rPr>
            </w:pPr>
          </w:p>
        </w:tc>
      </w:tr>
    </w:tbl>
    <w:p>
      <w:pPr>
        <w:snapToGrid w:val="0"/>
        <w:ind w:firstLine="0" w:firstLineChars="0"/>
        <w:outlineLvl w:val="0"/>
        <w:rPr>
          <w:b/>
          <w:bCs/>
          <w:color w:val="auto"/>
          <w:sz w:val="30"/>
          <w:szCs w:val="30"/>
          <w:highlight w:val="none"/>
        </w:rPr>
      </w:pPr>
      <w:bookmarkStart w:id="179" w:name="_Toc32634"/>
      <w:bookmarkStart w:id="180" w:name="_Toc21732"/>
      <w:bookmarkStart w:id="181" w:name="_Toc23110"/>
      <w:bookmarkStart w:id="182" w:name="_Toc9381"/>
      <w:bookmarkStart w:id="183" w:name="_Toc16311"/>
      <w:bookmarkStart w:id="184" w:name="_Toc32636"/>
      <w:bookmarkStart w:id="185" w:name="_Toc8940"/>
      <w:bookmarkStart w:id="186" w:name="_Toc18894"/>
      <w:bookmarkStart w:id="187" w:name="_Toc22787"/>
      <w:bookmarkStart w:id="188" w:name="_Toc18624"/>
      <w:bookmarkStart w:id="189" w:name="_Toc25742"/>
      <w:bookmarkStart w:id="190" w:name="_Toc32687"/>
      <w:bookmarkStart w:id="191" w:name="_Toc24915"/>
      <w:bookmarkStart w:id="192" w:name="_Toc20923"/>
      <w:r>
        <w:rPr>
          <w:b/>
          <w:bCs/>
          <w:color w:val="auto"/>
          <w:sz w:val="30"/>
          <w:szCs w:val="30"/>
          <w:highlight w:val="none"/>
        </w:rPr>
        <w:br w:type="page"/>
      </w:r>
      <w:bookmarkStart w:id="193" w:name="_Toc9615"/>
      <w:bookmarkStart w:id="194" w:name="_Toc19857"/>
      <w:bookmarkStart w:id="195" w:name="_Toc14283"/>
      <w:bookmarkStart w:id="196" w:name="_Toc24073"/>
      <w:bookmarkStart w:id="197" w:name="_Toc25537"/>
      <w:bookmarkStart w:id="198" w:name="_Toc26828"/>
      <w:bookmarkStart w:id="199" w:name="_Toc9442"/>
      <w:bookmarkStart w:id="200" w:name="_Toc32185"/>
      <w:bookmarkStart w:id="201" w:name="_Toc8315"/>
      <w:bookmarkStart w:id="202" w:name="_Toc2346"/>
      <w:bookmarkStart w:id="203" w:name="_Toc32658"/>
      <w:bookmarkStart w:id="204" w:name="_Toc1108"/>
      <w:bookmarkStart w:id="205" w:name="_Toc10395"/>
      <w:bookmarkStart w:id="206" w:name="_Toc22939"/>
      <w:bookmarkStart w:id="207" w:name="_Toc28861"/>
      <w:bookmarkStart w:id="208" w:name="_Toc18686"/>
      <w:bookmarkStart w:id="209" w:name="_Toc16005"/>
      <w:bookmarkStart w:id="210" w:name="_Toc16379"/>
      <w:bookmarkStart w:id="211" w:name="_Toc22857"/>
      <w:bookmarkStart w:id="212" w:name="_Toc19777"/>
      <w:bookmarkStart w:id="213" w:name="_Toc2001"/>
      <w:bookmarkStart w:id="214" w:name="_Toc20405"/>
      <w:bookmarkStart w:id="215" w:name="_Toc31624"/>
      <w:bookmarkStart w:id="216" w:name="_Toc25892"/>
      <w:bookmarkStart w:id="217" w:name="_Toc30006"/>
      <w:bookmarkStart w:id="218" w:name="_Toc17985"/>
      <w:bookmarkStart w:id="219" w:name="_Toc30858"/>
      <w:bookmarkStart w:id="220" w:name="_Toc19975"/>
      <w:r>
        <w:rPr>
          <w:b/>
          <w:bCs/>
          <w:color w:val="auto"/>
          <w:sz w:val="30"/>
          <w:szCs w:val="30"/>
          <w:highlight w:val="none"/>
        </w:rPr>
        <w:t>表</w:t>
      </w:r>
      <w:r>
        <w:rPr>
          <w:rFonts w:hint="eastAsia"/>
          <w:b/>
          <w:bCs/>
          <w:color w:val="auto"/>
          <w:sz w:val="30"/>
          <w:szCs w:val="30"/>
          <w:highlight w:val="none"/>
          <w:lang w:val="en-US" w:eastAsia="zh-CN"/>
        </w:rPr>
        <w:t>5</w:t>
      </w:r>
      <w:r>
        <w:rPr>
          <w:b/>
          <w:bCs/>
          <w:color w:val="auto"/>
          <w:sz w:val="30"/>
          <w:szCs w:val="30"/>
          <w:highlight w:val="none"/>
        </w:rPr>
        <w:t xml:space="preserve">  验收监测内容</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Style w:val="27"/>
        <w:tblpPr w:leftFromText="180" w:rightFromText="180" w:vertAnchor="text" w:horzAnchor="margin" w:tblpXSpec="center" w:tblpY="15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2813" w:hRule="atLeast"/>
          <w:jc w:val="center"/>
        </w:trPr>
        <w:tc>
          <w:tcPr>
            <w:tcW w:w="5000" w:type="pct"/>
            <w:tcBorders>
              <w:top w:val="single" w:color="000000" w:sz="12" w:space="0"/>
              <w:bottom w:val="single" w:color="auto" w:sz="4" w:space="0"/>
            </w:tcBorders>
          </w:tcPr>
          <w:p>
            <w:pPr>
              <w:ind w:firstLine="480"/>
              <w:rPr>
                <w:color w:val="auto"/>
                <w:highlight w:val="none"/>
              </w:rPr>
            </w:pPr>
            <w:r>
              <w:rPr>
                <w:color w:val="auto"/>
                <w:highlight w:val="none"/>
              </w:rPr>
              <w:t>本项目验收监测的主要内容包括废气、废水和噪声。</w:t>
            </w:r>
          </w:p>
          <w:p>
            <w:pPr>
              <w:ind w:firstLine="482"/>
              <w:rPr>
                <w:b/>
                <w:bCs/>
                <w:color w:val="auto"/>
                <w:highlight w:val="none"/>
              </w:rPr>
            </w:pPr>
            <w:r>
              <w:rPr>
                <w:b/>
                <w:bCs/>
                <w:color w:val="auto"/>
                <w:highlight w:val="none"/>
              </w:rPr>
              <w:t>1、废气检测</w:t>
            </w:r>
          </w:p>
          <w:p>
            <w:pPr>
              <w:ind w:firstLine="480"/>
              <w:rPr>
                <w:color w:val="auto"/>
                <w:highlight w:val="none"/>
              </w:rPr>
            </w:pPr>
            <w:r>
              <w:rPr>
                <w:color w:val="auto"/>
                <w:highlight w:val="none"/>
              </w:rPr>
              <w:t>（1）有组织废气</w:t>
            </w:r>
          </w:p>
          <w:p>
            <w:pPr>
              <w:ind w:firstLine="480"/>
              <w:rPr>
                <w:color w:val="auto"/>
                <w:highlight w:val="none"/>
              </w:rPr>
            </w:pPr>
            <w:r>
              <w:rPr>
                <w:color w:val="auto"/>
                <w:highlight w:val="none"/>
              </w:rPr>
              <w:t>①检测因子、点位和频次</w:t>
            </w:r>
          </w:p>
          <w:p>
            <w:pPr>
              <w:ind w:firstLine="480"/>
              <w:rPr>
                <w:color w:val="auto"/>
                <w:highlight w:val="none"/>
              </w:rPr>
            </w:pPr>
            <w:r>
              <w:rPr>
                <w:color w:val="auto"/>
                <w:highlight w:val="none"/>
              </w:rPr>
              <w:t>本项目有组织废气监测内容、频次见表6-1。</w:t>
            </w:r>
          </w:p>
          <w:p>
            <w:pPr>
              <w:pStyle w:val="33"/>
              <w:ind w:firstLine="0" w:firstLineChars="0"/>
              <w:jc w:val="center"/>
              <w:rPr>
                <w:rFonts w:cs="Times New Roman"/>
                <w:b/>
                <w:bCs/>
                <w:color w:val="auto"/>
                <w:highlight w:val="none"/>
              </w:rPr>
            </w:pPr>
            <w:r>
              <w:rPr>
                <w:rFonts w:cs="Times New Roman"/>
                <w:b/>
                <w:bCs/>
                <w:color w:val="auto"/>
                <w:highlight w:val="none"/>
              </w:rPr>
              <w:t>表6-1  有组织废气监测内容、监测频次一览表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7"/>
              <w:gridCol w:w="2038"/>
              <w:gridCol w:w="2145"/>
              <w:gridCol w:w="1490"/>
              <w:gridCol w:w="2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编号</w:t>
                  </w:r>
                </w:p>
              </w:tc>
              <w:tc>
                <w:tcPr>
                  <w:tcW w:w="1144"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点位名称</w:t>
                  </w:r>
                </w:p>
              </w:tc>
              <w:tc>
                <w:tcPr>
                  <w:tcW w:w="1204"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处理措施</w:t>
                  </w:r>
                </w:p>
              </w:tc>
              <w:tc>
                <w:tcPr>
                  <w:tcW w:w="836"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监测项目</w:t>
                  </w:r>
                </w:p>
              </w:tc>
              <w:tc>
                <w:tcPr>
                  <w:tcW w:w="1148" w:type="pct"/>
                  <w:noWrap w:val="0"/>
                  <w:vAlign w:val="center"/>
                </w:tcPr>
                <w:p>
                  <w:pPr>
                    <w:pStyle w:val="49"/>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pct"/>
                  <w:noWrap w:val="0"/>
                  <w:vAlign w:val="center"/>
                </w:tcPr>
                <w:p>
                  <w:pPr>
                    <w:pStyle w:val="3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1144" w:type="pct"/>
                  <w:noWrap w:val="0"/>
                  <w:vAlign w:val="center"/>
                </w:tcPr>
                <w:p>
                  <w:pPr>
                    <w:pStyle w:val="33"/>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宋体" w:hAnsi="宋体" w:eastAsia="宋体" w:cs="宋体"/>
                      <w:color w:val="000000"/>
                      <w:kern w:val="0"/>
                      <w:sz w:val="21"/>
                      <w:szCs w:val="21"/>
                      <w:lang w:val="en-US" w:eastAsia="zh-CN" w:bidi="ar"/>
                    </w:rPr>
                    <w:t>一层、三层合成实验室</w:t>
                  </w:r>
                  <w:r>
                    <w:rPr>
                      <w:rFonts w:hint="eastAsia" w:ascii="宋体" w:hAnsi="宋体" w:cs="宋体"/>
                      <w:color w:val="000000"/>
                      <w:kern w:val="0"/>
                      <w:sz w:val="21"/>
                      <w:szCs w:val="21"/>
                      <w:lang w:val="en-US" w:eastAsia="zh-CN" w:bidi="ar"/>
                    </w:rPr>
                    <w:t>、危废间</w:t>
                  </w:r>
                  <w:r>
                    <w:rPr>
                      <w:rFonts w:hint="eastAsia" w:ascii="Times New Roman" w:hAnsi="Times New Roman" w:cs="Times New Roman" w:eastAsiaTheme="minorEastAsia"/>
                      <w:sz w:val="21"/>
                      <w:szCs w:val="21"/>
                      <w:lang w:val="en-US" w:eastAsia="zh-CN"/>
                    </w:rPr>
                    <w:t>废气</w:t>
                  </w:r>
                  <w:r>
                    <w:rPr>
                      <w:rFonts w:hint="eastAsia" w:cs="Times New Roman" w:eastAsiaTheme="minorEastAsia"/>
                      <w:sz w:val="21"/>
                      <w:szCs w:val="21"/>
                      <w:lang w:val="en-US" w:eastAsia="zh-CN"/>
                    </w:rPr>
                    <w:t>（有机、酸性）</w:t>
                  </w:r>
                  <w:r>
                    <w:rPr>
                      <w:rFonts w:hint="eastAsia" w:ascii="Times New Roman" w:hAnsi="Times New Roman" w:cs="Times New Roman" w:eastAsiaTheme="minorEastAsia"/>
                      <w:sz w:val="21"/>
                      <w:szCs w:val="21"/>
                      <w:lang w:val="en-US" w:eastAsia="zh-CN"/>
                    </w:rPr>
                    <w:t>排气筒DA001出口</w:t>
                  </w:r>
                </w:p>
              </w:tc>
              <w:tc>
                <w:tcPr>
                  <w:tcW w:w="1204" w:type="pct"/>
                  <w:noWrap w:val="0"/>
                  <w:vAlign w:val="center"/>
                </w:tcPr>
                <w:p>
                  <w:pPr>
                    <w:pStyle w:val="33"/>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eastAsiaTheme="minorEastAsia"/>
                      <w:color w:val="000000"/>
                      <w:sz w:val="21"/>
                      <w:szCs w:val="21"/>
                      <w:shd w:val="clear" w:color="auto" w:fill="FFFFFF"/>
                      <w:lang w:val="en-US" w:eastAsia="zh-CN"/>
                    </w:rPr>
                    <w:t>3套</w:t>
                  </w:r>
                  <w:r>
                    <w:rPr>
                      <w:rFonts w:hint="eastAsia" w:ascii="Times New Roman" w:hAnsi="Times New Roman" w:cs="Times New Roman" w:eastAsiaTheme="minorEastAsia"/>
                      <w:color w:val="000000"/>
                      <w:sz w:val="21"/>
                      <w:szCs w:val="21"/>
                      <w:shd w:val="clear" w:color="auto" w:fill="FFFFFF"/>
                      <w:lang w:eastAsia="zh-CN"/>
                    </w:rPr>
                    <w:t>“碱喷淋</w:t>
                  </w:r>
                  <w:r>
                    <w:rPr>
                      <w:rFonts w:hint="eastAsia" w:ascii="Times New Roman" w:hAnsi="Times New Roman" w:cs="Times New Roman" w:eastAsiaTheme="minorEastAsia"/>
                      <w:color w:val="000000"/>
                      <w:sz w:val="21"/>
                      <w:szCs w:val="21"/>
                      <w:shd w:val="clear" w:color="auto" w:fill="FFFFFF"/>
                      <w:lang w:val="en-US" w:eastAsia="zh-CN"/>
                    </w:rPr>
                    <w:t>+除雾器+活性炭吸附</w:t>
                  </w:r>
                  <w:r>
                    <w:rPr>
                      <w:rFonts w:hint="eastAsia" w:ascii="Times New Roman" w:hAnsi="Times New Roman" w:cs="Times New Roman" w:eastAsiaTheme="minorEastAsia"/>
                      <w:color w:val="000000"/>
                      <w:sz w:val="21"/>
                      <w:szCs w:val="21"/>
                      <w:shd w:val="clear" w:color="auto" w:fill="FFFFFF"/>
                      <w:lang w:eastAsia="zh-CN"/>
                    </w:rPr>
                    <w:t>”</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spacing w:val="0"/>
                      <w:sz w:val="21"/>
                      <w:szCs w:val="21"/>
                      <w:lang w:val="en-US" w:eastAsia="zh-CN"/>
                    </w:rPr>
                    <w:t xml:space="preserve"> VOCs、甲苯、氯化氢</w:t>
                  </w:r>
                </w:p>
              </w:tc>
              <w:tc>
                <w:tcPr>
                  <w:tcW w:w="1148" w:type="pct"/>
                  <w:noWrap w:val="0"/>
                  <w:vAlign w:val="center"/>
                </w:tcPr>
                <w:p>
                  <w:pPr>
                    <w:pStyle w:val="33"/>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pct"/>
                  <w:noWrap w:val="0"/>
                  <w:vAlign w:val="center"/>
                </w:tcPr>
                <w:p>
                  <w:pPr>
                    <w:pStyle w:val="3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2</w:t>
                  </w:r>
                </w:p>
              </w:tc>
              <w:tc>
                <w:tcPr>
                  <w:tcW w:w="1144" w:type="pct"/>
                  <w:noWrap w:val="0"/>
                  <w:vAlign w:val="center"/>
                </w:tcPr>
                <w:p>
                  <w:pPr>
                    <w:pStyle w:val="33"/>
                    <w:spacing w:line="240" w:lineRule="auto"/>
                    <w:ind w:left="0" w:leftChars="0" w:firstLine="0" w:firstLineChars="0"/>
                    <w:jc w:val="center"/>
                    <w:rPr>
                      <w:rFonts w:hint="default" w:cs="Times New Roman"/>
                      <w:b w:val="0"/>
                      <w:bCs w:val="0"/>
                      <w:sz w:val="21"/>
                      <w:szCs w:val="21"/>
                      <w:vertAlign w:val="baseline"/>
                      <w:lang w:val="en-US" w:eastAsia="zh-CN"/>
                    </w:rPr>
                  </w:pPr>
                  <w:r>
                    <w:rPr>
                      <w:rFonts w:hint="eastAsia" w:ascii="Times New Roman" w:hAnsi="Times New Roman" w:cs="Times New Roman" w:eastAsiaTheme="minorEastAsia"/>
                      <w:sz w:val="21"/>
                      <w:szCs w:val="21"/>
                      <w:lang w:val="en-US" w:eastAsia="zh-CN"/>
                    </w:rPr>
                    <w:t>二层合成实验室废气（有机）排气筒DA002出口</w:t>
                  </w:r>
                </w:p>
              </w:tc>
              <w:tc>
                <w:tcPr>
                  <w:tcW w:w="1204" w:type="pct"/>
                  <w:noWrap w:val="0"/>
                  <w:vAlign w:val="center"/>
                </w:tcPr>
                <w:p>
                  <w:pPr>
                    <w:pStyle w:val="33"/>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eastAsia="zh-CN"/>
                    </w:rPr>
                  </w:pPr>
                  <w:r>
                    <w:rPr>
                      <w:rFonts w:hint="eastAsia" w:ascii="Times New Roman" w:hAnsi="Times New Roman" w:cs="Times New Roman" w:eastAsiaTheme="minorEastAsia"/>
                      <w:color w:val="000000"/>
                      <w:sz w:val="21"/>
                      <w:szCs w:val="21"/>
                      <w:shd w:val="clear" w:color="auto" w:fill="FFFFFF"/>
                      <w:lang w:val="en-US" w:eastAsia="zh-CN"/>
                    </w:rPr>
                    <w:t>2套</w:t>
                  </w:r>
                  <w:r>
                    <w:rPr>
                      <w:rFonts w:hint="eastAsia" w:ascii="Times New Roman" w:hAnsi="Times New Roman" w:cs="Times New Roman" w:eastAsiaTheme="minorEastAsia"/>
                      <w:color w:val="000000"/>
                      <w:sz w:val="21"/>
                      <w:szCs w:val="21"/>
                      <w:shd w:val="clear" w:color="auto" w:fill="FFFFFF"/>
                      <w:lang w:eastAsia="zh-CN"/>
                    </w:rPr>
                    <w:t>“一级活性炭”</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spacing w:val="0"/>
                      <w:sz w:val="21"/>
                      <w:szCs w:val="21"/>
                      <w:lang w:val="en-US" w:eastAsia="zh-CN"/>
                    </w:rPr>
                    <w:t>VOCs、甲苯</w:t>
                  </w:r>
                </w:p>
              </w:tc>
              <w:tc>
                <w:tcPr>
                  <w:tcW w:w="1148" w:type="pct"/>
                  <w:noWrap w:val="0"/>
                  <w:vAlign w:val="center"/>
                </w:tcPr>
                <w:p>
                  <w:pPr>
                    <w:pStyle w:val="33"/>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66" w:type="pct"/>
                  <w:noWrap w:val="0"/>
                  <w:vAlign w:val="center"/>
                </w:tcPr>
                <w:p>
                  <w:pPr>
                    <w:pStyle w:val="33"/>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3</w:t>
                  </w:r>
                </w:p>
              </w:tc>
              <w:tc>
                <w:tcPr>
                  <w:tcW w:w="1144" w:type="pct"/>
                  <w:noWrap w:val="0"/>
                  <w:vAlign w:val="center"/>
                </w:tcPr>
                <w:p>
                  <w:pPr>
                    <w:pStyle w:val="33"/>
                    <w:spacing w:line="240" w:lineRule="auto"/>
                    <w:ind w:left="0" w:leftChars="0" w:firstLine="0" w:firstLineChars="0"/>
                    <w:jc w:val="center"/>
                    <w:rPr>
                      <w:rFonts w:hint="default" w:cs="Times New Roman"/>
                      <w:b w:val="0"/>
                      <w:bCs w:val="0"/>
                      <w:sz w:val="21"/>
                      <w:szCs w:val="21"/>
                      <w:vertAlign w:val="baseline"/>
                      <w:lang w:val="en-US" w:eastAsia="zh-CN"/>
                    </w:rPr>
                  </w:pPr>
                  <w:r>
                    <w:rPr>
                      <w:rFonts w:hint="eastAsia" w:ascii="Times New Roman" w:hAnsi="Times New Roman" w:cs="Times New Roman" w:eastAsiaTheme="minorEastAsia"/>
                      <w:sz w:val="21"/>
                      <w:szCs w:val="21"/>
                      <w:lang w:val="en-US" w:eastAsia="zh-CN"/>
                    </w:rPr>
                    <w:t>四层合成实验室废气（有机）排气筒DA002出口</w:t>
                  </w:r>
                </w:p>
              </w:tc>
              <w:tc>
                <w:tcPr>
                  <w:tcW w:w="1204" w:type="pct"/>
                  <w:noWrap w:val="0"/>
                  <w:vAlign w:val="center"/>
                </w:tcPr>
                <w:p>
                  <w:pPr>
                    <w:pStyle w:val="33"/>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lang w:eastAsia="zh-CN"/>
                    </w:rPr>
                  </w:pPr>
                  <w:r>
                    <w:rPr>
                      <w:rFonts w:hint="eastAsia" w:ascii="Times New Roman" w:hAnsi="Times New Roman" w:cs="Times New Roman" w:eastAsiaTheme="minorEastAsia"/>
                      <w:color w:val="000000"/>
                      <w:sz w:val="21"/>
                      <w:szCs w:val="21"/>
                      <w:shd w:val="clear" w:color="auto" w:fill="FFFFFF"/>
                      <w:lang w:eastAsia="zh-CN"/>
                    </w:rPr>
                    <w:t>二级活性炭</w:t>
                  </w:r>
                </w:p>
              </w:tc>
              <w:tc>
                <w:tcPr>
                  <w:tcW w:w="836" w:type="pct"/>
                  <w:noWrap w:val="0"/>
                  <w:vAlign w:val="center"/>
                </w:tcPr>
                <w:p>
                  <w:pPr>
                    <w:spacing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spacing w:val="0"/>
                      <w:sz w:val="21"/>
                      <w:szCs w:val="21"/>
                      <w:lang w:val="en-US" w:eastAsia="zh-CN"/>
                    </w:rPr>
                    <w:t>VOCs、甲苯</w:t>
                  </w:r>
                </w:p>
              </w:tc>
              <w:tc>
                <w:tcPr>
                  <w:tcW w:w="1148" w:type="pct"/>
                  <w:noWrap w:val="0"/>
                  <w:vAlign w:val="center"/>
                </w:tcPr>
                <w:p>
                  <w:pPr>
                    <w:pStyle w:val="33"/>
                    <w:spacing w:line="240" w:lineRule="auto"/>
                    <w:ind w:left="0" w:leftChars="0" w:firstLine="0" w:firstLineChars="0"/>
                    <w:jc w:val="center"/>
                    <w:rPr>
                      <w:rFonts w:hint="default" w:ascii="Times New Roman" w:hAnsi="Times New Roman" w:cs="Times New Roman" w:eastAsiaTheme="minorEastAsia"/>
                      <w:color w:val="000000"/>
                      <w:sz w:val="21"/>
                      <w:szCs w:val="21"/>
                      <w:shd w:val="clear" w:color="auto" w:fill="FFFFFF"/>
                    </w:rPr>
                  </w:pPr>
                  <w:r>
                    <w:rPr>
                      <w:rFonts w:hint="default" w:ascii="Times New Roman" w:hAnsi="Times New Roman" w:cs="Times New Roman" w:eastAsiaTheme="minorEastAsia"/>
                      <w:color w:val="000000"/>
                      <w:sz w:val="21"/>
                      <w:szCs w:val="21"/>
                      <w:shd w:val="clear" w:color="auto" w:fill="FFFFFF"/>
                    </w:rPr>
                    <w:t>监测2天，</w:t>
                  </w:r>
                  <w:r>
                    <w:rPr>
                      <w:rFonts w:hint="default" w:ascii="Times New Roman" w:hAnsi="Times New Roman" w:cs="Times New Roman" w:eastAsiaTheme="minorEastAsia"/>
                      <w:color w:val="000000"/>
                      <w:sz w:val="21"/>
                      <w:szCs w:val="21"/>
                      <w:shd w:val="clear" w:color="auto" w:fill="FFFFFF"/>
                      <w:lang w:val="en-US" w:eastAsia="zh-CN"/>
                    </w:rPr>
                    <w:t>3</w:t>
                  </w:r>
                  <w:r>
                    <w:rPr>
                      <w:rFonts w:hint="default" w:ascii="Times New Roman" w:hAnsi="Times New Roman" w:cs="Times New Roman" w:eastAsiaTheme="minorEastAsia"/>
                      <w:color w:val="000000"/>
                      <w:sz w:val="21"/>
                      <w:szCs w:val="21"/>
                      <w:shd w:val="clear" w:color="auto" w:fill="FFFFFF"/>
                    </w:rPr>
                    <w:t>次/天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5"/>
                  <w:noWrap w:val="0"/>
                  <w:vAlign w:val="center"/>
                </w:tcPr>
                <w:p>
                  <w:pPr>
                    <w:pStyle w:val="33"/>
                    <w:spacing w:line="240" w:lineRule="auto"/>
                    <w:ind w:left="0" w:leftChars="0" w:firstLine="0" w:firstLineChars="0"/>
                    <w:jc w:val="both"/>
                    <w:rPr>
                      <w:rFonts w:hint="eastAsia" w:cs="Times New Roman"/>
                      <w:color w:val="auto"/>
                      <w:sz w:val="21"/>
                      <w:szCs w:val="21"/>
                      <w:highlight w:val="none"/>
                      <w:shd w:val="clear" w:color="auto" w:fill="FFFFFF"/>
                      <w:lang w:eastAsia="zh-CN"/>
                    </w:rPr>
                  </w:pPr>
                  <w:r>
                    <w:rPr>
                      <w:rFonts w:hint="eastAsia" w:cs="Times New Roman" w:eastAsiaTheme="minorEastAsia"/>
                      <w:color w:val="000000"/>
                      <w:sz w:val="21"/>
                      <w:szCs w:val="21"/>
                      <w:shd w:val="clear" w:color="auto" w:fill="FFFFFF"/>
                      <w:lang w:val="en-US" w:eastAsia="zh-CN"/>
                    </w:rPr>
                    <w:t>备注：</w:t>
                  </w:r>
                  <w:r>
                    <w:rPr>
                      <w:rFonts w:hint="eastAsia" w:cs="Times New Roman"/>
                      <w:color w:val="auto"/>
                      <w:sz w:val="21"/>
                      <w:szCs w:val="21"/>
                      <w:highlight w:val="none"/>
                      <w:shd w:val="clear" w:color="auto" w:fill="FFFFFF"/>
                      <w:lang w:eastAsia="zh-CN"/>
                    </w:rPr>
                    <w:t>因</w:t>
                  </w:r>
                  <w:r>
                    <w:rPr>
                      <w:rFonts w:hint="eastAsia" w:cs="Times New Roman"/>
                      <w:color w:val="auto"/>
                      <w:sz w:val="21"/>
                      <w:szCs w:val="21"/>
                      <w:highlight w:val="none"/>
                      <w:shd w:val="clear" w:color="auto" w:fill="FFFFFF"/>
                      <w:lang w:val="en-US" w:eastAsia="zh-CN"/>
                    </w:rPr>
                    <w:t>进口管道距离不符合开口规范要求，未对其</w:t>
                  </w:r>
                  <w:r>
                    <w:rPr>
                      <w:rFonts w:hint="eastAsia" w:cs="Times New Roman"/>
                      <w:color w:val="auto"/>
                      <w:sz w:val="21"/>
                      <w:szCs w:val="21"/>
                      <w:highlight w:val="none"/>
                      <w:shd w:val="clear" w:color="auto" w:fill="FFFFFF"/>
                      <w:lang w:eastAsia="zh-CN"/>
                    </w:rPr>
                    <w:t>环保设备进口进行监测；</w:t>
                  </w:r>
                </w:p>
                <w:p>
                  <w:pPr>
                    <w:pStyle w:val="33"/>
                    <w:spacing w:line="240" w:lineRule="auto"/>
                    <w:ind w:left="0" w:leftChars="0" w:firstLine="0" w:firstLineChars="0"/>
                    <w:jc w:val="both"/>
                    <w:rPr>
                      <w:rFonts w:hint="default" w:cs="Times New Roman"/>
                      <w:color w:val="auto"/>
                      <w:sz w:val="21"/>
                      <w:szCs w:val="21"/>
                      <w:highlight w:val="none"/>
                      <w:shd w:val="clear" w:color="auto" w:fill="FFFFFF"/>
                      <w:lang w:val="en-US" w:eastAsia="zh-CN"/>
                    </w:rPr>
                  </w:pPr>
                  <w:r>
                    <w:rPr>
                      <w:rFonts w:hint="eastAsia" w:ascii="Times New Roman" w:hAnsi="Times New Roman" w:cs="Times New Roman"/>
                      <w:sz w:val="21"/>
                      <w:szCs w:val="21"/>
                      <w:vertAlign w:val="baseline"/>
                      <w:lang w:eastAsia="zh-CN"/>
                    </w:rPr>
                    <w:t>调试验收监测期间，无水硫酸钠、无水硫酸镁暂未使用，未进行监测。</w:t>
                  </w:r>
                </w:p>
              </w:tc>
            </w:tr>
          </w:tbl>
          <w:p>
            <w:pPr>
              <w:ind w:firstLine="480"/>
              <w:rPr>
                <w:color w:val="auto"/>
                <w:highlight w:val="none"/>
              </w:rPr>
            </w:pPr>
            <w:r>
              <w:rPr>
                <w:color w:val="auto"/>
                <w:highlight w:val="none"/>
              </w:rPr>
              <w:t>②监测分析方法</w:t>
            </w:r>
          </w:p>
          <w:p>
            <w:pPr>
              <w:ind w:firstLine="480"/>
              <w:jc w:val="left"/>
              <w:rPr>
                <w:color w:val="auto"/>
                <w:highlight w:val="none"/>
              </w:rPr>
            </w:pPr>
            <w:r>
              <w:rPr>
                <w:color w:val="auto"/>
                <w:highlight w:val="none"/>
              </w:rPr>
              <w:t>本项目有组织废气监测分析方法见表6-2。</w:t>
            </w:r>
          </w:p>
          <w:p>
            <w:pPr>
              <w:pStyle w:val="33"/>
              <w:ind w:firstLine="0" w:firstLineChars="0"/>
              <w:jc w:val="center"/>
              <w:rPr>
                <w:rFonts w:cs="Times New Roman"/>
                <w:b/>
                <w:bCs/>
                <w:color w:val="auto"/>
                <w:highlight w:val="none"/>
              </w:rPr>
            </w:pPr>
            <w:r>
              <w:rPr>
                <w:rFonts w:cs="Times New Roman"/>
                <w:b/>
                <w:bCs/>
                <w:color w:val="auto"/>
                <w:highlight w:val="none"/>
              </w:rPr>
              <w:t>表6-2 有组织废气监测因子分析方法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5"/>
              <w:gridCol w:w="2180"/>
              <w:gridCol w:w="2665"/>
              <w:gridCol w:w="22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83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180"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66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2234"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w:t>
                  </w:r>
                  <w:r>
                    <w:rPr>
                      <w:rFonts w:hint="eastAsia" w:cs="Times New Roman"/>
                      <w:b/>
                      <w:bCs/>
                      <w:sz w:val="21"/>
                      <w:szCs w:val="21"/>
                      <w:lang w:val="en-US" w:eastAsia="zh-CN"/>
                    </w:rPr>
                    <w:t>m³</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气相色谱法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38-2017</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硝酸银容量法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548-2016</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i w:val="0"/>
                      <w:iCs w:val="0"/>
                      <w:kern w:val="2"/>
                      <w:sz w:val="21"/>
                      <w:szCs w:val="21"/>
                      <w:u w:val="none"/>
                      <w:lang w:val="en-US" w:eastAsia="zh-CN" w:bidi="ar"/>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83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甲苯</w:t>
                  </w:r>
                </w:p>
              </w:tc>
              <w:tc>
                <w:tcPr>
                  <w:tcW w:w="2180"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iCs w:val="0"/>
                      <w:color w:val="auto"/>
                      <w:kern w:val="2"/>
                      <w:sz w:val="21"/>
                      <w:szCs w:val="21"/>
                      <w:u w:val="none"/>
                      <w:lang w:val="en-US" w:eastAsia="zh-CN" w:bidi="ar"/>
                    </w:rPr>
                    <w:t>活性炭吸附/二硫化碳解吸-气相色谱法</w:t>
                  </w:r>
                </w:p>
              </w:tc>
              <w:tc>
                <w:tcPr>
                  <w:tcW w:w="266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584-2010</w:t>
                  </w:r>
                </w:p>
              </w:tc>
              <w:tc>
                <w:tcPr>
                  <w:tcW w:w="2234"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1.5×10</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ind w:firstLine="480"/>
              <w:rPr>
                <w:color w:val="auto"/>
                <w:highlight w:val="none"/>
              </w:rPr>
            </w:pPr>
            <w:r>
              <w:rPr>
                <w:color w:val="auto"/>
                <w:highlight w:val="none"/>
              </w:rPr>
              <w:t>（2）厂界无组织废气检测</w:t>
            </w:r>
          </w:p>
          <w:p>
            <w:pPr>
              <w:ind w:firstLine="480"/>
              <w:rPr>
                <w:color w:val="auto"/>
                <w:highlight w:val="none"/>
              </w:rPr>
            </w:pPr>
            <w:r>
              <w:rPr>
                <w:color w:val="auto"/>
                <w:highlight w:val="none"/>
              </w:rPr>
              <w:t>①检测因子、点位和频次</w:t>
            </w:r>
          </w:p>
          <w:p>
            <w:pPr>
              <w:ind w:firstLine="480"/>
              <w:jc w:val="left"/>
              <w:rPr>
                <w:color w:val="auto"/>
                <w:highlight w:val="none"/>
              </w:rPr>
            </w:pPr>
            <w:r>
              <w:rPr>
                <w:color w:val="auto"/>
                <w:highlight w:val="none"/>
              </w:rPr>
              <w:t>本项目考虑污染物产生源和平面布置图，本项目在上风向设置1个</w:t>
            </w:r>
            <w:r>
              <w:rPr>
                <w:rFonts w:hint="eastAsia"/>
                <w:color w:val="auto"/>
                <w:highlight w:val="none"/>
              </w:rPr>
              <w:t>监测</w:t>
            </w:r>
            <w:r>
              <w:rPr>
                <w:color w:val="auto"/>
                <w:highlight w:val="none"/>
              </w:rPr>
              <w:t>点位，下风向设置3个</w:t>
            </w:r>
            <w:r>
              <w:rPr>
                <w:rFonts w:hint="eastAsia"/>
                <w:color w:val="auto"/>
                <w:highlight w:val="none"/>
              </w:rPr>
              <w:t>监测</w:t>
            </w:r>
            <w:r>
              <w:rPr>
                <w:color w:val="auto"/>
                <w:highlight w:val="none"/>
              </w:rPr>
              <w:t>点位，厂房门窗或通风口外 1m设置1个</w:t>
            </w:r>
            <w:r>
              <w:rPr>
                <w:rFonts w:hint="eastAsia"/>
                <w:color w:val="auto"/>
                <w:highlight w:val="none"/>
              </w:rPr>
              <w:t>监测</w:t>
            </w:r>
            <w:r>
              <w:rPr>
                <w:color w:val="auto"/>
                <w:highlight w:val="none"/>
              </w:rPr>
              <w:t>点位</w:t>
            </w:r>
            <w:r>
              <w:rPr>
                <w:rFonts w:hint="eastAsia"/>
                <w:color w:val="auto"/>
                <w:highlight w:val="none"/>
              </w:rPr>
              <w:t>，</w:t>
            </w:r>
            <w:r>
              <w:rPr>
                <w:color w:val="auto"/>
                <w:highlight w:val="none"/>
              </w:rPr>
              <w:t>共</w:t>
            </w:r>
            <w:r>
              <w:rPr>
                <w:rFonts w:hint="eastAsia"/>
                <w:color w:val="auto"/>
                <w:highlight w:val="none"/>
              </w:rPr>
              <w:t>5</w:t>
            </w:r>
            <w:r>
              <w:rPr>
                <w:color w:val="auto"/>
                <w:highlight w:val="none"/>
              </w:rPr>
              <w:t>个</w:t>
            </w:r>
            <w:r>
              <w:rPr>
                <w:rFonts w:hint="eastAsia"/>
                <w:color w:val="auto"/>
                <w:highlight w:val="none"/>
              </w:rPr>
              <w:t>监测</w:t>
            </w:r>
            <w:r>
              <w:rPr>
                <w:color w:val="auto"/>
                <w:highlight w:val="none"/>
              </w:rPr>
              <w:t>点位。本项目无组织废气</w:t>
            </w:r>
            <w:r>
              <w:rPr>
                <w:rFonts w:hint="eastAsia"/>
                <w:color w:val="auto"/>
                <w:highlight w:val="none"/>
              </w:rPr>
              <w:t>监测</w:t>
            </w:r>
            <w:r>
              <w:rPr>
                <w:color w:val="auto"/>
                <w:highlight w:val="none"/>
              </w:rPr>
              <w:t>点位和频次见表6-3。无组织废气监测点位图见下图6-1。</w:t>
            </w:r>
          </w:p>
          <w:p>
            <w:pPr>
              <w:pStyle w:val="33"/>
              <w:ind w:firstLine="0" w:firstLineChars="0"/>
              <w:jc w:val="center"/>
              <w:rPr>
                <w:rFonts w:cs="Times New Roman"/>
                <w:b/>
                <w:bCs/>
                <w:color w:val="auto"/>
                <w:highlight w:val="none"/>
              </w:rPr>
            </w:pPr>
            <w:r>
              <w:rPr>
                <w:rFonts w:cs="Times New Roman"/>
                <w:b/>
                <w:bCs/>
                <w:color w:val="auto"/>
                <w:highlight w:val="none"/>
              </w:rPr>
              <w:t>表6-3  无组织废气检测内容、频次一览表</w:t>
            </w:r>
          </w:p>
          <w:tbl>
            <w:tblPr>
              <w:tblStyle w:val="2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9"/>
              <w:gridCol w:w="2186"/>
              <w:gridCol w:w="1728"/>
              <w:gridCol w:w="2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172"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1226"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检测点位</w:t>
                  </w:r>
                </w:p>
              </w:tc>
              <w:tc>
                <w:tcPr>
                  <w:tcW w:w="969"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频次</w:t>
                  </w:r>
                </w:p>
              </w:tc>
              <w:tc>
                <w:tcPr>
                  <w:tcW w:w="1632"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172"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VOCs、甲苯、氯化氢</w:t>
                  </w:r>
                </w:p>
              </w:tc>
              <w:tc>
                <w:tcPr>
                  <w:tcW w:w="1226"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上风向设置1个检测点，下风向设置3个检测点</w:t>
                  </w:r>
                </w:p>
              </w:tc>
              <w:tc>
                <w:tcPr>
                  <w:tcW w:w="969"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632"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172"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color w:val="000000"/>
                      <w:spacing w:val="0"/>
                      <w:sz w:val="21"/>
                      <w:szCs w:val="21"/>
                      <w:shd w:val="clear" w:color="auto" w:fill="FFFFFF"/>
                      <w:lang w:val="en-US" w:eastAsia="zh-CN"/>
                    </w:rPr>
                    <w:t>NMHC</w:t>
                  </w:r>
                </w:p>
              </w:tc>
              <w:tc>
                <w:tcPr>
                  <w:tcW w:w="1226" w:type="pct"/>
                  <w:noWrap w:val="0"/>
                  <w:vAlign w:val="center"/>
                </w:tcPr>
                <w:p>
                  <w:pPr>
                    <w:pStyle w:val="33"/>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cs="Times New Roman" w:eastAsiaTheme="minorEastAsia"/>
                      <w:color w:val="000000"/>
                      <w:spacing w:val="0"/>
                      <w:sz w:val="21"/>
                      <w:szCs w:val="21"/>
                      <w:shd w:val="clear" w:color="auto" w:fill="FFFFFF"/>
                      <w:lang w:eastAsia="zh-CN"/>
                    </w:rPr>
                    <w:t>厂房门窗或通风口外 1m</w:t>
                  </w:r>
                </w:p>
              </w:tc>
              <w:tc>
                <w:tcPr>
                  <w:tcW w:w="969"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eastAsia" w:cs="Times New Roman"/>
                      <w:sz w:val="21"/>
                      <w:szCs w:val="21"/>
                      <w:lang w:val="en-US" w:eastAsia="zh-CN"/>
                    </w:rPr>
                    <w:t>3</w:t>
                  </w:r>
                  <w:r>
                    <w:rPr>
                      <w:rFonts w:hint="default" w:ascii="Times New Roman" w:hAnsi="Times New Roman" w:eastAsia="宋体" w:cs="Times New Roman"/>
                      <w:sz w:val="21"/>
                      <w:szCs w:val="21"/>
                    </w:rPr>
                    <w:t>次/天，</w:t>
                  </w:r>
                </w:p>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共2天</w:t>
                  </w:r>
                </w:p>
              </w:tc>
              <w:tc>
                <w:tcPr>
                  <w:tcW w:w="1632" w:type="pct"/>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同步记录天气情况、风向风速、大气温度、大气压力等气象参数。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5000" w:type="pct"/>
                  <w:gridSpan w:val="4"/>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left"/>
                    <w:rPr>
                      <w:rFonts w:hint="default" w:ascii="Times New Roman" w:hAnsi="Times New Roman" w:eastAsia="宋体" w:cs="Times New Roman"/>
                      <w:sz w:val="21"/>
                      <w:szCs w:val="21"/>
                    </w:rPr>
                  </w:pPr>
                  <w:r>
                    <w:rPr>
                      <w:rFonts w:hint="eastAsia" w:ascii="Times New Roman" w:hAnsi="Times New Roman" w:cs="Times New Roman"/>
                      <w:sz w:val="21"/>
                      <w:szCs w:val="21"/>
                      <w:vertAlign w:val="baseline"/>
                      <w:lang w:eastAsia="zh-CN"/>
                    </w:rPr>
                    <w:t>备注：调试验收监测期间，无水硫酸钠、无水硫酸镁暂未使用，未进行监测。</w:t>
                  </w:r>
                </w:p>
              </w:tc>
            </w:tr>
          </w:tbl>
          <w:p>
            <w:pPr>
              <w:ind w:firstLine="480"/>
              <w:rPr>
                <w:color w:val="auto"/>
                <w:highlight w:val="none"/>
              </w:rPr>
            </w:pPr>
            <w:r>
              <w:rPr>
                <w:color w:val="auto"/>
                <w:highlight w:val="none"/>
              </w:rPr>
              <w:t>②检测分析方法</w:t>
            </w:r>
          </w:p>
          <w:p>
            <w:pPr>
              <w:pStyle w:val="33"/>
              <w:jc w:val="both"/>
              <w:rPr>
                <w:rFonts w:cs="Times New Roman"/>
                <w:color w:val="auto"/>
                <w:szCs w:val="24"/>
                <w:highlight w:val="none"/>
              </w:rPr>
            </w:pPr>
            <w:r>
              <w:rPr>
                <w:rFonts w:cs="Times New Roman"/>
                <w:color w:val="auto"/>
                <w:szCs w:val="24"/>
                <w:highlight w:val="none"/>
              </w:rPr>
              <w:t>本项目无组织废气检测分析方法见表6-4。</w:t>
            </w:r>
          </w:p>
          <w:p>
            <w:pPr>
              <w:pStyle w:val="33"/>
              <w:ind w:firstLine="0" w:firstLineChars="0"/>
              <w:jc w:val="center"/>
              <w:rPr>
                <w:rFonts w:cs="Times New Roman"/>
                <w:b/>
                <w:bCs/>
                <w:color w:val="auto"/>
                <w:highlight w:val="none"/>
              </w:rPr>
            </w:pPr>
            <w:r>
              <w:rPr>
                <w:rFonts w:cs="Times New Roman"/>
                <w:b/>
                <w:bCs/>
                <w:color w:val="auto"/>
                <w:highlight w:val="none"/>
              </w:rPr>
              <w:t>表6-4  无组织废气监测因子分析方法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8"/>
              <w:gridCol w:w="2895"/>
              <w:gridCol w:w="2595"/>
              <w:gridCol w:w="1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检测项目</w:t>
                  </w:r>
                </w:p>
              </w:tc>
              <w:tc>
                <w:tcPr>
                  <w:tcW w:w="2895" w:type="dxa"/>
                  <w:noWrap w:val="0"/>
                  <w:vAlign w:val="center"/>
                </w:tcPr>
                <w:p>
                  <w:pPr>
                    <w:keepNext w:val="0"/>
                    <w:keepLines w:val="0"/>
                    <w:pageBreakBefore w:val="0"/>
                    <w:widowControl w:val="0"/>
                    <w:kinsoku/>
                    <w:wordWrap/>
                    <w:overflowPunct/>
                    <w:topLinePunct w:val="0"/>
                    <w:autoSpaceDE/>
                    <w:autoSpaceDN/>
                    <w:bidi w:val="0"/>
                    <w:snapToGrid/>
                    <w:spacing w:line="240" w:lineRule="auto"/>
                    <w:ind w:left="-25" w:right="-53"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检测方法</w:t>
                  </w:r>
                </w:p>
              </w:tc>
              <w:tc>
                <w:tcPr>
                  <w:tcW w:w="2595"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方法来源</w:t>
                  </w:r>
                </w:p>
              </w:tc>
              <w:tc>
                <w:tcPr>
                  <w:tcW w:w="1856" w:type="dxa"/>
                  <w:noWrap w:val="0"/>
                  <w:vAlign w:val="center"/>
                </w:tcPr>
                <w:p>
                  <w:pPr>
                    <w:keepNext w:val="0"/>
                    <w:keepLines w:val="0"/>
                    <w:pageBreakBefore w:val="0"/>
                    <w:widowControl w:val="0"/>
                    <w:kinsoku/>
                    <w:wordWrap/>
                    <w:overflowPunct/>
                    <w:topLinePunct w:val="0"/>
                    <w:autoSpaceDE/>
                    <w:autoSpaceDN/>
                    <w:bidi w:val="0"/>
                    <w:snapToGrid/>
                    <w:spacing w:line="240" w:lineRule="auto"/>
                    <w:ind w:firstLine="0" w:firstLineChars="0"/>
                    <w:jc w:val="center"/>
                    <w:rPr>
                      <w:rFonts w:hint="eastAsia"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rPr>
                    <w:t>检出限</w:t>
                  </w:r>
                  <w:r>
                    <w:rPr>
                      <w:rFonts w:hint="eastAsia" w:cs="Times New Roman"/>
                      <w:b/>
                      <w:bCs/>
                      <w:sz w:val="21"/>
                      <w:szCs w:val="21"/>
                      <w:lang w:eastAsia="zh-CN"/>
                    </w:rPr>
                    <w:t>（</w:t>
                  </w:r>
                  <w:r>
                    <w:rPr>
                      <w:rFonts w:hint="default" w:ascii="Times New Roman" w:hAnsi="Times New Roman" w:eastAsia="宋体" w:cs="Times New Roman"/>
                      <w:b/>
                      <w:bCs/>
                      <w:sz w:val="21"/>
                      <w:szCs w:val="21"/>
                      <w:lang w:val="en-US" w:eastAsia="zh-CN"/>
                    </w:rPr>
                    <w:t>mg/</w:t>
                  </w:r>
                  <w:r>
                    <w:rPr>
                      <w:rFonts w:hint="eastAsia" w:cs="Times New Roman"/>
                      <w:b/>
                      <w:bCs/>
                      <w:sz w:val="21"/>
                      <w:szCs w:val="21"/>
                      <w:lang w:val="en-US" w:eastAsia="zh-CN"/>
                    </w:rPr>
                    <w:t>m³</w:t>
                  </w:r>
                  <w:r>
                    <w:rPr>
                      <w:rFonts w:hint="eastAsia" w:cs="Times New Roman"/>
                      <w:b/>
                      <w:bCs/>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VOCs（非甲烷总烃）</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直接进样-气相色谱法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 604-2017</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氯化氢</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硫氰酸汞分光光度法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HJ/T 27-1999</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i w:val="0"/>
                      <w:iCs w:val="0"/>
                      <w:kern w:val="2"/>
                      <w:sz w:val="21"/>
                      <w:szCs w:val="21"/>
                      <w:u w:val="none"/>
                      <w:lang w:val="en-US" w:eastAsia="zh-CN" w:bidi="ar"/>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568"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甲苯</w:t>
                  </w:r>
                </w:p>
              </w:tc>
              <w:tc>
                <w:tcPr>
                  <w:tcW w:w="28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i w:val="0"/>
                      <w:iCs w:val="0"/>
                      <w:kern w:val="2"/>
                      <w:sz w:val="21"/>
                      <w:szCs w:val="21"/>
                      <w:u w:val="none"/>
                      <w:lang w:val="en-US" w:eastAsia="zh-CN" w:bidi="ar"/>
                    </w:rPr>
                    <w:t>活性炭吸附/二硫化碳解吸-气相色谱法</w:t>
                  </w:r>
                </w:p>
              </w:tc>
              <w:tc>
                <w:tcPr>
                  <w:tcW w:w="2595"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584-2010</w:t>
                  </w:r>
                </w:p>
              </w:tc>
              <w:tc>
                <w:tcPr>
                  <w:tcW w:w="1856" w:type="dxa"/>
                  <w:noWrap w:val="0"/>
                  <w:vAlign w:val="center"/>
                </w:tcPr>
                <w:p>
                  <w:pPr>
                    <w:pStyle w:val="33"/>
                    <w:keepNext w:val="0"/>
                    <w:keepLines w:val="0"/>
                    <w:pageBreakBefore w:val="0"/>
                    <w:widowControl/>
                    <w:kinsoku/>
                    <w:wordWrap/>
                    <w:overflowPunct/>
                    <w:topLinePunct w:val="0"/>
                    <w:autoSpaceDE/>
                    <w:autoSpaceDN/>
                    <w:bidi w:val="0"/>
                    <w:snapToGrid/>
                    <w:spacing w:line="240" w:lineRule="auto"/>
                    <w:ind w:firstLine="0" w:firstLineChars="0"/>
                    <w:jc w:val="center"/>
                    <w:rPr>
                      <w:rFonts w:hint="default" w:ascii="Times New Roman" w:hAnsi="Times New Roman" w:eastAsia="宋体" w:cs="Times New Roman"/>
                      <w:i w:val="0"/>
                      <w:iCs w:val="0"/>
                      <w:kern w:val="2"/>
                      <w:sz w:val="21"/>
                      <w:szCs w:val="21"/>
                      <w:u w:val="none"/>
                      <w:lang w:val="en-US" w:eastAsia="zh-CN" w:bidi="ar"/>
                    </w:rPr>
                  </w:pPr>
                  <w:r>
                    <w:rPr>
                      <w:rFonts w:hint="default" w:ascii="Times New Roman" w:hAnsi="Times New Roman" w:eastAsia="宋体" w:cs="Times New Roman"/>
                      <w:i w:val="0"/>
                      <w:iCs w:val="0"/>
                      <w:kern w:val="2"/>
                      <w:sz w:val="21"/>
                      <w:szCs w:val="21"/>
                      <w:u w:val="none"/>
                      <w:lang w:val="en-US" w:eastAsia="zh-CN" w:bidi="ar"/>
                    </w:rPr>
                    <w:t>1.5×10</w:t>
                  </w:r>
                  <w:r>
                    <w:rPr>
                      <w:rFonts w:hint="default" w:ascii="Times New Roman" w:hAnsi="Times New Roman" w:eastAsia="宋体" w:cs="Times New Roman"/>
                      <w:i w:val="0"/>
                      <w:iCs w:val="0"/>
                      <w:kern w:val="2"/>
                      <w:sz w:val="21"/>
                      <w:szCs w:val="21"/>
                      <w:u w:val="none"/>
                      <w:vertAlign w:val="superscript"/>
                      <w:lang w:val="en-US" w:eastAsia="zh-CN" w:bidi="ar"/>
                    </w:rPr>
                    <w:t>-3</w:t>
                  </w:r>
                </w:p>
              </w:tc>
            </w:tr>
          </w:tbl>
          <w:p>
            <w:pPr>
              <w:pStyle w:val="33"/>
              <w:jc w:val="both"/>
              <w:rPr>
                <w:rFonts w:cs="Times New Roman"/>
                <w:color w:val="auto"/>
                <w:szCs w:val="24"/>
                <w:highlight w:val="none"/>
              </w:rPr>
            </w:pPr>
            <w:r>
              <w:rPr>
                <w:rFonts w:cs="Times New Roman"/>
                <w:color w:val="auto"/>
                <w:szCs w:val="24"/>
                <w:highlight w:val="none"/>
              </w:rPr>
              <w:t>无组织检测点位布置图如下：</w:t>
            </w:r>
          </w:p>
          <w:p>
            <w:pPr>
              <w:tabs>
                <w:tab w:val="left" w:pos="2565"/>
                <w:tab w:val="center" w:pos="4812"/>
              </w:tabs>
              <w:ind w:firstLine="0" w:firstLineChars="0"/>
              <w:jc w:val="center"/>
              <w:rPr>
                <w:color w:val="auto"/>
                <w:highlight w:val="none"/>
              </w:rPr>
            </w:pPr>
            <w:r>
              <w:pict>
                <v:shape id="_x0000_i1030" o:spt="75" type="#_x0000_t75" style="height:307.85pt;width:446.05pt;" filled="f" stroked="f" coordsize="21600,21600">
                  <v:path/>
                  <v:fill on="f" focussize="0,0"/>
                  <v:stroke on="f"/>
                  <v:imagedata r:id="rId12" o:title=""/>
                  <o:lock v:ext="edit" aspectratio="t"/>
                  <w10:wrap type="none"/>
                  <w10:anchorlock/>
                </v:shape>
              </w:pict>
            </w:r>
          </w:p>
          <w:p>
            <w:pPr>
              <w:tabs>
                <w:tab w:val="left" w:pos="2565"/>
                <w:tab w:val="center" w:pos="4812"/>
              </w:tabs>
              <w:ind w:firstLine="482"/>
              <w:jc w:val="center"/>
              <w:rPr>
                <w:rFonts w:hint="eastAsia" w:eastAsia="宋体"/>
                <w:color w:val="auto"/>
                <w:highlight w:val="none"/>
                <w:lang w:eastAsia="zh-CN"/>
              </w:rPr>
            </w:pPr>
            <w:r>
              <w:rPr>
                <w:b/>
                <w:bCs/>
                <w:color w:val="auto"/>
                <w:highlight w:val="none"/>
              </w:rPr>
              <w:pict>
                <v:shape id="文本框 47" o:spid="_x0000_s1077" o:spt="202" type="#_x0000_t202" style="position:absolute;left:0pt;margin-left:421.4pt;margin-top:11.6pt;height:20.5pt;width:25.95pt;z-index:251659264;mso-width-relative:page;mso-height-relative:page;" filled="f" stroked="f" coordsize="21600,21600" o:gfxdata="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yubuS1AAAAAMBAAAPAAAAAAAAAAEAIAAAACIAAABkcnMvZG93bnJldi54bWxQSwEC&#10;FAAUAAAACACHTuJAkkS9t78BAABKAwAADgAAAAAAAAABACAAAAAjAQAAZHJzL2Uyb0RvYy54bWxQ&#10;SwUGAAAAAAYABgBZAQAAVAUAAAAA&#10;">
                  <v:path/>
                  <v:fill on="f" focussize="0,0"/>
                  <v:stroke on="f" joinstyle="miter"/>
                  <v:imagedata o:title=""/>
                  <o:lock v:ext="edit"/>
                  <v:textbox inset="7.19992125984252pt,1.27mm,7.19992125984252pt,1.27mm">
                    <w:txbxContent>
                      <w:p>
                        <w:pPr>
                          <w:ind w:firstLine="482"/>
                          <w:rPr>
                            <w:b/>
                            <w:bCs/>
                          </w:rPr>
                        </w:pPr>
                        <w:r>
                          <w:rPr>
                            <w:rFonts w:hint="eastAsia"/>
                            <w:b/>
                            <w:bCs/>
                          </w:rPr>
                          <w:t>N</w:t>
                        </w:r>
                      </w:p>
                    </w:txbxContent>
                  </v:textbox>
                </v:shape>
              </w:pict>
            </w:r>
            <w:r>
              <w:rPr>
                <w:b/>
                <w:bCs/>
                <w:color w:val="auto"/>
                <w:highlight w:val="none"/>
              </w:rPr>
              <w:t>图6-1 无组织检测点位</w:t>
            </w:r>
            <w:r>
              <w:rPr>
                <w:rFonts w:hint="eastAsia"/>
                <w:b/>
                <w:bCs/>
                <w:color w:val="auto"/>
                <w:highlight w:val="none"/>
                <w:lang w:eastAsia="zh-CN"/>
              </w:rPr>
              <w:t>（风向：西风）</w:t>
            </w:r>
          </w:p>
          <w:p>
            <w:pPr>
              <w:ind w:firstLine="482"/>
              <w:rPr>
                <w:b/>
                <w:bCs/>
                <w:color w:val="auto"/>
                <w:highlight w:val="none"/>
              </w:rPr>
            </w:pPr>
            <w:r>
              <w:rPr>
                <w:b/>
                <w:bCs/>
                <w:color w:val="auto"/>
                <w:highlight w:val="none"/>
              </w:rPr>
              <w:t>2、废水检测</w:t>
            </w:r>
          </w:p>
          <w:p>
            <w:pPr>
              <w:ind w:firstLine="480"/>
              <w:rPr>
                <w:color w:val="auto"/>
                <w:highlight w:val="none"/>
              </w:rPr>
            </w:pPr>
            <w:r>
              <w:rPr>
                <w:color w:val="auto"/>
                <w:highlight w:val="none"/>
              </w:rPr>
              <w:t>（1）废水检测点位和频次</w:t>
            </w:r>
          </w:p>
          <w:p>
            <w:pPr>
              <w:ind w:firstLine="480"/>
              <w:rPr>
                <w:color w:val="auto"/>
                <w:highlight w:val="none"/>
              </w:rPr>
            </w:pPr>
            <w:r>
              <w:rPr>
                <w:color w:val="auto"/>
                <w:highlight w:val="none"/>
              </w:rPr>
              <w:t>本次废水监测</w:t>
            </w:r>
            <w:r>
              <w:rPr>
                <w:rFonts w:hint="eastAsia"/>
                <w:color w:val="auto"/>
                <w:highlight w:val="none"/>
              </w:rPr>
              <w:t>银丰国际生物城污水处理站出口</w:t>
            </w:r>
            <w:r>
              <w:rPr>
                <w:color w:val="auto"/>
                <w:highlight w:val="none"/>
              </w:rPr>
              <w:t>。</w:t>
            </w:r>
          </w:p>
          <w:p>
            <w:pPr>
              <w:pStyle w:val="22"/>
              <w:jc w:val="center"/>
              <w:rPr>
                <w:rFonts w:ascii="Times New Roman" w:hAnsi="Times New Roman"/>
                <w:b/>
                <w:bCs/>
                <w:color w:val="auto"/>
                <w:highlight w:val="none"/>
              </w:rPr>
            </w:pPr>
            <w:r>
              <w:rPr>
                <w:rFonts w:ascii="Times New Roman" w:hAnsi="Times New Roman"/>
                <w:b/>
                <w:bCs/>
                <w:color w:val="auto"/>
                <w:highlight w:val="none"/>
              </w:rPr>
              <w:t>表6-5  废水监测情况一览表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1"/>
              <w:gridCol w:w="2128"/>
              <w:gridCol w:w="2788"/>
              <w:gridCol w:w="2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88"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rPr>
                    <w:t>监测</w:t>
                  </w:r>
                  <w:r>
                    <w:rPr>
                      <w:rFonts w:hint="default"/>
                      <w:b/>
                      <w:bCs/>
                      <w:color w:val="000000"/>
                      <w:sz w:val="21"/>
                      <w:szCs w:val="21"/>
                      <w:lang w:eastAsia="zh-CN"/>
                    </w:rPr>
                    <w:t>点位</w:t>
                  </w:r>
                </w:p>
              </w:tc>
              <w:tc>
                <w:tcPr>
                  <w:tcW w:w="119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lang w:eastAsia="zh-CN"/>
                    </w:rPr>
                  </w:pPr>
                  <w:r>
                    <w:rPr>
                      <w:rFonts w:hint="default"/>
                      <w:b/>
                      <w:bCs/>
                      <w:color w:val="000000"/>
                      <w:sz w:val="21"/>
                      <w:szCs w:val="21"/>
                      <w:lang w:eastAsia="zh-CN"/>
                    </w:rPr>
                    <w:t>污染物</w:t>
                  </w:r>
                </w:p>
              </w:tc>
              <w:tc>
                <w:tcPr>
                  <w:tcW w:w="156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rPr>
                      <w:rFonts w:hint="default"/>
                      <w:b/>
                      <w:bCs/>
                      <w:color w:val="000000"/>
                      <w:sz w:val="21"/>
                      <w:szCs w:val="21"/>
                    </w:rPr>
                  </w:pPr>
                  <w:r>
                    <w:rPr>
                      <w:rFonts w:hint="default"/>
                      <w:b/>
                      <w:bCs/>
                      <w:color w:val="000000"/>
                      <w:sz w:val="21"/>
                      <w:szCs w:val="21"/>
                    </w:rPr>
                    <w:t>监测项目</w:t>
                  </w:r>
                </w:p>
              </w:tc>
              <w:tc>
                <w:tcPr>
                  <w:tcW w:w="1252"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b/>
                      <w:bCs/>
                      <w:color w:val="000000"/>
                      <w:sz w:val="21"/>
                      <w:szCs w:val="21"/>
                    </w:rPr>
                  </w:pPr>
                  <w:r>
                    <w:rPr>
                      <w:rFonts w:hint="default"/>
                      <w:b/>
                      <w:bCs/>
                      <w:color w:val="000000"/>
                      <w:sz w:val="21"/>
                      <w:szCs w:val="21"/>
                    </w:rPr>
                    <w:t>监测频次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88" w:type="pct"/>
                  <w:noWrap w:val="0"/>
                  <w:vAlign w:val="center"/>
                </w:tcPr>
                <w:p>
                  <w:pPr>
                    <w:pStyle w:val="50"/>
                    <w:rPr>
                      <w:rFonts w:hint="default" w:ascii="Times New Roman" w:hAnsi="Times New Roman" w:eastAsia="宋体" w:cs="Times New Roman"/>
                      <w:color w:val="000000"/>
                      <w:spacing w:val="0"/>
                      <w:sz w:val="21"/>
                      <w:szCs w:val="24"/>
                      <w:lang w:eastAsia="zh-CN"/>
                    </w:rPr>
                  </w:pPr>
                  <w:r>
                    <w:rPr>
                      <w:rFonts w:hint="default" w:ascii="Times New Roman" w:hAnsi="Times New Roman" w:eastAsia="宋体" w:cs="Times New Roman"/>
                      <w:color w:val="000000"/>
                      <w:spacing w:val="0"/>
                      <w:sz w:val="21"/>
                      <w:szCs w:val="24"/>
                      <w:lang w:eastAsia="zh-CN"/>
                    </w:rPr>
                    <w:t>银丰国际生物城污水处理站进口</w:t>
                  </w:r>
                </w:p>
              </w:tc>
              <w:tc>
                <w:tcPr>
                  <w:tcW w:w="1194" w:type="pct"/>
                  <w:vMerge w:val="restart"/>
                  <w:noWrap w:val="0"/>
                  <w:vAlign w:val="center"/>
                </w:tcPr>
                <w:p>
                  <w:pPr>
                    <w:pStyle w:val="5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val="en-US" w:eastAsia="zh-CN"/>
                    </w:rPr>
                    <w:t>生产废水、生活污水</w:t>
                  </w:r>
                </w:p>
              </w:tc>
              <w:tc>
                <w:tcPr>
                  <w:tcW w:w="1564" w:type="pct"/>
                  <w:noWrap w:val="0"/>
                  <w:vAlign w:val="center"/>
                </w:tcPr>
                <w:p>
                  <w:pPr>
                    <w:pStyle w:val="5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eastAsia="zh-CN"/>
                    </w:rPr>
                    <w:t>氨氮、化学需氧量</w:t>
                  </w:r>
                </w:p>
              </w:tc>
              <w:tc>
                <w:tcPr>
                  <w:tcW w:w="1252" w:type="pct"/>
                  <w:noWrap w:val="0"/>
                  <w:vAlign w:val="center"/>
                </w:tcPr>
                <w:p>
                  <w:pPr>
                    <w:pStyle w:val="5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rPr>
                    <w:t>天</w:t>
                  </w:r>
                  <w:r>
                    <w:rPr>
                      <w:rFonts w:hint="default" w:ascii="Times New Roman" w:hAnsi="Times New Roman" w:eastAsia="宋体" w:cs="Times New Roman"/>
                      <w:color w:val="000000"/>
                      <w:sz w:val="21"/>
                      <w:szCs w:val="24"/>
                      <w:lang w:eastAsia="zh-CN"/>
                    </w:rPr>
                    <w:t>，每天采样</w:t>
                  </w:r>
                  <w:r>
                    <w:rPr>
                      <w:rFonts w:hint="eastAsia" w:cs="Times New Roman"/>
                      <w:color w:val="000000"/>
                      <w:sz w:val="21"/>
                      <w:szCs w:val="24"/>
                      <w:lang w:val="en-US" w:eastAsia="zh-CN"/>
                    </w:rPr>
                    <w:t>1</w:t>
                  </w:r>
                  <w:r>
                    <w:rPr>
                      <w:rFonts w:hint="default" w:ascii="Times New Roman" w:hAnsi="Times New Roman" w:eastAsia="宋体" w:cs="Times New Roman"/>
                      <w:color w:val="000000"/>
                      <w:sz w:val="21"/>
                      <w:szCs w:val="24"/>
                      <w:lang w:val="en-US" w:eastAsia="zh-CN"/>
                    </w:rPr>
                    <w:t>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988" w:type="pct"/>
                  <w:noWrap w:val="0"/>
                  <w:vAlign w:val="center"/>
                </w:tcPr>
                <w:p>
                  <w:pPr>
                    <w:pStyle w:val="50"/>
                    <w:ind w:firstLine="0" w:firstLineChars="0"/>
                    <w:rPr>
                      <w:rFonts w:hint="default" w:ascii="Times New Roman" w:hAnsi="Times New Roman" w:eastAsia="宋体" w:cs="Times New Roman"/>
                      <w:color w:val="000000"/>
                      <w:spacing w:val="0"/>
                      <w:kern w:val="2"/>
                      <w:sz w:val="21"/>
                      <w:szCs w:val="24"/>
                      <w:lang w:val="en-US" w:eastAsia="zh-CN" w:bidi="ar-SA"/>
                    </w:rPr>
                  </w:pPr>
                  <w:r>
                    <w:rPr>
                      <w:rFonts w:hint="default" w:ascii="Times New Roman" w:hAnsi="Times New Roman" w:eastAsia="宋体" w:cs="Times New Roman"/>
                      <w:color w:val="000000"/>
                      <w:spacing w:val="0"/>
                      <w:sz w:val="21"/>
                      <w:szCs w:val="24"/>
                      <w:lang w:eastAsia="zh-CN"/>
                    </w:rPr>
                    <w:t>银丰国际生物城污水处理站出口</w:t>
                  </w:r>
                </w:p>
              </w:tc>
              <w:tc>
                <w:tcPr>
                  <w:tcW w:w="1194" w:type="pct"/>
                  <w:vMerge w:val="continue"/>
                  <w:noWrap w:val="0"/>
                  <w:vAlign w:val="center"/>
                </w:tcPr>
                <w:p>
                  <w:pPr>
                    <w:pStyle w:val="50"/>
                    <w:ind w:firstLine="0" w:firstLineChars="0"/>
                    <w:rPr>
                      <w:rFonts w:hint="default" w:ascii="Times New Roman" w:hAnsi="Times New Roman" w:eastAsia="宋体" w:cs="Times New Roman"/>
                      <w:color w:val="000000"/>
                      <w:kern w:val="2"/>
                      <w:sz w:val="21"/>
                      <w:szCs w:val="24"/>
                      <w:lang w:val="en-US" w:eastAsia="zh-CN" w:bidi="ar-SA"/>
                    </w:rPr>
                  </w:pPr>
                </w:p>
              </w:tc>
              <w:tc>
                <w:tcPr>
                  <w:tcW w:w="1564" w:type="pct"/>
                  <w:noWrap w:val="0"/>
                  <w:vAlign w:val="center"/>
                </w:tcPr>
                <w:p>
                  <w:pPr>
                    <w:pStyle w:val="5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lang w:eastAsia="zh-CN"/>
                    </w:rPr>
                    <w:t>pH值、氨氮、悬浮物、总磷、化学需氧量、生化需氧量、溶解性总固体</w:t>
                  </w:r>
                </w:p>
              </w:tc>
              <w:tc>
                <w:tcPr>
                  <w:tcW w:w="1252" w:type="pct"/>
                  <w:noWrap w:val="0"/>
                  <w:vAlign w:val="center"/>
                </w:tcPr>
                <w:p>
                  <w:pPr>
                    <w:pStyle w:val="5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sz w:val="21"/>
                      <w:szCs w:val="24"/>
                    </w:rPr>
                    <w:t>监测2天</w:t>
                  </w:r>
                  <w:r>
                    <w:rPr>
                      <w:rFonts w:hint="default" w:ascii="Times New Roman" w:hAnsi="Times New Roman" w:eastAsia="宋体" w:cs="Times New Roman"/>
                      <w:color w:val="000000"/>
                      <w:sz w:val="21"/>
                      <w:szCs w:val="24"/>
                      <w:lang w:eastAsia="zh-CN"/>
                    </w:rPr>
                    <w:t>，每天采样</w:t>
                  </w:r>
                  <w:r>
                    <w:rPr>
                      <w:rFonts w:hint="default" w:ascii="Times New Roman" w:hAnsi="Times New Roman" w:eastAsia="宋体" w:cs="Times New Roman"/>
                      <w:color w:val="000000"/>
                      <w:sz w:val="21"/>
                      <w:szCs w:val="24"/>
                      <w:lang w:val="en-US" w:eastAsia="zh-CN"/>
                    </w:rPr>
                    <w:t>4次</w:t>
                  </w:r>
                </w:p>
              </w:tc>
            </w:tr>
          </w:tbl>
          <w:p>
            <w:pPr>
              <w:ind w:firstLine="480"/>
              <w:rPr>
                <w:color w:val="auto"/>
                <w:highlight w:val="none"/>
              </w:rPr>
            </w:pPr>
            <w:r>
              <w:rPr>
                <w:color w:val="auto"/>
                <w:highlight w:val="none"/>
              </w:rPr>
              <w:t>（2）检测分析方法</w:t>
            </w:r>
          </w:p>
          <w:p>
            <w:pPr>
              <w:pStyle w:val="22"/>
              <w:ind w:left="480" w:leftChars="200"/>
              <w:jc w:val="center"/>
              <w:rPr>
                <w:rFonts w:ascii="Times New Roman" w:hAnsi="Times New Roman"/>
                <w:b/>
                <w:bCs/>
                <w:color w:val="auto"/>
                <w:highlight w:val="none"/>
              </w:rPr>
            </w:pPr>
            <w:r>
              <w:rPr>
                <w:rFonts w:ascii="Times New Roman" w:hAnsi="Times New Roman"/>
                <w:b/>
                <w:bCs/>
                <w:color w:val="auto"/>
                <w:highlight w:val="none"/>
              </w:rPr>
              <w:t>表6-6 废水监测分析方法</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2"/>
              <w:gridCol w:w="2838"/>
              <w:gridCol w:w="2064"/>
              <w:gridCol w:w="1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监测项目</w:t>
                  </w:r>
                </w:p>
              </w:tc>
              <w:tc>
                <w:tcPr>
                  <w:tcW w:w="1592"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eastAsia="宋体"/>
                      <w:b/>
                      <w:bCs/>
                      <w:color w:val="000000"/>
                      <w:lang w:val="en-US" w:eastAsia="zh-CN"/>
                    </w:rPr>
                    <w:t>检测方法</w:t>
                  </w:r>
                </w:p>
              </w:tc>
              <w:tc>
                <w:tcPr>
                  <w:tcW w:w="1158" w:type="pct"/>
                  <w:noWrap w:val="0"/>
                  <w:vAlign w:val="center"/>
                </w:tcPr>
                <w:p>
                  <w:pPr>
                    <w:pStyle w:val="50"/>
                    <w:bidi w:val="0"/>
                    <w:ind w:firstLine="0"/>
                    <w:rPr>
                      <w:rFonts w:hint="default" w:eastAsia="宋体"/>
                      <w:b/>
                      <w:bCs/>
                      <w:color w:val="000000"/>
                      <w:lang w:val="en-US" w:eastAsia="zh-CN"/>
                    </w:rPr>
                  </w:pPr>
                  <w:r>
                    <w:rPr>
                      <w:rFonts w:hint="default" w:eastAsia="宋体"/>
                      <w:b/>
                      <w:bCs/>
                      <w:color w:val="000000"/>
                      <w:lang w:val="en-US" w:eastAsia="zh-CN"/>
                    </w:rPr>
                    <w:t>方法依据</w:t>
                  </w:r>
                </w:p>
              </w:tc>
              <w:tc>
                <w:tcPr>
                  <w:tcW w:w="1052" w:type="pct"/>
                  <w:noWrap w:val="0"/>
                  <w:vAlign w:val="center"/>
                </w:tcPr>
                <w:p>
                  <w:pPr>
                    <w:pStyle w:val="50"/>
                    <w:bidi w:val="0"/>
                    <w:ind w:firstLine="0"/>
                    <w:rPr>
                      <w:rFonts w:hint="default" w:ascii="Times New Roman" w:hAnsi="Times New Roman" w:eastAsia="宋体"/>
                      <w:b/>
                      <w:bCs/>
                      <w:color w:val="000000"/>
                      <w:lang w:val="en-US" w:eastAsia="zh-CN"/>
                    </w:rPr>
                  </w:pPr>
                  <w:r>
                    <w:rPr>
                      <w:rFonts w:hint="default" w:ascii="Times New Roman" w:hAnsi="Times New Roman" w:eastAsia="宋体"/>
                      <w:b/>
                      <w:bCs/>
                      <w:color w:val="000000"/>
                      <w:lang w:val="en-US" w:eastAsia="zh-CN"/>
                    </w:rPr>
                    <w:t>检出限</w:t>
                  </w:r>
                  <w:r>
                    <w:rPr>
                      <w:rFonts w:hint="eastAsia"/>
                      <w:b/>
                      <w:bCs/>
                      <w:color w:val="000000"/>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pH值</w:t>
                  </w:r>
                </w:p>
              </w:tc>
              <w:tc>
                <w:tcPr>
                  <w:tcW w:w="159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电极法</w:t>
                  </w:r>
                </w:p>
              </w:tc>
              <w:tc>
                <w:tcPr>
                  <w:tcW w:w="1158"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1147-2020</w:t>
                  </w:r>
                </w:p>
              </w:tc>
              <w:tc>
                <w:tcPr>
                  <w:tcW w:w="105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氨氮</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分光光度法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535-2009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悬浮物</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重量法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 11901-1989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cs="Times New Roman"/>
                      <w:color w:val="000000"/>
                      <w:lang w:val="en-US" w:eastAsia="zh-CN"/>
                    </w:rPr>
                    <w:t>总磷</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钼酸铵分光光度法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GB/T11893-1989</w:t>
                  </w:r>
                </w:p>
              </w:tc>
              <w:tc>
                <w:tcPr>
                  <w:tcW w:w="1052" w:type="pct"/>
                  <w:noWrap w:val="0"/>
                  <w:vAlign w:val="center"/>
                </w:tcPr>
                <w:p>
                  <w:pPr>
                    <w:pStyle w:val="50"/>
                    <w:bidi w:val="0"/>
                    <w:ind w:firstLine="0" w:firstLineChars="0"/>
                    <w:rPr>
                      <w:rFonts w:hint="eastAsia"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化学需氧量</w:t>
                  </w:r>
                </w:p>
              </w:tc>
              <w:tc>
                <w:tcPr>
                  <w:tcW w:w="159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重铬酸盐法</w:t>
                  </w:r>
                </w:p>
              </w:tc>
              <w:tc>
                <w:tcPr>
                  <w:tcW w:w="1158"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HJ 828-2017</w:t>
                  </w:r>
                </w:p>
              </w:tc>
              <w:tc>
                <w:tcPr>
                  <w:tcW w:w="1052" w:type="pct"/>
                  <w:noWrap w:val="0"/>
                  <w:vAlign w:val="center"/>
                </w:tcPr>
                <w:p>
                  <w:pPr>
                    <w:pStyle w:val="50"/>
                    <w:bidi w:val="0"/>
                    <w:ind w:firstLine="0"/>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生化需氧量</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稀释与接种法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HJ 505-2009</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196"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溶解性总固体</w:t>
                  </w:r>
                </w:p>
              </w:tc>
              <w:tc>
                <w:tcPr>
                  <w:tcW w:w="159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城镇污水水质检验方法标准(9)重量法</w:t>
                  </w:r>
                </w:p>
              </w:tc>
              <w:tc>
                <w:tcPr>
                  <w:tcW w:w="1158"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default" w:ascii="Times New Roman" w:hAnsi="Times New Roman" w:eastAsia="宋体" w:cs="Times New Roman"/>
                      <w:color w:val="000000"/>
                      <w:lang w:val="en-US" w:eastAsia="zh-CN"/>
                    </w:rPr>
                    <w:t>CJ/T 51-2018</w:t>
                  </w:r>
                </w:p>
              </w:tc>
              <w:tc>
                <w:tcPr>
                  <w:tcW w:w="1052" w:type="pct"/>
                  <w:noWrap w:val="0"/>
                  <w:vAlign w:val="center"/>
                </w:tcPr>
                <w:p>
                  <w:pPr>
                    <w:pStyle w:val="50"/>
                    <w:bidi w:val="0"/>
                    <w:ind w:firstLine="0" w:firstLineChars="0"/>
                    <w:rPr>
                      <w:rFonts w:hint="default" w:ascii="Times New Roman" w:hAnsi="Times New Roman" w:eastAsia="宋体" w:cs="Times New Roman"/>
                      <w:color w:val="000000"/>
                      <w:kern w:val="2"/>
                      <w:sz w:val="21"/>
                      <w:szCs w:val="24"/>
                      <w:lang w:val="en-US" w:eastAsia="zh-CN" w:bidi="ar-SA"/>
                    </w:rPr>
                  </w:pPr>
                  <w:r>
                    <w:rPr>
                      <w:rFonts w:hint="eastAsia" w:cs="Times New Roman"/>
                      <w:color w:val="000000"/>
                      <w:lang w:val="en-US" w:eastAsia="zh-CN"/>
                    </w:rPr>
                    <w:t>/</w:t>
                  </w:r>
                </w:p>
              </w:tc>
            </w:tr>
          </w:tbl>
          <w:p>
            <w:pPr>
              <w:ind w:firstLine="482"/>
              <w:rPr>
                <w:b/>
                <w:bCs/>
                <w:color w:val="auto"/>
                <w:highlight w:val="none"/>
              </w:rPr>
            </w:pPr>
            <w:r>
              <w:rPr>
                <w:b/>
                <w:bCs/>
                <w:color w:val="auto"/>
                <w:highlight w:val="none"/>
              </w:rPr>
              <w:t>3、噪声检测</w:t>
            </w:r>
          </w:p>
          <w:p>
            <w:pPr>
              <w:ind w:firstLine="480"/>
              <w:rPr>
                <w:color w:val="auto"/>
                <w:highlight w:val="none"/>
              </w:rPr>
            </w:pPr>
            <w:r>
              <w:rPr>
                <w:color w:val="auto"/>
                <w:highlight w:val="none"/>
              </w:rPr>
              <w:t>（1）噪声检测点位和频次</w:t>
            </w:r>
          </w:p>
          <w:p>
            <w:pPr>
              <w:ind w:firstLine="480"/>
              <w:rPr>
                <w:color w:val="auto"/>
                <w:highlight w:val="none"/>
              </w:rPr>
            </w:pPr>
            <w:r>
              <w:rPr>
                <w:color w:val="auto"/>
                <w:highlight w:val="none"/>
              </w:rPr>
              <w:t>本项目厂界四周共布设</w:t>
            </w:r>
            <w:r>
              <w:rPr>
                <w:rFonts w:hint="eastAsia"/>
                <w:color w:val="auto"/>
                <w:highlight w:val="none"/>
              </w:rPr>
              <w:t>5</w:t>
            </w:r>
            <w:r>
              <w:rPr>
                <w:color w:val="auto"/>
                <w:highlight w:val="none"/>
              </w:rPr>
              <w:t>个监测点位</w:t>
            </w:r>
            <w:r>
              <w:rPr>
                <w:rFonts w:hint="eastAsia"/>
                <w:color w:val="auto"/>
                <w:highlight w:val="none"/>
              </w:rPr>
              <w:t>。</w:t>
            </w:r>
            <w:r>
              <w:rPr>
                <w:color w:val="auto"/>
                <w:highlight w:val="none"/>
              </w:rPr>
              <w:t>每天昼间监测一次，监测两天。</w:t>
            </w:r>
          </w:p>
          <w:p>
            <w:pPr>
              <w:ind w:firstLine="480"/>
              <w:rPr>
                <w:color w:val="auto"/>
                <w:highlight w:val="none"/>
              </w:rPr>
            </w:pPr>
            <w:r>
              <w:rPr>
                <w:color w:val="auto"/>
                <w:highlight w:val="none"/>
              </w:rPr>
              <w:t>噪声检测点位见下图6-2所示。</w:t>
            </w:r>
          </w:p>
          <w:p>
            <w:pPr>
              <w:ind w:firstLine="480"/>
              <w:rPr>
                <w:color w:val="auto"/>
                <w:highlight w:val="none"/>
              </w:rPr>
            </w:pPr>
            <w:r>
              <w:rPr>
                <w:color w:val="auto"/>
                <w:highlight w:val="none"/>
              </w:rPr>
              <w:t>（2）检测分析方法</w:t>
            </w:r>
          </w:p>
          <w:p>
            <w:pPr>
              <w:ind w:firstLine="480"/>
              <w:rPr>
                <w:color w:val="auto"/>
                <w:highlight w:val="none"/>
              </w:rPr>
            </w:pPr>
            <w:r>
              <w:rPr>
                <w:color w:val="auto"/>
                <w:highlight w:val="none"/>
              </w:rPr>
              <w:t>本项目噪声检测分析方法见表6-7。</w:t>
            </w:r>
          </w:p>
          <w:p>
            <w:pPr>
              <w:ind w:firstLine="482"/>
              <w:jc w:val="center"/>
              <w:rPr>
                <w:b/>
                <w:bCs/>
                <w:color w:val="auto"/>
                <w:highlight w:val="none"/>
              </w:rPr>
            </w:pPr>
            <w:r>
              <w:rPr>
                <w:b/>
                <w:bCs/>
                <w:color w:val="auto"/>
                <w:highlight w:val="none"/>
              </w:rPr>
              <w:t>表6-7  噪声检测分析方法</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2072"/>
              <w:gridCol w:w="2242"/>
              <w:gridCol w:w="22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项目名称</w:t>
                  </w:r>
                </w:p>
              </w:tc>
              <w:tc>
                <w:tcPr>
                  <w:tcW w:w="207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检测分析方法</w:t>
                  </w:r>
                </w:p>
              </w:tc>
              <w:tc>
                <w:tcPr>
                  <w:tcW w:w="224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方法来源</w:t>
                  </w:r>
                </w:p>
              </w:tc>
              <w:tc>
                <w:tcPr>
                  <w:tcW w:w="2222" w:type="dxa"/>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78" w:type="dxa"/>
                  <w:vAlign w:val="center"/>
                </w:tcPr>
                <w:p>
                  <w:pPr>
                    <w:spacing w:line="240" w:lineRule="auto"/>
                    <w:ind w:firstLine="0" w:firstLineChars="0"/>
                    <w:jc w:val="center"/>
                    <w:rPr>
                      <w:color w:val="auto"/>
                      <w:sz w:val="21"/>
                      <w:szCs w:val="21"/>
                      <w:highlight w:val="none"/>
                    </w:rPr>
                  </w:pPr>
                  <w:r>
                    <w:rPr>
                      <w:color w:val="auto"/>
                      <w:sz w:val="21"/>
                      <w:szCs w:val="21"/>
                      <w:highlight w:val="none"/>
                    </w:rPr>
                    <w:t>厂界噪声dB（A）</w:t>
                  </w:r>
                </w:p>
              </w:tc>
              <w:tc>
                <w:tcPr>
                  <w:tcW w:w="2072" w:type="dxa"/>
                  <w:vAlign w:val="center"/>
                </w:tcPr>
                <w:p>
                  <w:pPr>
                    <w:spacing w:line="240" w:lineRule="auto"/>
                    <w:ind w:firstLine="0" w:firstLineChars="0"/>
                    <w:jc w:val="center"/>
                    <w:rPr>
                      <w:color w:val="auto"/>
                      <w:sz w:val="21"/>
                      <w:szCs w:val="21"/>
                      <w:highlight w:val="none"/>
                    </w:rPr>
                  </w:pPr>
                  <w:r>
                    <w:rPr>
                      <w:color w:val="auto"/>
                      <w:sz w:val="21"/>
                      <w:szCs w:val="21"/>
                      <w:highlight w:val="none"/>
                    </w:rPr>
                    <w:t>声级计法</w:t>
                  </w:r>
                </w:p>
              </w:tc>
              <w:tc>
                <w:tcPr>
                  <w:tcW w:w="2242" w:type="dxa"/>
                  <w:vAlign w:val="center"/>
                </w:tcPr>
                <w:p>
                  <w:pPr>
                    <w:spacing w:line="240" w:lineRule="auto"/>
                    <w:ind w:firstLine="0" w:firstLineChars="0"/>
                    <w:jc w:val="center"/>
                    <w:rPr>
                      <w:color w:val="auto"/>
                      <w:sz w:val="21"/>
                      <w:szCs w:val="21"/>
                      <w:highlight w:val="none"/>
                    </w:rPr>
                  </w:pPr>
                  <w:r>
                    <w:rPr>
                      <w:color w:val="auto"/>
                      <w:sz w:val="21"/>
                      <w:szCs w:val="21"/>
                      <w:highlight w:val="none"/>
                    </w:rPr>
                    <w:t>GB12348-2008</w:t>
                  </w:r>
                </w:p>
              </w:tc>
              <w:tc>
                <w:tcPr>
                  <w:tcW w:w="2222" w:type="dxa"/>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w:t>
                  </w:r>
                </w:p>
              </w:tc>
            </w:tr>
          </w:tbl>
          <w:p>
            <w:pPr>
              <w:widowControl/>
              <w:ind w:firstLine="480"/>
              <w:jc w:val="left"/>
              <w:rPr>
                <w:color w:val="auto"/>
                <w:highlight w:val="none"/>
              </w:rPr>
            </w:pPr>
            <w:r>
              <w:rPr>
                <w:color w:val="auto"/>
                <w:highlight w:val="none"/>
              </w:rPr>
              <w:t>噪声点位布置图如下：</w:t>
            </w:r>
          </w:p>
          <w:p>
            <w:pPr>
              <w:pStyle w:val="2"/>
              <w:ind w:firstLine="0" w:firstLineChars="0"/>
              <w:rPr>
                <w:color w:val="auto"/>
                <w:highlight w:val="none"/>
              </w:rPr>
            </w:pPr>
            <w:r>
              <w:pict>
                <v:shape id="_x0000_i1031" o:spt="75" type="#_x0000_t75" style="height:333pt;width:444pt;" filled="f" stroked="f" coordsize="21600,21600">
                  <v:path/>
                  <v:fill on="f" focussize="0,0"/>
                  <v:stroke on="f"/>
                  <v:imagedata r:id="rId13" o:title=""/>
                  <o:lock v:ext="edit" aspectratio="t"/>
                  <w10:wrap type="none"/>
                  <w10:anchorlock/>
                </v:shape>
              </w:pict>
            </w:r>
          </w:p>
          <w:p>
            <w:pPr>
              <w:ind w:firstLine="482"/>
              <w:jc w:val="center"/>
              <w:rPr>
                <w:b/>
                <w:bCs/>
                <w:color w:val="auto"/>
                <w:highlight w:val="none"/>
              </w:rPr>
            </w:pPr>
            <w:r>
              <w:rPr>
                <w:b/>
                <w:bCs/>
                <w:color w:val="auto"/>
                <w:highlight w:val="none"/>
              </w:rPr>
              <w:t>图6-2  噪声检测点位</w:t>
            </w: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p>
            <w:pPr>
              <w:pStyle w:val="22"/>
              <w:rPr>
                <w:rFonts w:ascii="Times New Roman" w:hAnsi="Times New Roman"/>
                <w:color w:val="auto"/>
                <w:highlight w:val="none"/>
              </w:rPr>
            </w:pPr>
          </w:p>
        </w:tc>
      </w:tr>
    </w:tbl>
    <w:p>
      <w:pPr>
        <w:snapToGrid w:val="0"/>
        <w:spacing w:line="240" w:lineRule="auto"/>
        <w:ind w:firstLine="0" w:firstLineChars="0"/>
        <w:outlineLvl w:val="0"/>
        <w:rPr>
          <w:b/>
          <w:bCs/>
          <w:color w:val="auto"/>
          <w:sz w:val="30"/>
          <w:szCs w:val="30"/>
          <w:highlight w:val="none"/>
        </w:rPr>
      </w:pPr>
      <w:r>
        <w:rPr>
          <w:b/>
          <w:bCs/>
          <w:color w:val="auto"/>
          <w:sz w:val="32"/>
          <w:szCs w:val="32"/>
          <w:highlight w:val="none"/>
        </w:rPr>
        <w:br w:type="page"/>
      </w:r>
      <w:bookmarkStart w:id="221" w:name="_Toc15276"/>
      <w:bookmarkStart w:id="222" w:name="_Toc18700"/>
      <w:bookmarkStart w:id="223" w:name="_Toc30118"/>
      <w:bookmarkStart w:id="224" w:name="_Toc5210"/>
      <w:bookmarkStart w:id="225" w:name="_Toc3728"/>
      <w:bookmarkStart w:id="226" w:name="_Toc11367"/>
      <w:bookmarkStart w:id="227" w:name="_Toc6809"/>
      <w:bookmarkStart w:id="228" w:name="_Toc30664"/>
      <w:bookmarkStart w:id="229" w:name="_Toc1906"/>
      <w:bookmarkStart w:id="230" w:name="_Toc28843"/>
      <w:bookmarkStart w:id="231" w:name="_Toc13478"/>
      <w:bookmarkStart w:id="232" w:name="_Toc22505"/>
      <w:bookmarkStart w:id="233" w:name="_Toc12263"/>
      <w:bookmarkStart w:id="234" w:name="_Toc11106"/>
      <w:bookmarkStart w:id="235" w:name="_Toc26466"/>
      <w:bookmarkStart w:id="236" w:name="_Toc11054"/>
      <w:bookmarkStart w:id="237" w:name="_Toc1251"/>
      <w:bookmarkStart w:id="238" w:name="_Toc29175"/>
      <w:bookmarkStart w:id="239" w:name="_Toc15052"/>
      <w:bookmarkStart w:id="240" w:name="_Toc15751"/>
      <w:bookmarkStart w:id="241" w:name="_Toc32675"/>
      <w:bookmarkStart w:id="242" w:name="_Toc23240"/>
      <w:bookmarkStart w:id="243" w:name="_Toc9124"/>
      <w:bookmarkStart w:id="244" w:name="_Toc30238"/>
      <w:bookmarkStart w:id="245" w:name="_Toc22248"/>
      <w:bookmarkStart w:id="246" w:name="_Toc21259"/>
      <w:bookmarkStart w:id="247" w:name="_Toc24634"/>
      <w:bookmarkStart w:id="248" w:name="_Toc10302"/>
      <w:bookmarkStart w:id="249" w:name="_Toc3734"/>
      <w:bookmarkStart w:id="250" w:name="_Toc12503"/>
      <w:bookmarkStart w:id="251" w:name="_Toc13251"/>
      <w:bookmarkStart w:id="252" w:name="_Toc5662"/>
      <w:bookmarkStart w:id="253" w:name="_Toc13182"/>
      <w:bookmarkStart w:id="254" w:name="_Toc28437"/>
      <w:bookmarkStart w:id="255" w:name="_Toc8531"/>
      <w:bookmarkStart w:id="256" w:name="_Toc25702"/>
      <w:bookmarkStart w:id="257" w:name="_Toc3345"/>
      <w:bookmarkStart w:id="258" w:name="_Toc5609"/>
      <w:bookmarkStart w:id="259" w:name="_Toc1575"/>
      <w:bookmarkStart w:id="260" w:name="_Toc27956"/>
      <w:bookmarkStart w:id="261" w:name="_Toc19481"/>
      <w:bookmarkStart w:id="262" w:name="_Toc7291"/>
      <w:r>
        <w:rPr>
          <w:b/>
          <w:bCs/>
          <w:color w:val="auto"/>
          <w:sz w:val="30"/>
          <w:szCs w:val="30"/>
          <w:highlight w:val="none"/>
        </w:rPr>
        <w:t>表</w:t>
      </w:r>
      <w:r>
        <w:rPr>
          <w:rFonts w:hint="eastAsia"/>
          <w:b/>
          <w:bCs/>
          <w:color w:val="auto"/>
          <w:sz w:val="30"/>
          <w:szCs w:val="30"/>
          <w:highlight w:val="none"/>
          <w:lang w:val="en-US" w:eastAsia="zh-CN"/>
        </w:rPr>
        <w:t>6</w:t>
      </w:r>
      <w:r>
        <w:rPr>
          <w:b/>
          <w:bCs/>
          <w:color w:val="auto"/>
          <w:sz w:val="30"/>
          <w:szCs w:val="30"/>
          <w:highlight w:val="none"/>
        </w:rPr>
        <w:t xml:space="preserve">  验收监测质量保证及质量控制</w:t>
      </w:r>
      <w:bookmarkEnd w:id="221"/>
      <w:bookmarkEnd w:id="222"/>
      <w:bookmarkEnd w:id="223"/>
      <w:bookmarkEnd w:id="224"/>
      <w:bookmarkEnd w:id="225"/>
      <w:bookmarkEnd w:id="226"/>
      <w:bookmarkEnd w:id="227"/>
      <w:bookmarkEnd w:id="228"/>
    </w:p>
    <w:tbl>
      <w:tblPr>
        <w:tblStyle w:val="27"/>
        <w:tblpPr w:leftFromText="180" w:rightFromText="180" w:vertAnchor="text" w:horzAnchor="margin" w:tblpXSpec="center" w:tblpY="15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8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3156" w:hRule="atLeast"/>
        </w:trPr>
        <w:tc>
          <w:tcPr>
            <w:tcW w:w="5000" w:type="pct"/>
            <w:tcBorders>
              <w:top w:val="single" w:color="000000" w:sz="12" w:space="0"/>
              <w:bottom w:val="single" w:color="000000" w:sz="12" w:space="0"/>
            </w:tcBorders>
          </w:tcPr>
          <w:p>
            <w:pPr>
              <w:widowControl/>
              <w:ind w:firstLine="480"/>
              <w:jc w:val="left"/>
              <w:rPr>
                <w:color w:val="auto"/>
                <w:highlight w:val="none"/>
              </w:rPr>
            </w:pPr>
            <w:r>
              <w:rPr>
                <w:color w:val="auto"/>
                <w:highlight w:val="none"/>
              </w:rPr>
              <w:t>为保证验收监测数据的合理性、可靠性、准确性，对监测的全过程（布点、采样、样品贮存、实验室分析和数据处理等）进行了质量控制，具体要求如下：</w:t>
            </w:r>
          </w:p>
          <w:p>
            <w:pPr>
              <w:widowControl/>
              <w:numPr>
                <w:ilvl w:val="0"/>
                <w:numId w:val="8"/>
              </w:numPr>
              <w:ind w:firstLine="480"/>
              <w:jc w:val="left"/>
              <w:rPr>
                <w:color w:val="auto"/>
                <w:highlight w:val="none"/>
              </w:rPr>
            </w:pPr>
            <w:r>
              <w:rPr>
                <w:color w:val="auto"/>
                <w:highlight w:val="none"/>
              </w:rPr>
              <w:t>所有参加监测采样和分析人员必须持证上岗。</w:t>
            </w:r>
          </w:p>
          <w:p>
            <w:pPr>
              <w:widowControl/>
              <w:numPr>
                <w:ilvl w:val="0"/>
                <w:numId w:val="8"/>
              </w:numPr>
              <w:ind w:firstLine="480"/>
              <w:jc w:val="left"/>
              <w:rPr>
                <w:color w:val="auto"/>
                <w:highlight w:val="none"/>
              </w:rPr>
            </w:pPr>
            <w:r>
              <w:rPr>
                <w:color w:val="auto"/>
                <w:highlight w:val="none"/>
              </w:rPr>
              <w:t>由厂方提供验收监测期间的工况条件，验收监测工况负荷达到额定负荷。</w:t>
            </w:r>
          </w:p>
          <w:p>
            <w:pPr>
              <w:widowControl/>
              <w:numPr>
                <w:ilvl w:val="0"/>
                <w:numId w:val="8"/>
              </w:numPr>
              <w:ind w:firstLine="480"/>
              <w:jc w:val="left"/>
              <w:rPr>
                <w:color w:val="auto"/>
                <w:highlight w:val="none"/>
              </w:rPr>
            </w:pPr>
            <w:r>
              <w:rPr>
                <w:color w:val="auto"/>
                <w:highlight w:val="none"/>
              </w:rPr>
              <w:t>严格按照验收监测方案的要求开展监测工作。</w:t>
            </w:r>
          </w:p>
          <w:p>
            <w:pPr>
              <w:widowControl/>
              <w:numPr>
                <w:ilvl w:val="0"/>
                <w:numId w:val="8"/>
              </w:numPr>
              <w:ind w:firstLine="480"/>
              <w:jc w:val="left"/>
              <w:rPr>
                <w:color w:val="auto"/>
                <w:highlight w:val="none"/>
              </w:rPr>
            </w:pPr>
            <w:r>
              <w:rPr>
                <w:color w:val="auto"/>
                <w:highlight w:val="none"/>
              </w:rPr>
              <w:t>合理规范设施监测点位、确定监测因子与频次，保证验收监测数据的准确性和代表性。</w:t>
            </w:r>
          </w:p>
          <w:p>
            <w:pPr>
              <w:widowControl/>
              <w:numPr>
                <w:ilvl w:val="0"/>
                <w:numId w:val="8"/>
              </w:numPr>
              <w:ind w:firstLine="480"/>
              <w:jc w:val="left"/>
              <w:rPr>
                <w:color w:val="auto"/>
                <w:highlight w:val="none"/>
              </w:rPr>
            </w:pPr>
            <w:r>
              <w:rPr>
                <w:color w:val="auto"/>
                <w:highlight w:val="none"/>
              </w:rPr>
              <w:t>采样人员严格遵照采样技术规范进行采样工作，认真填写采样记录，按规定保存、运输样品。</w:t>
            </w:r>
          </w:p>
          <w:p>
            <w:pPr>
              <w:widowControl/>
              <w:numPr>
                <w:ilvl w:val="0"/>
                <w:numId w:val="8"/>
              </w:numPr>
              <w:ind w:firstLine="480"/>
              <w:jc w:val="left"/>
              <w:rPr>
                <w:color w:val="auto"/>
                <w:highlight w:val="none"/>
              </w:rPr>
            </w:pPr>
            <w:r>
              <w:rPr>
                <w:color w:val="auto"/>
                <w:highlight w:val="none"/>
              </w:rPr>
              <w:t>监测分析采用国家有关部门颁布的标准分析方法或推荐方法；监测人员经过考核合格并持有上岗证；所用监测仪器、量具均经计量部门检定合格并在有效期内使用。</w:t>
            </w:r>
          </w:p>
          <w:p>
            <w:pPr>
              <w:widowControl/>
              <w:numPr>
                <w:ilvl w:val="0"/>
                <w:numId w:val="8"/>
              </w:numPr>
              <w:ind w:firstLine="480"/>
              <w:jc w:val="left"/>
              <w:rPr>
                <w:color w:val="auto"/>
                <w:highlight w:val="none"/>
              </w:rPr>
            </w:pPr>
            <w:r>
              <w:rPr>
                <w:color w:val="auto"/>
                <w:highlight w:val="none"/>
              </w:rPr>
              <w:t>气样测定前校准仪器，在测试时保证其采样流量。</w:t>
            </w:r>
          </w:p>
          <w:p>
            <w:pPr>
              <w:widowControl/>
              <w:numPr>
                <w:ilvl w:val="0"/>
                <w:numId w:val="8"/>
              </w:numPr>
              <w:ind w:firstLine="480"/>
              <w:jc w:val="left"/>
              <w:rPr>
                <w:color w:val="auto"/>
                <w:highlight w:val="none"/>
              </w:rPr>
            </w:pPr>
            <w:r>
              <w:rPr>
                <w:color w:val="auto"/>
                <w:highlight w:val="none"/>
              </w:rPr>
              <w:t>采样分析及分析结果按国家标准和监测技术规范的相关要求进行数据处理和填报。</w:t>
            </w:r>
          </w:p>
          <w:p>
            <w:pPr>
              <w:widowControl/>
              <w:numPr>
                <w:ilvl w:val="0"/>
                <w:numId w:val="8"/>
              </w:numPr>
              <w:ind w:firstLine="480"/>
              <w:jc w:val="left"/>
              <w:rPr>
                <w:color w:val="auto"/>
                <w:highlight w:val="none"/>
              </w:rPr>
            </w:pPr>
            <w:r>
              <w:rPr>
                <w:color w:val="auto"/>
                <w:highlight w:val="none"/>
              </w:rPr>
              <w:t>监测数据和报告严格执行三级审核制度。</w:t>
            </w:r>
          </w:p>
          <w:p>
            <w:pPr>
              <w:ind w:firstLine="482"/>
              <w:rPr>
                <w:b/>
                <w:bCs/>
                <w:color w:val="auto"/>
                <w:highlight w:val="none"/>
              </w:rPr>
            </w:pPr>
            <w:r>
              <w:rPr>
                <w:rFonts w:hint="eastAsia"/>
                <w:b/>
                <w:bCs/>
                <w:color w:val="auto"/>
                <w:highlight w:val="none"/>
              </w:rPr>
              <w:t>1、气体监测分析过程中的质量保证和质量控制</w:t>
            </w:r>
          </w:p>
          <w:p>
            <w:pPr>
              <w:spacing w:line="360" w:lineRule="auto"/>
              <w:ind w:firstLine="480"/>
              <w:rPr>
                <w:color w:val="auto"/>
                <w:highlight w:val="none"/>
              </w:rPr>
            </w:pPr>
            <w:r>
              <w:rPr>
                <w:color w:val="auto"/>
                <w:highlight w:val="none"/>
              </w:rPr>
              <w:t>监测质量保证和质量控制按照《固定污染源监测质量保证与质量控制技术规范（试行）》（HJ/T373-2007）、《大气污染物无组织排放监测技术导则》（HJ/T 55-2000）的相关要求进行。</w:t>
            </w:r>
          </w:p>
          <w:p>
            <w:pPr>
              <w:spacing w:line="360" w:lineRule="auto"/>
              <w:ind w:firstLine="480"/>
              <w:rPr>
                <w:color w:val="auto"/>
                <w:highlight w:val="none"/>
              </w:rPr>
            </w:pPr>
            <w:r>
              <w:rPr>
                <w:color w:val="auto"/>
                <w:highlight w:val="none"/>
              </w:rPr>
              <w:t>（1）废气采样前，采样员检查并确认了废气采样管、连接管、滤料、样品吸收瓶的材质，确认满足被测废气的特性要求，确保废气监测因子不吸附、不溶出和不与待测污染物发生化学反应。同时，采样管的耐压和耐温性能符合污染源监测的实际需要。</w:t>
            </w:r>
          </w:p>
          <w:p>
            <w:pPr>
              <w:spacing w:line="360" w:lineRule="auto"/>
              <w:ind w:firstLine="480"/>
              <w:rPr>
                <w:color w:val="auto"/>
                <w:highlight w:val="none"/>
              </w:rPr>
            </w:pPr>
            <w:r>
              <w:rPr>
                <w:color w:val="auto"/>
                <w:highlight w:val="none"/>
              </w:rPr>
              <w:t>（2）采样员在采样前认真检查并确认了废气采样管、滤料、吸收瓶的清洁度，确保采样设备及容器符合采样要求。</w:t>
            </w:r>
          </w:p>
          <w:p>
            <w:pPr>
              <w:spacing w:line="360" w:lineRule="auto"/>
              <w:ind w:firstLine="480"/>
              <w:rPr>
                <w:color w:val="auto"/>
                <w:highlight w:val="none"/>
              </w:rPr>
            </w:pPr>
            <w:r>
              <w:rPr>
                <w:color w:val="auto"/>
                <w:highlight w:val="none"/>
              </w:rPr>
              <w:t>（3）现场监测设备在投入使用前，采样员对仪器设备都进行了检查和校准，并保持检查和校准记录。</w:t>
            </w:r>
          </w:p>
          <w:p>
            <w:pPr>
              <w:spacing w:line="360" w:lineRule="auto"/>
              <w:ind w:firstLine="480"/>
              <w:rPr>
                <w:color w:val="auto"/>
                <w:highlight w:val="none"/>
              </w:rPr>
            </w:pPr>
            <w:r>
              <w:rPr>
                <w:color w:val="auto"/>
                <w:highlight w:val="none"/>
              </w:rPr>
              <w:t>（4）废气采样系统连接好后对其进行了气密性检查，确保整体系统不漏气。</w:t>
            </w:r>
          </w:p>
          <w:p>
            <w:pPr>
              <w:autoSpaceDE w:val="0"/>
              <w:autoSpaceDN w:val="0"/>
              <w:spacing w:line="360" w:lineRule="auto"/>
              <w:ind w:firstLine="480"/>
              <w:rPr>
                <w:color w:val="auto"/>
                <w:highlight w:val="none"/>
              </w:rPr>
            </w:pPr>
            <w:r>
              <w:rPr>
                <w:color w:val="auto"/>
                <w:highlight w:val="none"/>
              </w:rPr>
              <w:t>（5）监测数据和技术报告执行了三级审核制度。</w:t>
            </w:r>
          </w:p>
          <w:p>
            <w:pPr>
              <w:ind w:firstLine="482"/>
              <w:rPr>
                <w:b/>
                <w:color w:val="auto"/>
                <w:highlight w:val="none"/>
              </w:rPr>
            </w:pPr>
            <w:r>
              <w:rPr>
                <w:b/>
                <w:color w:val="auto"/>
                <w:highlight w:val="none"/>
              </w:rPr>
              <w:t>2、水质监测分析过程中的质量保证和质量控制</w:t>
            </w:r>
          </w:p>
          <w:p>
            <w:pPr>
              <w:autoSpaceDE w:val="0"/>
              <w:autoSpaceDN w:val="0"/>
              <w:spacing w:line="360" w:lineRule="auto"/>
              <w:ind w:firstLine="480"/>
              <w:rPr>
                <w:color w:val="auto"/>
                <w:highlight w:val="none"/>
              </w:rPr>
            </w:pPr>
            <w:r>
              <w:rPr>
                <w:rFonts w:hint="eastAsia"/>
                <w:color w:val="auto"/>
                <w:highlight w:val="none"/>
              </w:rPr>
              <w:t>为保证监测分析结果准确可靠，在监测期间，样品采集、运输、保存按照原国家环境保护总局</w:t>
            </w:r>
            <w:r>
              <w:rPr>
                <w:rFonts w:hint="eastAsia"/>
              </w:rPr>
              <w:t>《污水监测技术规范》（HJ 91.1-2019）和《水质 样品的保存和管理技术规定》（HJ 493-2009）</w:t>
            </w:r>
            <w:r>
              <w:rPr>
                <w:rFonts w:hint="eastAsia"/>
                <w:color w:val="auto"/>
                <w:highlight w:val="none"/>
              </w:rPr>
              <w:t>等的技术要求进行</w:t>
            </w:r>
            <w:r>
              <w:rPr>
                <w:rFonts w:hint="eastAsia"/>
                <w:color w:val="auto"/>
                <w:highlight w:val="none"/>
                <w:lang w:eastAsia="zh-CN"/>
              </w:rPr>
              <w:t>。</w:t>
            </w:r>
          </w:p>
          <w:p>
            <w:pPr>
              <w:autoSpaceDE w:val="0"/>
              <w:autoSpaceDN w:val="0"/>
              <w:spacing w:line="360" w:lineRule="auto"/>
              <w:ind w:firstLine="480"/>
              <w:rPr>
                <w:color w:val="auto"/>
                <w:highlight w:val="none"/>
              </w:rPr>
            </w:pPr>
            <w:r>
              <w:rPr>
                <w:color w:val="auto"/>
                <w:highlight w:val="none"/>
              </w:rPr>
              <w:t>（1）监测期间及时了解工况情况，确保监测过程中生产负荷满足要求。</w:t>
            </w:r>
          </w:p>
          <w:p>
            <w:pPr>
              <w:autoSpaceDE w:val="0"/>
              <w:autoSpaceDN w:val="0"/>
              <w:spacing w:line="360" w:lineRule="auto"/>
              <w:ind w:firstLine="480"/>
              <w:rPr>
                <w:color w:val="auto"/>
                <w:highlight w:val="none"/>
              </w:rPr>
            </w:pPr>
            <w:r>
              <w:rPr>
                <w:color w:val="auto"/>
                <w:highlight w:val="none"/>
              </w:rPr>
              <w:t>（2）监测点位、监测因子与频率及抽样率设置合理规范，保证监测数据具备科学性和代表性。</w:t>
            </w:r>
          </w:p>
          <w:p>
            <w:pPr>
              <w:autoSpaceDE w:val="0"/>
              <w:autoSpaceDN w:val="0"/>
              <w:spacing w:line="360" w:lineRule="auto"/>
              <w:ind w:firstLine="480"/>
              <w:rPr>
                <w:color w:val="auto"/>
                <w:highlight w:val="none"/>
              </w:rPr>
            </w:pPr>
            <w:r>
              <w:rPr>
                <w:color w:val="auto"/>
                <w:highlight w:val="none"/>
              </w:rPr>
              <w:t>（3）优先采用国标监测分析方法，监测采样与测试分析人员均经国家考核合格并持证上岗，监测仪器经计量部门检定并在有效使用期内。</w:t>
            </w:r>
          </w:p>
          <w:p>
            <w:pPr>
              <w:autoSpaceDE w:val="0"/>
              <w:autoSpaceDN w:val="0"/>
              <w:spacing w:line="360" w:lineRule="auto"/>
              <w:ind w:firstLine="480"/>
              <w:rPr>
                <w:color w:val="auto"/>
                <w:highlight w:val="none"/>
              </w:rPr>
            </w:pPr>
            <w:r>
              <w:rPr>
                <w:color w:val="auto"/>
                <w:highlight w:val="none"/>
              </w:rPr>
              <w:t>（4）按照规范对样品的采集、保存以及运输采取质量控制措施。选用合适的采样容器，并对容器进行洗涤；水样运输前将容器盖盖紧，确认所采水样全部装箱；运输时有专门押运人员；水样交</w:t>
            </w:r>
            <w:r>
              <w:rPr>
                <w:rFonts w:hint="eastAsia"/>
                <w:color w:val="auto"/>
                <w:highlight w:val="none"/>
              </w:rPr>
              <w:t>检测部</w:t>
            </w:r>
            <w:r>
              <w:rPr>
                <w:color w:val="auto"/>
                <w:highlight w:val="none"/>
              </w:rPr>
              <w:t>时，办理交接手续。</w:t>
            </w:r>
          </w:p>
          <w:p>
            <w:pPr>
              <w:autoSpaceDE w:val="0"/>
              <w:autoSpaceDN w:val="0"/>
              <w:spacing w:line="360" w:lineRule="auto"/>
              <w:ind w:firstLine="480"/>
              <w:rPr>
                <w:color w:val="auto"/>
                <w:highlight w:val="none"/>
              </w:rPr>
            </w:pPr>
            <w:r>
              <w:rPr>
                <w:color w:val="auto"/>
                <w:highlight w:val="none"/>
              </w:rPr>
              <w:t>（5）监测数据和技术报告执行三级审核制度。</w:t>
            </w:r>
          </w:p>
          <w:p>
            <w:pPr>
              <w:ind w:firstLine="482"/>
              <w:rPr>
                <w:b/>
                <w:color w:val="auto"/>
                <w:highlight w:val="none"/>
              </w:rPr>
            </w:pPr>
            <w:r>
              <w:rPr>
                <w:rFonts w:hint="eastAsia"/>
                <w:b/>
                <w:color w:val="auto"/>
                <w:highlight w:val="none"/>
              </w:rPr>
              <w:t>3、</w:t>
            </w:r>
            <w:r>
              <w:rPr>
                <w:b/>
                <w:color w:val="auto"/>
                <w:highlight w:val="none"/>
              </w:rPr>
              <w:t>噪声监测分析过程中的质量保证和质量控制</w:t>
            </w:r>
          </w:p>
          <w:p>
            <w:pPr>
              <w:autoSpaceDE w:val="0"/>
              <w:autoSpaceDN w:val="0"/>
              <w:spacing w:line="360" w:lineRule="auto"/>
              <w:ind w:firstLine="480"/>
              <w:rPr>
                <w:color w:val="auto"/>
                <w:highlight w:val="none"/>
              </w:rPr>
            </w:pPr>
            <w:r>
              <w:rPr>
                <w:color w:val="auto"/>
                <w:highlight w:val="none"/>
              </w:rPr>
              <w:t>噪声测量质量保证与质量控制按《环境噪声监测技术规范噪声测量值修正》</w:t>
            </w:r>
            <w:r>
              <w:rPr>
                <w:rFonts w:hint="eastAsia"/>
                <w:color w:val="auto"/>
                <w:highlight w:val="none"/>
              </w:rPr>
              <w:t>（HJ 706-2014）</w:t>
            </w:r>
            <w:r>
              <w:rPr>
                <w:color w:val="auto"/>
                <w:highlight w:val="none"/>
              </w:rPr>
              <w:t>和《工业企业厂界环境噪声排放标准》（GB12348-2008）中的有关规定进行。监测时使用经计量部门检定、并在有效试用期内的声级计；声级计在测时前后用标准发生源进行校准。</w:t>
            </w:r>
          </w:p>
          <w:p>
            <w:pPr>
              <w:autoSpaceDE w:val="0"/>
              <w:autoSpaceDN w:val="0"/>
              <w:spacing w:line="360" w:lineRule="auto"/>
              <w:ind w:firstLine="480"/>
              <w:rPr>
                <w:color w:val="auto"/>
                <w:highlight w:val="none"/>
              </w:rPr>
            </w:pPr>
            <w:r>
              <w:rPr>
                <w:color w:val="auto"/>
                <w:highlight w:val="none"/>
              </w:rPr>
              <w:t>（1）合理规范地设置监测点位、监测因子与频率，保证监测数据具备科学性和代表性。</w:t>
            </w:r>
          </w:p>
          <w:p>
            <w:pPr>
              <w:autoSpaceDE w:val="0"/>
              <w:autoSpaceDN w:val="0"/>
              <w:spacing w:line="360" w:lineRule="auto"/>
              <w:ind w:firstLine="480"/>
              <w:rPr>
                <w:color w:val="auto"/>
                <w:highlight w:val="none"/>
              </w:rPr>
            </w:pPr>
            <w:r>
              <w:rPr>
                <w:color w:val="auto"/>
                <w:highlight w:val="none"/>
              </w:rPr>
              <w:t>（2）优先采用国标监测分析方法，监测采样与测试分析人员均经国家考核合格并持证上岗，监测仪器经计量部门检定并在有效使用期内。</w:t>
            </w:r>
          </w:p>
          <w:p>
            <w:pPr>
              <w:autoSpaceDE w:val="0"/>
              <w:autoSpaceDN w:val="0"/>
              <w:spacing w:line="360" w:lineRule="auto"/>
              <w:ind w:firstLine="480"/>
              <w:rPr>
                <w:color w:val="auto"/>
                <w:highlight w:val="none"/>
              </w:rPr>
            </w:pPr>
            <w:r>
              <w:rPr>
                <w:color w:val="auto"/>
                <w:highlight w:val="none"/>
              </w:rPr>
              <w:t>（3）测量时传声器加设防风罩。</w:t>
            </w:r>
          </w:p>
          <w:p>
            <w:pPr>
              <w:autoSpaceDE w:val="0"/>
              <w:autoSpaceDN w:val="0"/>
              <w:spacing w:line="360" w:lineRule="auto"/>
              <w:ind w:firstLine="480"/>
              <w:rPr>
                <w:color w:val="auto"/>
                <w:highlight w:val="none"/>
              </w:rPr>
            </w:pPr>
            <w:r>
              <w:rPr>
                <w:color w:val="auto"/>
                <w:highlight w:val="none"/>
              </w:rPr>
              <w:t>（4）测量在无风雪、无雷电天气，风速</w:t>
            </w:r>
            <w:r>
              <w:rPr>
                <w:rFonts w:hint="eastAsia"/>
                <w:color w:val="auto"/>
                <w:highlight w:val="none"/>
              </w:rPr>
              <w:t>均</w:t>
            </w:r>
            <w:r>
              <w:rPr>
                <w:color w:val="auto"/>
                <w:highlight w:val="none"/>
              </w:rPr>
              <w:t>小于5m/s，满足要求。</w:t>
            </w:r>
          </w:p>
          <w:p>
            <w:pPr>
              <w:autoSpaceDE w:val="0"/>
              <w:autoSpaceDN w:val="0"/>
              <w:spacing w:line="360" w:lineRule="auto"/>
              <w:ind w:firstLine="480"/>
              <w:rPr>
                <w:color w:val="auto"/>
                <w:highlight w:val="none"/>
              </w:rPr>
            </w:pPr>
            <w:r>
              <w:rPr>
                <w:color w:val="auto"/>
                <w:highlight w:val="none"/>
              </w:rPr>
              <w:t xml:space="preserve">（5）监测数据和技术报告执行三级审核制度。 </w:t>
            </w:r>
          </w:p>
          <w:p>
            <w:pPr>
              <w:autoSpaceDE w:val="0"/>
              <w:autoSpaceDN w:val="0"/>
              <w:spacing w:line="360" w:lineRule="auto"/>
              <w:ind w:firstLine="480"/>
              <w:rPr>
                <w:color w:val="auto"/>
                <w:highlight w:val="none"/>
              </w:rPr>
            </w:pPr>
            <w:r>
              <w:rPr>
                <w:color w:val="auto"/>
                <w:highlight w:val="none"/>
              </w:rPr>
              <w:t>（6）声级计在测试前后用标准声源进行校准，测量前后仪器的灵敏度相差不大于0.5dB。</w:t>
            </w:r>
          </w:p>
          <w:p>
            <w:pPr>
              <w:pStyle w:val="33"/>
              <w:snapToGrid w:val="0"/>
              <w:ind w:firstLine="0" w:firstLineChars="0"/>
              <w:rPr>
                <w:rFonts w:cs="Times New Roman"/>
                <w:color w:val="auto"/>
                <w:highlight w:val="none"/>
              </w:rPr>
            </w:pPr>
          </w:p>
        </w:tc>
      </w:tr>
    </w:tbl>
    <w:p>
      <w:pPr>
        <w:adjustRightInd w:val="0"/>
        <w:snapToGrid w:val="0"/>
        <w:ind w:firstLine="0" w:firstLineChars="0"/>
        <w:outlineLvl w:val="0"/>
        <w:rPr>
          <w:color w:val="auto"/>
          <w:highlight w:val="none"/>
        </w:rPr>
      </w:pPr>
      <w:r>
        <w:rPr>
          <w:b/>
          <w:bCs/>
          <w:color w:val="auto"/>
          <w:sz w:val="32"/>
          <w:szCs w:val="32"/>
          <w:highlight w:val="none"/>
        </w:rPr>
        <w:br w:type="page"/>
      </w:r>
      <w:bookmarkStart w:id="263" w:name="_Toc27905"/>
      <w:bookmarkStart w:id="264" w:name="_Toc11622"/>
      <w:bookmarkStart w:id="265" w:name="_Toc20809"/>
      <w:bookmarkStart w:id="266" w:name="_Toc1129"/>
      <w:bookmarkStart w:id="267" w:name="_Toc29826"/>
      <w:bookmarkStart w:id="268" w:name="_Toc30323"/>
      <w:bookmarkStart w:id="269" w:name="_Toc12974"/>
      <w:bookmarkStart w:id="270" w:name="_Toc11804"/>
      <w:r>
        <w:rPr>
          <w:b/>
          <w:bCs/>
          <w:color w:val="auto"/>
          <w:sz w:val="32"/>
          <w:szCs w:val="32"/>
          <w:highlight w:val="none"/>
        </w:rPr>
        <w:t>表7  验收监测期间工况记录及验收监测结果</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tbl>
      <w:tblPr>
        <w:tblStyle w:val="27"/>
        <w:tblpPr w:leftFromText="180" w:rightFromText="180" w:vertAnchor="text" w:horzAnchor="margin" w:tblpXSpec="center" w:tblpY="158"/>
        <w:tblW w:w="5001" w:type="pct"/>
        <w:tblInd w:w="-4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0" w:type="dxa"/>
          <w:bottom w:w="0" w:type="dxa"/>
          <w:right w:w="0" w:type="dxa"/>
        </w:tblCellMar>
      </w:tblPr>
      <w:tblGrid>
        <w:gridCol w:w="897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5000" w:type="pct"/>
            <w:tcBorders>
              <w:top w:val="single" w:color="000000" w:sz="12" w:space="0"/>
              <w:bottom w:val="single" w:color="auto" w:sz="4" w:space="0"/>
            </w:tcBorders>
            <w:vAlign w:val="center"/>
          </w:tcPr>
          <w:p>
            <w:pPr>
              <w:ind w:firstLine="482"/>
              <w:rPr>
                <w:b/>
                <w:bCs/>
                <w:color w:val="auto"/>
                <w:highlight w:val="none"/>
              </w:rPr>
            </w:pPr>
            <w:r>
              <w:rPr>
                <w:b/>
                <w:bCs/>
                <w:color w:val="auto"/>
                <w:highlight w:val="none"/>
              </w:rPr>
              <w:t>一、验收监测期间工况记录</w:t>
            </w:r>
          </w:p>
          <w:p>
            <w:pPr>
              <w:ind w:firstLine="480"/>
              <w:rPr>
                <w:color w:val="auto"/>
                <w:highlight w:val="none"/>
              </w:rPr>
            </w:pPr>
            <w:r>
              <w:rPr>
                <w:rFonts w:hint="eastAsia"/>
                <w:color w:val="auto"/>
                <w:highlight w:val="none"/>
              </w:rPr>
              <w:t>监测</w:t>
            </w:r>
            <w:r>
              <w:rPr>
                <w:color w:val="auto"/>
                <w:highlight w:val="none"/>
              </w:rPr>
              <w:t>期间本项目运行正常。</w:t>
            </w:r>
          </w:p>
          <w:p>
            <w:pPr>
              <w:ind w:firstLine="480"/>
              <w:rPr>
                <w:color w:val="auto"/>
                <w:highlight w:val="none"/>
              </w:rPr>
            </w:pPr>
            <w:r>
              <w:rPr>
                <w:color w:val="auto"/>
                <w:highlight w:val="none"/>
              </w:rPr>
              <w:t>监测期间气象情况见表7-</w:t>
            </w:r>
            <w:r>
              <w:rPr>
                <w:rFonts w:hint="eastAsia"/>
                <w:color w:val="auto"/>
                <w:highlight w:val="none"/>
                <w:lang w:val="en-US" w:eastAsia="zh-CN"/>
              </w:rPr>
              <w:t>1</w:t>
            </w:r>
            <w:r>
              <w:rPr>
                <w:color w:val="auto"/>
                <w:highlight w:val="none"/>
              </w:rPr>
              <w:t>。</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1</w:t>
            </w:r>
            <w:r>
              <w:rPr>
                <w:b/>
                <w:bCs/>
                <w:color w:val="auto"/>
                <w:highlight w:val="none"/>
              </w:rPr>
              <w:t xml:space="preserve">  监测期间气象表</w:t>
            </w:r>
          </w:p>
          <w:tbl>
            <w:tblPr>
              <w:tblStyle w:val="27"/>
              <w:tblW w:w="8949" w:type="dxa"/>
              <w:jc w:val="center"/>
              <w:tblLayout w:type="autofit"/>
              <w:tblCellMar>
                <w:top w:w="0" w:type="dxa"/>
                <w:left w:w="108" w:type="dxa"/>
                <w:bottom w:w="0" w:type="dxa"/>
                <w:right w:w="108" w:type="dxa"/>
              </w:tblCellMar>
            </w:tblPr>
            <w:tblGrid>
              <w:gridCol w:w="1215"/>
              <w:gridCol w:w="1215"/>
              <w:gridCol w:w="1106"/>
              <w:gridCol w:w="995"/>
              <w:gridCol w:w="992"/>
              <w:gridCol w:w="881"/>
              <w:gridCol w:w="1219"/>
              <w:gridCol w:w="1326"/>
            </w:tblGrid>
            <w:tr>
              <w:tblPrEx>
                <w:tblCellMar>
                  <w:top w:w="0" w:type="dxa"/>
                  <w:left w:w="108" w:type="dxa"/>
                  <w:bottom w:w="0" w:type="dxa"/>
                  <w:right w:w="108" w:type="dxa"/>
                </w:tblCellMar>
              </w:tblPrEx>
              <w:trPr>
                <w:trHeight w:val="397" w:hRule="atLeast"/>
                <w:jc w:val="center"/>
              </w:trPr>
              <w:tc>
                <w:tcPr>
                  <w:tcW w:w="2430" w:type="dxa"/>
                  <w:gridSpan w:val="2"/>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日期</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温度</w:t>
                  </w:r>
                </w:p>
                <w:p>
                  <w:pPr>
                    <w:pStyle w:val="50"/>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sz w:val="21"/>
                      <w:szCs w:val="21"/>
                      <w:lang w:val="en-US" w:eastAsia="zh-CN"/>
                    </w:rPr>
                  </w:pPr>
                  <w:r>
                    <w:rPr>
                      <w:rFonts w:ascii="Times New Roman" w:hAnsi="Times New Roman" w:eastAsia="宋体" w:cs="Times New Roman"/>
                      <w:b/>
                      <w:bCs/>
                      <w:sz w:val="21"/>
                      <w:szCs w:val="21"/>
                      <w:lang w:val="en-US" w:eastAsia="zh-CN"/>
                    </w:rPr>
                    <w:t>湿度</w:t>
                  </w:r>
                </w:p>
                <w:p>
                  <w:pPr>
                    <w:pStyle w:val="50"/>
                    <w:widowControl w:val="0"/>
                    <w:bidi w:val="0"/>
                    <w:snapToGrid w:val="0"/>
                    <w:ind w:firstLineChars="0"/>
                    <w:jc w:val="center"/>
                    <w:rPr>
                      <w:rFonts w:ascii="Times New Roman" w:hAnsi="Times New Roman" w:eastAsia="宋体" w:cs="Times New Roman"/>
                      <w:b/>
                      <w:bCs/>
                      <w:szCs w:val="21"/>
                      <w:lang w:val="en-US" w:eastAsia="zh-CN"/>
                    </w:rPr>
                  </w:pPr>
                  <w:r>
                    <w:rPr>
                      <w:rFonts w:ascii="Times New Roman" w:hAnsi="Times New Roman" w:eastAsia="宋体" w:cs="Times New Roman"/>
                      <w:b/>
                      <w:bCs/>
                      <w:sz w:val="21"/>
                      <w:szCs w:val="21"/>
                      <w:lang w:val="en-US"/>
                    </w:rPr>
                    <w:t>(</w:t>
                  </w:r>
                  <w:r>
                    <w:rPr>
                      <w:rFonts w:ascii="Times New Roman" w:hAnsi="Times New Roman" w:eastAsia="宋体" w:cs="Times New Roman"/>
                      <w:b/>
                      <w:bCs/>
                      <w:sz w:val="21"/>
                      <w:szCs w:val="21"/>
                      <w:lang w:val="en-US" w:eastAsia="zh-CN"/>
                    </w:rPr>
                    <w:t>%</w:t>
                  </w:r>
                  <w:r>
                    <w:rPr>
                      <w:rFonts w:ascii="Times New Roman" w:hAnsi="Times New Roman" w:eastAsia="宋体" w:cs="Times New Roman"/>
                      <w:b/>
                      <w:bCs/>
                      <w:sz w:val="21"/>
                      <w:szCs w:val="21"/>
                      <w:lang w:val="en-US"/>
                    </w:rPr>
                    <w:t>)</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总云</w:t>
                  </w:r>
                  <w:r>
                    <w:rPr>
                      <w:rFonts w:ascii="Times New Roman" w:hAnsi="Times New Roman" w:eastAsia="宋体" w:cs="Times New Roman"/>
                      <w:b/>
                      <w:bCs/>
                      <w:sz w:val="21"/>
                      <w:szCs w:val="21"/>
                    </w:rPr>
                    <w:t>/低云</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sz w:val="21"/>
                      <w:szCs w:val="21"/>
                      <w:lang w:val="en-US"/>
                    </w:rPr>
                  </w:pPr>
                  <w:r>
                    <w:rPr>
                      <w:rFonts w:ascii="Times New Roman" w:hAnsi="Times New Roman" w:eastAsia="宋体" w:cs="Times New Roman"/>
                      <w:b/>
                      <w:bCs/>
                      <w:sz w:val="21"/>
                      <w:szCs w:val="21"/>
                      <w:lang w:val="en-US"/>
                    </w:rPr>
                    <w:t>风向</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风速</w:t>
                  </w:r>
                </w:p>
                <w:p>
                  <w:pPr>
                    <w:pStyle w:val="50"/>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(m/s)</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ascii="Times New Roman" w:hAnsi="Times New Roman" w:eastAsia="宋体" w:cs="Times New Roman"/>
                      <w:b/>
                      <w:bCs/>
                      <w:color w:val="000000" w:themeColor="text1"/>
                      <w:sz w:val="21"/>
                      <w:szCs w:val="21"/>
                      <w:lang w:val="en-US"/>
                    </w:rPr>
                  </w:pPr>
                  <w:r>
                    <w:rPr>
                      <w:rFonts w:ascii="Times New Roman" w:hAnsi="Times New Roman" w:eastAsia="宋体" w:cs="Times New Roman"/>
                      <w:b/>
                      <w:bCs/>
                      <w:color w:val="000000" w:themeColor="text1"/>
                      <w:sz w:val="21"/>
                      <w:szCs w:val="21"/>
                      <w:lang w:val="en-US"/>
                    </w:rPr>
                    <w:t>大气压(</w:t>
                  </w:r>
                  <w:r>
                    <w:rPr>
                      <w:rFonts w:ascii="Times New Roman" w:hAnsi="Times New Roman" w:eastAsia="宋体" w:cs="Times New Roman"/>
                      <w:b/>
                      <w:bCs/>
                      <w:color w:val="000000" w:themeColor="text1"/>
                      <w:sz w:val="21"/>
                      <w:szCs w:val="21"/>
                      <w:lang w:val="en-US" w:eastAsia="zh-CN"/>
                    </w:rPr>
                    <w:t>k</w:t>
                  </w:r>
                  <w:r>
                    <w:rPr>
                      <w:rFonts w:ascii="Times New Roman" w:hAnsi="Times New Roman" w:eastAsia="宋体" w:cs="Times New Roman"/>
                      <w:b/>
                      <w:bCs/>
                      <w:color w:val="000000" w:themeColor="text1"/>
                      <w:sz w:val="21"/>
                      <w:szCs w:val="21"/>
                      <w:lang w:val="en-US"/>
                    </w:rPr>
                    <w:t>Pa)</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10:10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59</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11:50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7.3</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61</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100.32</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14:20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7.8</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58</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100.28</w:t>
                  </w:r>
                </w:p>
              </w:tc>
            </w:tr>
            <w:tr>
              <w:tblPrEx>
                <w:tblCellMar>
                  <w:top w:w="0" w:type="dxa"/>
                  <w:left w:w="108" w:type="dxa"/>
                  <w:bottom w:w="0" w:type="dxa"/>
                  <w:right w:w="108" w:type="dxa"/>
                </w:tblCellMar>
              </w:tblPrEx>
              <w:trPr>
                <w:trHeight w:val="397" w:hRule="atLeast"/>
                <w:jc w:val="center"/>
              </w:trPr>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pStyle w:val="50"/>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15:45</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56</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7/6</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100.21</w:t>
                  </w:r>
                </w:p>
              </w:tc>
            </w:tr>
            <w:tr>
              <w:tblPrEx>
                <w:tblCellMar>
                  <w:top w:w="0" w:type="dxa"/>
                  <w:left w:w="108" w:type="dxa"/>
                  <w:bottom w:w="0" w:type="dxa"/>
                  <w:right w:w="108" w:type="dxa"/>
                </w:tblCellMar>
              </w:tblPrEx>
              <w:trPr>
                <w:trHeight w:val="397" w:hRule="atLeast"/>
                <w:jc w:val="center"/>
              </w:trPr>
              <w:tc>
                <w:tcPr>
                  <w:tcW w:w="1215" w:type="dxa"/>
                  <w:vMerge w:val="restart"/>
                  <w:tcBorders>
                    <w:top w:val="single" w:color="000000" w:sz="4" w:space="0"/>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val="0"/>
                      <w:sz w:val="21"/>
                      <w:szCs w:val="21"/>
                      <w:lang w:val="en-US" w:eastAsia="zh-CN"/>
                    </w:rPr>
                    <w:t>03.31</w:t>
                  </w: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9:40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52</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101.30</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11:20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12.2</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40</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101.18</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13:50</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13.1</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35</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101.12</w:t>
                  </w:r>
                </w:p>
              </w:tc>
            </w:tr>
            <w:tr>
              <w:tblPrEx>
                <w:tblCellMar>
                  <w:top w:w="0" w:type="dxa"/>
                  <w:left w:w="108" w:type="dxa"/>
                  <w:bottom w:w="0" w:type="dxa"/>
                  <w:right w:w="108" w:type="dxa"/>
                </w:tblCellMar>
              </w:tblPrEx>
              <w:trPr>
                <w:trHeight w:val="397" w:hRule="atLeast"/>
                <w:jc w:val="center"/>
              </w:trPr>
              <w:tc>
                <w:tcPr>
                  <w:tcW w:w="1215" w:type="dxa"/>
                  <w:vMerge w:val="continue"/>
                  <w:tcBorders>
                    <w:left w:val="single" w:color="000000" w:sz="4" w:space="0"/>
                    <w:bottom w:val="single" w:color="000000" w:sz="4" w:space="0"/>
                    <w:right w:val="single" w:color="000000" w:sz="4" w:space="0"/>
                  </w:tcBorders>
                  <w:vAlign w:val="center"/>
                </w:tcPr>
                <w:p>
                  <w:pPr>
                    <w:pStyle w:val="50"/>
                    <w:keepNext w:val="0"/>
                    <w:keepLines w:val="0"/>
                    <w:widowControl w:val="0"/>
                    <w:overflowPunct w:val="0"/>
                    <w:bidi w:val="0"/>
                    <w:snapToGrid/>
                    <w:spacing w:line="300" w:lineRule="auto"/>
                    <w:ind w:firstLineChars="0"/>
                    <w:jc w:val="center"/>
                    <w:textAlignment w:val="auto"/>
                    <w:rPr>
                      <w:rFonts w:ascii="Times New Roman" w:hAnsi="Times New Roman" w:eastAsia="宋体" w:cs="Times New Roman"/>
                      <w:color w:val="auto"/>
                      <w:sz w:val="21"/>
                      <w:szCs w:val="21"/>
                      <w:lang w:val="en-US" w:eastAsia="zh-CN"/>
                    </w:rPr>
                  </w:pPr>
                </w:p>
              </w:tc>
              <w:tc>
                <w:tcPr>
                  <w:tcW w:w="121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15:15</w:t>
                  </w:r>
                </w:p>
              </w:tc>
              <w:tc>
                <w:tcPr>
                  <w:tcW w:w="110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w:t>
                  </w:r>
                </w:p>
              </w:tc>
              <w:tc>
                <w:tcPr>
                  <w:tcW w:w="995"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w:t>
                  </w:r>
                </w:p>
              </w:tc>
              <w:tc>
                <w:tcPr>
                  <w:tcW w:w="992"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881"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420" w:lineRule="auto"/>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w:t>
                  </w:r>
                </w:p>
              </w:tc>
              <w:tc>
                <w:tcPr>
                  <w:tcW w:w="1219"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326" w:type="dxa"/>
                  <w:tcBorders>
                    <w:top w:val="single" w:color="000000" w:sz="4" w:space="0"/>
                    <w:left w:val="single" w:color="000000" w:sz="4" w:space="0"/>
                    <w:bottom w:val="single" w:color="000000" w:sz="4" w:space="0"/>
                    <w:right w:val="single" w:color="000000" w:sz="4" w:space="0"/>
                  </w:tcBorders>
                  <w:vAlign w:val="center"/>
                </w:tcPr>
                <w:p>
                  <w:pPr>
                    <w:pStyle w:val="50"/>
                    <w:widowControl w:val="0"/>
                    <w:bidi w:val="0"/>
                    <w:snapToGrid w:val="0"/>
                    <w:ind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101.08</w:t>
                  </w:r>
                </w:p>
              </w:tc>
            </w:tr>
          </w:tbl>
          <w:p>
            <w:pPr>
              <w:pStyle w:val="33"/>
              <w:numPr>
                <w:ilvl w:val="0"/>
                <w:numId w:val="9"/>
              </w:numPr>
              <w:ind w:firstLine="482"/>
              <w:rPr>
                <w:rFonts w:cs="Times New Roman"/>
                <w:b/>
                <w:bCs/>
                <w:color w:val="auto"/>
                <w:szCs w:val="24"/>
                <w:highlight w:val="none"/>
              </w:rPr>
            </w:pPr>
            <w:r>
              <w:rPr>
                <w:rFonts w:cs="Times New Roman"/>
                <w:b/>
                <w:bCs/>
                <w:color w:val="auto"/>
                <w:szCs w:val="24"/>
                <w:highlight w:val="none"/>
              </w:rPr>
              <w:t>验收监测结果</w:t>
            </w:r>
          </w:p>
          <w:p>
            <w:pPr>
              <w:numPr>
                <w:ilvl w:val="0"/>
                <w:numId w:val="10"/>
              </w:numPr>
              <w:snapToGrid w:val="0"/>
              <w:ind w:firstLine="482"/>
              <w:rPr>
                <w:b/>
                <w:bCs/>
                <w:color w:val="auto"/>
                <w:highlight w:val="none"/>
              </w:rPr>
            </w:pPr>
            <w:r>
              <w:rPr>
                <w:b/>
                <w:bCs/>
                <w:color w:val="auto"/>
                <w:highlight w:val="none"/>
              </w:rPr>
              <w:t>废气</w:t>
            </w:r>
          </w:p>
          <w:p>
            <w:pPr>
              <w:pStyle w:val="33"/>
              <w:rPr>
                <w:rFonts w:hint="eastAsia" w:cs="Times New Roman"/>
                <w:color w:val="auto"/>
                <w:szCs w:val="24"/>
                <w:highlight w:val="none"/>
              </w:rPr>
            </w:pPr>
            <w:r>
              <w:rPr>
                <w:rFonts w:hint="eastAsia" w:cs="Times New Roman"/>
                <w:color w:val="auto"/>
                <w:szCs w:val="24"/>
                <w:highlight w:val="none"/>
              </w:rPr>
              <w:t>本项目合成反应操作均在通风橱中进行，通风橱呈负压状态，通过风机将挥发出来的气体吸入风管。合成过程产生会产生酸性废气和有机废气。</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一层实验室废气（有机、酸性）经通风橱、万向罩收集后经“1#碱喷淋+1#除雾器+1#活性炭吸附”处理，三层东侧实验室废气（有机、酸性）经通风橱、万向罩收集后经“2#碱喷淋+2#除雾器+2#活性炭吸附”处理，三层西侧实验室废气（有机、酸性）经通风橱、万向罩收集后经“3#碱喷淋+3#除雾器+3#活性炭吸附”处理，共同通过1根排气筒 DA001 排放（距地面27米）。危废暂存间废气引至一楼合成实验室废气处理装置“1#碱喷淋+1#除雾器+1#活性炭吸附”处理后通过排气筒DA001排放。</w:t>
            </w:r>
          </w:p>
          <w:p>
            <w:pPr>
              <w:pStyle w:val="33"/>
              <w:rPr>
                <w:rFonts w:hint="eastAsia" w:cs="Times New Roman"/>
                <w:color w:val="auto"/>
                <w:szCs w:val="24"/>
                <w:highlight w:val="none"/>
              </w:rPr>
            </w:pPr>
            <w:r>
              <w:rPr>
                <w:rFonts w:hint="eastAsia" w:cs="Times New Roman"/>
                <w:color w:val="auto"/>
                <w:szCs w:val="24"/>
                <w:highlight w:val="none"/>
              </w:rPr>
              <w:t>本项目二层东侧实验室废气（有机）经通风橱、万向罩收集后经“1#一级活性炭吸附”处理，二层西侧实验室废气（有机）经通风橱、万向罩收集后经“2#一级活性炭吸附”处理，共同通过1根排气筒 DA002排放（距地面27米）。</w:t>
            </w:r>
          </w:p>
          <w:p>
            <w:pPr>
              <w:pStyle w:val="33"/>
              <w:rPr>
                <w:rFonts w:hint="eastAsia" w:cs="Times New Roman"/>
                <w:color w:val="auto"/>
                <w:szCs w:val="24"/>
                <w:highlight w:val="none"/>
              </w:rPr>
            </w:pPr>
            <w:r>
              <w:rPr>
                <w:rFonts w:hint="eastAsia" w:cs="Times New Roman"/>
                <w:color w:val="auto"/>
                <w:szCs w:val="24"/>
                <w:highlight w:val="none"/>
              </w:rPr>
              <w:t>本项目四层合成实验室废气（有机）经通风橱、万向罩收集后经“两级活性炭吸附”处理后通过（距地面29米）DA003排气筒排放。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3"/>
              <w:snapToGrid w:val="0"/>
              <w:rPr>
                <w:rFonts w:cs="Times New Roman"/>
                <w:color w:val="auto"/>
                <w:szCs w:val="24"/>
                <w:highlight w:val="none"/>
              </w:rPr>
            </w:pPr>
            <w:r>
              <w:rPr>
                <w:rFonts w:cs="Times New Roman"/>
                <w:color w:val="auto"/>
                <w:szCs w:val="24"/>
                <w:highlight w:val="none"/>
              </w:rPr>
              <w:t>项目设置</w:t>
            </w:r>
            <w:r>
              <w:rPr>
                <w:rFonts w:hint="eastAsia" w:cs="Times New Roman"/>
                <w:color w:val="auto"/>
                <w:szCs w:val="24"/>
                <w:highlight w:val="none"/>
                <w:lang w:val="en-US" w:eastAsia="zh-CN"/>
              </w:rPr>
              <w:t>3</w:t>
            </w:r>
            <w:r>
              <w:rPr>
                <w:rFonts w:cs="Times New Roman"/>
                <w:color w:val="auto"/>
                <w:szCs w:val="24"/>
                <w:highlight w:val="none"/>
              </w:rPr>
              <w:t>根排气筒，此次验收共对</w:t>
            </w:r>
            <w:r>
              <w:rPr>
                <w:rFonts w:hint="eastAsia" w:cs="Times New Roman"/>
                <w:color w:val="auto"/>
                <w:szCs w:val="24"/>
                <w:highlight w:val="none"/>
                <w:lang w:val="en-US" w:eastAsia="zh-CN"/>
              </w:rPr>
              <w:t>3</w:t>
            </w:r>
            <w:r>
              <w:rPr>
                <w:rFonts w:cs="Times New Roman"/>
                <w:color w:val="auto"/>
                <w:szCs w:val="24"/>
                <w:highlight w:val="none"/>
              </w:rPr>
              <w:t>根排气筒的废气排放情况进行了监测</w:t>
            </w:r>
            <w:r>
              <w:rPr>
                <w:rFonts w:hint="eastAsia" w:cs="Times New Roman"/>
                <w:color w:val="auto"/>
                <w:szCs w:val="24"/>
                <w:highlight w:val="none"/>
              </w:rPr>
              <w:t>。</w:t>
            </w:r>
            <w:r>
              <w:rPr>
                <w:rFonts w:cs="Times New Roman"/>
                <w:color w:val="auto"/>
                <w:szCs w:val="24"/>
                <w:highlight w:val="none"/>
              </w:rPr>
              <w:t>监测结果见下表：</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2</w:t>
            </w:r>
            <w:r>
              <w:rPr>
                <w:b/>
                <w:bCs/>
                <w:color w:val="auto"/>
                <w:highlight w:val="none"/>
              </w:rPr>
              <w:t xml:space="preserve">  有组织废气监测结果表</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933"/>
              <w:gridCol w:w="1251"/>
              <w:gridCol w:w="888"/>
              <w:gridCol w:w="1576"/>
              <w:gridCol w:w="1576"/>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时间</w:t>
                  </w:r>
                </w:p>
              </w:tc>
              <w:tc>
                <w:tcPr>
                  <w:tcW w:w="522"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点位</w:t>
                  </w:r>
                </w:p>
              </w:tc>
              <w:tc>
                <w:tcPr>
                  <w:tcW w:w="700"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检测</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项目</w:t>
                  </w:r>
                </w:p>
              </w:tc>
              <w:tc>
                <w:tcPr>
                  <w:tcW w:w="497"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采样</w:t>
                  </w:r>
                </w:p>
                <w:p>
                  <w:pPr>
                    <w:pStyle w:val="50"/>
                    <w:ind w:firstLineChars="0"/>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频次</w:t>
                  </w:r>
                </w:p>
              </w:tc>
              <w:tc>
                <w:tcPr>
                  <w:tcW w:w="882"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检测结果</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（mg/</w:t>
                  </w:r>
                  <w:r>
                    <w:rPr>
                      <w:rFonts w:hint="eastAsia" w:cs="Times New Roman"/>
                      <w:b/>
                      <w:bCs/>
                      <w:sz w:val="21"/>
                      <w:szCs w:val="21"/>
                      <w:lang w:eastAsia="zh-CN"/>
                    </w:rPr>
                    <w:t>m³</w:t>
                  </w:r>
                  <w:r>
                    <w:rPr>
                      <w:rFonts w:hint="default" w:ascii="Times New Roman" w:hAnsi="Times New Roman" w:eastAsia="宋体" w:cs="Times New Roman"/>
                      <w:b/>
                      <w:bCs/>
                      <w:sz w:val="21"/>
                      <w:szCs w:val="21"/>
                    </w:rPr>
                    <w:t>）</w:t>
                  </w:r>
                </w:p>
              </w:tc>
              <w:tc>
                <w:tcPr>
                  <w:tcW w:w="882"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标干流量</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（N</w:t>
                  </w:r>
                  <w:r>
                    <w:rPr>
                      <w:rFonts w:hint="eastAsia" w:cs="Times New Roman"/>
                      <w:b/>
                      <w:bCs/>
                      <w:sz w:val="21"/>
                      <w:szCs w:val="21"/>
                      <w:lang w:eastAsia="zh-CN"/>
                    </w:rPr>
                    <w:t>m³</w:t>
                  </w:r>
                  <w:r>
                    <w:rPr>
                      <w:rFonts w:hint="default" w:ascii="Times New Roman" w:hAnsi="Times New Roman" w:eastAsia="宋体" w:cs="Times New Roman"/>
                      <w:b/>
                      <w:bCs/>
                      <w:sz w:val="21"/>
                      <w:szCs w:val="21"/>
                    </w:rPr>
                    <w:t>/h）</w:t>
                  </w:r>
                </w:p>
              </w:tc>
              <w:tc>
                <w:tcPr>
                  <w:tcW w:w="850" w:type="pct"/>
                  <w:vAlign w:val="center"/>
                </w:tcPr>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排放速率</w:t>
                  </w:r>
                </w:p>
                <w:p>
                  <w:pPr>
                    <w:pStyle w:val="50"/>
                    <w:ind w:firstLineChars="0"/>
                    <w:rPr>
                      <w:rFonts w:ascii="Times New Roman" w:hAnsi="Times New Roman" w:eastAsia="宋体" w:cs="Times New Roman"/>
                      <w:b/>
                      <w:bCs/>
                      <w:sz w:val="21"/>
                      <w:szCs w:val="21"/>
                    </w:rPr>
                  </w:pPr>
                  <w:r>
                    <w:rPr>
                      <w:rFonts w:hint="default" w:ascii="Times New Roman" w:hAnsi="Times New Roman" w:eastAsia="宋体" w:cs="Times New Roman"/>
                      <w:b/>
                      <w:bCs/>
                      <w:sz w:val="21"/>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restart"/>
                  <w:vAlign w:val="center"/>
                </w:tcPr>
                <w:p>
                  <w:pPr>
                    <w:pStyle w:val="50"/>
                    <w:ind w:firstLineChars="0"/>
                    <w:rPr>
                      <w:rFonts w:ascii="Times New Roman" w:hAnsi="Times New Roman" w:eastAsia="宋体" w:cs="Times New Roman"/>
                      <w:sz w:val="21"/>
                      <w:szCs w:val="21"/>
                    </w:rPr>
                  </w:pPr>
                  <w:r>
                    <w:rPr>
                      <w:rFonts w:hint="default" w:ascii="Times New Roman" w:hAnsi="Times New Roman" w:eastAsia="宋体" w:cs="Times New Roman"/>
                      <w:sz w:val="21"/>
                      <w:szCs w:val="21"/>
                    </w:rPr>
                    <w:t>202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p>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03.31</w:t>
                  </w: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一层、三层合成实验室废气排气筒DA001出口</w:t>
                  </w: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1.78</w:t>
                  </w:r>
                </w:p>
              </w:tc>
              <w:tc>
                <w:tcPr>
                  <w:tcW w:w="882" w:type="pct"/>
                  <w:vMerge w:val="restar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90564</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0.254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1.74</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1.68</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0.141</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0.217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二层合成实验室废气排气筒DA002出口</w:t>
                  </w: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1.75</w:t>
                  </w:r>
                </w:p>
              </w:tc>
              <w:tc>
                <w:tcPr>
                  <w:tcW w:w="882" w:type="pct"/>
                  <w:vMerge w:val="restart"/>
                  <w:vAlign w:val="center"/>
                </w:tcPr>
                <w:p>
                  <w:pPr>
                    <w:pStyle w:val="50"/>
                    <w:ind w:firstLineChars="0"/>
                    <w:rPr>
                      <w:rFonts w:hint="default" w:ascii="Times New Roman" w:hAnsi="Times New Roman" w:eastAsia="宋体" w:cs="Times New Roman"/>
                      <w:szCs w:val="21"/>
                      <w:lang w:val="en-US" w:eastAsia="zh-CN"/>
                    </w:rPr>
                  </w:pPr>
                  <w:r>
                    <w:rPr>
                      <w:rFonts w:hint="default" w:ascii="Times New Roman" w:hAnsi="Times New Roman" w:eastAsia="宋体" w:cs="Times New Roman"/>
                      <w:sz w:val="21"/>
                      <w:szCs w:val="21"/>
                      <w:lang w:val="en-US" w:eastAsia="zh-CN"/>
                    </w:rPr>
                    <w:t>75403</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1.78</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1.73</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四层合成实验室废气排气筒DA003出口</w:t>
                  </w: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1.72</w:t>
                  </w:r>
                </w:p>
              </w:tc>
              <w:tc>
                <w:tcPr>
                  <w:tcW w:w="882" w:type="pct"/>
                  <w:vMerge w:val="restar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48491</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1.64</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1.61</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restart"/>
                  <w:vAlign w:val="center"/>
                </w:tcPr>
                <w:p>
                  <w:pPr>
                    <w:pStyle w:val="50"/>
                    <w:ind w:firstLineChars="0"/>
                    <w:rPr>
                      <w:rFonts w:ascii="Times New Roman" w:hAnsi="Times New Roman" w:eastAsia="宋体" w:cs="Times New Roman"/>
                      <w:sz w:val="21"/>
                      <w:szCs w:val="21"/>
                    </w:rPr>
                  </w:pPr>
                  <w:r>
                    <w:rPr>
                      <w:rFonts w:hint="default" w:ascii="Times New Roman" w:hAnsi="Times New Roman" w:eastAsia="宋体" w:cs="Times New Roman"/>
                      <w:sz w:val="21"/>
                      <w:szCs w:val="21"/>
                    </w:rPr>
                    <w:t>202</w:t>
                  </w:r>
                  <w:r>
                    <w:rPr>
                      <w:rFonts w:hint="default"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rPr>
                    <w:t>.</w:t>
                  </w:r>
                </w:p>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04.01</w:t>
                  </w: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一层、三层合成实验室废气排气筒DA001出口</w:t>
                  </w: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1.73</w:t>
                  </w:r>
                </w:p>
              </w:tc>
              <w:tc>
                <w:tcPr>
                  <w:tcW w:w="882" w:type="pct"/>
                  <w:vMerge w:val="restart"/>
                  <w:vAlign w:val="center"/>
                </w:tcPr>
                <w:p>
                  <w:pPr>
                    <w:pStyle w:val="50"/>
                    <w:ind w:firstLineChars="0"/>
                    <w:rPr>
                      <w:rFonts w:hint="default" w:ascii="Times New Roman" w:hAnsi="Times New Roman" w:eastAsia="宋体" w:cs="Times New Roman"/>
                      <w:szCs w:val="21"/>
                      <w:lang w:val="en-US" w:eastAsia="zh-CN"/>
                    </w:rPr>
                  </w:pPr>
                  <w:r>
                    <w:rPr>
                      <w:rFonts w:hint="default" w:ascii="Times New Roman" w:hAnsi="Times New Roman" w:eastAsia="宋体" w:cs="Times New Roman"/>
                      <w:sz w:val="21"/>
                      <w:szCs w:val="21"/>
                      <w:lang w:val="en-US" w:eastAsia="zh-CN"/>
                    </w:rPr>
                    <w:t>83856</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0.145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0.235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1.79</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1.74</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0.119</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氯化氢</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二层合成实验室废气排气筒DA002出口</w:t>
                  </w: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1.66</w:t>
                  </w:r>
                </w:p>
              </w:tc>
              <w:tc>
                <w:tcPr>
                  <w:tcW w:w="882" w:type="pct"/>
                  <w:vMerge w:val="restar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75925</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0.132</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1.71</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1.78</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0.135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restart"/>
                  <w:vAlign w:val="center"/>
                </w:tcPr>
                <w:p>
                  <w:pPr>
                    <w:pStyle w:val="50"/>
                    <w:ind w:firstLineChars="0"/>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四层合成实验室废气排气筒DA003出口</w:t>
                  </w: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第一次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1.67</w:t>
                  </w:r>
                </w:p>
              </w:tc>
              <w:tc>
                <w:tcPr>
                  <w:tcW w:w="882" w:type="pct"/>
                  <w:vMerge w:val="restar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46629</w:t>
                  </w: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第二次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1.77</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0.121</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5.6×10</w:t>
                  </w:r>
                  <w:r>
                    <w:rPr>
                      <w:rFonts w:hint="default" w:ascii="Times New Roman" w:hAnsi="Times New Roman" w:eastAsia="宋体" w:cs="Times New Roman"/>
                      <w:sz w:val="21"/>
                      <w:szCs w:val="21"/>
                      <w:vertAlign w:val="superscript"/>
                      <w:lang w:val="en-US" w:eastAsia="zh-CN"/>
                    </w:rPr>
                    <w:t>-3</w:t>
                  </w:r>
                  <w:r>
                    <w:rPr>
                      <w:rFonts w:hint="default" w:ascii="Times New Roman" w:hAnsi="Times New Roman" w:eastAsia="宋体" w:cs="Times New Roman"/>
                      <w:sz w:val="21"/>
                      <w:szCs w:val="21"/>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VOCs（非甲烷总烃）</w:t>
                  </w:r>
                </w:p>
              </w:tc>
              <w:tc>
                <w:tcPr>
                  <w:tcW w:w="497" w:type="pct"/>
                  <w:vMerge w:val="restart"/>
                  <w:vAlign w:val="center"/>
                </w:tcPr>
                <w:p>
                  <w:pPr>
                    <w:pStyle w:val="50"/>
                    <w:ind w:firstLineChars="0"/>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第三次</w:t>
                  </w: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1.73</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0.081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663"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522" w:type="pct"/>
                  <w:vMerge w:val="continue"/>
                  <w:vAlign w:val="center"/>
                </w:tcPr>
                <w:p>
                  <w:pPr>
                    <w:pStyle w:val="50"/>
                    <w:ind w:firstLineChars="0"/>
                    <w:rPr>
                      <w:rFonts w:hint="default" w:ascii="Times New Roman" w:hAnsi="Times New Roman" w:eastAsia="宋体" w:cs="Times New Roman"/>
                      <w:kern w:val="2"/>
                      <w:sz w:val="21"/>
                      <w:szCs w:val="21"/>
                      <w:lang w:val="en-US" w:eastAsia="zh-CN" w:bidi="ar-SA"/>
                    </w:rPr>
                  </w:pPr>
                </w:p>
              </w:tc>
              <w:tc>
                <w:tcPr>
                  <w:tcW w:w="70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甲苯</w:t>
                  </w:r>
                </w:p>
              </w:tc>
              <w:tc>
                <w:tcPr>
                  <w:tcW w:w="497" w:type="pct"/>
                  <w:vMerge w:val="continue"/>
                  <w:vAlign w:val="center"/>
                </w:tcPr>
                <w:p>
                  <w:pPr>
                    <w:pStyle w:val="50"/>
                    <w:ind w:firstLineChars="0"/>
                    <w:rPr>
                      <w:rFonts w:hint="default" w:ascii="Times New Roman" w:hAnsi="Times New Roman" w:eastAsia="宋体" w:cs="Times New Roman"/>
                      <w:sz w:val="21"/>
                      <w:szCs w:val="21"/>
                    </w:rPr>
                  </w:pPr>
                </w:p>
              </w:tc>
              <w:tc>
                <w:tcPr>
                  <w:tcW w:w="882"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未检出</w:t>
                  </w:r>
                </w:p>
              </w:tc>
              <w:tc>
                <w:tcPr>
                  <w:tcW w:w="882" w:type="pct"/>
                  <w:vMerge w:val="continue"/>
                  <w:vAlign w:val="center"/>
                </w:tcPr>
                <w:p>
                  <w:pPr>
                    <w:pStyle w:val="50"/>
                    <w:ind w:firstLineChars="0"/>
                    <w:rPr>
                      <w:rFonts w:hint="default" w:ascii="Times New Roman" w:hAnsi="Times New Roman" w:eastAsia="宋体" w:cs="Times New Roman"/>
                      <w:sz w:val="21"/>
                      <w:szCs w:val="21"/>
                      <w:lang w:val="en-US" w:eastAsia="zh-CN"/>
                    </w:rPr>
                  </w:pPr>
                </w:p>
              </w:tc>
              <w:tc>
                <w:tcPr>
                  <w:tcW w:w="850" w:type="pct"/>
                  <w:vAlign w:val="center"/>
                </w:tcPr>
                <w:p>
                  <w:pPr>
                    <w:pStyle w:val="50"/>
                    <w:ind w:firstLineChars="0"/>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5000" w:type="pct"/>
                  <w:gridSpan w:val="7"/>
                </w:tcPr>
                <w:p>
                  <w:pPr>
                    <w:pStyle w:val="50"/>
                    <w:ind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rPr>
                    <w:t>备注：</w:t>
                  </w:r>
                  <w:r>
                    <w:rPr>
                      <w:rFonts w:hint="default" w:ascii="Times New Roman" w:hAnsi="Times New Roman" w:eastAsia="宋体" w:cs="Times New Roman"/>
                      <w:kern w:val="2"/>
                      <w:sz w:val="21"/>
                      <w:szCs w:val="21"/>
                      <w:lang w:val="en-US" w:eastAsia="zh-CN"/>
                    </w:rPr>
                    <w:t>排气筒DA001</w:t>
                  </w:r>
                  <w:r>
                    <w:rPr>
                      <w:rFonts w:hint="default" w:ascii="Times New Roman" w:hAnsi="Times New Roman" w:eastAsia="宋体" w:cs="Times New Roman"/>
                      <w:kern w:val="2"/>
                      <w:sz w:val="21"/>
                      <w:szCs w:val="21"/>
                      <w:lang w:val="en-US" w:eastAsia="zh-CN" w:bidi="ar-SA"/>
                    </w:rPr>
                    <w:t>高度为2</w:t>
                  </w:r>
                  <w:r>
                    <w:rPr>
                      <w:rFonts w:hint="eastAsia" w:cs="Times New Roman"/>
                      <w:kern w:val="2"/>
                      <w:sz w:val="21"/>
                      <w:szCs w:val="21"/>
                      <w:lang w:val="en-US" w:eastAsia="zh-CN" w:bidi="ar-SA"/>
                    </w:rPr>
                    <w:t>7</w:t>
                  </w:r>
                  <w:r>
                    <w:rPr>
                      <w:rFonts w:hint="default" w:ascii="Times New Roman" w:hAnsi="Times New Roman" w:eastAsia="宋体" w:cs="Times New Roman"/>
                      <w:kern w:val="2"/>
                      <w:sz w:val="21"/>
                      <w:szCs w:val="21"/>
                      <w:lang w:val="en-US" w:eastAsia="zh-CN" w:bidi="ar-SA"/>
                    </w:rPr>
                    <w:t>m，出口内径：2.0m，处理措施：碱喷淋+除雾器+活性炭吸附；</w:t>
                  </w:r>
                </w:p>
                <w:p>
                  <w:pPr>
                    <w:pStyle w:val="50"/>
                    <w:ind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排气筒DA002</w:t>
                  </w:r>
                  <w:r>
                    <w:rPr>
                      <w:rFonts w:hint="default" w:ascii="Times New Roman" w:hAnsi="Times New Roman" w:eastAsia="宋体" w:cs="Times New Roman"/>
                      <w:kern w:val="2"/>
                      <w:sz w:val="21"/>
                      <w:szCs w:val="21"/>
                      <w:lang w:val="en-US" w:eastAsia="zh-CN" w:bidi="ar-SA"/>
                    </w:rPr>
                    <w:t>高度为2</w:t>
                  </w:r>
                  <w:r>
                    <w:rPr>
                      <w:rFonts w:hint="eastAsia" w:cs="Times New Roman"/>
                      <w:kern w:val="2"/>
                      <w:sz w:val="21"/>
                      <w:szCs w:val="21"/>
                      <w:lang w:val="en-US" w:eastAsia="zh-CN" w:bidi="ar-SA"/>
                    </w:rPr>
                    <w:t>7</w:t>
                  </w:r>
                  <w:r>
                    <w:rPr>
                      <w:rFonts w:hint="default" w:ascii="Times New Roman" w:hAnsi="Times New Roman" w:eastAsia="宋体" w:cs="Times New Roman"/>
                      <w:kern w:val="2"/>
                      <w:sz w:val="21"/>
                      <w:szCs w:val="21"/>
                      <w:lang w:val="en-US" w:eastAsia="zh-CN" w:bidi="ar-SA"/>
                    </w:rPr>
                    <w:t>m，出口内径：1.6m，处理措施：一级活性炭；</w:t>
                  </w:r>
                </w:p>
                <w:p>
                  <w:pPr>
                    <w:pStyle w:val="50"/>
                    <w:ind w:firstLineChars="0"/>
                    <w:jc w:val="left"/>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rPr>
                    <w:t>排气筒DA003</w:t>
                  </w:r>
                  <w:r>
                    <w:rPr>
                      <w:rFonts w:hint="default" w:ascii="Times New Roman" w:hAnsi="Times New Roman" w:eastAsia="宋体" w:cs="Times New Roman"/>
                      <w:kern w:val="2"/>
                      <w:sz w:val="21"/>
                      <w:szCs w:val="21"/>
                      <w:lang w:val="en-US" w:eastAsia="zh-CN" w:bidi="ar-SA"/>
                    </w:rPr>
                    <w:t>高度为2</w:t>
                  </w:r>
                  <w:r>
                    <w:rPr>
                      <w:rFonts w:hint="eastAsia" w:cs="Times New Roman"/>
                      <w:kern w:val="2"/>
                      <w:sz w:val="21"/>
                      <w:szCs w:val="21"/>
                      <w:lang w:val="en-US" w:eastAsia="zh-CN" w:bidi="ar-SA"/>
                    </w:rPr>
                    <w:t>9</w:t>
                  </w:r>
                  <w:r>
                    <w:rPr>
                      <w:rFonts w:hint="default" w:ascii="Times New Roman" w:hAnsi="Times New Roman" w:eastAsia="宋体" w:cs="Times New Roman"/>
                      <w:kern w:val="2"/>
                      <w:sz w:val="21"/>
                      <w:szCs w:val="21"/>
                      <w:lang w:val="en-US" w:eastAsia="zh-CN" w:bidi="ar-SA"/>
                    </w:rPr>
                    <w:t>m，出口内径：1.4m，处理措施：二级活性炭；</w:t>
                  </w:r>
                </w:p>
                <w:p>
                  <w:pPr>
                    <w:pStyle w:val="50"/>
                    <w:ind w:firstLineChars="0"/>
                    <w:jc w:val="left"/>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标干流量为</w:t>
                  </w:r>
                  <w:r>
                    <w:rPr>
                      <w:rFonts w:hint="default" w:ascii="Times New Roman" w:hAnsi="Times New Roman" w:eastAsia="宋体" w:cs="Times New Roman"/>
                      <w:sz w:val="21"/>
                      <w:szCs w:val="21"/>
                      <w:lang w:eastAsia="zh-CN"/>
                    </w:rPr>
                    <w:t>三次</w:t>
                  </w:r>
                  <w:r>
                    <w:rPr>
                      <w:rFonts w:hint="default" w:ascii="Times New Roman" w:hAnsi="Times New Roman" w:eastAsia="宋体" w:cs="Times New Roman"/>
                      <w:sz w:val="21"/>
                      <w:szCs w:val="21"/>
                    </w:rPr>
                    <w:t>采样标干流量的平均值</w:t>
                  </w:r>
                  <w:r>
                    <w:rPr>
                      <w:rFonts w:hint="default" w:ascii="Times New Roman" w:hAnsi="Times New Roman" w:eastAsia="宋体" w:cs="Times New Roman"/>
                      <w:sz w:val="21"/>
                      <w:szCs w:val="21"/>
                      <w:lang w:eastAsia="zh-CN"/>
                    </w:rPr>
                    <w:t>；</w:t>
                  </w:r>
                </w:p>
                <w:p>
                  <w:pPr>
                    <w:pStyle w:val="50"/>
                    <w:ind w:firstLineChars="0"/>
                    <w:jc w:val="left"/>
                    <w:rPr>
                      <w:rFonts w:hint="default" w:ascii="Times New Roman" w:hAnsi="Times New Roman" w:eastAsia="宋体" w:cs="Times New Roman"/>
                      <w:sz w:val="21"/>
                      <w:szCs w:val="21"/>
                      <w:lang w:eastAsia="zh-CN"/>
                    </w:rPr>
                  </w:pPr>
                  <w:r>
                    <w:rPr>
                      <w:rFonts w:hint="eastAsia"/>
                      <w:sz w:val="21"/>
                      <w:szCs w:val="21"/>
                      <w:u w:val="none"/>
                      <w:lang w:val="en-US" w:eastAsia="zh-CN" w:bidi="ar-SA"/>
                    </w:rPr>
                    <w:t>调试验收监测期间，无水硫酸钠、无水硫酸镁暂未使用；</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9"/>
              <w:gridCol w:w="1330"/>
              <w:gridCol w:w="1318"/>
              <w:gridCol w:w="1422"/>
              <w:gridCol w:w="1321"/>
              <w:gridCol w:w="1243"/>
              <w:gridCol w:w="9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采样点位</w:t>
                  </w: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737"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95"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39"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最高排放速率（kg/h）</w:t>
                  </w:r>
                </w:p>
              </w:tc>
              <w:tc>
                <w:tcPr>
                  <w:tcW w:w="695"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最高允许排放速率（kg/h）</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3"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一层、三层合成实验室废气排气筒DA001</w:t>
                  </w: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1.79</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0.150</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0.141</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0.013</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2.8</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0.235</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二层合成实验室废气排气筒DA002</w:t>
                  </w: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1.78</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0.134</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0.132</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0.010</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43"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restart"/>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四层合成实验室废气排气筒DA003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1.77</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0.083</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3" w:type="pct"/>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0.121</w:t>
                  </w:r>
                </w:p>
              </w:tc>
              <w:tc>
                <w:tcPr>
                  <w:tcW w:w="7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9"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5.6×10</w:t>
                  </w:r>
                  <w:r>
                    <w:rPr>
                      <w:rFonts w:hint="eastAsia" w:ascii="Times New Roman" w:hAnsi="Times New Roman" w:eastAsia="宋体" w:cs="Times New Roman"/>
                      <w:kern w:val="2"/>
                      <w:sz w:val="21"/>
                      <w:szCs w:val="21"/>
                      <w:vertAlign w:val="superscript"/>
                      <w:lang w:val="en-US" w:eastAsia="zh-CN" w:bidi="ar-SA"/>
                    </w:rPr>
                    <w:t>-3</w:t>
                  </w:r>
                </w:p>
              </w:tc>
              <w:tc>
                <w:tcPr>
                  <w:tcW w:w="695"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bl>
          <w:p>
            <w:pPr>
              <w:pStyle w:val="22"/>
              <w:spacing w:line="360" w:lineRule="auto"/>
              <w:ind w:firstLine="480" w:firstLineChars="200"/>
              <w:rPr>
                <w:rFonts w:hint="eastAsia" w:ascii="Times New Roman"/>
                <w:color w:val="auto"/>
                <w:highlight w:val="none"/>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一层、三层合成实验室废气排气筒DA001中主要污染物VOCs最高排放浓度为</w:t>
            </w:r>
            <w:r>
              <w:rPr>
                <w:rFonts w:hint="eastAsia" w:ascii="Times New Roman"/>
                <w:color w:val="auto"/>
                <w:highlight w:val="none"/>
                <w:lang w:val="en-US" w:eastAsia="zh-CN"/>
              </w:rPr>
              <w:t>1.79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0.150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0.141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r>
              <w:rPr>
                <w:rFonts w:hint="eastAsia" w:ascii="Times New Roman"/>
                <w:color w:val="auto"/>
                <w:highlight w:val="none"/>
                <w:lang w:eastAsia="zh-CN"/>
              </w:rPr>
              <w:t>氯化氢</w:t>
            </w:r>
            <w:r>
              <w:rPr>
                <w:rFonts w:hint="eastAsia" w:ascii="Times New Roman"/>
                <w:color w:val="auto"/>
                <w:highlight w:val="none"/>
              </w:rPr>
              <w:t>最高排放浓度为</w:t>
            </w:r>
            <w:r>
              <w:rPr>
                <w:rFonts w:hint="eastAsia" w:ascii="Times New Roman"/>
                <w:color w:val="auto"/>
                <w:highlight w:val="none"/>
                <w:lang w:val="en-US" w:eastAsia="zh-CN"/>
              </w:rPr>
              <w:t>2.8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0.235</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排放浓度满足《制药工业大气污染物排放标准》（GB37823-2019）表 2 标准。二层合成实验室废气排气筒DA002</w:t>
            </w:r>
            <w:r>
              <w:rPr>
                <w:rFonts w:hint="eastAsia" w:ascii="Times New Roman"/>
                <w:color w:val="auto"/>
                <w:highlight w:val="none"/>
              </w:rPr>
              <w:t>中主要污染物VOCs最高排放浓度为</w:t>
            </w:r>
            <w:r>
              <w:rPr>
                <w:rFonts w:hint="eastAsia" w:ascii="Times New Roman"/>
                <w:color w:val="auto"/>
                <w:highlight w:val="none"/>
                <w:lang w:val="en-US" w:eastAsia="zh-CN"/>
              </w:rPr>
              <w:t>1.78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0.134</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0.132</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0.010</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时段最高允许排放浓度限值。四层合成实验室废气排气筒DA003</w:t>
            </w:r>
            <w:r>
              <w:rPr>
                <w:rFonts w:hint="eastAsia" w:ascii="Times New Roman"/>
                <w:color w:val="auto"/>
                <w:highlight w:val="none"/>
              </w:rPr>
              <w:t>中主要污染物VOCs最高排放浓度为</w:t>
            </w:r>
            <w:r>
              <w:rPr>
                <w:rFonts w:hint="eastAsia" w:ascii="Times New Roman"/>
                <w:color w:val="auto"/>
                <w:highlight w:val="none"/>
                <w:lang w:val="en-US" w:eastAsia="zh-CN"/>
              </w:rPr>
              <w:t>1.77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0.121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，最高排放速率为5.6×10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p>
          <w:p>
            <w:pPr>
              <w:adjustRightInd w:val="0"/>
              <w:snapToGrid w:val="0"/>
              <w:ind w:firstLine="482"/>
              <w:jc w:val="center"/>
              <w:rPr>
                <w:b/>
                <w:bCs/>
                <w:color w:val="auto"/>
                <w:highlight w:val="none"/>
              </w:rPr>
            </w:pPr>
            <w:r>
              <w:rPr>
                <w:b/>
                <w:bCs/>
                <w:color w:val="auto"/>
                <w:highlight w:val="none"/>
              </w:rPr>
              <w:t>表7-</w:t>
            </w:r>
            <w:r>
              <w:rPr>
                <w:rFonts w:hint="eastAsia"/>
                <w:b/>
                <w:bCs/>
                <w:color w:val="auto"/>
                <w:highlight w:val="none"/>
                <w:lang w:val="en-US" w:eastAsia="zh-CN"/>
              </w:rPr>
              <w:t>4</w:t>
            </w:r>
            <w:r>
              <w:rPr>
                <w:b/>
                <w:bCs/>
                <w:color w:val="auto"/>
                <w:highlight w:val="none"/>
              </w:rPr>
              <w:t xml:space="preserve">  无组织废气监测结果表</w:t>
            </w:r>
          </w:p>
          <w:tbl>
            <w:tblPr>
              <w:tblStyle w:val="27"/>
              <w:tblpPr w:leftFromText="180" w:rightFromText="180" w:vertAnchor="text" w:tblpXSpec="center" w:tblpY="1"/>
              <w:tblW w:w="4997" w:type="pct"/>
              <w:jc w:val="center"/>
              <w:tblLayout w:type="autofit"/>
              <w:tblCellMar>
                <w:top w:w="0" w:type="dxa"/>
                <w:left w:w="108" w:type="dxa"/>
                <w:bottom w:w="0" w:type="dxa"/>
                <w:right w:w="108" w:type="dxa"/>
              </w:tblCellMar>
            </w:tblPr>
            <w:tblGrid>
              <w:gridCol w:w="1307"/>
              <w:gridCol w:w="1215"/>
              <w:gridCol w:w="1410"/>
              <w:gridCol w:w="1249"/>
              <w:gridCol w:w="1250"/>
              <w:gridCol w:w="1250"/>
              <w:gridCol w:w="1263"/>
            </w:tblGrid>
            <w:tr>
              <w:trPr>
                <w:trHeight w:val="397" w:hRule="atLeast"/>
                <w:jc w:val="center"/>
              </w:trPr>
              <w:tc>
                <w:tcPr>
                  <w:tcW w:w="731" w:type="pct"/>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项目</w:t>
                  </w:r>
                </w:p>
              </w:tc>
              <w:tc>
                <w:tcPr>
                  <w:tcW w:w="679" w:type="pct"/>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采样</w:t>
                  </w:r>
                </w:p>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日期</w:t>
                  </w:r>
                </w:p>
              </w:tc>
              <w:tc>
                <w:tcPr>
                  <w:tcW w:w="788" w:type="pct"/>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频次</w:t>
                  </w:r>
                </w:p>
              </w:tc>
              <w:tc>
                <w:tcPr>
                  <w:tcW w:w="2800" w:type="pct"/>
                  <w:gridSpan w:val="4"/>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检测点位及结果</w:t>
                  </w:r>
                </w:p>
              </w:tc>
            </w:tr>
            <w:tr>
              <w:tblPrEx>
                <w:tblCellMar>
                  <w:top w:w="0" w:type="dxa"/>
                  <w:left w:w="108" w:type="dxa"/>
                  <w:bottom w:w="0" w:type="dxa"/>
                  <w:right w:w="108" w:type="dxa"/>
                </w:tblCellMar>
              </w:tblPrEx>
              <w:trPr>
                <w:trHeight w:val="397" w:hRule="atLeast"/>
                <w:jc w:val="center"/>
              </w:trPr>
              <w:tc>
                <w:tcPr>
                  <w:tcW w:w="731" w:type="pct"/>
                  <w:vMerge w:val="continue"/>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p>
              </w:tc>
              <w:tc>
                <w:tcPr>
                  <w:tcW w:w="679" w:type="pct"/>
                  <w:vMerge w:val="continue"/>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p>
              </w:tc>
              <w:tc>
                <w:tcPr>
                  <w:tcW w:w="788" w:type="pct"/>
                  <w:vMerge w:val="continue"/>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上风向1#</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下风向2#</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下风向3#</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下风向4#</w:t>
                  </w:r>
                </w:p>
              </w:tc>
            </w:tr>
            <w:tr>
              <w:tblPrEx>
                <w:tblCellMar>
                  <w:top w:w="0" w:type="dxa"/>
                  <w:left w:w="108" w:type="dxa"/>
                  <w:bottom w:w="0" w:type="dxa"/>
                  <w:right w:w="108" w:type="dxa"/>
                </w:tblCellMar>
              </w:tblPrEx>
              <w:trPr>
                <w:trHeight w:val="397" w:hRule="atLeast"/>
                <w:jc w:val="center"/>
              </w:trPr>
              <w:tc>
                <w:tcPr>
                  <w:tcW w:w="731" w:type="pct"/>
                  <w:vMerge w:val="restart"/>
                  <w:tcBorders>
                    <w:top w:val="single" w:color="000000" w:sz="4" w:space="0"/>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kern w:val="2"/>
                      <w:sz w:val="21"/>
                      <w:szCs w:val="21"/>
                      <w:lang w:val="en-US" w:eastAsia="zh-CN" w:bidi="ar-SA"/>
                    </w:rPr>
                  </w:pPr>
                  <w:r>
                    <w:rPr>
                      <w:rFonts w:ascii="Times New Roman" w:hAnsi="Times New Roman" w:eastAsia="宋体" w:cs="Times New Roman"/>
                      <w:sz w:val="21"/>
                      <w:szCs w:val="21"/>
                      <w:lang w:val="en-US" w:eastAsia="zh-CN"/>
                    </w:rPr>
                    <w:t>VOCs（非甲烷总烃）</w:t>
                  </w:r>
                  <w:r>
                    <w:rPr>
                      <w:rFonts w:ascii="Times New Roman" w:hAnsi="Times New Roman" w:eastAsia="宋体" w:cs="Times New Roman"/>
                      <w:bCs w:val="0"/>
                      <w:sz w:val="21"/>
                      <w:szCs w:val="21"/>
                    </w:rPr>
                    <w:t>（</w:t>
                  </w:r>
                  <w:r>
                    <w:rPr>
                      <w:rFonts w:ascii="Times New Roman" w:hAnsi="Times New Roman" w:eastAsia="宋体" w:cs="Times New Roman"/>
                      <w:sz w:val="21"/>
                      <w:szCs w:val="21"/>
                    </w:rPr>
                    <w:t>mg/</w:t>
                  </w:r>
                  <w:r>
                    <w:rPr>
                      <w:rFonts w:hint="eastAsia" w:cs="Times New Roman"/>
                      <w:sz w:val="21"/>
                      <w:szCs w:val="21"/>
                      <w:lang w:eastAsia="zh-CN"/>
                    </w:rPr>
                    <w:t>m³</w:t>
                  </w:r>
                  <w:r>
                    <w:rPr>
                      <w:rFonts w:ascii="Times New Roman" w:hAnsi="Times New Roman" w:eastAsia="宋体" w:cs="Times New Roman"/>
                      <w:bCs w:val="0"/>
                      <w:sz w:val="21"/>
                      <w:szCs w:val="21"/>
                    </w:rPr>
                    <w:t>）</w:t>
                  </w:r>
                </w:p>
              </w:tc>
              <w:tc>
                <w:tcPr>
                  <w:tcW w:w="679" w:type="pct"/>
                  <w:vMerge w:val="restart"/>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0.76</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1.23</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1.20</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1.11</w:t>
                  </w:r>
                </w:p>
              </w:tc>
            </w:tr>
            <w:tr>
              <w:tblPrEx>
                <w:tblCellMar>
                  <w:top w:w="0" w:type="dxa"/>
                  <w:left w:w="108" w:type="dxa"/>
                  <w:bottom w:w="0" w:type="dxa"/>
                  <w:right w:w="108" w:type="dxa"/>
                </w:tblCellMar>
              </w:tblPrEx>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0.81</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1.12</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1.26</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1.18</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top w:val="single" w:color="000000" w:sz="4" w:space="0"/>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0.78</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1.14</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1.13</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1.20</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restart"/>
                  <w:tcBorders>
                    <w:top w:val="single" w:color="000000" w:sz="4" w:space="0"/>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03.31</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0.73</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1.24</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1.26</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1.18</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0.86</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1.23</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1.15</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1.14</w:t>
                  </w:r>
                </w:p>
              </w:tc>
            </w:tr>
            <w:tr>
              <w:trPr>
                <w:trHeight w:val="397" w:hRule="atLeast"/>
                <w:jc w:val="center"/>
              </w:trPr>
              <w:tc>
                <w:tcPr>
                  <w:tcW w:w="731" w:type="pct"/>
                  <w:vMerge w:val="continue"/>
                  <w:tcBorders>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0.86</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1.17</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1.22</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1.12</w:t>
                  </w:r>
                </w:p>
              </w:tc>
            </w:tr>
            <w:tr>
              <w:trPr>
                <w:trHeight w:val="397" w:hRule="atLeast"/>
                <w:jc w:val="center"/>
              </w:trPr>
              <w:tc>
                <w:tcPr>
                  <w:tcW w:w="731" w:type="pct"/>
                  <w:vMerge w:val="restart"/>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r>
                    <w:rPr>
                      <w:rFonts w:hint="default" w:ascii="Times New Roman" w:hAnsi="Times New Roman" w:eastAsia="宋体" w:cs="Times New Roman"/>
                      <w:sz w:val="21"/>
                      <w:szCs w:val="21"/>
                      <w:lang w:val="en-US" w:eastAsia="zh-CN"/>
                    </w:rPr>
                    <w:t>氯化氢</w:t>
                  </w:r>
                  <w:r>
                    <w:rPr>
                      <w:rFonts w:ascii="Times New Roman" w:hAnsi="Times New Roman" w:eastAsia="宋体" w:cs="Times New Roman"/>
                      <w:bCs w:val="0"/>
                      <w:sz w:val="21"/>
                      <w:szCs w:val="21"/>
                    </w:rPr>
                    <w:t>（</w:t>
                  </w:r>
                  <w:r>
                    <w:rPr>
                      <w:rFonts w:ascii="Times New Roman" w:hAnsi="Times New Roman" w:eastAsia="宋体" w:cs="Times New Roman"/>
                      <w:sz w:val="21"/>
                      <w:szCs w:val="21"/>
                    </w:rPr>
                    <w:t>mg/</w:t>
                  </w:r>
                  <w:r>
                    <w:rPr>
                      <w:rFonts w:hint="eastAsia" w:cs="Times New Roman"/>
                      <w:sz w:val="21"/>
                      <w:szCs w:val="21"/>
                      <w:lang w:eastAsia="zh-CN"/>
                    </w:rPr>
                    <w:t>m³</w:t>
                  </w:r>
                  <w:r>
                    <w:rPr>
                      <w:rFonts w:ascii="Times New Roman" w:hAnsi="Times New Roman" w:eastAsia="宋体" w:cs="Times New Roman"/>
                      <w:bCs w:val="0"/>
                      <w:sz w:val="21"/>
                      <w:szCs w:val="21"/>
                    </w:rPr>
                    <w:t>）</w:t>
                  </w: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03.31</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bottom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restart"/>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r>
                    <w:rPr>
                      <w:rFonts w:hint="default" w:ascii="Times New Roman" w:hAnsi="Times New Roman" w:eastAsia="宋体" w:cs="Times New Roman"/>
                      <w:sz w:val="21"/>
                      <w:szCs w:val="21"/>
                      <w:lang w:val="en-US" w:eastAsia="zh-CN"/>
                    </w:rPr>
                    <w:t>甲苯</w:t>
                  </w:r>
                  <w:r>
                    <w:rPr>
                      <w:rFonts w:ascii="Times New Roman" w:hAnsi="Times New Roman" w:eastAsia="宋体" w:cs="Times New Roman"/>
                      <w:bCs w:val="0"/>
                      <w:sz w:val="21"/>
                      <w:szCs w:val="21"/>
                    </w:rPr>
                    <w:t>（</w:t>
                  </w:r>
                  <w:r>
                    <w:rPr>
                      <w:rFonts w:ascii="Times New Roman" w:hAnsi="Times New Roman" w:eastAsia="宋体" w:cs="Times New Roman"/>
                      <w:sz w:val="21"/>
                      <w:szCs w:val="21"/>
                    </w:rPr>
                    <w:t>mg/</w:t>
                  </w:r>
                  <w:r>
                    <w:rPr>
                      <w:rFonts w:hint="eastAsia" w:cs="Times New Roman"/>
                      <w:sz w:val="21"/>
                      <w:szCs w:val="21"/>
                      <w:lang w:eastAsia="zh-CN"/>
                    </w:rPr>
                    <w:t>m³</w:t>
                  </w:r>
                  <w:r>
                    <w:rPr>
                      <w:rFonts w:ascii="Times New Roman" w:hAnsi="Times New Roman" w:eastAsia="宋体" w:cs="Times New Roman"/>
                      <w:bCs w:val="0"/>
                      <w:sz w:val="21"/>
                      <w:szCs w:val="21"/>
                    </w:rPr>
                    <w:t>）</w:t>
                  </w: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03.31</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continue"/>
                  <w:tcBorders>
                    <w:left w:val="single" w:color="000000" w:sz="4" w:space="0"/>
                    <w:bottom w:val="single" w:color="auto"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auto"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auto"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69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699"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c>
                <w:tcPr>
                  <w:tcW w:w="703"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auto"/>
                      <w:kern w:val="2"/>
                      <w:sz w:val="21"/>
                      <w:szCs w:val="21"/>
                      <w:lang w:val="en-US" w:eastAsia="zh-CN" w:bidi="ar-SA"/>
                    </w:rPr>
                    <w:t>未检出</w:t>
                  </w:r>
                </w:p>
              </w:tc>
            </w:tr>
            <w:tr>
              <w:trPr>
                <w:trHeight w:val="397" w:hRule="atLeast"/>
                <w:jc w:val="center"/>
              </w:trPr>
              <w:tc>
                <w:tcPr>
                  <w:tcW w:w="731" w:type="pct"/>
                  <w:vMerge w:val="restart"/>
                  <w:tcBorders>
                    <w:top w:val="single" w:color="auto" w:sz="4" w:space="0"/>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50"/>
                    <w:widowControl w:val="0"/>
                    <w:bidi w:val="0"/>
                    <w:ind w:firstLineChars="0"/>
                    <w:jc w:val="center"/>
                    <w:rPr>
                      <w:rFonts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sz w:val="21"/>
                      <w:szCs w:val="21"/>
                    </w:rPr>
                    <w:t>项目</w:t>
                  </w:r>
                </w:p>
              </w:tc>
              <w:tc>
                <w:tcPr>
                  <w:tcW w:w="679" w:type="pct"/>
                  <w:vMerge w:val="restart"/>
                  <w:tcBorders>
                    <w:top w:val="single" w:color="auto" w:sz="4" w:space="0"/>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采样</w:t>
                  </w:r>
                </w:p>
                <w:p>
                  <w:pPr>
                    <w:pStyle w:val="50"/>
                    <w:widowControl w:val="0"/>
                    <w:bidi w:val="0"/>
                    <w:ind w:firstLineChars="0"/>
                    <w:jc w:val="center"/>
                    <w:rPr>
                      <w:rFonts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sz w:val="21"/>
                      <w:szCs w:val="21"/>
                    </w:rPr>
                    <w:t>日期</w:t>
                  </w:r>
                </w:p>
              </w:tc>
              <w:tc>
                <w:tcPr>
                  <w:tcW w:w="788" w:type="pct"/>
                  <w:vMerge w:val="restart"/>
                  <w:tcBorders>
                    <w:top w:val="single" w:color="auto" w:sz="4" w:space="0"/>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
                      <w:bCs/>
                      <w:sz w:val="21"/>
                      <w:szCs w:val="21"/>
                    </w:rPr>
                  </w:pPr>
                  <w:r>
                    <w:rPr>
                      <w:rFonts w:ascii="Times New Roman" w:hAnsi="Times New Roman" w:eastAsia="宋体" w:cs="Times New Roman"/>
                      <w:b/>
                      <w:bCs/>
                      <w:sz w:val="21"/>
                      <w:szCs w:val="21"/>
                    </w:rPr>
                    <w:t>检测</w:t>
                  </w:r>
                </w:p>
                <w:p>
                  <w:pPr>
                    <w:pStyle w:val="50"/>
                    <w:widowControl w:val="0"/>
                    <w:bidi w:val="0"/>
                    <w:ind w:firstLineChars="0"/>
                    <w:jc w:val="center"/>
                    <w:rPr>
                      <w:rFonts w:hint="default" w:ascii="Times New Roman" w:hAnsi="Times New Roman" w:eastAsia="宋体" w:cs="Times New Roman"/>
                      <w:b/>
                      <w:bCs/>
                      <w:color w:val="auto"/>
                      <w:kern w:val="2"/>
                      <w:sz w:val="21"/>
                      <w:szCs w:val="21"/>
                      <w:lang w:val="en-US" w:eastAsia="zh-CN" w:bidi="ar-SA"/>
                    </w:rPr>
                  </w:pPr>
                  <w:r>
                    <w:rPr>
                      <w:rFonts w:ascii="Times New Roman" w:hAnsi="Times New Roman" w:eastAsia="宋体" w:cs="Times New Roman"/>
                      <w:b/>
                      <w:bCs/>
                      <w:sz w:val="21"/>
                      <w:szCs w:val="21"/>
                    </w:rPr>
                    <w:t>频次</w:t>
                  </w:r>
                </w:p>
              </w:tc>
              <w:tc>
                <w:tcPr>
                  <w:tcW w:w="2800" w:type="pct"/>
                  <w:gridSpan w:val="4"/>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
                      <w:bCs/>
                      <w:color w:val="000000" w:themeColor="text1"/>
                      <w:sz w:val="21"/>
                      <w:szCs w:val="21"/>
                      <w:lang w:val="en-US" w:eastAsia="zh-CN"/>
                    </w:rPr>
                  </w:pPr>
                  <w:r>
                    <w:rPr>
                      <w:rFonts w:ascii="Times New Roman" w:hAnsi="Times New Roman" w:eastAsia="宋体" w:cs="Times New Roman"/>
                      <w:b/>
                      <w:bCs/>
                      <w:sz w:val="21"/>
                      <w:szCs w:val="21"/>
                    </w:rPr>
                    <w:t>检测点位及结果</w:t>
                  </w:r>
                </w:p>
              </w:tc>
            </w:tr>
            <w:tr>
              <w:trPr>
                <w:trHeight w:val="397" w:hRule="atLeast"/>
                <w:jc w:val="center"/>
              </w:trPr>
              <w:tc>
                <w:tcPr>
                  <w:tcW w:w="731" w:type="pct"/>
                  <w:vMerge w:val="continue"/>
                  <w:tcBorders>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ascii="Times New Roman" w:hAnsi="Times New Roman" w:eastAsia="宋体" w:cs="Times New Roman"/>
                      <w:b/>
                      <w:bCs/>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ascii="Times New Roman" w:hAnsi="Times New Roman" w:eastAsia="宋体" w:cs="Times New Roman"/>
                      <w:b/>
                      <w:bCs/>
                      <w:szCs w:val="21"/>
                    </w:rPr>
                  </w:pPr>
                </w:p>
              </w:tc>
              <w:tc>
                <w:tcPr>
                  <w:tcW w:w="788" w:type="pct"/>
                  <w:vMerge w:val="continue"/>
                  <w:tcBorders>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ascii="Times New Roman" w:hAnsi="Times New Roman" w:eastAsia="宋体" w:cs="Times New Roman"/>
                      <w:b/>
                      <w:bCs/>
                      <w:szCs w:val="21"/>
                    </w:rPr>
                  </w:pPr>
                </w:p>
              </w:tc>
              <w:tc>
                <w:tcPr>
                  <w:tcW w:w="2800" w:type="pct"/>
                  <w:gridSpan w:val="4"/>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
                      <w:bCs/>
                      <w:sz w:val="21"/>
                      <w:szCs w:val="21"/>
                      <w:lang w:eastAsia="zh-CN"/>
                    </w:rPr>
                  </w:pPr>
                  <w:r>
                    <w:rPr>
                      <w:rFonts w:hint="default" w:ascii="Times New Roman" w:hAnsi="Times New Roman" w:eastAsia="宋体" w:cs="Times New Roman"/>
                      <w:b/>
                      <w:bCs/>
                      <w:sz w:val="21"/>
                      <w:szCs w:val="21"/>
                      <w:lang w:eastAsia="zh-CN"/>
                    </w:rPr>
                    <w:t>厂房通风口处</w:t>
                  </w:r>
                </w:p>
              </w:tc>
            </w:tr>
            <w:tr>
              <w:tblPrEx>
                <w:tblCellMar>
                  <w:top w:w="0" w:type="dxa"/>
                  <w:left w:w="108" w:type="dxa"/>
                  <w:bottom w:w="0" w:type="dxa"/>
                  <w:right w:w="108" w:type="dxa"/>
                </w:tblCellMar>
              </w:tblPrEx>
              <w:trPr>
                <w:trHeight w:val="397" w:hRule="atLeast"/>
                <w:jc w:val="center"/>
              </w:trPr>
              <w:tc>
                <w:tcPr>
                  <w:tcW w:w="731" w:type="pct"/>
                  <w:vMerge w:val="restart"/>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r>
                    <w:rPr>
                      <w:rFonts w:ascii="Times New Roman" w:hAnsi="Times New Roman" w:eastAsia="宋体" w:cs="Times New Roman"/>
                      <w:sz w:val="21"/>
                      <w:szCs w:val="21"/>
                      <w:lang w:val="en-US" w:eastAsia="zh-CN"/>
                    </w:rPr>
                    <w:t>非甲烷总烃</w:t>
                  </w:r>
                  <w:r>
                    <w:rPr>
                      <w:rFonts w:ascii="Times New Roman" w:hAnsi="Times New Roman" w:eastAsia="宋体" w:cs="Times New Roman"/>
                      <w:bCs w:val="0"/>
                      <w:sz w:val="21"/>
                      <w:szCs w:val="21"/>
                    </w:rPr>
                    <w:t>（</w:t>
                  </w:r>
                  <w:r>
                    <w:rPr>
                      <w:rFonts w:ascii="Times New Roman" w:hAnsi="Times New Roman" w:eastAsia="宋体" w:cs="Times New Roman"/>
                      <w:sz w:val="21"/>
                      <w:szCs w:val="21"/>
                    </w:rPr>
                    <w:t>mg/</w:t>
                  </w:r>
                  <w:r>
                    <w:rPr>
                      <w:rFonts w:hint="eastAsia" w:cs="Times New Roman"/>
                      <w:sz w:val="21"/>
                      <w:szCs w:val="21"/>
                      <w:lang w:eastAsia="zh-CN"/>
                    </w:rPr>
                    <w:t>m³</w:t>
                  </w:r>
                  <w:r>
                    <w:rPr>
                      <w:rFonts w:ascii="Times New Roman" w:hAnsi="Times New Roman" w:eastAsia="宋体" w:cs="Times New Roman"/>
                      <w:bCs w:val="0"/>
                      <w:sz w:val="21"/>
                      <w:szCs w:val="21"/>
                    </w:rPr>
                    <w:t>）</w:t>
                  </w: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r>
                    <w:rPr>
                      <w:rFonts w:ascii="Times New Roman" w:hAnsi="Times New Roman" w:eastAsia="宋体" w:cs="Times New Roman"/>
                      <w:bCs w:val="0"/>
                      <w:sz w:val="21"/>
                      <w:szCs w:val="21"/>
                      <w:lang w:val="en-US" w:eastAsia="zh-CN"/>
                    </w:rPr>
                    <w:t>202</w:t>
                  </w:r>
                  <w:r>
                    <w:rPr>
                      <w:rFonts w:hint="default" w:ascii="Times New Roman" w:hAnsi="Times New Roman" w:eastAsia="宋体" w:cs="Times New Roman"/>
                      <w:bCs w:val="0"/>
                      <w:sz w:val="21"/>
                      <w:szCs w:val="21"/>
                      <w:lang w:val="en-US" w:eastAsia="zh-CN"/>
                    </w:rPr>
                    <w:t>2</w:t>
                  </w:r>
                  <w:r>
                    <w:rPr>
                      <w:rFonts w:ascii="Times New Roman" w:hAnsi="Times New Roman" w:eastAsia="宋体" w:cs="Times New Roman"/>
                      <w:bCs w:val="0"/>
                      <w:sz w:val="21"/>
                      <w:szCs w:val="21"/>
                      <w:lang w:val="en-US" w:eastAsia="zh-CN"/>
                    </w:rPr>
                    <w:t>.</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w:t>
                  </w:r>
                  <w:r>
                    <w:rPr>
                      <w:rFonts w:ascii="Times New Roman" w:hAnsi="Times New Roman" w:eastAsia="宋体" w:cs="Times New Roman"/>
                      <w:bCs w:val="0"/>
                      <w:sz w:val="21"/>
                      <w:szCs w:val="21"/>
                      <w:lang w:val="en-US" w:eastAsia="zh-CN"/>
                    </w:rPr>
                    <w:t>.</w:t>
                  </w:r>
                  <w:r>
                    <w:rPr>
                      <w:rFonts w:hint="default" w:ascii="Times New Roman" w:hAnsi="Times New Roman" w:eastAsia="宋体" w:cs="Times New Roman"/>
                      <w:bCs w:val="0"/>
                      <w:sz w:val="21"/>
                      <w:szCs w:val="21"/>
                      <w:lang w:val="en-US" w:eastAsia="zh-CN"/>
                    </w:rPr>
                    <w:t>30</w:t>
                  </w: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2800" w:type="pct"/>
                  <w:gridSpan w:val="4"/>
                  <w:tcBorders>
                    <w:top w:val="single" w:color="000000" w:sz="4" w:space="0"/>
                    <w:left w:val="single" w:color="000000" w:sz="4" w:space="0"/>
                    <w:bottom w:val="single" w:color="auto"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1.30</w:t>
                  </w:r>
                </w:p>
              </w:tc>
            </w:tr>
            <w:tr>
              <w:tblPrEx>
                <w:tblCellMar>
                  <w:top w:w="0" w:type="dxa"/>
                  <w:left w:w="108" w:type="dxa"/>
                  <w:bottom w:w="0" w:type="dxa"/>
                  <w:right w:w="108" w:type="dxa"/>
                </w:tblCellMar>
              </w:tblPrEx>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auto"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2800" w:type="pct"/>
                  <w:gridSpan w:val="4"/>
                  <w:tcBorders>
                    <w:top w:val="single" w:color="auto" w:sz="4" w:space="0"/>
                    <w:left w:val="single" w:color="000000" w:sz="4" w:space="0"/>
                    <w:bottom w:val="single" w:color="auto"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1.40</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auto"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2800" w:type="pct"/>
                  <w:gridSpan w:val="4"/>
                  <w:tcBorders>
                    <w:top w:val="single" w:color="auto" w:sz="4" w:space="0"/>
                    <w:left w:val="single" w:color="000000" w:sz="4" w:space="0"/>
                    <w:bottom w:val="single" w:color="auto"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1.34</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restart"/>
                  <w:tcBorders>
                    <w:left w:val="single" w:color="000000" w:sz="4" w:space="0"/>
                    <w:right w:val="single" w:color="000000" w:sz="4" w:space="0"/>
                  </w:tcBorders>
                  <w:vAlign w:val="center"/>
                </w:tcPr>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2022.</w:t>
                  </w:r>
                </w:p>
                <w:p>
                  <w:pPr>
                    <w:pStyle w:val="50"/>
                    <w:widowControl w:val="0"/>
                    <w:bidi w:val="0"/>
                    <w:spacing w:line="360" w:lineRule="auto"/>
                    <w:ind w:firstLineChars="0"/>
                    <w:jc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03.31</w:t>
                  </w:r>
                </w:p>
              </w:tc>
              <w:tc>
                <w:tcPr>
                  <w:tcW w:w="788" w:type="pct"/>
                  <w:tcBorders>
                    <w:top w:val="single" w:color="000000" w:sz="4" w:space="0"/>
                    <w:left w:val="single" w:color="000000" w:sz="4" w:space="0"/>
                    <w:bottom w:val="single" w:color="000000" w:sz="4" w:space="0"/>
                    <w:right w:val="single" w:color="auto"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第一次</w:t>
                  </w:r>
                </w:p>
              </w:tc>
              <w:tc>
                <w:tcPr>
                  <w:tcW w:w="2800" w:type="pct"/>
                  <w:gridSpan w:val="4"/>
                  <w:tcBorders>
                    <w:top w:val="single" w:color="auto" w:sz="4" w:space="0"/>
                    <w:left w:val="single" w:color="auto" w:sz="4" w:space="0"/>
                    <w:bottom w:val="single" w:color="auto"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1.36</w:t>
                  </w:r>
                </w:p>
              </w:tc>
            </w:tr>
            <w:tr>
              <w:trPr>
                <w:trHeight w:val="397" w:hRule="atLeast"/>
                <w:jc w:val="center"/>
              </w:trPr>
              <w:tc>
                <w:tcPr>
                  <w:tcW w:w="731" w:type="pct"/>
                  <w:vMerge w:val="continue"/>
                  <w:tcBorders>
                    <w:left w:val="single" w:color="000000"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000000"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第二次</w:t>
                  </w:r>
                </w:p>
              </w:tc>
              <w:tc>
                <w:tcPr>
                  <w:tcW w:w="2800" w:type="pct"/>
                  <w:gridSpan w:val="4"/>
                  <w:tcBorders>
                    <w:top w:val="single" w:color="auto" w:sz="4" w:space="0"/>
                    <w:left w:val="single" w:color="000000" w:sz="4" w:space="0"/>
                    <w:bottom w:val="single" w:color="auto"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1.30</w:t>
                  </w:r>
                </w:p>
              </w:tc>
            </w:tr>
            <w:tr>
              <w:trPr>
                <w:trHeight w:val="397" w:hRule="atLeast"/>
                <w:jc w:val="center"/>
              </w:trPr>
              <w:tc>
                <w:tcPr>
                  <w:tcW w:w="731" w:type="pct"/>
                  <w:vMerge w:val="continue"/>
                  <w:tcBorders>
                    <w:left w:val="single" w:color="000000" w:sz="4" w:space="0"/>
                    <w:bottom w:val="single" w:color="auto" w:sz="4" w:space="0"/>
                    <w:right w:val="single" w:color="000000" w:sz="4" w:space="0"/>
                  </w:tcBorders>
                  <w:vAlign w:val="center"/>
                </w:tcPr>
                <w:p>
                  <w:pPr>
                    <w:pStyle w:val="50"/>
                    <w:widowControl w:val="0"/>
                    <w:bidi w:val="0"/>
                    <w:ind w:firstLineChars="0"/>
                    <w:jc w:val="center"/>
                    <w:rPr>
                      <w:rFonts w:ascii="Times New Roman" w:hAnsi="Times New Roman" w:eastAsia="宋体" w:cs="Times New Roman"/>
                      <w:bCs w:val="0"/>
                      <w:sz w:val="21"/>
                      <w:szCs w:val="21"/>
                    </w:rPr>
                  </w:pPr>
                </w:p>
              </w:tc>
              <w:tc>
                <w:tcPr>
                  <w:tcW w:w="679" w:type="pct"/>
                  <w:vMerge w:val="continue"/>
                  <w:tcBorders>
                    <w:left w:val="single" w:color="000000" w:sz="4" w:space="0"/>
                    <w:bottom w:val="single" w:color="auto" w:sz="4" w:space="0"/>
                    <w:right w:val="single" w:color="000000" w:sz="4" w:space="0"/>
                  </w:tcBorders>
                  <w:vAlign w:val="center"/>
                </w:tcPr>
                <w:p>
                  <w:pPr>
                    <w:pStyle w:val="50"/>
                    <w:widowControl w:val="0"/>
                    <w:bidi w:val="0"/>
                    <w:spacing w:line="360" w:lineRule="auto"/>
                    <w:ind w:firstLineChars="0"/>
                    <w:jc w:val="center"/>
                    <w:rPr>
                      <w:rFonts w:ascii="Times New Roman" w:hAnsi="Times New Roman" w:eastAsia="宋体" w:cs="Times New Roman"/>
                      <w:bCs w:val="0"/>
                      <w:sz w:val="21"/>
                      <w:szCs w:val="21"/>
                      <w:lang w:val="en-US" w:eastAsia="zh-CN"/>
                    </w:rPr>
                  </w:pPr>
                </w:p>
              </w:tc>
              <w:tc>
                <w:tcPr>
                  <w:tcW w:w="788" w:type="pct"/>
                  <w:tcBorders>
                    <w:top w:val="single" w:color="000000" w:sz="4" w:space="0"/>
                    <w:left w:val="single" w:color="000000" w:sz="4" w:space="0"/>
                    <w:bottom w:val="single" w:color="auto" w:sz="4" w:space="0"/>
                    <w:right w:val="single" w:color="000000" w:sz="4" w:space="0"/>
                  </w:tcBorders>
                  <w:vAlign w:val="center"/>
                </w:tcPr>
                <w:p>
                  <w:pPr>
                    <w:pStyle w:val="50"/>
                    <w:widowControl w:val="0"/>
                    <w:bidi w:val="0"/>
                    <w:ind w:firstLineChars="0"/>
                    <w:jc w:val="center"/>
                    <w:rPr>
                      <w:rFonts w:hint="default" w:ascii="Times New Roman" w:hAnsi="Times New Roman" w:eastAsia="宋体" w:cs="Times New Roman"/>
                      <w:bCs w:val="0"/>
                      <w:color w:val="auto"/>
                      <w:kern w:val="2"/>
                      <w:sz w:val="21"/>
                      <w:szCs w:val="21"/>
                      <w:lang w:val="en-US" w:eastAsia="zh-CN" w:bidi="ar-SA"/>
                    </w:rPr>
                  </w:pPr>
                  <w:r>
                    <w:rPr>
                      <w:rFonts w:hint="default" w:ascii="Times New Roman" w:hAnsi="Times New Roman" w:eastAsia="宋体" w:cs="Times New Roman"/>
                      <w:bCs w:val="0"/>
                      <w:color w:val="auto"/>
                      <w:kern w:val="2"/>
                      <w:sz w:val="21"/>
                      <w:szCs w:val="21"/>
                      <w:lang w:val="en-US" w:eastAsia="zh-CN" w:bidi="ar-SA"/>
                    </w:rPr>
                    <w:t>第三次</w:t>
                  </w:r>
                </w:p>
              </w:tc>
              <w:tc>
                <w:tcPr>
                  <w:tcW w:w="2800" w:type="pct"/>
                  <w:gridSpan w:val="4"/>
                  <w:tcBorders>
                    <w:top w:val="single" w:color="auto" w:sz="4" w:space="0"/>
                    <w:left w:val="single" w:color="000000" w:sz="4" w:space="0"/>
                    <w:bottom w:val="single" w:color="000000" w:sz="4" w:space="0"/>
                    <w:right w:val="single" w:color="000000" w:sz="4" w:space="0"/>
                  </w:tcBorders>
                  <w:vAlign w:val="center"/>
                </w:tcPr>
                <w:p>
                  <w:pPr>
                    <w:pStyle w:val="50"/>
                    <w:widowControl w:val="0"/>
                    <w:bidi w:val="0"/>
                    <w:ind w:firstLineChars="0"/>
                    <w:jc w:val="center"/>
                    <w:textAlignment w:val="center"/>
                    <w:rPr>
                      <w:rFonts w:hint="default" w:ascii="Times New Roman" w:hAnsi="Times New Roman" w:eastAsia="宋体" w:cs="Times New Roman"/>
                      <w:bCs w:val="0"/>
                      <w:color w:val="000000" w:themeColor="text1"/>
                      <w:sz w:val="21"/>
                      <w:szCs w:val="21"/>
                      <w:lang w:val="en-US" w:eastAsia="zh-CN"/>
                    </w:rPr>
                  </w:pPr>
                  <w:r>
                    <w:rPr>
                      <w:rFonts w:hint="default" w:ascii="Times New Roman" w:hAnsi="Times New Roman" w:eastAsia="宋体" w:cs="Times New Roman"/>
                      <w:bCs w:val="0"/>
                      <w:color w:val="000000" w:themeColor="text1"/>
                      <w:sz w:val="21"/>
                      <w:szCs w:val="21"/>
                      <w:lang w:val="en-US" w:eastAsia="zh-CN"/>
                    </w:rPr>
                    <w:t>1.38</w:t>
                  </w:r>
                </w:p>
              </w:tc>
            </w:tr>
            <w:tr>
              <w:trPr>
                <w:trHeight w:val="397"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tcPr>
                <w:p>
                  <w:pPr>
                    <w:pStyle w:val="50"/>
                    <w:widowControl w:val="0"/>
                    <w:bidi w:val="0"/>
                    <w:ind w:firstLineChars="0"/>
                    <w:jc w:val="both"/>
                    <w:textAlignment w:val="center"/>
                    <w:rPr>
                      <w:rFonts w:hint="default" w:ascii="Times New Roman" w:hAnsi="Times New Roman" w:eastAsia="宋体" w:cs="Times New Roman"/>
                      <w:bCs w:val="0"/>
                      <w:sz w:val="21"/>
                      <w:szCs w:val="21"/>
                      <w:lang w:val="en-US" w:eastAsia="zh-CN"/>
                    </w:rPr>
                  </w:pPr>
                  <w:r>
                    <w:rPr>
                      <w:rFonts w:hint="default" w:ascii="Times New Roman" w:hAnsi="Times New Roman" w:eastAsia="宋体" w:cs="Times New Roman"/>
                      <w:bCs w:val="0"/>
                      <w:sz w:val="21"/>
                      <w:szCs w:val="21"/>
                      <w:lang w:val="en-US" w:eastAsia="zh-CN"/>
                    </w:rPr>
                    <w:t>备注：验收检测期间，实验室正常运行。</w:t>
                  </w:r>
                </w:p>
                <w:p>
                  <w:pPr>
                    <w:pStyle w:val="50"/>
                    <w:widowControl w:val="0"/>
                    <w:bidi w:val="0"/>
                    <w:ind w:firstLineChars="0"/>
                    <w:jc w:val="both"/>
                    <w:textAlignment w:val="center"/>
                    <w:rPr>
                      <w:rFonts w:hint="default" w:ascii="Times New Roman" w:hAnsi="Times New Roman" w:eastAsia="宋体" w:cs="Times New Roman"/>
                      <w:bCs w:val="0"/>
                      <w:sz w:val="21"/>
                      <w:szCs w:val="21"/>
                      <w:lang w:val="en-US" w:eastAsia="zh-CN"/>
                    </w:rPr>
                  </w:pPr>
                  <w:r>
                    <w:rPr>
                      <w:rFonts w:hint="eastAsia"/>
                      <w:sz w:val="21"/>
                      <w:szCs w:val="21"/>
                      <w:u w:val="none"/>
                      <w:lang w:val="en-US" w:eastAsia="zh-CN" w:bidi="ar-SA"/>
                    </w:rPr>
                    <w:t>调试验收监测期间，无水硫酸钠、无水硫酸镁暂未使用；</w:t>
                  </w:r>
                </w:p>
              </w:tc>
            </w:tr>
          </w:tbl>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5</w:t>
            </w:r>
            <w:r>
              <w:rPr>
                <w:rFonts w:hint="eastAsia" w:ascii="Times New Roman" w:hAnsi="Times New Roman"/>
                <w:b/>
                <w:bCs/>
                <w:color w:val="auto"/>
                <w:sz w:val="24"/>
                <w:highlight w:val="none"/>
              </w:rPr>
              <w:t xml:space="preserve">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7"/>
              <w:gridCol w:w="2600"/>
              <w:gridCol w:w="2617"/>
              <w:gridCol w:w="1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600"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617"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1.26</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1.40（厂房通风口处）</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2600"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7"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w:t>
                  </w:r>
                </w:p>
              </w:tc>
              <w:tc>
                <w:tcPr>
                  <w:tcW w:w="1822"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806"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sz w:val="21"/>
                      <w:szCs w:val="21"/>
                      <w:lang w:val="en-US" w:eastAsia="zh-CN"/>
                    </w:rPr>
                  </w:pPr>
                  <w:r>
                    <w:rPr>
                      <w:rFonts w:ascii="Times New Roman" w:hAnsi="Times New Roman" w:eastAsia="宋体"/>
                      <w:kern w:val="2"/>
                      <w:sz w:val="21"/>
                      <w:szCs w:val="21"/>
                      <w:lang w:bidi="ar"/>
                    </w:rPr>
                    <w:t>备注：未检出表示检测值小于检出限</w:t>
                  </w:r>
                  <w:r>
                    <w:rPr>
                      <w:rFonts w:hint="eastAsia"/>
                      <w:kern w:val="2"/>
                      <w:sz w:val="21"/>
                      <w:szCs w:val="21"/>
                      <w:lang w:eastAsia="zh-CN" w:bidi="ar"/>
                    </w:rPr>
                    <w:t>。</w:t>
                  </w:r>
                </w:p>
              </w:tc>
            </w:tr>
          </w:tbl>
          <w:p>
            <w:pPr>
              <w:pStyle w:val="22"/>
              <w:spacing w:line="360" w:lineRule="auto"/>
              <w:ind w:firstLine="480" w:firstLineChars="200"/>
              <w:rPr>
                <w:rFonts w:hint="eastAsia" w:ascii="Times New Roman" w:hAnsi="Times New Roman" w:eastAsia="宋体"/>
                <w:color w:val="auto"/>
                <w:highlight w:val="none"/>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甲苯为未检出，</w:t>
            </w:r>
            <w:r>
              <w:rPr>
                <w:rFonts w:hint="eastAsia" w:ascii="Times New Roman" w:hAnsi="Times New Roman" w:cs="Times New Roman"/>
                <w:sz w:val="24"/>
                <w:lang w:eastAsia="zh-CN"/>
              </w:rPr>
              <w:t>满足《挥发性有机物排放标准第 7 部分：其他行业》（DB37/2801.7-2019）表 2 监控点浓度限值要求。氯化氢为未检出，满足《制药工业大气污染物排放标准》（GB37823-2019） 表 4 企业边界大气污染物浓度限值要求。</w:t>
            </w:r>
          </w:p>
          <w:p>
            <w:pPr>
              <w:pStyle w:val="22"/>
              <w:spacing w:line="360" w:lineRule="auto"/>
              <w:ind w:firstLine="480" w:firstLineChars="200"/>
              <w:rPr>
                <w:rFonts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1.4</w:t>
            </w:r>
            <w:r>
              <w:rPr>
                <w:rFonts w:hint="eastAsia" w:ascii="Times New Roman"/>
                <w:color w:val="auto"/>
                <w:highlight w:val="none"/>
                <w:lang w:val="en-US" w:eastAsia="zh-CN"/>
              </w:rPr>
              <w:t>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rPr>
                      <w:color w:val="auto"/>
                      <w:highlight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"http://117.73.252.128:9025/company/20220331/84255b1d-2bda-4634-b143-e6b938dc520b/1648706286959_1648706294112.jpg"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2" o:spt="75" alt="IMG_256" type="#_x0000_t75" style="height:394.7pt;width:280.55pt;" filled="f" o:preferrelative="t" stroked="f" coordsize="21600,21600">
                        <v:path/>
                        <v:fill on="f" focussize="0,0"/>
                        <v:stroke on="f"/>
                        <v:imagedata r:id="rId14"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ind w:firstLine="0" w:firstLineChars="0"/>
                    <w:jc w:val="center"/>
                  </w:pPr>
                </w:p>
                <w:p>
                  <w:pPr>
                    <w:pStyle w:val="33"/>
                    <w:rPr>
                      <w:rFonts w:ascii="宋体" w:hAnsi="宋体" w:eastAsia="宋体" w:cs="宋体"/>
                      <w:sz w:val="24"/>
                      <w:szCs w:val="24"/>
                    </w:rPr>
                  </w:pPr>
                </w:p>
                <w:p>
                  <w:pPr>
                    <w:pStyle w:val="33"/>
                    <w:rPr>
                      <w:rFonts w:ascii="宋体" w:hAnsi="宋体" w:eastAsia="宋体" w:cs="宋体"/>
                      <w:sz w:val="24"/>
                      <w:szCs w:val="24"/>
                    </w:rPr>
                  </w:pPr>
                </w:p>
                <w:p>
                  <w:pPr>
                    <w:pStyle w:val="33"/>
                    <w:rPr>
                      <w:rFonts w:ascii="宋体" w:hAnsi="宋体" w:eastAsia="宋体" w:cs="宋体"/>
                      <w:sz w:val="24"/>
                      <w:szCs w:val="24"/>
                    </w:rPr>
                  </w:pPr>
                </w:p>
                <w:p>
                  <w:pPr>
                    <w:pStyle w:val="33"/>
                    <w:rPr>
                      <w:rFonts w:ascii="宋体" w:hAnsi="宋体" w:eastAsia="宋体" w:cs="宋体"/>
                      <w:sz w:val="24"/>
                      <w:szCs w:val="24"/>
                    </w:rPr>
                  </w:pPr>
                </w:p>
                <w:p>
                  <w:pPr>
                    <w:pStyle w:val="33"/>
                    <w:rPr>
                      <w:rFonts w:ascii="宋体" w:hAnsi="宋体" w:eastAsia="宋体" w:cs="宋体"/>
                      <w:sz w:val="24"/>
                      <w:szCs w:val="24"/>
                    </w:rPr>
                  </w:pPr>
                </w:p>
                <w:p>
                  <w:pPr>
                    <w:pStyle w:val="33"/>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cs="宋体"/>
                      <w:color w:val="auto"/>
                      <w:highlight w:val="no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"http://117.73.252.128:9025/company/20220330/8f02537d-90d1-402b-b8c2-fb9f4eaef3c3/1648613027806_1648613032235.jpg"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3" o:spt="75" alt="IMG_256" type="#_x0000_t75" style="height:380.4pt;width:261.05pt;" filled="f" o:preferrelative="t" stroked="f" coordsize="21600,21600">
                        <v:path/>
                        <v:fill on="f" focussize="0,0"/>
                        <v:stroke on="f"/>
                        <v:imagedata r:id="rId15"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000" w:type="pct"/>
                  <w:shd w:val="clear" w:color="auto" w:fill="auto"/>
                  <w:vAlign w:val="center"/>
                </w:tcPr>
                <w:p>
                  <w:pPr>
                    <w:pStyle w:val="22"/>
                    <w:jc w:val="center"/>
                    <w:rPr>
                      <w:rFonts w:ascii="Times New Roman" w:hAnsi="Times New Roman"/>
                      <w:b/>
                      <w:bCs/>
                      <w:color w:val="auto"/>
                      <w:highlight w:val="none"/>
                    </w:rPr>
                  </w:pPr>
                  <w:r>
                    <w:rPr>
                      <w:rFonts w:ascii="Times New Roman" w:hAnsi="Times New Roman"/>
                      <w:b/>
                      <w:bCs/>
                      <w:color w:val="auto"/>
                      <w:sz w:val="21"/>
                      <w:szCs w:val="21"/>
                      <w:highlight w:val="none"/>
                    </w:rPr>
                    <w:t>图7-</w:t>
                  </w:r>
                  <w:r>
                    <w:rPr>
                      <w:rFonts w:hint="eastAsia" w:ascii="Times New Roman" w:hAnsi="Times New Roman"/>
                      <w:b/>
                      <w:bCs/>
                      <w:color w:val="auto"/>
                      <w:sz w:val="21"/>
                      <w:szCs w:val="21"/>
                      <w:highlight w:val="none"/>
                      <w:lang w:val="en-US" w:eastAsia="zh-CN"/>
                    </w:rPr>
                    <w:t>1</w:t>
                  </w:r>
                  <w:r>
                    <w:rPr>
                      <w:rFonts w:ascii="Times New Roman" w:hAnsi="Times New Roman"/>
                      <w:b/>
                      <w:bCs/>
                      <w:color w:val="auto"/>
                      <w:sz w:val="21"/>
                      <w:szCs w:val="21"/>
                      <w:highlight w:val="none"/>
                    </w:rPr>
                    <w:t xml:space="preserve">  废气监测</w:t>
                  </w:r>
                </w:p>
              </w:tc>
            </w:tr>
          </w:tbl>
          <w:p>
            <w:pPr>
              <w:ind w:firstLine="482"/>
              <w:rPr>
                <w:b/>
                <w:bCs/>
                <w:color w:val="auto"/>
                <w:highlight w:val="none"/>
              </w:rPr>
            </w:pPr>
            <w:r>
              <w:rPr>
                <w:b/>
                <w:bCs/>
                <w:color w:val="auto"/>
                <w:highlight w:val="none"/>
              </w:rPr>
              <w:t xml:space="preserve"> 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color w:val="auto"/>
                <w:kern w:val="0"/>
                <w:szCs w:val="24"/>
                <w:highlight w:val="none"/>
                <w:lang w:eastAsia="zh-CN" w:bidi="ar"/>
              </w:rPr>
              <w:t>表1的A等</w:t>
            </w:r>
            <w:r>
              <w:rPr>
                <w:rFonts w:hint="eastAsia" w:cs="Times New Roman"/>
                <w:color w:val="auto"/>
                <w:kern w:val="0"/>
                <w:szCs w:val="24"/>
                <w:highlight w:val="none"/>
                <w:lang w:bidi="ar"/>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ind w:firstLine="480"/>
              <w:rPr>
                <w:color w:val="auto"/>
                <w:highlight w:val="none"/>
              </w:rPr>
            </w:pPr>
            <w:r>
              <w:rPr>
                <w:color w:val="auto"/>
                <w:highlight w:val="none"/>
              </w:rPr>
              <w:t>此次验收对</w:t>
            </w:r>
            <w:r>
              <w:rPr>
                <w:rFonts w:hint="eastAsia"/>
                <w:color w:val="auto"/>
                <w:highlight w:val="none"/>
              </w:rPr>
              <w:t>银丰国际生物城污水处理站</w:t>
            </w:r>
            <w:r>
              <w:rPr>
                <w:rFonts w:hint="eastAsia"/>
                <w:color w:val="auto"/>
                <w:highlight w:val="none"/>
                <w:lang w:eastAsia="zh-CN"/>
              </w:rPr>
              <w:t>进口、</w:t>
            </w:r>
            <w:r>
              <w:rPr>
                <w:rFonts w:hint="eastAsia"/>
                <w:color w:val="auto"/>
                <w:highlight w:val="none"/>
              </w:rPr>
              <w:t>出口，</w:t>
            </w:r>
            <w:r>
              <w:rPr>
                <w:color w:val="auto"/>
                <w:highlight w:val="none"/>
              </w:rPr>
              <w:t>污染物排放情况进行了监测。监测结果见下表：</w:t>
            </w:r>
          </w:p>
          <w:p>
            <w:pPr>
              <w:ind w:firstLine="482"/>
              <w:jc w:val="center"/>
              <w:rPr>
                <w:b/>
                <w:bCs/>
                <w:color w:val="auto"/>
                <w:highlight w:val="none"/>
              </w:rPr>
            </w:pPr>
            <w:r>
              <w:rPr>
                <w:b/>
                <w:bCs/>
                <w:color w:val="auto"/>
                <w:highlight w:val="none"/>
              </w:rPr>
              <w:t>表7-</w:t>
            </w:r>
            <w:r>
              <w:rPr>
                <w:rFonts w:hint="eastAsia"/>
                <w:b/>
                <w:bCs/>
                <w:color w:val="auto"/>
                <w:highlight w:val="none"/>
                <w:lang w:val="en-US" w:eastAsia="zh-CN"/>
              </w:rPr>
              <w:t>6</w:t>
            </w:r>
            <w:r>
              <w:rPr>
                <w:rFonts w:hint="eastAsia"/>
                <w:b/>
                <w:bCs/>
                <w:color w:val="auto"/>
                <w:highlight w:val="none"/>
              </w:rPr>
              <w:t xml:space="preserve"> </w:t>
            </w:r>
            <w:r>
              <w:rPr>
                <w:b/>
                <w:bCs/>
                <w:color w:val="auto"/>
                <w:highlight w:val="none"/>
              </w:rPr>
              <w:t xml:space="preserve"> 项目废水监测结果表</w:t>
            </w:r>
          </w:p>
          <w:tbl>
            <w:tblPr>
              <w:tblStyle w:val="27"/>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
              <w:gridCol w:w="1605"/>
              <w:gridCol w:w="735"/>
              <w:gridCol w:w="1185"/>
              <w:gridCol w:w="1140"/>
              <w:gridCol w:w="1244"/>
              <w:gridCol w:w="1163"/>
              <w:gridCol w:w="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60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3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进口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412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412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46.3</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b w:val="0"/>
                      <w:spacing w:val="10"/>
                      <w:sz w:val="21"/>
                      <w:szCs w:val="21"/>
                      <w:lang w:eastAsia="zh-CN"/>
                    </w:rPr>
                  </w:pPr>
                  <w:r>
                    <w:rPr>
                      <w:rFonts w:hint="eastAsia" w:ascii="Times New Roman" w:hAnsi="Times New Roman"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60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735"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10</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出口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22.3</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19.4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25.6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24.4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cs="Times New Roman"/>
                      <w:b w:val="0"/>
                      <w:bCs w:val="0"/>
                      <w:spacing w:val="10"/>
                      <w:kern w:val="2"/>
                      <w:sz w:val="21"/>
                      <w:szCs w:val="21"/>
                      <w:lang w:val="en-US" w:eastAsia="zh-CN" w:bidi="ar-SA"/>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49</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66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kern w:val="2"/>
                      <w:sz w:val="21"/>
                      <w:szCs w:val="21"/>
                      <w:lang w:val="en-US" w:eastAsia="zh-CN" w:bidi="ar-SA"/>
                    </w:rPr>
                    <w:t>58</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eastAsia" w:ascii="Times New Roman" w:hAnsi="Times New Roman" w:cs="Times New Roman"/>
                      <w:b w:val="0"/>
                      <w:bCs w:val="0"/>
                      <w:spacing w:val="10"/>
                      <w:kern w:val="2"/>
                      <w:sz w:val="21"/>
                      <w:szCs w:val="21"/>
                      <w:lang w:val="en-US" w:eastAsia="zh-CN" w:bidi="ar-SA"/>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2.58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2.32</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192</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214</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default" w:ascii="Times New Roman" w:hAnsi="Times New Roman" w:eastAsia="宋体" w:cs="Times New Roman"/>
                      <w:spacing w:val="10"/>
                      <w:sz w:val="21"/>
                      <w:szCs w:val="21"/>
                      <w:lang w:eastAsia="zh-CN"/>
                    </w:rPr>
                    <w:t>生化需氧量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95.7</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100</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87.5</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97.0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652</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447</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796</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739</w:t>
                  </w:r>
                </w:p>
              </w:tc>
              <w:tc>
                <w:tcPr>
                  <w:tcW w:w="0" w:type="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658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采样点位</w:t>
                  </w:r>
                </w:p>
              </w:tc>
              <w:tc>
                <w:tcPr>
                  <w:tcW w:w="1605"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检测项目</w:t>
                  </w:r>
                </w:p>
              </w:tc>
              <w:tc>
                <w:tcPr>
                  <w:tcW w:w="735" w:type="dxa"/>
                  <w:vMerge w:val="restart"/>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rPr>
                    <w:t>计量</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rPr>
                    <w:t>单位</w:t>
                  </w:r>
                </w:p>
              </w:tc>
              <w:tc>
                <w:tcPr>
                  <w:tcW w:w="4732" w:type="dxa"/>
                  <w:gridSpan w:val="4"/>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rPr>
                    <w:t>检测结果</w:t>
                  </w:r>
                </w:p>
              </w:tc>
              <w:tc>
                <w:tcPr>
                  <w:tcW w:w="0" w:type="auto"/>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rPr>
                  </w:pPr>
                  <w:r>
                    <w:rPr>
                      <w:rFonts w:hint="eastAsia" w:ascii="Times New Roman" w:hAnsi="Times New Roman" w:cs="Times New Roman"/>
                      <w:b/>
                      <w:bCs/>
                      <w:spacing w:val="10"/>
                      <w:sz w:val="21"/>
                      <w:szCs w:val="21"/>
                      <w:lang w:eastAsia="zh-CN"/>
                    </w:rPr>
                    <w:t>日均值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eastAsia="zh-CN"/>
                    </w:rPr>
                  </w:pPr>
                </w:p>
              </w:tc>
              <w:tc>
                <w:tcPr>
                  <w:tcW w:w="160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p>
              </w:tc>
              <w:tc>
                <w:tcPr>
                  <w:tcW w:w="735"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val="en-US" w:eastAsia="zh-CN"/>
                    </w:rPr>
                    <w:t>第一次</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第二次</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第三次</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rPr>
                  </w:pPr>
                  <w:r>
                    <w:rPr>
                      <w:rFonts w:hint="default" w:ascii="Times New Roman" w:hAnsi="Times New Roman" w:eastAsia="宋体" w:cs="Times New Roman"/>
                      <w:b/>
                      <w:bCs/>
                      <w:spacing w:val="10"/>
                      <w:sz w:val="21"/>
                      <w:szCs w:val="21"/>
                      <w:lang w:val="en-US" w:eastAsia="zh-CN"/>
                    </w:rPr>
                    <w:t>01</w:t>
                  </w:r>
                  <w:r>
                    <w:rPr>
                      <w:rFonts w:hint="default" w:ascii="Times New Roman" w:hAnsi="Times New Roman" w:eastAsia="宋体" w:cs="Times New Roman"/>
                      <w:b/>
                      <w:bCs/>
                      <w:spacing w:val="10"/>
                      <w:sz w:val="21"/>
                      <w:szCs w:val="21"/>
                    </w:rPr>
                    <w:t>月</w:t>
                  </w:r>
                  <w:r>
                    <w:rPr>
                      <w:rFonts w:hint="default" w:ascii="Times New Roman" w:hAnsi="Times New Roman" w:eastAsia="宋体" w:cs="Times New Roman"/>
                      <w:b/>
                      <w:bCs/>
                      <w:spacing w:val="10"/>
                      <w:sz w:val="21"/>
                      <w:szCs w:val="21"/>
                      <w:lang w:val="en-US" w:eastAsia="zh-CN"/>
                    </w:rPr>
                    <w:t>11</w:t>
                  </w:r>
                  <w:r>
                    <w:rPr>
                      <w:rFonts w:hint="default" w:ascii="Times New Roman" w:hAnsi="Times New Roman" w:eastAsia="宋体" w:cs="Times New Roman"/>
                      <w:b/>
                      <w:bCs/>
                      <w:spacing w:val="10"/>
                      <w:sz w:val="21"/>
                      <w:szCs w:val="21"/>
                    </w:rPr>
                    <w:t>日</w:t>
                  </w:r>
                </w:p>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kern w:val="2"/>
                      <w:sz w:val="21"/>
                      <w:szCs w:val="21"/>
                      <w:lang w:val="en-US" w:eastAsia="zh-CN" w:bidi="ar-SA"/>
                    </w:rPr>
                  </w:pPr>
                  <w:r>
                    <w:rPr>
                      <w:rFonts w:hint="default" w:ascii="Times New Roman" w:hAnsi="Times New Roman" w:eastAsia="宋体" w:cs="Times New Roman"/>
                      <w:b/>
                      <w:bCs/>
                      <w:spacing w:val="10"/>
                      <w:sz w:val="21"/>
                      <w:szCs w:val="21"/>
                      <w:lang w:eastAsia="zh-CN"/>
                    </w:rPr>
                    <w:t>第四次</w:t>
                  </w:r>
                </w:p>
              </w:tc>
              <w:tc>
                <w:tcPr>
                  <w:tcW w:w="0" w:type="auto"/>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restart"/>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r>
                    <w:rPr>
                      <w:rFonts w:hint="eastAsia"/>
                      <w:color w:val="auto"/>
                      <w:sz w:val="21"/>
                      <w:szCs w:val="21"/>
                      <w:highlight w:val="none"/>
                    </w:rPr>
                    <w:t>银丰国际生物城污水处理站</w:t>
                  </w:r>
                  <w:r>
                    <w:rPr>
                      <w:rFonts w:hint="default" w:ascii="Times New Roman" w:hAnsi="Times New Roman" w:eastAsia="宋体" w:cs="Times New Roman"/>
                      <w:spacing w:val="10"/>
                      <w:sz w:val="21"/>
                      <w:szCs w:val="21"/>
                      <w:lang w:eastAsia="zh-CN"/>
                    </w:rPr>
                    <w:t>出口</w:t>
                  </w: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val="en-US" w:eastAsia="zh-CN"/>
                    </w:rPr>
                    <w:t>/</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kern w:val="2"/>
                      <w:sz w:val="21"/>
                      <w:szCs w:val="21"/>
                      <w:lang w:val="en-US" w:eastAsia="zh-CN" w:bidi="ar-SA"/>
                    </w:rPr>
                  </w:pPr>
                  <w:r>
                    <w:rPr>
                      <w:rFonts w:hint="default" w:ascii="Times New Roman" w:hAnsi="Times New Roman" w:eastAsia="宋体" w:cs="Times New Roman"/>
                      <w:b w:val="0"/>
                      <w:bCs w:val="0"/>
                      <w:spacing w:val="10"/>
                      <w:sz w:val="21"/>
                      <w:szCs w:val="21"/>
                      <w:lang w:val="en-US" w:eastAsia="zh-CN"/>
                    </w:rPr>
                    <w:t>7.8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20.8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23.4</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26.2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24.9</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44</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60</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76</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1.82</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2.20</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1.91</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化学需氧量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198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185</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201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229</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203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lang w:eastAsia="zh-CN"/>
                    </w:rPr>
                    <w:t>生化需氧量</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98.6</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88.6</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92.2</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90.8</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eastAsia" w:ascii="Times New Roman" w:hAnsi="Times New Roman" w:cs="Times New Roman"/>
                      <w:spacing w:val="10"/>
                      <w:kern w:val="2"/>
                      <w:sz w:val="21"/>
                      <w:szCs w:val="21"/>
                      <w:lang w:val="en-US" w:eastAsia="zh-CN" w:bidi="ar-SA"/>
                    </w:rPr>
                    <w:t>92.6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942" w:type="dxa"/>
                  <w:vMerge w:val="continue"/>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eastAsia="zh-CN"/>
                    </w:rPr>
                  </w:pPr>
                </w:p>
              </w:tc>
              <w:tc>
                <w:tcPr>
                  <w:tcW w:w="16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73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mg/L</w:t>
                  </w:r>
                </w:p>
              </w:tc>
              <w:tc>
                <w:tcPr>
                  <w:tcW w:w="118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958</w:t>
                  </w:r>
                </w:p>
              </w:tc>
              <w:tc>
                <w:tcPr>
                  <w:tcW w:w="1140"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869</w:t>
                  </w:r>
                </w:p>
              </w:tc>
              <w:tc>
                <w:tcPr>
                  <w:tcW w:w="1244"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821</w:t>
                  </w:r>
                </w:p>
              </w:tc>
              <w:tc>
                <w:tcPr>
                  <w:tcW w:w="1163"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default" w:ascii="Times New Roman" w:hAnsi="Times New Roman" w:eastAsia="宋体" w:cs="Times New Roman"/>
                      <w:b w:val="0"/>
                      <w:bCs w:val="0"/>
                      <w:spacing w:val="10"/>
                      <w:sz w:val="21"/>
                      <w:szCs w:val="21"/>
                      <w:lang w:val="en-US" w:eastAsia="zh-CN"/>
                    </w:rPr>
                    <w:t>770</w:t>
                  </w:r>
                </w:p>
              </w:tc>
              <w:tc>
                <w:tcPr>
                  <w:tcW w:w="905" w:type="dxa"/>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bCs w:val="0"/>
                      <w:spacing w:val="10"/>
                      <w:sz w:val="21"/>
                      <w:szCs w:val="21"/>
                      <w:lang w:val="en-US" w:eastAsia="zh-CN"/>
                    </w:rPr>
                  </w:pPr>
                  <w:r>
                    <w:rPr>
                      <w:rFonts w:hint="eastAsia" w:ascii="Times New Roman" w:hAnsi="Times New Roman" w:cs="Times New Roman"/>
                      <w:b w:val="0"/>
                      <w:bCs w:val="0"/>
                      <w:spacing w:val="10"/>
                      <w:sz w:val="21"/>
                      <w:szCs w:val="21"/>
                      <w:lang w:val="en-US" w:eastAsia="zh-CN"/>
                    </w:rPr>
                    <w:t>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19" w:type="dxa"/>
                  <w:gridSpan w:val="8"/>
                </w:tcPr>
                <w:p>
                  <w:pPr>
                    <w:widowControl/>
                    <w:autoSpaceDE w:val="0"/>
                    <w:autoSpaceDN w:val="0"/>
                    <w:adjustRightInd w:val="0"/>
                    <w:spacing w:line="240" w:lineRule="auto"/>
                    <w:ind w:firstLine="0" w:firstLineChars="0"/>
                    <w:jc w:val="left"/>
                    <w:rPr>
                      <w:rFonts w:hint="default" w:ascii="Times New Roman" w:hAnsi="Times New Roman" w:eastAsia="宋体" w:cs="Times New Roman"/>
                      <w:spacing w:val="10"/>
                      <w:sz w:val="21"/>
                      <w:szCs w:val="21"/>
                    </w:rPr>
                  </w:pPr>
                  <w:r>
                    <w:rPr>
                      <w:rFonts w:hint="default" w:ascii="Times New Roman" w:hAnsi="Times New Roman" w:eastAsia="宋体" w:cs="Times New Roman"/>
                      <w:spacing w:val="10"/>
                      <w:sz w:val="21"/>
                      <w:szCs w:val="21"/>
                    </w:rPr>
                    <w:t>备注：</w:t>
                  </w:r>
                  <w:r>
                    <w:rPr>
                      <w:rFonts w:hint="default" w:ascii="Times New Roman" w:hAnsi="Times New Roman" w:eastAsia="宋体" w:cs="Times New Roman"/>
                      <w:spacing w:val="10"/>
                      <w:sz w:val="21"/>
                      <w:szCs w:val="21"/>
                      <w:lang w:eastAsia="zh-CN"/>
                    </w:rPr>
                    <w:t>监测期间</w:t>
                  </w:r>
                  <w:r>
                    <w:rPr>
                      <w:rFonts w:hint="default" w:ascii="Times New Roman" w:hAnsi="Times New Roman" w:eastAsia="宋体" w:cs="Times New Roman"/>
                      <w:spacing w:val="10"/>
                      <w:sz w:val="21"/>
                      <w:szCs w:val="21"/>
                    </w:rPr>
                    <w:t>企业</w:t>
                  </w:r>
                  <w:r>
                    <w:rPr>
                      <w:rFonts w:hint="default" w:ascii="Times New Roman" w:hAnsi="Times New Roman" w:eastAsia="宋体" w:cs="Times New Roman"/>
                      <w:spacing w:val="10"/>
                      <w:sz w:val="21"/>
                      <w:szCs w:val="21"/>
                      <w:lang w:eastAsia="zh-CN"/>
                    </w:rPr>
                    <w:t>提供废水流量约为</w:t>
                  </w:r>
                  <w:r>
                    <w:rPr>
                      <w:rFonts w:hint="eastAsia" w:cs="Times New Roman"/>
                      <w:spacing w:val="10"/>
                      <w:sz w:val="21"/>
                      <w:szCs w:val="21"/>
                      <w:lang w:val="en-US" w:eastAsia="zh-CN"/>
                    </w:rPr>
                    <w:t>30m³</w:t>
                  </w:r>
                  <w:r>
                    <w:rPr>
                      <w:rFonts w:hint="default" w:ascii="Times New Roman" w:hAnsi="Times New Roman" w:eastAsia="宋体" w:cs="Times New Roman"/>
                      <w:spacing w:val="10"/>
                      <w:sz w:val="21"/>
                      <w:szCs w:val="21"/>
                      <w:lang w:val="en-US" w:eastAsia="zh-CN"/>
                    </w:rPr>
                    <w:t>/天；</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7</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8</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2"/>
              <w:rPr>
                <w:rFonts w:hint="eastAsia"/>
                <w:b/>
                <w:bCs/>
                <w:color w:val="auto"/>
                <w:highlight w:val="none"/>
              </w:rPr>
            </w:pPr>
            <w:r>
              <w:rPr>
                <w:rFonts w:hint="eastAsia" w:cs="Times New Roman"/>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w:t>
            </w:r>
            <w:r>
              <w:rPr>
                <w:rFonts w:hint="eastAsia" w:cs="Times New Roman"/>
                <w:color w:val="auto"/>
                <w:highlight w:val="none"/>
                <w:lang w:eastAsia="zh-CN"/>
              </w:rPr>
              <w:t>表1中A级</w:t>
            </w:r>
            <w:r>
              <w:rPr>
                <w:rFonts w:hint="eastAsia" w:cs="Times New Roman"/>
                <w:color w:val="auto"/>
                <w:highlight w:val="none"/>
              </w:rPr>
              <w:t>标准。</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vAlign w:val="top"/>
                </w:tcPr>
                <w:p>
                  <w:pPr>
                    <w:ind w:firstLine="0" w:firstLineChars="0"/>
                    <w:jc w:val="center"/>
                    <w:rPr>
                      <w:rFonts w:hint="eastAsia"/>
                      <w:b/>
                      <w:bCs/>
                      <w:color w:val="auto"/>
                      <w:highlight w:val="none"/>
                      <w:vertAlign w:val="baseli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"http://117.73.252.128:9025/company/20220110/569d8cd2-a02f-4b3d-abbc-5cd4aae07856/1641782466654_1641782473016.jpg"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4" o:spt="75" alt="IMG_256" type="#_x0000_t75" style="height:308.45pt;width:219.2pt;" filled="f" o:preferrelative="t" stroked="f" coordsize="21600,21600">
                        <v:path/>
                        <v:fill on="f" focussize="0,0"/>
                        <v:stroke on="f"/>
                        <v:imagedata r:id="rId16"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939" w:type="dxa"/>
                  <w:vAlign w:val="top"/>
                </w:tcPr>
                <w:p>
                  <w:pPr>
                    <w:ind w:firstLine="0" w:firstLineChars="0"/>
                    <w:jc w:val="center"/>
                    <w:rPr>
                      <w:rFonts w:hint="eastAsia"/>
                      <w:b/>
                      <w:bCs/>
                      <w:color w:val="auto"/>
                      <w:highlight w:val="none"/>
                      <w:vertAlign w:val="baseli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2</w:t>
                  </w:r>
                  <w:r>
                    <w:rPr>
                      <w:rFonts w:cs="Times New Roman"/>
                      <w:b/>
                      <w:bCs/>
                      <w:color w:val="auto"/>
                      <w:sz w:val="21"/>
                      <w:szCs w:val="21"/>
                      <w:highlight w:val="none"/>
                    </w:rPr>
                    <w:t xml:space="preserve">  废水监测</w:t>
                  </w:r>
                </w:p>
              </w:tc>
            </w:tr>
          </w:tbl>
          <w:p>
            <w:pPr>
              <w:ind w:firstLine="482"/>
              <w:rPr>
                <w:b/>
                <w:bCs/>
                <w:color w:val="auto"/>
                <w:highlight w:val="none"/>
              </w:rPr>
            </w:pPr>
            <w:r>
              <w:rPr>
                <w:rFonts w:hint="eastAsia"/>
                <w:b/>
                <w:bCs/>
                <w:color w:val="auto"/>
                <w:highlight w:val="none"/>
              </w:rPr>
              <w:t>3、噪声</w:t>
            </w:r>
          </w:p>
          <w:p>
            <w:pPr>
              <w:pStyle w:val="33"/>
              <w:rPr>
                <w:color w:val="auto"/>
                <w:highlight w:val="none"/>
              </w:rPr>
            </w:pPr>
            <w:r>
              <w:rPr>
                <w:rFonts w:hint="eastAsia" w:cs="Times New Roman"/>
                <w:color w:val="auto"/>
                <w:szCs w:val="24"/>
                <w:highlight w:val="none"/>
              </w:rPr>
              <w:t>本项目噪声源主要来自实验室设备运行产生的噪声。项目采取实验设备均布置于室内，采取门窗、墙体隔声，全部设备均选用低噪声设备并采取减振措施。加强管理，经常保养和维护机械设备避免设备在不良状态下运行等措施。</w:t>
            </w:r>
            <w:r>
              <w:rPr>
                <w:color w:val="auto"/>
                <w:highlight w:val="none"/>
              </w:rPr>
              <w:t>监测结果见下表：</w:t>
            </w:r>
          </w:p>
          <w:p>
            <w:pPr>
              <w:spacing w:line="240" w:lineRule="atLeast"/>
              <w:ind w:firstLine="482"/>
              <w:jc w:val="center"/>
              <w:rPr>
                <w:b/>
                <w:bCs/>
                <w:color w:val="auto"/>
                <w:highlight w:val="none"/>
              </w:rPr>
            </w:pPr>
            <w:r>
              <w:rPr>
                <w:b/>
                <w:bCs/>
                <w:color w:val="auto"/>
                <w:highlight w:val="none"/>
              </w:rPr>
              <w:t>表7-</w:t>
            </w:r>
            <w:r>
              <w:rPr>
                <w:rFonts w:hint="eastAsia"/>
                <w:b/>
                <w:bCs/>
                <w:color w:val="auto"/>
                <w:highlight w:val="none"/>
                <w:lang w:val="en-US" w:eastAsia="zh-CN"/>
              </w:rPr>
              <w:t>9</w:t>
            </w:r>
            <w:r>
              <w:rPr>
                <w:rFonts w:hint="eastAsia"/>
                <w:b/>
                <w:bCs/>
                <w:color w:val="auto"/>
                <w:highlight w:val="none"/>
              </w:rPr>
              <w:t xml:space="preserve"> </w:t>
            </w:r>
            <w:r>
              <w:rPr>
                <w:b/>
                <w:bCs/>
                <w:color w:val="auto"/>
                <w:highlight w:val="none"/>
              </w:rPr>
              <w:t xml:space="preserve"> 项目噪声监测结果表   单位：dB（A）</w:t>
            </w:r>
          </w:p>
          <w:tbl>
            <w:tblPr>
              <w:tblStyle w:val="27"/>
              <w:tblW w:w="5003" w:type="pct"/>
              <w:jc w:val="center"/>
              <w:tblLayout w:type="autofit"/>
              <w:tblCellMar>
                <w:top w:w="0" w:type="dxa"/>
                <w:left w:w="108" w:type="dxa"/>
                <w:bottom w:w="0" w:type="dxa"/>
                <w:right w:w="108" w:type="dxa"/>
              </w:tblCellMar>
            </w:tblPr>
            <w:tblGrid>
              <w:gridCol w:w="1424"/>
              <w:gridCol w:w="1003"/>
              <w:gridCol w:w="1123"/>
              <w:gridCol w:w="1184"/>
              <w:gridCol w:w="1184"/>
              <w:gridCol w:w="1184"/>
              <w:gridCol w:w="1185"/>
              <w:gridCol w:w="667"/>
            </w:tblGrid>
            <w:tr>
              <w:tblPrEx>
                <w:tblCellMar>
                  <w:top w:w="0" w:type="dxa"/>
                  <w:left w:w="108" w:type="dxa"/>
                  <w:bottom w:w="0" w:type="dxa"/>
                  <w:right w:w="108" w:type="dxa"/>
                </w:tblCellMar>
              </w:tblPrEx>
              <w:trPr>
                <w:trHeight w:val="397" w:hRule="atLeast"/>
                <w:jc w:val="center"/>
              </w:trPr>
              <w:tc>
                <w:tcPr>
                  <w:tcW w:w="795"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kern w:val="2"/>
                      <w:sz w:val="21"/>
                      <w:szCs w:val="21"/>
                    </w:rPr>
                    <w:t>采样时间</w:t>
                  </w:r>
                </w:p>
              </w:tc>
              <w:tc>
                <w:tcPr>
                  <w:tcW w:w="560"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测量</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kern w:val="2"/>
                      <w:sz w:val="21"/>
                      <w:szCs w:val="21"/>
                    </w:rPr>
                  </w:pPr>
                  <w:r>
                    <w:rPr>
                      <w:rFonts w:ascii="Times New Roman" w:hAnsi="Times New Roman" w:eastAsia="宋体" w:cs="Times New Roman"/>
                      <w:b/>
                      <w:bCs/>
                      <w:spacing w:val="10"/>
                      <w:sz w:val="21"/>
                      <w:szCs w:val="21"/>
                    </w:rPr>
                    <w:t>时段</w:t>
                  </w:r>
                </w:p>
              </w:tc>
              <w:tc>
                <w:tcPr>
                  <w:tcW w:w="627" w:type="pct"/>
                  <w:vMerge w:val="restar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w:t>
                  </w:r>
                </w:p>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eastAsia="zh-CN"/>
                    </w:rPr>
                  </w:pPr>
                  <w:r>
                    <w:rPr>
                      <w:rFonts w:ascii="Times New Roman" w:hAnsi="Times New Roman" w:eastAsia="宋体" w:cs="Times New Roman"/>
                      <w:b/>
                      <w:bCs/>
                      <w:spacing w:val="10"/>
                      <w:sz w:val="21"/>
                      <w:szCs w:val="21"/>
                    </w:rPr>
                    <w:t>项目</w:t>
                  </w:r>
                </w:p>
              </w:tc>
              <w:tc>
                <w:tcPr>
                  <w:tcW w:w="3016" w:type="pct"/>
                  <w:gridSpan w:val="5"/>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r>
                    <w:rPr>
                      <w:rFonts w:ascii="Times New Roman" w:hAnsi="Times New Roman" w:eastAsia="宋体" w:cs="Times New Roman"/>
                      <w:b/>
                      <w:bCs/>
                      <w:spacing w:val="10"/>
                      <w:sz w:val="21"/>
                      <w:szCs w:val="21"/>
                    </w:rPr>
                    <w:t>检测结果dB(A)</w:t>
                  </w:r>
                </w:p>
              </w:tc>
            </w:tr>
            <w:tr>
              <w:tblPrEx>
                <w:tblCellMar>
                  <w:top w:w="0" w:type="dxa"/>
                  <w:left w:w="108" w:type="dxa"/>
                  <w:bottom w:w="0" w:type="dxa"/>
                  <w:right w:w="108" w:type="dxa"/>
                </w:tblCellMar>
              </w:tblPrEx>
              <w:trPr>
                <w:trHeight w:val="397" w:hRule="atLeast"/>
                <w:jc w:val="center"/>
              </w:trPr>
              <w:tc>
                <w:tcPr>
                  <w:tcW w:w="795"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kern w:val="2"/>
                      <w:sz w:val="21"/>
                      <w:szCs w:val="21"/>
                    </w:rPr>
                  </w:pPr>
                </w:p>
              </w:tc>
              <w:tc>
                <w:tcPr>
                  <w:tcW w:w="560"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627" w:type="pct"/>
                  <w:vMerge w:val="continue"/>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Chars="0"/>
                    <w:jc w:val="center"/>
                    <w:rPr>
                      <w:rFonts w:ascii="Times New Roman" w:hAnsi="Times New Roman" w:eastAsia="宋体" w:cs="Times New Roman"/>
                      <w:b/>
                      <w:bCs/>
                      <w:spacing w:val="10"/>
                      <w:sz w:val="21"/>
                      <w:szCs w:val="21"/>
                    </w:rPr>
                  </w:pP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1</w:t>
                  </w:r>
                  <w:r>
                    <w:rPr>
                      <w:rFonts w:ascii="Times New Roman" w:hAnsi="Times New Roman" w:eastAsia="宋体" w:cs="Times New Roman"/>
                      <w:b/>
                      <w:bCs/>
                      <w:spacing w:val="10"/>
                      <w:sz w:val="21"/>
                      <w:szCs w:val="21"/>
                    </w:rPr>
                    <w:t>#</w:t>
                  </w: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2#</w:t>
                  </w:r>
                </w:p>
              </w:tc>
              <w:tc>
                <w:tcPr>
                  <w:tcW w:w="661"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ascii="Times New Roman" w:hAnsi="Times New Roman" w:eastAsia="宋体" w:cs="Times New Roman"/>
                      <w:b/>
                      <w:bCs/>
                      <w:spacing w:val="10"/>
                      <w:sz w:val="21"/>
                      <w:szCs w:val="21"/>
                      <w:lang w:val="en-US" w:eastAsia="zh-CN"/>
                    </w:rPr>
                    <w:t>3#</w:t>
                  </w:r>
                </w:p>
              </w:tc>
              <w:tc>
                <w:tcPr>
                  <w:tcW w:w="661"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4#</w:t>
                  </w:r>
                </w:p>
              </w:tc>
              <w:tc>
                <w:tcPr>
                  <w:tcW w:w="368"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bCs/>
                      <w:spacing w:val="10"/>
                      <w:sz w:val="21"/>
                      <w:szCs w:val="21"/>
                      <w:lang w:val="en-US" w:eastAsia="zh-CN"/>
                    </w:rPr>
                  </w:pPr>
                  <w:r>
                    <w:rPr>
                      <w:rFonts w:hint="default" w:ascii="Times New Roman" w:hAnsi="Times New Roman" w:eastAsia="宋体" w:cs="Times New Roman"/>
                      <w:b/>
                      <w:bCs/>
                      <w:spacing w:val="10"/>
                      <w:sz w:val="21"/>
                      <w:szCs w:val="21"/>
                      <w:lang w:val="en-US" w:eastAsia="zh-CN"/>
                    </w:rPr>
                    <w:t>5#</w:t>
                  </w:r>
                </w:p>
              </w:tc>
            </w:tr>
            <w:tr>
              <w:tblPrEx>
                <w:tblCellMar>
                  <w:top w:w="0" w:type="dxa"/>
                  <w:left w:w="108" w:type="dxa"/>
                  <w:bottom w:w="0" w:type="dxa"/>
                  <w:right w:w="108" w:type="dxa"/>
                </w:tblCellMar>
              </w:tblPrEx>
              <w:trPr>
                <w:trHeight w:val="397" w:hRule="atLeast"/>
                <w:jc w:val="center"/>
              </w:trPr>
              <w:tc>
                <w:tcPr>
                  <w:tcW w:w="795" w:type="pc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ascii="Times New Roman" w:hAnsi="Times New Roman" w:eastAsia="宋体" w:cs="Times New Roman"/>
                      <w:bCs w:val="0"/>
                      <w:spacing w:val="10"/>
                      <w:sz w:val="21"/>
                      <w:szCs w:val="21"/>
                      <w:lang w:val="en-US" w:eastAsia="zh-CN"/>
                    </w:rPr>
                    <w:t>202</w:t>
                  </w:r>
                  <w:r>
                    <w:rPr>
                      <w:rFonts w:hint="default" w:ascii="Times New Roman" w:hAnsi="Times New Roman" w:eastAsia="宋体" w:cs="Times New Roman"/>
                      <w:bCs w:val="0"/>
                      <w:spacing w:val="10"/>
                      <w:sz w:val="21"/>
                      <w:szCs w:val="21"/>
                      <w:lang w:val="en-US" w:eastAsia="zh-CN"/>
                    </w:rPr>
                    <w:t>2</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03</w:t>
                  </w:r>
                  <w:r>
                    <w:rPr>
                      <w:rFonts w:ascii="Times New Roman" w:hAnsi="Times New Roman" w:eastAsia="宋体" w:cs="Times New Roman"/>
                      <w:bCs w:val="0"/>
                      <w:spacing w:val="10"/>
                      <w:sz w:val="21"/>
                      <w:szCs w:val="21"/>
                      <w:lang w:val="en-US" w:eastAsia="zh-CN"/>
                    </w:rPr>
                    <w:t>.</w:t>
                  </w:r>
                  <w:r>
                    <w:rPr>
                      <w:rFonts w:hint="default" w:ascii="Times New Roman" w:hAnsi="Times New Roman" w:eastAsia="宋体" w:cs="Times New Roman"/>
                      <w:bCs w:val="0"/>
                      <w:spacing w:val="10"/>
                      <w:sz w:val="21"/>
                      <w:szCs w:val="21"/>
                      <w:lang w:val="en-US" w:eastAsia="zh-CN"/>
                    </w:rPr>
                    <w:t>30</w:t>
                  </w:r>
                </w:p>
              </w:tc>
              <w:tc>
                <w:tcPr>
                  <w:tcW w:w="560"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627" w:type="pct"/>
                  <w:vMerge w:val="restart"/>
                  <w:tcBorders>
                    <w:top w:val="single" w:color="000000" w:sz="4" w:space="0"/>
                    <w:left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噪声</w:t>
                  </w: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56.1</w:t>
                  </w: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56.8</w:t>
                  </w:r>
                </w:p>
              </w:tc>
              <w:tc>
                <w:tcPr>
                  <w:tcW w:w="661"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57.0</w:t>
                  </w:r>
                </w:p>
              </w:tc>
              <w:tc>
                <w:tcPr>
                  <w:tcW w:w="661"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57.1</w:t>
                  </w:r>
                </w:p>
              </w:tc>
              <w:tc>
                <w:tcPr>
                  <w:tcW w:w="368"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57.2</w:t>
                  </w:r>
                </w:p>
              </w:tc>
            </w:tr>
            <w:tr>
              <w:tblPrEx>
                <w:tblCellMar>
                  <w:top w:w="0" w:type="dxa"/>
                  <w:left w:w="108" w:type="dxa"/>
                  <w:bottom w:w="0" w:type="dxa"/>
                  <w:right w:w="108" w:type="dxa"/>
                </w:tblCellMar>
              </w:tblPrEx>
              <w:trPr>
                <w:trHeight w:val="397" w:hRule="atLeast"/>
                <w:jc w:val="center"/>
              </w:trPr>
              <w:tc>
                <w:tcPr>
                  <w:tcW w:w="795"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bCs w:val="0"/>
                      <w:spacing w:val="10"/>
                      <w:sz w:val="21"/>
                      <w:szCs w:val="21"/>
                      <w:lang w:val="en-US" w:eastAsia="zh-CN"/>
                    </w:rPr>
                    <w:t>2022.03.31</w:t>
                  </w:r>
                </w:p>
              </w:tc>
              <w:tc>
                <w:tcPr>
                  <w:tcW w:w="560" w:type="pct"/>
                  <w:tcBorders>
                    <w:top w:val="single" w:color="000000" w:sz="4" w:space="0"/>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r>
                    <w:rPr>
                      <w:rFonts w:ascii="Times New Roman" w:hAnsi="Times New Roman" w:eastAsia="宋体" w:cs="Times New Roman"/>
                      <w:spacing w:val="10"/>
                      <w:sz w:val="21"/>
                      <w:szCs w:val="21"/>
                      <w:lang w:eastAsia="zh-CN"/>
                    </w:rPr>
                    <w:t>昼间</w:t>
                  </w:r>
                </w:p>
              </w:tc>
              <w:tc>
                <w:tcPr>
                  <w:tcW w:w="627" w:type="pct"/>
                  <w:vMerge w:val="continue"/>
                  <w:tcBorders>
                    <w:left w:val="single" w:color="000000" w:sz="4" w:space="0"/>
                    <w:bottom w:val="single" w:color="auto" w:sz="4" w:space="0"/>
                    <w:right w:val="single" w:color="000000" w:sz="4" w:space="0"/>
                  </w:tcBorders>
                  <w:vAlign w:val="center"/>
                </w:tcPr>
                <w:p>
                  <w:pPr>
                    <w:widowControl/>
                    <w:autoSpaceDE w:val="0"/>
                    <w:autoSpaceDN w:val="0"/>
                    <w:adjustRightInd w:val="0"/>
                    <w:spacing w:line="240" w:lineRule="auto"/>
                    <w:ind w:firstLine="0" w:firstLineChars="0"/>
                    <w:jc w:val="center"/>
                    <w:rPr>
                      <w:rFonts w:ascii="Times New Roman" w:hAnsi="Times New Roman" w:eastAsia="宋体" w:cs="Times New Roman"/>
                      <w:spacing w:val="10"/>
                      <w:sz w:val="21"/>
                      <w:szCs w:val="21"/>
                      <w:lang w:eastAsia="zh-CN"/>
                    </w:rPr>
                  </w:pP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57.4</w:t>
                  </w:r>
                </w:p>
              </w:tc>
              <w:tc>
                <w:tcPr>
                  <w:tcW w:w="661" w:type="pct"/>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57.2</w:t>
                  </w:r>
                </w:p>
              </w:tc>
              <w:tc>
                <w:tcPr>
                  <w:tcW w:w="661" w:type="pct"/>
                  <w:tcBorders>
                    <w:top w:val="single" w:color="000000" w:sz="4" w:space="0"/>
                    <w:left w:val="single" w:color="000000"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56.8</w:t>
                  </w:r>
                </w:p>
              </w:tc>
              <w:tc>
                <w:tcPr>
                  <w:tcW w:w="661" w:type="pct"/>
                  <w:tcBorders>
                    <w:top w:val="single" w:color="000000" w:sz="4" w:space="0"/>
                    <w:left w:val="single" w:color="auto" w:sz="4" w:space="0"/>
                    <w:bottom w:val="single" w:color="000000" w:sz="4" w:space="0"/>
                    <w:right w:val="single" w:color="auto"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57.8</w:t>
                  </w:r>
                </w:p>
              </w:tc>
              <w:tc>
                <w:tcPr>
                  <w:tcW w:w="368" w:type="pct"/>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sz w:val="21"/>
                      <w:szCs w:val="21"/>
                      <w:lang w:val="en-US" w:eastAsia="zh-CN"/>
                    </w:rPr>
                  </w:pPr>
                  <w:r>
                    <w:rPr>
                      <w:rFonts w:hint="default" w:ascii="Times New Roman" w:hAnsi="Times New Roman" w:eastAsia="宋体" w:cs="Times New Roman"/>
                      <w:spacing w:val="10"/>
                      <w:sz w:val="21"/>
                      <w:szCs w:val="21"/>
                      <w:lang w:val="en-US" w:eastAsia="zh-CN"/>
                    </w:rPr>
                    <w:t>57.0</w:t>
                  </w:r>
                </w:p>
              </w:tc>
            </w:tr>
          </w:tbl>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表7-</w:t>
            </w:r>
            <w:r>
              <w:rPr>
                <w:rFonts w:hint="eastAsia" w:ascii="Times New Roman" w:hAnsi="Times New Roman"/>
                <w:b/>
                <w:bCs/>
                <w:color w:val="auto"/>
                <w:sz w:val="24"/>
                <w:highlight w:val="none"/>
                <w:lang w:val="en-US" w:eastAsia="zh-CN"/>
              </w:rPr>
              <w:t>10</w:t>
            </w:r>
            <w:r>
              <w:rPr>
                <w:rFonts w:hint="eastAsia" w:ascii="Times New Roman" w:hAnsi="Times New Roman"/>
                <w:b/>
                <w:bCs/>
                <w:color w:val="auto"/>
                <w:sz w:val="24"/>
                <w:highlight w:val="none"/>
              </w:rPr>
              <w:t xml:space="preserve">  噪声判定结果表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8"/>
              <w:gridCol w:w="1117"/>
              <w:gridCol w:w="1115"/>
              <w:gridCol w:w="1115"/>
              <w:gridCol w:w="1115"/>
              <w:gridCol w:w="1115"/>
              <w:gridCol w:w="1135"/>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restart"/>
                  <w:vAlign w:val="center"/>
                </w:tcPr>
                <w:p>
                  <w:pPr>
                    <w:snapToGrid/>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测量</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时段</w:t>
                  </w:r>
                </w:p>
              </w:tc>
              <w:tc>
                <w:tcPr>
                  <w:tcW w:w="550" w:type="pct"/>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检测</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项目</w:t>
                  </w:r>
                </w:p>
              </w:tc>
              <w:tc>
                <w:tcPr>
                  <w:tcW w:w="2755" w:type="pct"/>
                  <w:gridSpan w:val="5"/>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549" w:type="pct"/>
                  <w:vMerge w:val="restar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2类标准值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50"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4#</w:t>
                  </w:r>
                  <w:r>
                    <w:rPr>
                      <w:rFonts w:hint="eastAsia" w:ascii="Times New Roman" w:hAnsi="Times New Roman" w:cs="Times New Roman"/>
                      <w:b/>
                      <w:bCs/>
                      <w:color w:val="auto"/>
                      <w:sz w:val="21"/>
                      <w:szCs w:val="21"/>
                      <w:lang w:eastAsia="zh-CN"/>
                    </w:rPr>
                    <w:t>北偏西厂界</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5#</w:t>
                  </w:r>
                  <w:r>
                    <w:rPr>
                      <w:rFonts w:hint="eastAsia" w:ascii="Times New Roman" w:hAnsi="Times New Roman" w:cs="Times New Roman"/>
                      <w:b/>
                      <w:bCs/>
                      <w:color w:val="auto"/>
                      <w:sz w:val="21"/>
                      <w:szCs w:val="21"/>
                      <w:lang w:eastAsia="zh-CN"/>
                    </w:rPr>
                    <w:t>北偏东厂界</w:t>
                  </w:r>
                </w:p>
              </w:tc>
              <w:tc>
                <w:tcPr>
                  <w:tcW w:w="549"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昼间</w:t>
                  </w:r>
                </w:p>
              </w:tc>
              <w:tc>
                <w:tcPr>
                  <w:tcW w:w="550"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噪声</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57.4</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57.0</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57.8</w:t>
                  </w:r>
                </w:p>
              </w:tc>
              <w:tc>
                <w:tcPr>
                  <w:tcW w:w="558"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096" w:type="pct"/>
                  <w:gridSpan w:val="2"/>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备注</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w:t>
                  </w:r>
                </w:p>
              </w:tc>
            </w:tr>
          </w:tbl>
          <w:p>
            <w:pPr>
              <w:pStyle w:val="2"/>
              <w:ind w:firstLine="482"/>
              <w:jc w:val="left"/>
              <w:rPr>
                <w:rFonts w:hint="default" w:ascii="Times New Roman" w:hAnsi="Times New Roman" w:cs="Times New Roman"/>
                <w:color w:val="000000"/>
                <w:sz w:val="24"/>
              </w:rPr>
            </w:pPr>
            <w:r>
              <w:rPr>
                <w:rFonts w:hint="default" w:ascii="Times New Roman" w:hAnsi="Times New Roman" w:cs="Times New Roman"/>
                <w:color w:val="000000"/>
                <w:sz w:val="24"/>
              </w:rPr>
              <w:t>验收监测期间，项目1#东厂界、2#南厂界、3#西厂界、4#北偏西厂界、5#北偏东厂界，昼间厂界噪声最大值分别为57.4dB（A）、57.2dB（A）、57.0dB（A）、57.8dB（A）、57.2dB（A），均满足《工业企业厂界环境噪声排放标准》(GB12348-2008)2类昼间标准。项目夜间不运行。</w:t>
            </w:r>
          </w:p>
          <w:p>
            <w:pPr>
              <w:pStyle w:val="22"/>
              <w:rPr>
                <w:rFonts w:hint="default" w:ascii="Times New Roman" w:hAnsi="Times New Roman" w:cs="Times New Roman"/>
                <w:color w:val="000000"/>
                <w:sz w:val="24"/>
              </w:rPr>
            </w:pPr>
          </w:p>
          <w:p>
            <w:pPr>
              <w:pStyle w:val="24"/>
              <w:rPr>
                <w:rFonts w:hint="default" w:ascii="Times New Roman" w:hAnsi="Times New Roman" w:cs="Times New Roman"/>
                <w:color w:val="000000"/>
                <w:sz w:val="24"/>
              </w:rPr>
            </w:pPr>
          </w:p>
          <w:p>
            <w:pPr>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hint="default" w:ascii="Times New Roman" w:hAnsi="Times New Roman" w:cs="Times New Roman"/>
                <w:color w:val="000000"/>
                <w:sz w:val="24"/>
              </w:rPr>
            </w:pPr>
          </w:p>
          <w:p>
            <w:pPr>
              <w:pStyle w:val="33"/>
              <w:rPr>
                <w:rFonts w:ascii="Times New Roman" w:hAnsi="Times New Roman" w:cs="Times New Roman"/>
                <w:b w:val="0"/>
                <w:bCs w:val="0"/>
                <w:color w:val="000000"/>
                <w:sz w:val="24"/>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ind w:firstLine="0" w:firstLineChars="0"/>
                    <w:jc w:val="center"/>
                    <w:rPr>
                      <w:rFonts w:ascii="Times New Roman" w:hAnsi="Times New Roman"/>
                      <w:b/>
                      <w:bCs/>
                      <w:color w:val="auto"/>
                      <w:sz w:val="24"/>
                      <w:highlight w:val="none"/>
                      <w:vertAlign w:val="baseline"/>
                    </w:rPr>
                  </w:pPr>
                  <w:r>
                    <w:rPr>
                      <w:rFonts w:ascii="宋体" w:hAnsi="宋体" w:eastAsia="宋体" w:cs="宋体"/>
                      <w:sz w:val="24"/>
                      <w:szCs w:val="24"/>
                    </w:rPr>
                    <w:fldChar w:fldCharType="begin"/>
                  </w:r>
                  <w:r>
                    <w:rPr>
                      <w:rFonts w:ascii="宋体" w:hAnsi="宋体" w:eastAsia="宋体" w:cs="宋体"/>
                      <w:sz w:val="24"/>
                      <w:szCs w:val="24"/>
                    </w:rPr>
                    <w:instrText xml:space="preserve">INCLUDEPICTURE \d "http://117.73.252.128:9025/company/20220331/a7dd201c-6e43-4abc-85af-bca1bc9f5d28/1648708897842_1648708900682.jpg" \* MERGEFORMATINET </w:instrText>
                  </w:r>
                  <w:r>
                    <w:rPr>
                      <w:rFonts w:ascii="宋体" w:hAnsi="宋体" w:eastAsia="宋体" w:cs="宋体"/>
                      <w:sz w:val="24"/>
                      <w:szCs w:val="24"/>
                    </w:rPr>
                    <w:fldChar w:fldCharType="separate"/>
                  </w:r>
                  <w:r>
                    <w:rPr>
                      <w:rFonts w:ascii="宋体" w:hAnsi="宋体" w:eastAsia="宋体" w:cs="宋体"/>
                      <w:sz w:val="24"/>
                      <w:szCs w:val="24"/>
                    </w:rPr>
                    <w:pict>
                      <v:shape id="_x0000_i1035" o:spt="75" alt="IMG_256" type="#_x0000_t75" style="height:333.65pt;width:229.75pt;" filled="f" o:preferrelative="t" stroked="f" coordsize="21600,21600">
                        <v:path/>
                        <v:fill on="f" focussize="0,0"/>
                        <v:stroke on="f"/>
                        <v:imagedata r:id="rId17" o:title="IMG_256"/>
                        <o:lock v:ext="edit" aspectratio="t"/>
                        <w10:wrap type="none"/>
                        <w10:anchorlock/>
                      </v:shape>
                    </w:pict>
                  </w:r>
                  <w:r>
                    <w:rPr>
                      <w:rFonts w:ascii="宋体" w:hAnsi="宋体" w:eastAsia="宋体" w:cs="宋体"/>
                      <w:sz w:val="24"/>
                      <w:szCs w:val="24"/>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9" w:type="dxa"/>
                </w:tcPr>
                <w:p>
                  <w:pPr>
                    <w:pStyle w:val="2"/>
                    <w:ind w:firstLine="0" w:firstLineChars="0"/>
                    <w:jc w:val="center"/>
                    <w:rPr>
                      <w:rFonts w:ascii="Times New Roman" w:hAnsi="Times New Roman"/>
                      <w:b/>
                      <w:bCs/>
                      <w:color w:val="auto"/>
                      <w:sz w:val="24"/>
                      <w:highlight w:val="none"/>
                      <w:vertAlign w:val="baseline"/>
                    </w:rPr>
                  </w:pPr>
                  <w:r>
                    <w:rPr>
                      <w:rFonts w:hint="eastAsia" w:ascii="Times New Roman" w:hAnsi="Times New Roman"/>
                      <w:b/>
                      <w:bCs/>
                      <w:color w:val="auto"/>
                      <w:sz w:val="24"/>
                      <w:highlight w:val="none"/>
                      <w:vertAlign w:val="baseline"/>
                    </w:rPr>
                    <w:t>图7-3  噪声监测</w:t>
                  </w:r>
                </w:p>
              </w:tc>
            </w:tr>
          </w:tbl>
          <w:p>
            <w:pPr>
              <w:pStyle w:val="2"/>
              <w:ind w:firstLine="482"/>
              <w:jc w:val="left"/>
              <w:rPr>
                <w:rFonts w:ascii="Times New Roman" w:hAnsi="Times New Roman"/>
                <w:b/>
                <w:bCs/>
                <w:color w:val="auto"/>
                <w:sz w:val="24"/>
                <w:highlight w:val="none"/>
              </w:rPr>
            </w:pPr>
            <w:r>
              <w:rPr>
                <w:rFonts w:ascii="Times New Roman" w:hAnsi="Times New Roman"/>
                <w:b/>
                <w:bCs/>
                <w:color w:val="auto"/>
                <w:sz w:val="24"/>
                <w:highlight w:val="none"/>
              </w:rPr>
              <w:t>4、固废检查情况</w:t>
            </w:r>
          </w:p>
          <w:p>
            <w:pPr>
              <w:pStyle w:val="33"/>
              <w:keepNext w:val="0"/>
              <w:keepLines w:val="0"/>
              <w:pageBreakBefore w:val="0"/>
              <w:widowControl/>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生产过程中产生的固体废物包括危险废物和一般固废。危险废物主要包括：实验废物、合成实验废液、初洗废液和二次清洗废液、质检废液、过期试剂、废活性炭、废催化剂、废干燥剂、废吸附剂；一般固废主要包括：废包装物、一次性口罩手套</w:t>
            </w:r>
            <w:r>
              <w:rPr>
                <w:rFonts w:hint="eastAsia" w:ascii="Times New Roman" w:hAnsi="Times New Roman" w:cs="Times New Roman"/>
                <w:color w:val="000000"/>
                <w:sz w:val="24"/>
                <w:szCs w:val="24"/>
                <w:lang w:val="en-US" w:eastAsia="zh-CN"/>
              </w:rPr>
              <w:t>（未沾染化学药品）</w:t>
            </w:r>
            <w:r>
              <w:rPr>
                <w:rFonts w:hint="default" w:ascii="Times New Roman" w:hAnsi="Times New Roman" w:cs="Times New Roman"/>
                <w:color w:val="000000"/>
                <w:sz w:val="24"/>
                <w:szCs w:val="24"/>
                <w:lang w:val="en-US" w:eastAsia="zh-CN"/>
              </w:rPr>
              <w:t>和生活垃圾。</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eastAsia" w:cs="Times New Roman"/>
                <w:color w:val="000000"/>
                <w:sz w:val="24"/>
                <w:szCs w:val="24"/>
                <w:lang w:val="en-US" w:eastAsia="zh-CN"/>
              </w:rPr>
            </w:pPr>
            <w:r>
              <w:rPr>
                <w:rFonts w:hint="eastAsia" w:cs="Times New Roman"/>
                <w:color w:val="000000"/>
                <w:sz w:val="24"/>
                <w:szCs w:val="24"/>
                <w:lang w:val="en-US" w:eastAsia="zh-CN"/>
              </w:rPr>
              <w:t>生活垃圾：</w:t>
            </w:r>
            <w:r>
              <w:rPr>
                <w:rFonts w:hint="eastAsia"/>
                <w:szCs w:val="24"/>
                <w:lang w:eastAsia="zh-CN"/>
              </w:rPr>
              <w:t>调试期间实际产生量为</w:t>
            </w:r>
            <w:r>
              <w:rPr>
                <w:rFonts w:hint="eastAsia"/>
                <w:szCs w:val="24"/>
                <w:lang w:val="en-US" w:eastAsia="zh-CN"/>
              </w:rPr>
              <w:t>2.5t/月</w:t>
            </w:r>
            <w:r>
              <w:rPr>
                <w:rFonts w:hint="eastAsia"/>
                <w:szCs w:val="24"/>
              </w:rPr>
              <w:t>，</w:t>
            </w:r>
            <w:r>
              <w:rPr>
                <w:rFonts w:hint="eastAsia"/>
                <w:szCs w:val="24"/>
                <w:lang w:eastAsia="zh-CN"/>
              </w:rPr>
              <w:t>折合年产生量约为</w:t>
            </w:r>
            <w:r>
              <w:rPr>
                <w:rFonts w:hint="eastAsia"/>
                <w:szCs w:val="24"/>
                <w:lang w:val="en-US" w:eastAsia="zh-CN"/>
              </w:rPr>
              <w:t>30t/a</w:t>
            </w:r>
            <w:r>
              <w:rPr>
                <w:rFonts w:hint="eastAsia"/>
                <w:szCs w:val="24"/>
                <w:highlight w:val="none"/>
                <w:lang w:val="en-US" w:eastAsia="zh-CN"/>
              </w:rPr>
              <w:t>，</w:t>
            </w:r>
            <w:r>
              <w:rPr>
                <w:rFonts w:hint="eastAsia" w:cs="Times New Roman"/>
                <w:color w:val="000000"/>
                <w:sz w:val="24"/>
                <w:szCs w:val="24"/>
                <w:lang w:val="en-US" w:eastAsia="zh-CN"/>
              </w:rPr>
              <w:t>统一收集后由环卫部门定期清运。</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eastAsia" w:cs="Times New Roman"/>
                <w:color w:val="000000"/>
                <w:sz w:val="24"/>
                <w:szCs w:val="24"/>
                <w:lang w:val="en-US" w:eastAsia="zh-CN"/>
              </w:rPr>
              <w:t>废包装物：</w:t>
            </w:r>
            <w:r>
              <w:rPr>
                <w:rFonts w:hint="eastAsia"/>
                <w:szCs w:val="24"/>
                <w:lang w:eastAsia="zh-CN"/>
              </w:rPr>
              <w:t>调试期间实际产生量为</w:t>
            </w:r>
            <w:r>
              <w:rPr>
                <w:rFonts w:hint="eastAsia"/>
                <w:szCs w:val="24"/>
                <w:lang w:val="en-US" w:eastAsia="zh-CN"/>
              </w:rPr>
              <w:t>0.08t/月</w:t>
            </w:r>
            <w:r>
              <w:rPr>
                <w:rFonts w:hint="eastAsia"/>
                <w:szCs w:val="24"/>
              </w:rPr>
              <w:t>，</w:t>
            </w:r>
            <w:r>
              <w:rPr>
                <w:rFonts w:hint="eastAsia"/>
                <w:szCs w:val="24"/>
                <w:lang w:eastAsia="zh-CN"/>
              </w:rPr>
              <w:t>折合年产生量约为</w:t>
            </w:r>
            <w:r>
              <w:rPr>
                <w:rFonts w:hint="eastAsia"/>
                <w:szCs w:val="24"/>
                <w:lang w:val="en-US" w:eastAsia="zh-CN"/>
              </w:rPr>
              <w:t>0.96t/a</w:t>
            </w:r>
            <w:r>
              <w:rPr>
                <w:rFonts w:hint="eastAsia" w:cs="Times New Roman"/>
                <w:color w:val="000000"/>
                <w:sz w:val="24"/>
                <w:szCs w:val="24"/>
                <w:lang w:val="en-US" w:eastAsia="zh-CN"/>
              </w:rPr>
              <w:t>，统一收集外售物资回收单位。</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一次性口罩、手套</w:t>
            </w:r>
            <w:r>
              <w:rPr>
                <w:rFonts w:hint="eastAsia" w:ascii="Times New Roman" w:hAnsi="Times New Roman" w:cs="Times New Roman"/>
                <w:color w:val="000000"/>
                <w:sz w:val="24"/>
                <w:szCs w:val="24"/>
                <w:lang w:val="en-US" w:eastAsia="zh-CN"/>
              </w:rPr>
              <w:t>（未沾染化学药品）</w:t>
            </w:r>
            <w:r>
              <w:rPr>
                <w:rFonts w:hint="default" w:ascii="Times New Roman" w:hAnsi="Times New Roman" w:cs="Times New Roman"/>
                <w:color w:val="000000"/>
                <w:sz w:val="24"/>
                <w:szCs w:val="24"/>
                <w:lang w:val="en-US" w:eastAsia="zh-CN"/>
              </w:rPr>
              <w:t>：</w:t>
            </w:r>
            <w:r>
              <w:rPr>
                <w:rFonts w:hint="eastAsia"/>
                <w:szCs w:val="24"/>
                <w:lang w:eastAsia="zh-CN"/>
              </w:rPr>
              <w:t>调试期间实际产生量为</w:t>
            </w:r>
            <w:r>
              <w:rPr>
                <w:rFonts w:hint="eastAsia"/>
                <w:szCs w:val="24"/>
                <w:lang w:val="en-US" w:eastAsia="zh-CN"/>
              </w:rPr>
              <w:t>0.16t/月</w:t>
            </w:r>
            <w:r>
              <w:rPr>
                <w:rFonts w:hint="eastAsia"/>
                <w:szCs w:val="24"/>
              </w:rPr>
              <w:t>，</w:t>
            </w:r>
            <w:r>
              <w:rPr>
                <w:rFonts w:hint="eastAsia"/>
                <w:szCs w:val="24"/>
                <w:lang w:eastAsia="zh-CN"/>
              </w:rPr>
              <w:t>折合年产生量约为</w:t>
            </w:r>
            <w:r>
              <w:rPr>
                <w:rFonts w:hint="eastAsia"/>
                <w:szCs w:val="24"/>
                <w:lang w:val="en-US" w:eastAsia="zh-CN"/>
              </w:rPr>
              <w:t>1.92t/a</w:t>
            </w:r>
            <w:r>
              <w:rPr>
                <w:rFonts w:hint="eastAsia"/>
                <w:szCs w:val="24"/>
                <w:highlight w:val="none"/>
                <w:lang w:val="en-US" w:eastAsia="zh-CN"/>
              </w:rPr>
              <w:t>，</w:t>
            </w:r>
            <w:r>
              <w:rPr>
                <w:rFonts w:hint="default" w:ascii="Times New Roman" w:hAnsi="Times New Roman" w:cs="Times New Roman"/>
                <w:color w:val="000000"/>
                <w:sz w:val="24"/>
                <w:szCs w:val="24"/>
                <w:lang w:val="en-US" w:eastAsia="zh-CN"/>
              </w:rPr>
              <w:t>统一收集外售物资回收单位。</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eastAsia" w:cs="Times New Roman"/>
                <w:color w:val="000000"/>
                <w:sz w:val="24"/>
                <w:szCs w:val="24"/>
                <w:lang w:val="en-US" w:eastAsia="zh-CN"/>
              </w:rPr>
              <w:t>实验废物：</w:t>
            </w:r>
            <w:r>
              <w:rPr>
                <w:rFonts w:hint="default" w:ascii="Times New Roman" w:hAnsi="Times New Roman" w:cs="Times New Roman"/>
                <w:color w:val="000000"/>
                <w:sz w:val="24"/>
                <w:szCs w:val="24"/>
                <w:lang w:val="en-US" w:eastAsia="zh-CN"/>
              </w:rPr>
              <w:t>主要为实验过程产生的废实验用品（沾有化学品的试剂瓶、药品袋等）、合成分离残渣等，</w:t>
            </w:r>
            <w:r>
              <w:rPr>
                <w:rFonts w:hint="eastAsia"/>
                <w:szCs w:val="24"/>
                <w:lang w:eastAsia="zh-CN"/>
              </w:rPr>
              <w:t>调试期间实际产生量为</w:t>
            </w:r>
            <w:r>
              <w:rPr>
                <w:rFonts w:hint="eastAsia"/>
                <w:szCs w:val="24"/>
                <w:lang w:val="en-US" w:eastAsia="zh-CN"/>
              </w:rPr>
              <w:t>2.39t/月</w:t>
            </w:r>
            <w:r>
              <w:rPr>
                <w:rFonts w:hint="eastAsia"/>
                <w:szCs w:val="24"/>
              </w:rPr>
              <w:t>，</w:t>
            </w:r>
            <w:r>
              <w:rPr>
                <w:rFonts w:hint="eastAsia"/>
                <w:szCs w:val="24"/>
                <w:lang w:eastAsia="zh-CN"/>
              </w:rPr>
              <w:t>折合年产生量约为</w:t>
            </w:r>
            <w:r>
              <w:rPr>
                <w:rFonts w:hint="eastAsia"/>
                <w:szCs w:val="24"/>
                <w:lang w:val="en-US" w:eastAsia="zh-CN"/>
              </w:rPr>
              <w:t>28.68t/a</w:t>
            </w:r>
            <w:r>
              <w:rPr>
                <w:rFonts w:hint="default" w:ascii="Times New Roman" w:hAnsi="Times New Roman" w:cs="Times New Roman"/>
                <w:color w:val="000000"/>
                <w:sz w:val="24"/>
                <w:szCs w:val="24"/>
                <w:lang w:val="en-US" w:eastAsia="zh-CN"/>
              </w:rPr>
              <w:t>。根据《国家危险废物名录（2021 年版）》，属于危险废物（HW49，900-047-49），委托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eastAsia" w:cs="Times New Roman"/>
                <w:color w:val="000000"/>
                <w:sz w:val="24"/>
                <w:szCs w:val="24"/>
                <w:lang w:val="en-US" w:eastAsia="zh-CN"/>
              </w:rPr>
              <w:t>合成实验废液：</w:t>
            </w:r>
            <w:r>
              <w:rPr>
                <w:rFonts w:hint="default" w:ascii="Times New Roman" w:hAnsi="Times New Roman" w:cs="Times New Roman"/>
                <w:color w:val="000000"/>
                <w:sz w:val="24"/>
                <w:szCs w:val="24"/>
                <w:lang w:val="en-US" w:eastAsia="zh-CN"/>
              </w:rPr>
              <w:t>本项目除溶剂、脱色、提纯过程中产生实验废液，</w:t>
            </w:r>
            <w:r>
              <w:rPr>
                <w:rFonts w:hint="eastAsia"/>
                <w:szCs w:val="24"/>
                <w:lang w:eastAsia="zh-CN"/>
              </w:rPr>
              <w:t>调试期间实际产生量为</w:t>
            </w:r>
            <w:r>
              <w:rPr>
                <w:rFonts w:hint="eastAsia"/>
                <w:szCs w:val="24"/>
                <w:lang w:val="en-US" w:eastAsia="zh-CN"/>
              </w:rPr>
              <w:t>8.5t/月</w:t>
            </w:r>
            <w:r>
              <w:rPr>
                <w:rFonts w:hint="eastAsia"/>
                <w:szCs w:val="24"/>
              </w:rPr>
              <w:t>，</w:t>
            </w:r>
            <w:r>
              <w:rPr>
                <w:rFonts w:hint="eastAsia"/>
                <w:szCs w:val="24"/>
                <w:lang w:eastAsia="zh-CN"/>
              </w:rPr>
              <w:t>折合年产生量约为</w:t>
            </w:r>
            <w:r>
              <w:rPr>
                <w:rFonts w:hint="eastAsia"/>
                <w:szCs w:val="24"/>
                <w:lang w:val="en-US" w:eastAsia="zh-CN"/>
              </w:rPr>
              <w:t>102t/a</w:t>
            </w:r>
            <w:r>
              <w:rPr>
                <w:rFonts w:hint="default" w:ascii="Times New Roman" w:hAnsi="Times New Roman" w:cs="Times New Roman"/>
                <w:color w:val="000000"/>
                <w:sz w:val="24"/>
                <w:szCs w:val="24"/>
                <w:lang w:val="en-US" w:eastAsia="zh-CN"/>
              </w:rPr>
              <w:t>。根据《国家危险废物名录》（2021 年），属于危险废物（HW49，900-047-49），暂存于危废暂存间，委托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eastAsia" w:cs="Times New Roman"/>
                <w:color w:val="000000"/>
                <w:sz w:val="24"/>
                <w:szCs w:val="24"/>
                <w:lang w:val="en-US" w:eastAsia="zh-CN"/>
              </w:rPr>
              <w:t>初洗废液和二次清洗废液：</w:t>
            </w:r>
            <w:r>
              <w:rPr>
                <w:rFonts w:hint="eastAsia"/>
                <w:szCs w:val="24"/>
                <w:lang w:eastAsia="zh-CN"/>
              </w:rPr>
              <w:t>调试期间实际产生量为</w:t>
            </w:r>
            <w:r>
              <w:rPr>
                <w:rFonts w:hint="eastAsia"/>
                <w:szCs w:val="24"/>
                <w:lang w:val="en-US" w:eastAsia="zh-CN"/>
              </w:rPr>
              <w:t>6t/月</w:t>
            </w:r>
            <w:r>
              <w:rPr>
                <w:rFonts w:hint="eastAsia"/>
                <w:szCs w:val="24"/>
              </w:rPr>
              <w:t>，</w:t>
            </w:r>
            <w:r>
              <w:rPr>
                <w:rFonts w:hint="eastAsia"/>
                <w:szCs w:val="24"/>
                <w:lang w:eastAsia="zh-CN"/>
              </w:rPr>
              <w:t>折合年产生量约为</w:t>
            </w:r>
            <w:r>
              <w:rPr>
                <w:rFonts w:hint="eastAsia"/>
                <w:szCs w:val="24"/>
                <w:lang w:val="en-US" w:eastAsia="zh-CN"/>
              </w:rPr>
              <w:t>72t/a</w:t>
            </w:r>
            <w:r>
              <w:rPr>
                <w:rFonts w:hint="default" w:ascii="Times New Roman" w:hAnsi="Times New Roman" w:cs="Times New Roman"/>
                <w:color w:val="000000"/>
                <w:sz w:val="24"/>
                <w:szCs w:val="24"/>
                <w:lang w:val="en-US" w:eastAsia="zh-CN"/>
              </w:rPr>
              <w:t>，因该废液中有机污染物浓度较高，根据《国家危险废物名录（2021 年版）》，属于危险废物（HW49，900-047-49），暂存于危废暂存间，委托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质检废液</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检验工序中产生质检废液，</w:t>
            </w:r>
            <w:r>
              <w:rPr>
                <w:rFonts w:hint="eastAsia"/>
                <w:szCs w:val="24"/>
                <w:lang w:eastAsia="zh-CN"/>
              </w:rPr>
              <w:t>调试期间实际产生量为</w:t>
            </w:r>
            <w:r>
              <w:rPr>
                <w:rFonts w:hint="eastAsia"/>
                <w:szCs w:val="24"/>
                <w:lang w:val="en-US" w:eastAsia="zh-CN"/>
              </w:rPr>
              <w:t>2.5t/月</w:t>
            </w:r>
            <w:r>
              <w:rPr>
                <w:rFonts w:hint="eastAsia"/>
                <w:szCs w:val="24"/>
              </w:rPr>
              <w:t>，</w:t>
            </w:r>
            <w:r>
              <w:rPr>
                <w:rFonts w:hint="eastAsia"/>
                <w:szCs w:val="24"/>
                <w:lang w:eastAsia="zh-CN"/>
              </w:rPr>
              <w:t>折合年产生量约为</w:t>
            </w:r>
            <w:r>
              <w:rPr>
                <w:rFonts w:hint="eastAsia"/>
                <w:szCs w:val="24"/>
                <w:lang w:val="en-US" w:eastAsia="zh-CN"/>
              </w:rPr>
              <w:t>30t/a</w:t>
            </w:r>
            <w:r>
              <w:rPr>
                <w:rFonts w:hint="default" w:ascii="Times New Roman" w:hAnsi="Times New Roman" w:cs="Times New Roman"/>
                <w:color w:val="000000"/>
                <w:sz w:val="24"/>
                <w:szCs w:val="24"/>
                <w:lang w:val="en-US" w:eastAsia="zh-CN"/>
              </w:rPr>
              <w:t>因该废液中有机污染物浓度较高，根据《国家危险废物名录（2021 年版）》，属于危险废物（HW49，900-047-49），暂存于危废暂存间，委托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过期试剂</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过期试剂（主要为无法回收的）</w:t>
            </w:r>
            <w:r>
              <w:rPr>
                <w:rFonts w:hint="eastAsia"/>
                <w:szCs w:val="24"/>
                <w:lang w:eastAsia="zh-CN"/>
              </w:rPr>
              <w:t>调试期间实际产生量为</w:t>
            </w:r>
            <w:r>
              <w:rPr>
                <w:rFonts w:hint="eastAsia"/>
                <w:szCs w:val="24"/>
                <w:lang w:val="en-US" w:eastAsia="zh-CN"/>
              </w:rPr>
              <w:t>0.16t/月</w:t>
            </w:r>
            <w:r>
              <w:rPr>
                <w:rFonts w:hint="eastAsia"/>
                <w:szCs w:val="24"/>
              </w:rPr>
              <w:t>，</w:t>
            </w:r>
            <w:r>
              <w:rPr>
                <w:rFonts w:hint="eastAsia"/>
                <w:szCs w:val="24"/>
                <w:lang w:eastAsia="zh-CN"/>
              </w:rPr>
              <w:t>折合年产生量约为</w:t>
            </w:r>
            <w:r>
              <w:rPr>
                <w:rFonts w:hint="eastAsia"/>
                <w:szCs w:val="24"/>
                <w:lang w:val="en-US" w:eastAsia="zh-CN"/>
              </w:rPr>
              <w:t>1.92t/a</w:t>
            </w:r>
            <w:r>
              <w:rPr>
                <w:rFonts w:hint="eastAsia"/>
                <w:szCs w:val="24"/>
                <w:highlight w:val="none"/>
                <w:lang w:val="en-US" w:eastAsia="zh-CN"/>
              </w:rPr>
              <w:t>，</w:t>
            </w:r>
            <w:r>
              <w:rPr>
                <w:rFonts w:hint="default" w:ascii="Times New Roman" w:hAnsi="Times New Roman" w:cs="Times New Roman"/>
                <w:color w:val="000000"/>
                <w:sz w:val="24"/>
                <w:szCs w:val="24"/>
                <w:lang w:val="en-US" w:eastAsia="zh-CN"/>
              </w:rPr>
              <w:t>根据《国家危险废物名录（2021 年版）》，属于危险废物（HW03，900-002-03），暂存于危废暂存间，委托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废活性炭</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废气处理设备活性炭吸附装置用于净化处理有机废气，由于活性炭的吸附能力随着使用时间变长而下降，需要定期更换</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脱色工序也会产生废活性炭，</w:t>
            </w:r>
            <w:r>
              <w:rPr>
                <w:rFonts w:hint="eastAsia" w:cs="Times New Roman"/>
                <w:color w:val="auto"/>
                <w:lang w:eastAsia="zh-CN"/>
              </w:rPr>
              <w:t>由于项目建成运行时间较短，暂未有废活性炭产生</w:t>
            </w:r>
            <w:r>
              <w:rPr>
                <w:rFonts w:hint="default" w:ascii="Times New Roman" w:hAnsi="Times New Roman" w:cs="Times New Roman"/>
                <w:color w:val="auto"/>
              </w:rPr>
              <w:t>。废活性炭属于危险废物（HW49，900-0</w:t>
            </w:r>
            <w:r>
              <w:rPr>
                <w:rFonts w:hint="eastAsia" w:ascii="Times New Roman" w:hAnsi="Times New Roman" w:cs="Times New Roman"/>
                <w:color w:val="auto"/>
                <w:lang w:val="en-US" w:eastAsia="zh-CN"/>
              </w:rPr>
              <w:t>39</w:t>
            </w:r>
            <w:r>
              <w:rPr>
                <w:rFonts w:hint="default" w:ascii="Times New Roman" w:hAnsi="Times New Roman" w:cs="Times New Roman"/>
                <w:color w:val="auto"/>
              </w:rPr>
              <w:t>-49），</w:t>
            </w:r>
            <w:r>
              <w:rPr>
                <w:rFonts w:hint="eastAsia" w:cs="Times New Roman"/>
                <w:color w:val="auto"/>
                <w:lang w:eastAsia="zh-CN"/>
              </w:rPr>
              <w:t>待产生时暂存于危废间，委托</w:t>
            </w:r>
            <w:r>
              <w:rPr>
                <w:rFonts w:hint="eastAsia" w:ascii="Times New Roman" w:hAnsi="Times New Roman" w:cs="Times New Roman"/>
                <w:sz w:val="24"/>
                <w:szCs w:val="24"/>
                <w:lang w:eastAsia="zh-CN"/>
              </w:rPr>
              <w:t>山东环沃环保科技有限公司、济南德正环保科技有限公司</w:t>
            </w:r>
            <w:r>
              <w:rPr>
                <w:rFonts w:hint="eastAsia" w:cs="Times New Roman"/>
                <w:color w:val="auto"/>
                <w:lang w:eastAsia="zh-CN"/>
              </w:rPr>
              <w:t>处置</w:t>
            </w:r>
            <w:r>
              <w:rPr>
                <w:rFonts w:hint="default" w:ascii="Times New Roman" w:hAnsi="Times New Roman" w:cs="Times New Roman"/>
                <w:color w:val="000000"/>
                <w:sz w:val="24"/>
                <w:szCs w:val="24"/>
                <w:lang w:val="en-US" w:eastAsia="zh-CN"/>
              </w:rPr>
              <w:t>。</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废干燥剂</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萃取工序产生废干燥剂，主要为无水硫酸镁、无水硫酸钠、分子筛，</w:t>
            </w:r>
            <w:r>
              <w:rPr>
                <w:rFonts w:hint="eastAsia" w:cs="Times New Roman"/>
                <w:color w:val="auto"/>
                <w:lang w:eastAsia="zh-CN"/>
              </w:rPr>
              <w:t>由于项目建成运行时间较短，暂未产生</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根据《国家危险废物名录（2021 年版）》，危废类别属于 HW49 其他废物，废物代码 900-041-49，暂存于危废暂存间，委托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r>
              <w:rPr>
                <w:rFonts w:hint="eastAsia" w:cs="Times New Roman"/>
                <w:color w:val="000000"/>
                <w:sz w:val="24"/>
                <w:szCs w:val="24"/>
                <w:lang w:val="en-US" w:eastAsia="zh-CN"/>
              </w:rPr>
              <w:t>。</w:t>
            </w:r>
          </w:p>
          <w:p>
            <w:pPr>
              <w:pStyle w:val="33"/>
              <w:keepNext w:val="0"/>
              <w:keepLines w:val="0"/>
              <w:pageBreakBefore w:val="0"/>
              <w:widowControl/>
              <w:numPr>
                <w:ilvl w:val="0"/>
                <w:numId w:val="11"/>
              </w:numPr>
              <w:kinsoku/>
              <w:wordWrap/>
              <w:overflowPunct/>
              <w:topLinePunct w:val="0"/>
              <w:autoSpaceDE/>
              <w:autoSpaceDN/>
              <w:bidi w:val="0"/>
              <w:adjustRightInd/>
              <w:snapToGrid/>
              <w:ind w:firstLine="480" w:firstLineChars="200"/>
              <w:jc w:val="left"/>
              <w:outlineLvl w:val="9"/>
              <w:rPr>
                <w:rFonts w:hint="default" w:ascii="Times New Roman" w:hAnsi="Times New Roman" w:cs="Times New Roman"/>
                <w:szCs w:val="24"/>
                <w:lang w:eastAsia="zh-CN"/>
              </w:rPr>
            </w:pPr>
            <w:r>
              <w:rPr>
                <w:rFonts w:hint="default" w:ascii="Times New Roman" w:hAnsi="Times New Roman" w:cs="Times New Roman"/>
                <w:color w:val="000000"/>
                <w:sz w:val="24"/>
                <w:szCs w:val="24"/>
                <w:lang w:val="en-US" w:eastAsia="zh-CN"/>
              </w:rPr>
              <w:t>废吸附剂</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提纯工序产生废吸附剂，主要成分为离子交换树脂或硅胶，</w:t>
            </w:r>
            <w:r>
              <w:rPr>
                <w:rFonts w:hint="eastAsia"/>
                <w:szCs w:val="24"/>
                <w:lang w:eastAsia="zh-CN"/>
              </w:rPr>
              <w:t>调试期间实际产生量为</w:t>
            </w:r>
            <w:r>
              <w:rPr>
                <w:rFonts w:hint="eastAsia"/>
                <w:szCs w:val="24"/>
                <w:lang w:val="en-US" w:eastAsia="zh-CN"/>
              </w:rPr>
              <w:t>1.4t/月</w:t>
            </w:r>
            <w:r>
              <w:rPr>
                <w:rFonts w:hint="eastAsia"/>
                <w:szCs w:val="24"/>
              </w:rPr>
              <w:t>，</w:t>
            </w:r>
            <w:r>
              <w:rPr>
                <w:rFonts w:hint="eastAsia"/>
                <w:szCs w:val="24"/>
                <w:lang w:eastAsia="zh-CN"/>
              </w:rPr>
              <w:t>折合年产生量约为</w:t>
            </w:r>
            <w:r>
              <w:rPr>
                <w:rFonts w:hint="eastAsia"/>
                <w:szCs w:val="24"/>
                <w:lang w:val="en-US" w:eastAsia="zh-CN"/>
              </w:rPr>
              <w:t>16.8t/a</w:t>
            </w:r>
            <w:r>
              <w:rPr>
                <w:rFonts w:hint="default" w:ascii="Times New Roman" w:hAnsi="Times New Roman" w:cs="Times New Roman"/>
                <w:color w:val="000000"/>
                <w:sz w:val="24"/>
                <w:szCs w:val="24"/>
                <w:lang w:val="en-US" w:eastAsia="zh-CN"/>
              </w:rPr>
              <w:t>。根据《国家危险废物名录（2021 年版）》</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危废类别属于 HW49 其他废物，废物代码 900-041-49，暂存于危废暂存间，委托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pStyle w:val="33"/>
              <w:keepNext w:val="0"/>
              <w:keepLines w:val="0"/>
              <w:pageBreakBefore w:val="0"/>
              <w:widowControl/>
              <w:numPr>
                <w:ilvl w:val="0"/>
                <w:numId w:val="11"/>
              </w:numPr>
              <w:kinsoku/>
              <w:wordWrap/>
              <w:overflowPunct/>
              <w:topLinePunct w:val="0"/>
              <w:autoSpaceDE/>
              <w:autoSpaceDN/>
              <w:bidi w:val="0"/>
              <w:adjustRightInd/>
              <w:snapToGrid/>
              <w:spacing w:line="360" w:lineRule="auto"/>
              <w:ind w:firstLine="480" w:firstLineChars="200"/>
              <w:jc w:val="left"/>
              <w:outlineLvl w:val="9"/>
              <w:rPr>
                <w:rFonts w:hint="default" w:ascii="Times New Roman" w:hAnsi="Times New Roman" w:eastAsia="宋体" w:cs="Times New Roman"/>
                <w:sz w:val="24"/>
                <w:szCs w:val="24"/>
              </w:rPr>
            </w:pPr>
            <w:r>
              <w:rPr>
                <w:rFonts w:hint="default" w:ascii="Times New Roman" w:hAnsi="Times New Roman" w:cs="Times New Roman"/>
                <w:color w:val="000000"/>
                <w:sz w:val="24"/>
                <w:szCs w:val="24"/>
                <w:lang w:val="en-US" w:eastAsia="zh-CN"/>
              </w:rPr>
              <w:t>废催化剂</w:t>
            </w:r>
            <w:r>
              <w:rPr>
                <w:rFonts w:hint="eastAsia" w:cs="Times New Roman"/>
                <w:color w:val="000000"/>
                <w:sz w:val="24"/>
                <w:szCs w:val="24"/>
                <w:lang w:val="en-US" w:eastAsia="zh-CN"/>
              </w:rPr>
              <w:t>：</w:t>
            </w:r>
            <w:r>
              <w:rPr>
                <w:rFonts w:hint="default" w:ascii="Times New Roman" w:hAnsi="Times New Roman" w:cs="Times New Roman"/>
                <w:color w:val="000000"/>
                <w:sz w:val="24"/>
                <w:szCs w:val="24"/>
                <w:lang w:val="en-US" w:eastAsia="zh-CN"/>
              </w:rPr>
              <w:t>合成反应产生钯碳、氢氧化钯碳等废催化剂，</w:t>
            </w:r>
            <w:r>
              <w:rPr>
                <w:rFonts w:hint="eastAsia"/>
                <w:szCs w:val="24"/>
                <w:lang w:eastAsia="zh-CN"/>
              </w:rPr>
              <w:t>调试期间实际产生量为</w:t>
            </w:r>
            <w:r>
              <w:rPr>
                <w:rFonts w:hint="eastAsia"/>
                <w:szCs w:val="24"/>
                <w:lang w:val="en-US" w:eastAsia="zh-CN"/>
              </w:rPr>
              <w:t>0.01t/月</w:t>
            </w:r>
            <w:r>
              <w:rPr>
                <w:rFonts w:hint="eastAsia"/>
                <w:szCs w:val="24"/>
              </w:rPr>
              <w:t>，</w:t>
            </w:r>
            <w:r>
              <w:rPr>
                <w:rFonts w:hint="eastAsia"/>
                <w:szCs w:val="24"/>
                <w:lang w:eastAsia="zh-CN"/>
              </w:rPr>
              <w:t>折合年产生量约为</w:t>
            </w:r>
            <w:r>
              <w:rPr>
                <w:rFonts w:hint="eastAsia"/>
                <w:szCs w:val="24"/>
                <w:lang w:val="en-US" w:eastAsia="zh-CN"/>
              </w:rPr>
              <w:t>0.12t/a</w:t>
            </w:r>
            <w:r>
              <w:rPr>
                <w:rFonts w:hint="default" w:ascii="Times New Roman" w:hAnsi="Times New Roman" w:cs="Times New Roman"/>
                <w:color w:val="000000"/>
                <w:sz w:val="24"/>
                <w:szCs w:val="24"/>
                <w:lang w:val="en-US" w:eastAsia="zh-CN"/>
              </w:rPr>
              <w:t>。根据《国家危险废物名录（2021 年版）》，危废类别属于 HW50 废催化剂，废物代码 276-006-50，暂存于危废暂存间，委托</w:t>
            </w:r>
            <w:r>
              <w:rPr>
                <w:rFonts w:hint="eastAsia" w:ascii="Times New Roman" w:hAnsi="Times New Roman" w:cs="Times New Roman"/>
                <w:sz w:val="24"/>
                <w:szCs w:val="24"/>
                <w:lang w:eastAsia="zh-CN"/>
              </w:rPr>
              <w:t>山东环沃环保科技有限公司、济南德正环保科技有限公司</w:t>
            </w:r>
            <w:r>
              <w:rPr>
                <w:rFonts w:hint="default" w:ascii="Times New Roman" w:hAnsi="Times New Roman" w:cs="Times New Roman"/>
                <w:color w:val="000000"/>
                <w:sz w:val="24"/>
                <w:szCs w:val="24"/>
                <w:lang w:val="en-US" w:eastAsia="zh-CN"/>
              </w:rPr>
              <w:t>处置。</w:t>
            </w:r>
          </w:p>
          <w:p>
            <w:pPr>
              <w:ind w:firstLine="0" w:firstLineChars="0"/>
              <w:jc w:val="center"/>
              <w:rPr>
                <w:b/>
                <w:color w:val="auto"/>
                <w:highlight w:val="none"/>
              </w:rPr>
            </w:pPr>
            <w:r>
              <w:rPr>
                <w:b/>
                <w:color w:val="auto"/>
                <w:highlight w:val="none"/>
              </w:rPr>
              <w:t>表7-</w:t>
            </w:r>
            <w:r>
              <w:rPr>
                <w:rFonts w:hint="eastAsia"/>
                <w:b/>
                <w:color w:val="auto"/>
                <w:highlight w:val="none"/>
              </w:rPr>
              <w:t>1</w:t>
            </w:r>
            <w:r>
              <w:rPr>
                <w:rFonts w:hint="eastAsia"/>
                <w:b/>
                <w:color w:val="auto"/>
                <w:highlight w:val="none"/>
                <w:lang w:val="en-US" w:eastAsia="zh-CN"/>
              </w:rPr>
              <w:t>1</w:t>
            </w:r>
            <w:r>
              <w:rPr>
                <w:b/>
                <w:color w:val="auto"/>
                <w:highlight w:val="none"/>
              </w:rPr>
              <w:t xml:space="preserve">  本项目固体废物处置情况表</w:t>
            </w:r>
          </w:p>
          <w:tbl>
            <w:tblPr>
              <w:tblStyle w:val="27"/>
              <w:tblW w:w="9008"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8"/>
              <w:gridCol w:w="1758"/>
              <w:gridCol w:w="1137"/>
              <w:gridCol w:w="851"/>
              <w:gridCol w:w="1186"/>
              <w:gridCol w:w="1022"/>
              <w:gridCol w:w="5"/>
              <w:gridCol w:w="1024"/>
              <w:gridCol w:w="146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4"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序号</w:t>
                  </w:r>
                </w:p>
              </w:tc>
              <w:tc>
                <w:tcPr>
                  <w:tcW w:w="975"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default" w:ascii="Times New Roman" w:hAnsi="Times New Roman" w:eastAsia="宋体" w:cs="Times New Roman"/>
                      <w:b/>
                      <w:bCs/>
                      <w:sz w:val="21"/>
                      <w:szCs w:val="21"/>
                      <w:lang w:val="zh-CN"/>
                    </w:rPr>
                    <w:t>固废名称</w:t>
                  </w:r>
                </w:p>
              </w:tc>
              <w:tc>
                <w:tcPr>
                  <w:tcW w:w="631"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eastAsia="zh-CN"/>
                    </w:rPr>
                    <w:t>废物</w:t>
                  </w:r>
                  <w:r>
                    <w:rPr>
                      <w:rFonts w:hint="eastAsia" w:cs="Times New Roman"/>
                      <w:b/>
                      <w:bCs/>
                      <w:sz w:val="21"/>
                      <w:szCs w:val="21"/>
                      <w:lang w:val="zh-CN"/>
                    </w:rPr>
                    <w:t>代码</w:t>
                  </w:r>
                </w:p>
              </w:tc>
              <w:tc>
                <w:tcPr>
                  <w:tcW w:w="472"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4" w:leftChars="-16" w:right="-74" w:rightChars="-31" w:hanging="34" w:hangingChars="16"/>
                    <w:jc w:val="center"/>
                    <w:textAlignment w:val="auto"/>
                    <w:rPr>
                      <w:rFonts w:hint="default" w:ascii="Times New Roman" w:hAnsi="Times New Roman" w:eastAsia="宋体" w:cs="Times New Roman"/>
                      <w:b/>
                      <w:bCs/>
                      <w:kern w:val="2"/>
                      <w:sz w:val="21"/>
                      <w:szCs w:val="21"/>
                      <w:lang w:val="zh-CN" w:eastAsia="zh-CN" w:bidi="ar-SA"/>
                    </w:rPr>
                  </w:pPr>
                  <w:r>
                    <w:rPr>
                      <w:rFonts w:hint="default" w:ascii="Times New Roman" w:hAnsi="Times New Roman" w:eastAsia="宋体" w:cs="Times New Roman"/>
                      <w:b/>
                      <w:bCs/>
                      <w:sz w:val="21"/>
                      <w:szCs w:val="21"/>
                      <w:lang w:val="zh-CN"/>
                    </w:rPr>
                    <w:t>环评</w:t>
                  </w:r>
                  <w:r>
                    <w:rPr>
                      <w:rFonts w:hint="default" w:ascii="Times New Roman" w:hAnsi="Times New Roman" w:cs="Times New Roman"/>
                      <w:b/>
                      <w:bCs/>
                      <w:sz w:val="21"/>
                      <w:szCs w:val="21"/>
                      <w:lang w:val="zh-CN"/>
                    </w:rPr>
                    <w:t>估算</w:t>
                  </w:r>
                  <w:r>
                    <w:rPr>
                      <w:rFonts w:hint="default" w:ascii="Times New Roman" w:hAnsi="Times New Roman" w:eastAsia="宋体" w:cs="Times New Roman"/>
                      <w:b/>
                      <w:bCs/>
                      <w:sz w:val="21"/>
                      <w:szCs w:val="21"/>
                      <w:lang w:val="zh-CN"/>
                    </w:rPr>
                    <w:t>量（</w:t>
                  </w:r>
                  <w:r>
                    <w:rPr>
                      <w:rFonts w:hint="default" w:ascii="Times New Roman" w:hAnsi="Times New Roman" w:eastAsia="宋体" w:cs="Times New Roman"/>
                      <w:b/>
                      <w:bCs/>
                      <w:sz w:val="21"/>
                      <w:szCs w:val="21"/>
                      <w:lang w:val="zh-CN" w:eastAsia="zh-CN"/>
                    </w:rPr>
                    <w:t>t/a</w:t>
                  </w:r>
                  <w:r>
                    <w:rPr>
                      <w:rFonts w:hint="default" w:ascii="Times New Roman" w:hAnsi="Times New Roman" w:eastAsia="宋体" w:cs="Times New Roman"/>
                      <w:b/>
                      <w:bCs/>
                      <w:sz w:val="21"/>
                      <w:szCs w:val="21"/>
                      <w:lang w:val="zh-CN"/>
                    </w:rPr>
                    <w:t>）</w:t>
                  </w:r>
                </w:p>
              </w:tc>
              <w:tc>
                <w:tcPr>
                  <w:tcW w:w="658"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b/>
                      <w:bCs/>
                      <w:color w:val="auto"/>
                      <w:sz w:val="21"/>
                      <w:szCs w:val="21"/>
                      <w:highlight w:val="none"/>
                      <w:lang w:val="zh-CN"/>
                    </w:rPr>
                    <w:t>调试期间实际产生量</w:t>
                  </w:r>
                  <w:r>
                    <w:rPr>
                      <w:rFonts w:hint="eastAsia" w:cs="Times New Roman"/>
                      <w:b/>
                      <w:bCs/>
                      <w:sz w:val="21"/>
                      <w:szCs w:val="21"/>
                      <w:lang w:val="zh-CN"/>
                    </w:rPr>
                    <w:t>（</w:t>
                  </w:r>
                  <w:r>
                    <w:rPr>
                      <w:rFonts w:hint="eastAsia" w:cs="Times New Roman"/>
                      <w:b/>
                      <w:bCs/>
                      <w:sz w:val="21"/>
                      <w:szCs w:val="21"/>
                      <w:lang w:val="en-US" w:eastAsia="zh-CN"/>
                    </w:rPr>
                    <w:t>t/月</w:t>
                  </w:r>
                  <w:r>
                    <w:rPr>
                      <w:rFonts w:hint="eastAsia" w:cs="Times New Roman"/>
                      <w:b/>
                      <w:bCs/>
                      <w:sz w:val="21"/>
                      <w:szCs w:val="21"/>
                      <w:lang w:val="zh-CN"/>
                    </w:rPr>
                    <w:t>）</w:t>
                  </w:r>
                </w:p>
              </w:tc>
              <w:tc>
                <w:tcPr>
                  <w:tcW w:w="567" w:type="pct"/>
                  <w:noWrap w:val="0"/>
                  <w:vAlign w:val="center"/>
                </w:tcPr>
                <w:p>
                  <w:pPr>
                    <w:keepNext w:val="0"/>
                    <w:keepLines w:val="0"/>
                    <w:pageBreakBefore w:val="0"/>
                    <w:widowControl/>
                    <w:kinsoku/>
                    <w:wordWrap/>
                    <w:overflowPunct/>
                    <w:topLinePunct w:val="0"/>
                    <w:autoSpaceDE w:val="0"/>
                    <w:autoSpaceDN w:val="0"/>
                    <w:bidi w:val="0"/>
                    <w:adjustRightInd w:val="0"/>
                    <w:snapToGrid w:val="0"/>
                    <w:spacing w:line="240" w:lineRule="auto"/>
                    <w:ind w:leftChars="-16" w:right="-74" w:rightChars="-31" w:hanging="34" w:hangingChars="16"/>
                    <w:jc w:val="center"/>
                    <w:textAlignment w:val="auto"/>
                    <w:rPr>
                      <w:rFonts w:hint="default" w:ascii="Times New Roman" w:hAnsi="Times New Roman" w:eastAsia="宋体" w:cs="Times New Roman"/>
                      <w:b/>
                      <w:bCs/>
                      <w:sz w:val="21"/>
                      <w:szCs w:val="21"/>
                      <w:lang w:val="zh-CN"/>
                    </w:rPr>
                  </w:pPr>
                  <w:r>
                    <w:rPr>
                      <w:rFonts w:hint="eastAsia" w:cs="Times New Roman"/>
                      <w:b/>
                      <w:bCs/>
                      <w:sz w:val="21"/>
                      <w:szCs w:val="21"/>
                      <w:lang w:val="zh-CN"/>
                    </w:rPr>
                    <w:t>折合年产生量（</w:t>
                  </w:r>
                  <w:r>
                    <w:rPr>
                      <w:rFonts w:hint="eastAsia" w:cs="Times New Roman"/>
                      <w:b/>
                      <w:bCs/>
                      <w:sz w:val="21"/>
                      <w:szCs w:val="21"/>
                      <w:lang w:val="en-US" w:eastAsia="zh-CN"/>
                    </w:rPr>
                    <w:t>t</w:t>
                  </w:r>
                  <w:r>
                    <w:rPr>
                      <w:rFonts w:hint="eastAsia" w:cs="Times New Roman"/>
                      <w:b/>
                      <w:bCs/>
                      <w:sz w:val="21"/>
                      <w:szCs w:val="21"/>
                      <w:lang w:val="zh-CN"/>
                    </w:rPr>
                    <w:t>）</w:t>
                  </w:r>
                </w:p>
              </w:tc>
              <w:tc>
                <w:tcPr>
                  <w:tcW w:w="571" w:type="pct"/>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性质</w:t>
                  </w:r>
                </w:p>
              </w:tc>
              <w:tc>
                <w:tcPr>
                  <w:tcW w:w="819" w:type="pct"/>
                  <w:gridSpan w:val="2"/>
                  <w:noWrap w:val="0"/>
                  <w:vAlign w:val="center"/>
                </w:tcPr>
                <w:p>
                  <w:pPr>
                    <w:keepNext w:val="0"/>
                    <w:keepLines w:val="0"/>
                    <w:pageBreakBefore w:val="0"/>
                    <w:widowControl w:val="0"/>
                    <w:kinsoku/>
                    <w:wordWrap/>
                    <w:overflowPunct/>
                    <w:topLinePunct w:val="0"/>
                    <w:autoSpaceDE w:val="0"/>
                    <w:autoSpaceDN w:val="0"/>
                    <w:bidi w:val="0"/>
                    <w:adjustRightInd w:val="0"/>
                    <w:snapToGrid w:val="0"/>
                    <w:spacing w:line="240" w:lineRule="auto"/>
                    <w:ind w:leftChars="0" w:right="0" w:rightChars="0" w:firstLine="0" w:firstLineChars="0"/>
                    <w:jc w:val="center"/>
                    <w:textAlignment w:val="auto"/>
                    <w:rPr>
                      <w:rFonts w:hint="default" w:ascii="Times New Roman" w:hAnsi="Times New Roman" w:eastAsia="宋体" w:cs="Times New Roman"/>
                      <w:b/>
                      <w:bCs/>
                      <w:color w:val="auto"/>
                      <w:sz w:val="21"/>
                      <w:szCs w:val="21"/>
                      <w:lang w:val="zh-CN"/>
                    </w:rPr>
                  </w:pPr>
                  <w:r>
                    <w:rPr>
                      <w:rFonts w:hint="default" w:ascii="Times New Roman" w:hAnsi="Times New Roman" w:eastAsia="宋体" w:cs="Times New Roman"/>
                      <w:b/>
                      <w:bCs/>
                      <w:color w:val="auto"/>
                      <w:sz w:val="21"/>
                      <w:szCs w:val="21"/>
                      <w:lang w:val="zh-CN"/>
                    </w:rPr>
                    <w:t>贮存及处置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cs="Times New Roman"/>
                      <w:sz w:val="21"/>
                      <w:szCs w:val="21"/>
                    </w:rPr>
                    <w:t>1</w:t>
                  </w:r>
                </w:p>
              </w:tc>
              <w:tc>
                <w:tcPr>
                  <w:tcW w:w="975" w:type="pct"/>
                  <w:noWrap w:val="0"/>
                  <w:vAlign w:val="center"/>
                </w:tcPr>
                <w:p>
                  <w:pPr>
                    <w:pStyle w:val="33"/>
                    <w:spacing w:line="240" w:lineRule="auto"/>
                    <w:ind w:firstLine="0" w:firstLineChars="0"/>
                    <w:jc w:val="center"/>
                    <w:rPr>
                      <w:rFonts w:hint="default" w:ascii="Times New Roman" w:hAnsi="Times New Roman" w:eastAsia="宋体" w:cs="Times New Roman"/>
                      <w:kern w:val="2"/>
                      <w:sz w:val="21"/>
                      <w:szCs w:val="21"/>
                      <w:lang w:val="zh-CN" w:eastAsia="zh-CN" w:bidi="ar-SA"/>
                    </w:rPr>
                  </w:pPr>
                  <w:r>
                    <w:rPr>
                      <w:rFonts w:hint="default" w:ascii="Times New Roman" w:hAnsi="Times New Roman" w:eastAsia="宋体" w:cs="Times New Roman"/>
                      <w:kern w:val="2"/>
                      <w:sz w:val="21"/>
                      <w:szCs w:val="21"/>
                      <w:lang w:val="zh-CN" w:eastAsia="zh-CN" w:bidi="ar-SA"/>
                    </w:rPr>
                    <w:t>生活垃圾</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cs="Times New Roman"/>
                      <w:sz w:val="21"/>
                      <w:szCs w:val="21"/>
                      <w:lang w:val="en-US" w:eastAsia="zh-CN"/>
                    </w:rPr>
                    <w:t>/</w:t>
                  </w:r>
                </w:p>
              </w:tc>
              <w:tc>
                <w:tcPr>
                  <w:tcW w:w="472" w:type="pct"/>
                  <w:noWrap w:val="0"/>
                  <w:vAlign w:val="center"/>
                </w:tcPr>
                <w:p>
                  <w:pPr>
                    <w:autoSpaceDE w:val="0"/>
                    <w:autoSpaceDN w:val="0"/>
                    <w:spacing w:line="240" w:lineRule="auto"/>
                    <w:ind w:left="-5" w:leftChars="-16" w:right="-74" w:rightChars="-31" w:hanging="33" w:hangingChars="16"/>
                    <w:jc w:val="center"/>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30</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2.5</w:t>
                  </w:r>
                </w:p>
              </w:tc>
              <w:tc>
                <w:tcPr>
                  <w:tcW w:w="567"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30</w:t>
                  </w:r>
                </w:p>
              </w:tc>
              <w:tc>
                <w:tcPr>
                  <w:tcW w:w="571" w:type="pct"/>
                  <w:gridSpan w:val="2"/>
                  <w:vMerge w:val="restart"/>
                  <w:tcBorders>
                    <w:bottom w:val="nil"/>
                  </w:tcBorders>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color w:val="auto"/>
                      <w:sz w:val="21"/>
                      <w:szCs w:val="21"/>
                      <w:lang w:eastAsia="zh-CN"/>
                    </w:rPr>
                  </w:pPr>
                  <w:r>
                    <w:rPr>
                      <w:rFonts w:hint="eastAsia" w:cs="Times New Roman"/>
                      <w:sz w:val="21"/>
                      <w:szCs w:val="21"/>
                      <w:lang w:val="zh-CN"/>
                    </w:rPr>
                    <w:t>一般固废</w:t>
                  </w:r>
                </w:p>
              </w:tc>
              <w:tc>
                <w:tcPr>
                  <w:tcW w:w="819" w:type="pct"/>
                  <w:gridSpan w:val="2"/>
                  <w:noWrap w:val="0"/>
                  <w:vAlign w:val="center"/>
                </w:tcPr>
                <w:p>
                  <w:pPr>
                    <w:pStyle w:val="33"/>
                    <w:spacing w:line="240" w:lineRule="auto"/>
                    <w:ind w:firstLine="0" w:firstLineChars="0"/>
                    <w:rPr>
                      <w:rFonts w:hint="default" w:ascii="Times New Roman" w:hAnsi="Times New Roman" w:eastAsia="宋体" w:cs="Times New Roman"/>
                      <w:sz w:val="21"/>
                      <w:szCs w:val="21"/>
                      <w:lang w:val="zh-CN"/>
                    </w:rPr>
                  </w:pPr>
                  <w:r>
                    <w:rPr>
                      <w:rFonts w:hint="default" w:ascii="Times New Roman" w:hAnsi="Times New Roman" w:cs="Times New Roman"/>
                      <w:sz w:val="21"/>
                      <w:szCs w:val="21"/>
                    </w:rPr>
                    <w:t>收集后由环卫部门定期清运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2</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废包装物</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1</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0.08</w:t>
                  </w:r>
                </w:p>
              </w:tc>
              <w:tc>
                <w:tcPr>
                  <w:tcW w:w="567"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0.96</w:t>
                  </w:r>
                </w:p>
              </w:tc>
              <w:tc>
                <w:tcPr>
                  <w:tcW w:w="571" w:type="pct"/>
                  <w:gridSpan w:val="2"/>
                  <w:vMerge w:val="continue"/>
                  <w:tcBorders>
                    <w:top w:val="nil"/>
                  </w:tcBorders>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9" w:type="pct"/>
                  <w:gridSpan w:val="2"/>
                  <w:noWrap w:val="0"/>
                  <w:vAlign w:val="center"/>
                </w:tcPr>
                <w:p>
                  <w:pPr>
                    <w:pStyle w:val="33"/>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收集外售物资回收单位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3</w:t>
                  </w:r>
                </w:p>
              </w:tc>
              <w:tc>
                <w:tcPr>
                  <w:tcW w:w="975" w:type="pct"/>
                  <w:noWrap w:val="0"/>
                  <w:vAlign w:val="center"/>
                </w:tcPr>
                <w:p>
                  <w:pPr>
                    <w:pStyle w:val="33"/>
                    <w:spacing w:line="240" w:lineRule="auto"/>
                    <w:ind w:firstLine="0" w:firstLineChars="0"/>
                    <w:jc w:val="center"/>
                    <w:rPr>
                      <w:rFonts w:hint="eastAsia" w:ascii="Times New Roman" w:hAnsi="Times New Roman" w:eastAsia="宋体" w:cs="Times New Roman"/>
                      <w:sz w:val="21"/>
                      <w:szCs w:val="21"/>
                      <w:lang w:eastAsia="zh-CN"/>
                    </w:rPr>
                  </w:pPr>
                  <w:r>
                    <w:rPr>
                      <w:rFonts w:hint="default" w:ascii="Times New Roman" w:hAnsi="Times New Roman" w:cs="Times New Roman"/>
                      <w:sz w:val="21"/>
                      <w:szCs w:val="21"/>
                    </w:rPr>
                    <w:t>一次性口罩、手套</w:t>
                  </w:r>
                  <w:r>
                    <w:rPr>
                      <w:rFonts w:hint="eastAsia" w:ascii="Times New Roman" w:hAnsi="Times New Roman" w:cs="Times New Roman"/>
                      <w:sz w:val="21"/>
                      <w:szCs w:val="21"/>
                      <w:lang w:eastAsia="zh-CN"/>
                    </w:rPr>
                    <w:t>（未沾染化学药品）</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2</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0.16</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1.92</w:t>
                  </w:r>
                </w:p>
              </w:tc>
              <w:tc>
                <w:tcPr>
                  <w:tcW w:w="568" w:type="pc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r>
                    <w:rPr>
                      <w:rFonts w:hint="eastAsia" w:cs="Times New Roman"/>
                      <w:sz w:val="21"/>
                      <w:szCs w:val="21"/>
                      <w:lang w:val="zh-CN"/>
                    </w:rPr>
                    <w:t>一般固废</w:t>
                  </w:r>
                </w:p>
              </w:tc>
              <w:tc>
                <w:tcPr>
                  <w:tcW w:w="814" w:type="pct"/>
                  <w:noWrap w:val="0"/>
                  <w:vAlign w:val="center"/>
                </w:tcPr>
                <w:p>
                  <w:pPr>
                    <w:pStyle w:val="33"/>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收集外售物资回收单位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4</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实验废物</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HW49，900-047-49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28.6</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2.39</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28.68</w:t>
                  </w:r>
                </w:p>
              </w:tc>
              <w:tc>
                <w:tcPr>
                  <w:tcW w:w="568" w:type="pct"/>
                  <w:vMerge w:val="restart"/>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r>
                    <w:rPr>
                      <w:rFonts w:hint="eastAsia" w:cs="Times New Roman"/>
                      <w:sz w:val="21"/>
                      <w:szCs w:val="21"/>
                      <w:lang w:val="zh-CN"/>
                    </w:rPr>
                    <w:t>危险废物</w:t>
                  </w:r>
                </w:p>
              </w:tc>
              <w:tc>
                <w:tcPr>
                  <w:tcW w:w="814" w:type="pct"/>
                  <w:vMerge w:val="restart"/>
                  <w:noWrap w:val="0"/>
                  <w:vAlign w:val="center"/>
                </w:tcPr>
                <w:p>
                  <w:pPr>
                    <w:pStyle w:val="33"/>
                    <w:spacing w:line="240" w:lineRule="auto"/>
                    <w:ind w:firstLine="0" w:firstLineChars="0"/>
                    <w:rPr>
                      <w:rFonts w:hint="default" w:ascii="Times New Roman" w:hAnsi="Times New Roman" w:cs="Times New Roman"/>
                      <w:sz w:val="21"/>
                      <w:szCs w:val="21"/>
                    </w:rPr>
                  </w:pPr>
                  <w:r>
                    <w:rPr>
                      <w:rFonts w:hint="default" w:ascii="Times New Roman" w:hAnsi="Times New Roman" w:cs="Times New Roman"/>
                      <w:sz w:val="21"/>
                      <w:szCs w:val="21"/>
                    </w:rPr>
                    <w:t>暂存于危废暂存间，委托有山东环沃环保科技有限公司、济南德正环保科技有限公司处置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5</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合成实验废液</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HW49，900-047-49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101.75</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8.5</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102</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6</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初洗废液和二次清洗废液</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HW49，900-047-49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72</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6</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72</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7</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质检废液</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HW49，900-047-49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30</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2.5</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30</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8</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过期试剂</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HW03，900-002-03</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2</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0.16</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1.92</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cs="Times New Roman"/>
                      <w:sz w:val="21"/>
                      <w:szCs w:val="21"/>
                      <w:lang w:val="en-US" w:eastAsia="zh-CN"/>
                    </w:rPr>
                    <w:t>9</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废活性炭</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w:t>
                  </w:r>
                  <w:r>
                    <w:rPr>
                      <w:rFonts w:hint="eastAsia" w:cs="Times New Roman"/>
                      <w:sz w:val="21"/>
                      <w:szCs w:val="21"/>
                      <w:lang w:val="en-US" w:eastAsia="zh-CN"/>
                    </w:rPr>
                    <w:t>1</w:t>
                  </w:r>
                  <w:r>
                    <w:rPr>
                      <w:rFonts w:hint="eastAsia" w:ascii="Times New Roman" w:hAnsi="Times New Roman" w:cs="Times New Roman"/>
                      <w:sz w:val="21"/>
                      <w:szCs w:val="21"/>
                      <w:lang w:val="en-US" w:eastAsia="zh-CN"/>
                    </w:rPr>
                    <w:t>-49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44.35</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暂未产生</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10</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废干燥剂</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w:t>
                  </w:r>
                  <w:r>
                    <w:rPr>
                      <w:rFonts w:hint="eastAsia" w:cs="Times New Roman"/>
                      <w:sz w:val="21"/>
                      <w:szCs w:val="21"/>
                      <w:lang w:val="en-US" w:eastAsia="zh-CN"/>
                    </w:rPr>
                    <w:t>1</w:t>
                  </w:r>
                  <w:r>
                    <w:rPr>
                      <w:rFonts w:hint="eastAsia" w:ascii="Times New Roman" w:hAnsi="Times New Roman" w:cs="Times New Roman"/>
                      <w:sz w:val="21"/>
                      <w:szCs w:val="21"/>
                      <w:lang w:val="en-US" w:eastAsia="zh-CN"/>
                    </w:rPr>
                    <w:t>-49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13.58</w:t>
                  </w:r>
                </w:p>
              </w:tc>
              <w:tc>
                <w:tcPr>
                  <w:tcW w:w="1186" w:type="dxa"/>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暂未产生</w:t>
                  </w:r>
                </w:p>
              </w:tc>
              <w:tc>
                <w:tcPr>
                  <w:tcW w:w="1027" w:type="dxa"/>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11</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废吸附剂</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HW49，900-04</w:t>
                  </w:r>
                  <w:r>
                    <w:rPr>
                      <w:rFonts w:hint="eastAsia" w:cs="Times New Roman"/>
                      <w:sz w:val="21"/>
                      <w:szCs w:val="21"/>
                      <w:lang w:val="en-US" w:eastAsia="zh-CN"/>
                    </w:rPr>
                    <w:t>1</w:t>
                  </w:r>
                  <w:r>
                    <w:rPr>
                      <w:rFonts w:hint="eastAsia" w:ascii="Times New Roman" w:hAnsi="Times New Roman" w:cs="Times New Roman"/>
                      <w:sz w:val="21"/>
                      <w:szCs w:val="21"/>
                      <w:lang w:val="en-US" w:eastAsia="zh-CN"/>
                    </w:rPr>
                    <w:t>-49</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16.8</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1.4</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16.8</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7" w:hRule="atLeast"/>
              </w:trPr>
              <w:tc>
                <w:tcPr>
                  <w:tcW w:w="304" w:type="pct"/>
                  <w:noWrap w:val="0"/>
                  <w:vAlign w:val="center"/>
                </w:tcPr>
                <w:p>
                  <w:pPr>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12</w:t>
                  </w:r>
                </w:p>
              </w:tc>
              <w:tc>
                <w:tcPr>
                  <w:tcW w:w="975" w:type="pct"/>
                  <w:noWrap w:val="0"/>
                  <w:vAlign w:val="center"/>
                </w:tcPr>
                <w:p>
                  <w:pPr>
                    <w:pStyle w:val="33"/>
                    <w:spacing w:line="240" w:lineRule="auto"/>
                    <w:ind w:firstLine="0" w:firstLineChars="0"/>
                    <w:jc w:val="center"/>
                    <w:rPr>
                      <w:rFonts w:hint="default" w:ascii="Times New Roman" w:hAnsi="Times New Roman" w:cs="Times New Roman"/>
                      <w:sz w:val="21"/>
                      <w:szCs w:val="21"/>
                    </w:rPr>
                  </w:pPr>
                  <w:r>
                    <w:rPr>
                      <w:rFonts w:hint="default" w:ascii="Times New Roman" w:hAnsi="Times New Roman" w:cs="Times New Roman"/>
                      <w:sz w:val="21"/>
                      <w:szCs w:val="21"/>
                    </w:rPr>
                    <w:t>废催化剂</w:t>
                  </w:r>
                </w:p>
              </w:tc>
              <w:tc>
                <w:tcPr>
                  <w:tcW w:w="631" w:type="pct"/>
                  <w:noWrap w:val="0"/>
                  <w:vAlign w:val="center"/>
                </w:tcPr>
                <w:p>
                  <w:pPr>
                    <w:autoSpaceDE w:val="0"/>
                    <w:autoSpaceDN w:val="0"/>
                    <w:adjustRightInd/>
                    <w:snapToGrid/>
                    <w:spacing w:line="240" w:lineRule="auto"/>
                    <w:ind w:leftChars="-16" w:right="-74" w:rightChars="-31" w:hanging="33" w:hangingChars="16"/>
                    <w:jc w:val="center"/>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HW50</w:t>
                  </w:r>
                  <w:r>
                    <w:rPr>
                      <w:rFonts w:hint="eastAsia" w:cs="Times New Roman"/>
                      <w:sz w:val="21"/>
                      <w:szCs w:val="21"/>
                      <w:lang w:val="en-US" w:eastAsia="zh-CN"/>
                    </w:rPr>
                    <w:t>，</w:t>
                  </w:r>
                  <w:r>
                    <w:rPr>
                      <w:rFonts w:hint="eastAsia" w:ascii="Times New Roman" w:hAnsi="Times New Roman" w:cs="Times New Roman"/>
                      <w:sz w:val="21"/>
                      <w:szCs w:val="21"/>
                      <w:lang w:val="en-US" w:eastAsia="zh-CN"/>
                    </w:rPr>
                    <w:t>276-006-50</w:t>
                  </w:r>
                </w:p>
              </w:tc>
              <w:tc>
                <w:tcPr>
                  <w:tcW w:w="472" w:type="pct"/>
                  <w:noWrap w:val="0"/>
                  <w:vAlign w:val="center"/>
                </w:tcPr>
                <w:p>
                  <w:pPr>
                    <w:autoSpaceDE w:val="0"/>
                    <w:autoSpaceDN w:val="0"/>
                    <w:spacing w:line="240" w:lineRule="auto"/>
                    <w:ind w:left="-5" w:leftChars="-16" w:right="-74" w:rightChars="-31" w:hanging="33" w:hangingChars="16"/>
                    <w:jc w:val="center"/>
                    <w:rPr>
                      <w:rFonts w:hint="default" w:ascii="Times New Roman" w:hAnsi="Times New Roman" w:cs="Times New Roman"/>
                      <w:sz w:val="21"/>
                      <w:szCs w:val="21"/>
                      <w:lang w:val="en-US" w:eastAsia="zh-CN"/>
                    </w:rPr>
                  </w:pPr>
                  <w:r>
                    <w:rPr>
                      <w:rFonts w:hint="eastAsia" w:cs="Times New Roman"/>
                      <w:sz w:val="21"/>
                      <w:szCs w:val="21"/>
                      <w:lang w:val="en-US" w:eastAsia="zh-CN"/>
                    </w:rPr>
                    <w:t>0.14</w:t>
                  </w:r>
                </w:p>
              </w:tc>
              <w:tc>
                <w:tcPr>
                  <w:tcW w:w="658" w:type="pct"/>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0.01</w:t>
                  </w:r>
                </w:p>
              </w:tc>
              <w:tc>
                <w:tcPr>
                  <w:tcW w:w="570" w:type="pct"/>
                  <w:gridSpan w:val="2"/>
                  <w:noWrap w:val="0"/>
                  <w:vAlign w:val="center"/>
                </w:tcPr>
                <w:p>
                  <w:pPr>
                    <w:adjustRightInd w:val="0"/>
                    <w:snapToGrid w:val="0"/>
                    <w:spacing w:line="240" w:lineRule="auto"/>
                    <w:ind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0.12</w:t>
                  </w:r>
                </w:p>
              </w:tc>
              <w:tc>
                <w:tcPr>
                  <w:tcW w:w="568" w:type="pct"/>
                  <w:vMerge w:val="continue"/>
                  <w:noWrap w:val="0"/>
                  <w:vAlign w:val="center"/>
                </w:tcPr>
                <w:p>
                  <w:pPr>
                    <w:autoSpaceDE w:val="0"/>
                    <w:autoSpaceDN w:val="0"/>
                    <w:adjustRightInd w:val="0"/>
                    <w:snapToGrid w:val="0"/>
                    <w:spacing w:line="240" w:lineRule="auto"/>
                    <w:ind w:firstLine="0" w:firstLineChars="0"/>
                    <w:jc w:val="center"/>
                    <w:rPr>
                      <w:rFonts w:hint="default" w:ascii="Times New Roman" w:hAnsi="Times New Roman" w:eastAsia="宋体" w:cs="Times New Roman"/>
                      <w:sz w:val="21"/>
                      <w:szCs w:val="21"/>
                      <w:lang w:val="zh-CN"/>
                    </w:rPr>
                  </w:pPr>
                </w:p>
              </w:tc>
              <w:tc>
                <w:tcPr>
                  <w:tcW w:w="814" w:type="pct"/>
                  <w:vMerge w:val="continue"/>
                  <w:noWrap w:val="0"/>
                  <w:vAlign w:val="center"/>
                </w:tcPr>
                <w:p>
                  <w:pPr>
                    <w:pStyle w:val="33"/>
                    <w:spacing w:line="240" w:lineRule="auto"/>
                    <w:ind w:firstLine="0" w:firstLineChars="0"/>
                    <w:rPr>
                      <w:rFonts w:hint="default" w:ascii="Times New Roman" w:hAnsi="Times New Roman" w:cs="Times New Roman"/>
                      <w:sz w:val="21"/>
                      <w:szCs w:val="21"/>
                    </w:rPr>
                  </w:pPr>
                </w:p>
              </w:tc>
            </w:tr>
          </w:tbl>
          <w:p>
            <w:pPr>
              <w:pStyle w:val="33"/>
              <w:widowControl/>
              <w:adjustRightInd/>
              <w:rPr>
                <w:rFonts w:hint="eastAsia" w:cs="Times New Roman"/>
                <w:color w:val="auto"/>
                <w:highlight w:val="none"/>
              </w:rPr>
            </w:pPr>
            <w:r>
              <w:rPr>
                <w:rFonts w:hint="eastAsia" w:cs="Times New Roman"/>
                <w:color w:val="auto"/>
                <w:highlight w:val="none"/>
              </w:rPr>
              <w:t>本项目产生的废包装物、一次性口罩、手套</w:t>
            </w:r>
            <w:r>
              <w:rPr>
                <w:rFonts w:hint="eastAsia" w:cs="Times New Roman"/>
                <w:color w:val="auto"/>
                <w:highlight w:val="none"/>
                <w:lang w:eastAsia="zh-CN"/>
              </w:rPr>
              <w:t>（未沾染化学药品）</w:t>
            </w:r>
            <w:r>
              <w:rPr>
                <w:rFonts w:hint="eastAsia" w:cs="Times New Roman"/>
                <w:color w:val="auto"/>
                <w:highlight w:val="none"/>
              </w:rPr>
              <w:t>统一收集外售；生活垃圾由环卫部门定期清运；实验废物、合成实验废液、初洗废液和二次清洗废液、质检废液、过期试剂、废活性炭、废干燥剂、废吸附剂、废催化剂等危险废物定期委托有资质单位处置。</w:t>
            </w:r>
          </w:p>
          <w:p>
            <w:pPr>
              <w:pStyle w:val="33"/>
              <w:widowControl/>
              <w:adjustRightInd/>
              <w:rPr>
                <w:rFonts w:hint="eastAsia" w:cs="Times New Roman"/>
                <w:color w:val="auto"/>
                <w:highlight w:val="none"/>
              </w:rPr>
            </w:pPr>
            <w:r>
              <w:rPr>
                <w:rFonts w:hint="eastAsia" w:cs="Times New Roman"/>
                <w:color w:val="auto"/>
                <w:highlight w:val="none"/>
              </w:rPr>
              <w:t>建设单位已与山东环沃环保科技有限公司、济南德正环保科技有限公司签订危废委托处理协议。</w:t>
            </w:r>
          </w:p>
          <w:p>
            <w:pPr>
              <w:pStyle w:val="33"/>
              <w:widowControl/>
              <w:adjustRightInd/>
              <w:rPr>
                <w:rFonts w:hint="eastAsia" w:cs="Times New Roman"/>
                <w:color w:val="auto"/>
                <w:highlight w:val="none"/>
              </w:rPr>
            </w:pPr>
            <w:r>
              <w:rPr>
                <w:rFonts w:hint="eastAsia" w:cs="Times New Roman"/>
                <w:color w:val="auto"/>
                <w:highlight w:val="none"/>
              </w:rPr>
              <w:t>一般固废的处置符合《一般工业固体废物贮存和填埋污染控制标准》(GB18599-2020)的要求，危险废物的处理措施和处置方案满足《危险废物贮存污染控制标准》（GB18597-2001）及修改单要求。</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cs="Times New Roman"/>
                      <w:b/>
                      <w:bCs/>
                      <w:color w:val="auto"/>
                      <w:szCs w:val="24"/>
                      <w:highlight w:val="none"/>
                    </w:rPr>
                  </w:pPr>
                  <w:r>
                    <w:pict>
                      <v:shape id="_x0000_i1036" o:spt="75" alt="1e574f3c21115424a8f99e0b03763c0" type="#_x0000_t75" style="height:419.2pt;width:314.25pt;" filled="f" o:preferrelative="t" stroked="f" coordsize="21600,21600">
                        <v:path/>
                        <v:fill on="f" focussize="0,0"/>
                        <v:stroke on="f"/>
                        <v:imagedata r:id="rId18" o:title="1e574f3c21115424a8f99e0b03763c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p>
                  <w:pPr>
                    <w:pStyle w:val="33"/>
                    <w:snapToGrid w:val="0"/>
                    <w:ind w:firstLine="0" w:firstLineChars="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cs="Times New Roman"/>
                      <w:b/>
                      <w:bCs/>
                      <w:color w:val="auto"/>
                      <w:szCs w:val="24"/>
                      <w:highlight w:val="none"/>
                    </w:rPr>
                  </w:pPr>
                  <w:r>
                    <w:rPr>
                      <w:rFonts w:cs="Times New Roman"/>
                      <w:b/>
                      <w:bCs/>
                      <w:color w:val="auto"/>
                      <w:szCs w:val="24"/>
                      <w:highlight w:val="none"/>
                    </w:rPr>
                    <w:pict>
                      <v:shape id="_x0000_i1037" o:spt="75" alt="5fedf889de13c9184e03d96b68a68a0" type="#_x0000_t75" style="height:320.3pt;width:240.15pt;" filled="f" o:preferrelative="t" stroked="f" coordsize="21600,21600">
                        <v:path/>
                        <v:fill on="f" focussize="0,0"/>
                        <v:stroke on="f"/>
                        <v:imagedata r:id="rId19" o:title="5fedf889de13c9184e03d96b68a68a0"/>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0" w:firstLineChars="0"/>
                    <w:jc w:val="center"/>
                    <w:rPr>
                      <w:rFonts w:hint="eastAsia" w:eastAsia="宋体" w:cs="Times New Roman"/>
                      <w:b/>
                      <w:bCs/>
                      <w:color w:val="auto"/>
                      <w:szCs w:val="24"/>
                      <w:highlight w:val="none"/>
                      <w:lang w:eastAsia="zh-CN"/>
                    </w:rPr>
                  </w:pPr>
                  <w:r>
                    <w:rPr>
                      <w:rFonts w:hint="eastAsia" w:eastAsia="宋体" w:cs="Times New Roman"/>
                      <w:b/>
                      <w:bCs/>
                      <w:color w:val="auto"/>
                      <w:szCs w:val="24"/>
                      <w:highlight w:val="none"/>
                      <w:lang w:eastAsia="zh-CN"/>
                    </w:rPr>
                    <w:pict>
                      <v:shape id="_x0000_i1038" o:spt="75" alt="30468071545c366ea1e85d216bb57bc" type="#_x0000_t75" style="height:323.85pt;width:242.85pt;" filled="f" o:preferrelative="t" stroked="f" coordsize="21600,21600">
                        <v:path/>
                        <v:fill on="f" focussize="0,0"/>
                        <v:stroke on="f"/>
                        <v:imagedata r:id="rId20" o:title="30468071545c366ea1e85d216bb57bc"/>
                        <o:lock v:ext="edit" aspectratio="t"/>
                        <w10:wrap type="none"/>
                        <w10:anchorlock/>
                      </v:shape>
                    </w:pi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4" w:type="dxa"/>
                  <w:shd w:val="clear" w:color="auto" w:fill="auto"/>
                  <w:vAlign w:val="center"/>
                </w:tcPr>
                <w:p>
                  <w:pPr>
                    <w:pStyle w:val="33"/>
                    <w:snapToGrid w:val="0"/>
                    <w:ind w:firstLine="422"/>
                    <w:jc w:val="center"/>
                    <w:rPr>
                      <w:rFonts w:cs="Times New Roman"/>
                      <w:b/>
                      <w:bCs/>
                      <w:color w:val="auto"/>
                      <w:sz w:val="21"/>
                      <w:szCs w:val="21"/>
                      <w:highlight w:val="none"/>
                    </w:rPr>
                  </w:pPr>
                  <w:r>
                    <w:rPr>
                      <w:rFonts w:cs="Times New Roman"/>
                      <w:b/>
                      <w:bCs/>
                      <w:color w:val="auto"/>
                      <w:sz w:val="21"/>
                      <w:szCs w:val="21"/>
                      <w:highlight w:val="none"/>
                    </w:rPr>
                    <w:t>图7-</w:t>
                  </w:r>
                  <w:r>
                    <w:rPr>
                      <w:rFonts w:hint="eastAsia" w:cs="Times New Roman"/>
                      <w:b/>
                      <w:bCs/>
                      <w:color w:val="auto"/>
                      <w:sz w:val="21"/>
                      <w:szCs w:val="21"/>
                      <w:highlight w:val="none"/>
                      <w:lang w:val="en-US" w:eastAsia="zh-CN"/>
                    </w:rPr>
                    <w:t>4</w:t>
                  </w:r>
                  <w:r>
                    <w:rPr>
                      <w:rFonts w:cs="Times New Roman"/>
                      <w:b/>
                      <w:bCs/>
                      <w:color w:val="auto"/>
                      <w:sz w:val="21"/>
                      <w:szCs w:val="21"/>
                      <w:highlight w:val="none"/>
                    </w:rPr>
                    <w:t xml:space="preserve">  </w:t>
                  </w:r>
                  <w:r>
                    <w:rPr>
                      <w:rFonts w:hint="eastAsia" w:cs="Times New Roman"/>
                      <w:b/>
                      <w:bCs/>
                      <w:color w:val="auto"/>
                      <w:sz w:val="21"/>
                      <w:szCs w:val="21"/>
                      <w:highlight w:val="none"/>
                    </w:rPr>
                    <w:t>危废间</w:t>
                  </w:r>
                </w:p>
              </w:tc>
            </w:tr>
          </w:tbl>
          <w:p>
            <w:pPr>
              <w:pStyle w:val="2"/>
              <w:numPr>
                <w:ilvl w:val="255"/>
                <w:numId w:val="0"/>
              </w:numPr>
              <w:ind w:firstLine="482" w:firstLineChars="200"/>
              <w:rPr>
                <w:rFonts w:hint="eastAsia" w:ascii="Times New Roman" w:hAnsi="Times New Roman" w:eastAsia="宋体"/>
                <w:b/>
                <w:bCs/>
                <w:color w:val="auto"/>
                <w:sz w:val="24"/>
                <w:highlight w:val="none"/>
                <w:lang w:eastAsia="zh-CN"/>
              </w:rPr>
            </w:pPr>
            <w:r>
              <w:rPr>
                <w:rFonts w:ascii="Times New Roman" w:hAnsi="Times New Roman"/>
                <w:b/>
                <w:bCs/>
                <w:color w:val="auto"/>
                <w:sz w:val="24"/>
                <w:highlight w:val="none"/>
              </w:rPr>
              <w:t>5、污染物排放总量</w:t>
            </w:r>
            <w:r>
              <w:rPr>
                <w:rFonts w:hint="eastAsia" w:ascii="Times New Roman" w:hAnsi="Times New Roman"/>
                <w:b/>
                <w:bCs/>
                <w:color w:val="auto"/>
                <w:sz w:val="24"/>
                <w:highlight w:val="none"/>
                <w:lang w:eastAsia="zh-CN"/>
              </w:rPr>
              <w:t>核算</w:t>
            </w:r>
          </w:p>
          <w:p>
            <w:pPr>
              <w:pStyle w:val="33"/>
              <w:widowControl/>
              <w:adjustRightInd/>
              <w:rPr>
                <w:rFonts w:cs="Times New Roman"/>
                <w:color w:val="auto"/>
                <w:szCs w:val="24"/>
                <w:highlight w:val="none"/>
              </w:rPr>
            </w:pPr>
            <w:r>
              <w:rPr>
                <w:rFonts w:hint="eastAsia"/>
                <w:color w:val="auto"/>
                <w:highlight w:val="none"/>
              </w:rPr>
              <w:t>废气：</w:t>
            </w:r>
            <w:r>
              <w:rPr>
                <w:rFonts w:hint="eastAsia" w:cs="Times New Roman"/>
                <w:color w:val="auto"/>
                <w:highlight w:val="none"/>
                <w:lang w:eastAsia="zh-CN"/>
              </w:rPr>
              <w:t>根据现场调查和实际生产情况，项目仅在合成工序产生有机废气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w:t>
            </w:r>
            <w:r>
              <w:rPr>
                <w:rFonts w:hint="eastAsia" w:cs="Times New Roman"/>
                <w:color w:val="auto"/>
                <w:highlight w:val="none"/>
                <w:lang w:eastAsia="zh-CN"/>
              </w:rPr>
              <w:t>均</w:t>
            </w:r>
            <w:r>
              <w:rPr>
                <w:rFonts w:hint="eastAsia" w:cs="Times New Roman"/>
                <w:color w:val="auto"/>
                <w:highlight w:val="none"/>
              </w:rPr>
              <w:t>为</w:t>
            </w:r>
            <w:r>
              <w:rPr>
                <w:rFonts w:hint="eastAsia" w:cs="Times New Roman"/>
                <w:color w:val="auto"/>
                <w:highlight w:val="none"/>
                <w:lang w:val="en-US" w:eastAsia="zh-CN"/>
              </w:rPr>
              <w:t>2400</w:t>
            </w:r>
            <w:r>
              <w:rPr>
                <w:rFonts w:hint="eastAsia" w:cs="Times New Roman"/>
                <w:color w:val="auto"/>
                <w:highlight w:val="none"/>
              </w:rPr>
              <w:t>小时，根据验收监测结果核算，</w:t>
            </w:r>
            <w:r>
              <w:rPr>
                <w:rFonts w:hint="eastAsia" w:cs="Times New Roman"/>
                <w:color w:val="auto"/>
                <w:highlight w:val="none"/>
                <w:lang w:eastAsia="zh-CN"/>
              </w:rPr>
              <w:t>项目VOCs排放量为</w:t>
            </w:r>
            <w:r>
              <w:rPr>
                <w:rFonts w:hint="eastAsia" w:cs="Times New Roman"/>
                <w:color w:val="auto"/>
                <w:highlight w:val="none"/>
                <w:lang w:val="en-US" w:eastAsia="zh-CN"/>
              </w:rPr>
              <w:t>0.8808</w:t>
            </w:r>
            <w:r>
              <w:rPr>
                <w:rFonts w:hint="eastAsia" w:cs="Times New Roman"/>
                <w:color w:val="auto"/>
                <w:highlight w:val="none"/>
              </w:rPr>
              <w:t>t/a，满足VOCs总量控制要求</w:t>
            </w:r>
            <w:r>
              <w:rPr>
                <w:rFonts w:hint="eastAsia" w:cs="Times New Roman"/>
                <w:color w:val="auto"/>
                <w:highlight w:val="none"/>
                <w:lang w:val="en-US" w:eastAsia="zh-CN"/>
              </w:rPr>
              <w:t>0.9</w:t>
            </w:r>
            <w:r>
              <w:rPr>
                <w:rFonts w:hint="eastAsia" w:cs="Times New Roman"/>
                <w:color w:val="auto"/>
                <w:highlight w:val="none"/>
              </w:rPr>
              <w:t>t/a（低于环评文件测算总量）。</w:t>
            </w:r>
          </w:p>
          <w:p>
            <w:pPr>
              <w:pStyle w:val="2"/>
              <w:numPr>
                <w:ilvl w:val="255"/>
                <w:numId w:val="0"/>
              </w:numPr>
              <w:ind w:firstLine="48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6、环保设施去除效率</w:t>
            </w:r>
          </w:p>
          <w:p>
            <w:pPr>
              <w:pStyle w:val="2"/>
              <w:ind w:firstLine="480"/>
              <w:rPr>
                <w:rFonts w:hint="eastAsia" w:ascii="Times New Roman" w:hAnsi="Times New Roman" w:eastAsia="宋体" w:cs="Times New Roman"/>
                <w:color w:val="000000"/>
                <w:sz w:val="24"/>
                <w:highlight w:val="none"/>
              </w:rPr>
            </w:pPr>
            <w:r>
              <w:rPr>
                <w:rFonts w:hint="eastAsia"/>
                <w:color w:val="auto"/>
                <w:sz w:val="24"/>
                <w:highlight w:val="none"/>
              </w:rPr>
              <w:t>废气：</w:t>
            </w:r>
            <w:r>
              <w:rPr>
                <w:rFonts w:hint="eastAsia"/>
                <w:color w:val="auto"/>
                <w:sz w:val="24"/>
                <w:highlight w:val="none"/>
                <w:lang w:eastAsia="zh-CN"/>
              </w:rPr>
              <w:t>废气</w:t>
            </w:r>
            <w:r>
              <w:rPr>
                <w:rFonts w:hint="eastAsia" w:ascii="Times New Roman" w:hAnsi="Times New Roman" w:eastAsia="宋体" w:cs="Times New Roman"/>
                <w:b w:val="0"/>
                <w:bCs w:val="0"/>
                <w:color w:val="000000"/>
                <w:sz w:val="24"/>
                <w:szCs w:val="24"/>
                <w:highlight w:val="none"/>
                <w:lang w:val="en-US" w:eastAsia="zh-CN"/>
              </w:rPr>
              <w:t>环保处理装置进口因管道距离过短不具备开口条件，本次验收未进行去除效率监测。不具备检测条件现场照片见附件6。</w:t>
            </w:r>
          </w:p>
          <w:p>
            <w:pPr>
              <w:pStyle w:val="2"/>
              <w:ind w:firstLine="48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废水：根据验收监测结果核算，银丰国际生物城污水处理站对废水中主要污染物氨氮、化学需氧量平均去除效率分别为46.9%、50.5%。</w:t>
            </w:r>
          </w:p>
          <w:p>
            <w:pPr>
              <w:ind w:firstLine="480"/>
              <w:rPr>
                <w:color w:val="auto"/>
                <w:highlight w:val="none"/>
              </w:rPr>
            </w:pPr>
          </w:p>
          <w:p>
            <w:pPr>
              <w:pStyle w:val="33"/>
              <w:rPr>
                <w:color w:val="auto"/>
                <w:highlight w:val="none"/>
              </w:rPr>
            </w:pPr>
          </w:p>
          <w:p>
            <w:pPr>
              <w:pStyle w:val="2"/>
              <w:ind w:firstLine="480"/>
              <w:rPr>
                <w:color w:val="auto"/>
                <w:sz w:val="24"/>
                <w:highlight w:val="none"/>
              </w:rPr>
            </w:pPr>
          </w:p>
          <w:p>
            <w:pPr>
              <w:ind w:firstLine="480"/>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pStyle w:val="2"/>
              <w:rPr>
                <w:color w:val="auto"/>
                <w:highlight w:val="none"/>
              </w:rPr>
            </w:pPr>
          </w:p>
          <w:p>
            <w:pPr>
              <w:rPr>
                <w:color w:val="auto"/>
                <w:highlight w:val="none"/>
              </w:rPr>
            </w:pPr>
          </w:p>
          <w:p>
            <w:pPr>
              <w:rPr>
                <w:color w:val="auto"/>
                <w:highlight w:val="none"/>
              </w:rPr>
            </w:pPr>
          </w:p>
          <w:p>
            <w:pPr>
              <w:pStyle w:val="33"/>
            </w:pPr>
          </w:p>
          <w:p>
            <w:pPr>
              <w:pStyle w:val="2"/>
            </w:pPr>
          </w:p>
          <w:p>
            <w:pPr>
              <w:pStyle w:val="33"/>
              <w:snapToGrid w:val="0"/>
              <w:ind w:firstLine="0" w:firstLineChars="0"/>
              <w:rPr>
                <w:color w:val="auto"/>
                <w:highlight w:val="none"/>
              </w:rPr>
            </w:pPr>
          </w:p>
        </w:tc>
      </w:tr>
    </w:tbl>
    <w:p>
      <w:pPr>
        <w:adjustRightInd w:val="0"/>
        <w:snapToGrid w:val="0"/>
        <w:ind w:firstLine="0" w:firstLineChars="0"/>
        <w:outlineLvl w:val="0"/>
        <w:rPr>
          <w:b/>
          <w:bCs/>
          <w:color w:val="auto"/>
          <w:sz w:val="32"/>
          <w:szCs w:val="32"/>
          <w:highlight w:val="none"/>
        </w:rPr>
      </w:pPr>
      <w:r>
        <w:rPr>
          <w:b/>
          <w:bCs/>
          <w:color w:val="auto"/>
          <w:sz w:val="30"/>
          <w:szCs w:val="30"/>
          <w:highlight w:val="none"/>
        </w:rPr>
        <w:br w:type="page"/>
      </w:r>
      <w:bookmarkStart w:id="271" w:name="_Toc27270"/>
      <w:bookmarkStart w:id="272" w:name="_Toc28204"/>
      <w:bookmarkStart w:id="273" w:name="_Toc25110"/>
      <w:bookmarkStart w:id="274" w:name="_Toc3973"/>
      <w:bookmarkStart w:id="275" w:name="_Toc18933"/>
      <w:bookmarkStart w:id="276" w:name="_Toc6074"/>
      <w:bookmarkStart w:id="277" w:name="_Toc19091"/>
      <w:bookmarkStart w:id="278" w:name="_Toc7942"/>
      <w:bookmarkStart w:id="279" w:name="_Toc7000"/>
      <w:bookmarkStart w:id="280" w:name="_Toc323"/>
      <w:bookmarkStart w:id="281" w:name="_Toc31838"/>
      <w:bookmarkStart w:id="282" w:name="_Toc4064"/>
      <w:bookmarkStart w:id="283" w:name="_Toc6830"/>
      <w:bookmarkStart w:id="284" w:name="_Toc8275"/>
      <w:bookmarkStart w:id="285" w:name="_Toc18385"/>
      <w:bookmarkStart w:id="286" w:name="_Toc18080"/>
      <w:bookmarkStart w:id="287" w:name="_Toc12738"/>
      <w:bookmarkStart w:id="288" w:name="_Toc19061"/>
      <w:bookmarkStart w:id="289" w:name="_Toc14741"/>
      <w:bookmarkStart w:id="290" w:name="_Toc25412"/>
      <w:bookmarkStart w:id="291" w:name="_Toc27375"/>
      <w:bookmarkStart w:id="292" w:name="_Toc7673"/>
      <w:bookmarkStart w:id="293" w:name="_Toc23790"/>
      <w:bookmarkStart w:id="294" w:name="_Toc26011"/>
      <w:bookmarkStart w:id="295" w:name="_Toc29622"/>
      <w:bookmarkStart w:id="296" w:name="_Toc18298"/>
      <w:bookmarkStart w:id="297" w:name="_Toc10695"/>
      <w:bookmarkStart w:id="298" w:name="_Toc19197"/>
      <w:bookmarkStart w:id="299" w:name="_Toc22670"/>
      <w:bookmarkStart w:id="300" w:name="_Toc15499"/>
      <w:bookmarkStart w:id="301" w:name="_Toc15743"/>
      <w:bookmarkStart w:id="302" w:name="_Toc24931"/>
      <w:bookmarkStart w:id="303" w:name="_Toc29567"/>
      <w:bookmarkStart w:id="304" w:name="_Toc16889"/>
      <w:bookmarkStart w:id="305" w:name="_Toc21084"/>
      <w:bookmarkStart w:id="306" w:name="_Toc27901"/>
      <w:bookmarkStart w:id="307" w:name="_Toc21561"/>
      <w:bookmarkStart w:id="308" w:name="_Toc28823"/>
      <w:bookmarkStart w:id="309" w:name="_Toc5531"/>
      <w:bookmarkStart w:id="310" w:name="_Toc23771"/>
      <w:bookmarkStart w:id="311" w:name="_Toc7962"/>
      <w:bookmarkStart w:id="312" w:name="_Toc23045"/>
      <w:r>
        <w:rPr>
          <w:b/>
          <w:bCs/>
          <w:color w:val="auto"/>
          <w:sz w:val="30"/>
          <w:szCs w:val="30"/>
          <w:highlight w:val="none"/>
        </w:rPr>
        <w:t xml:space="preserve">表8  </w:t>
      </w:r>
      <w:r>
        <w:rPr>
          <w:b/>
          <w:bCs/>
          <w:color w:val="auto"/>
          <w:sz w:val="32"/>
          <w:szCs w:val="32"/>
          <w:highlight w:val="none"/>
        </w:rPr>
        <w:t>环境管理检查情况</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Style w:val="27"/>
        <w:tblW w:w="4882" w:type="pct"/>
        <w:tblInd w:w="124"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PrEx>
        <w:trPr>
          <w:trHeight w:val="90" w:hRule="atLeast"/>
        </w:trPr>
        <w:tc>
          <w:tcPr>
            <w:tcW w:w="5000" w:type="pct"/>
          </w:tcPr>
          <w:p>
            <w:pPr>
              <w:pStyle w:val="33"/>
              <w:ind w:firstLine="482"/>
              <w:rPr>
                <w:rFonts w:cs="Times New Roman"/>
                <w:b/>
                <w:bCs/>
                <w:color w:val="auto"/>
                <w:highlight w:val="none"/>
              </w:rPr>
            </w:pPr>
            <w:r>
              <w:rPr>
                <w:rFonts w:cs="Times New Roman"/>
                <w:b/>
                <w:bCs/>
                <w:color w:val="auto"/>
                <w:highlight w:val="none"/>
              </w:rPr>
              <w:t>一、环保机构设置、环境管理规章制度及监测计划落实情况</w:t>
            </w:r>
          </w:p>
          <w:p>
            <w:pPr>
              <w:pStyle w:val="33"/>
              <w:ind w:firstLine="482"/>
              <w:rPr>
                <w:rFonts w:cs="Times New Roman"/>
                <w:b/>
                <w:bCs/>
                <w:color w:val="auto"/>
                <w:highlight w:val="none"/>
              </w:rPr>
            </w:pPr>
            <w:r>
              <w:rPr>
                <w:rFonts w:cs="Times New Roman"/>
                <w:b/>
                <w:bCs/>
                <w:color w:val="auto"/>
                <w:highlight w:val="none"/>
              </w:rPr>
              <w:t>1、环保审批手续及“三同时”执行情况</w:t>
            </w:r>
          </w:p>
          <w:p>
            <w:pPr>
              <w:pStyle w:val="33"/>
              <w:rPr>
                <w:rFonts w:cs="Times New Roman"/>
                <w:color w:val="auto"/>
                <w:szCs w:val="24"/>
                <w:highlight w:val="none"/>
              </w:rPr>
            </w:pPr>
            <w:r>
              <w:rPr>
                <w:rFonts w:cs="Times New Roman"/>
                <w:color w:val="auto"/>
                <w:highlight w:val="none"/>
              </w:rPr>
              <w:t>根据国家《建设项目环境保护管理条例》和《中华人民共和国环境保护法》中有关规定，</w:t>
            </w:r>
            <w:r>
              <w:rPr>
                <w:rFonts w:hint="eastAsia" w:cs="Times New Roman"/>
                <w:color w:val="auto"/>
                <w:szCs w:val="24"/>
                <w:highlight w:val="none"/>
                <w:lang w:eastAsia="zh-CN"/>
              </w:rPr>
              <w:t>山东盛迪医药有限公司</w:t>
            </w:r>
            <w:r>
              <w:rPr>
                <w:rFonts w:hint="eastAsia" w:cs="Times New Roman"/>
                <w:color w:val="auto"/>
                <w:szCs w:val="24"/>
                <w:highlight w:val="none"/>
              </w:rPr>
              <w:t>2021年</w:t>
            </w:r>
            <w:r>
              <w:rPr>
                <w:rFonts w:hint="eastAsia" w:cs="Times New Roman"/>
                <w:color w:val="auto"/>
                <w:szCs w:val="24"/>
                <w:highlight w:val="none"/>
                <w:lang w:val="en-US" w:eastAsia="zh-CN"/>
              </w:rPr>
              <w:t>5</w:t>
            </w:r>
            <w:r>
              <w:rPr>
                <w:rFonts w:hint="eastAsia" w:cs="Times New Roman"/>
                <w:color w:val="auto"/>
                <w:szCs w:val="24"/>
                <w:highlight w:val="none"/>
              </w:rPr>
              <w:t>月</w:t>
            </w:r>
            <w:r>
              <w:rPr>
                <w:rFonts w:cs="Times New Roman"/>
                <w:color w:val="auto"/>
                <w:szCs w:val="24"/>
                <w:highlight w:val="none"/>
              </w:rPr>
              <w:t>委托</w:t>
            </w:r>
            <w:r>
              <w:rPr>
                <w:rFonts w:hint="eastAsia" w:cs="Times New Roman"/>
                <w:color w:val="auto"/>
                <w:szCs w:val="24"/>
                <w:highlight w:val="none"/>
                <w:lang w:eastAsia="zh-CN"/>
              </w:rPr>
              <w:t>山东共享环境管理咨询有限公司</w:t>
            </w:r>
            <w:r>
              <w:rPr>
                <w:rFonts w:cs="Times New Roman"/>
                <w:color w:val="auto"/>
                <w:kern w:val="21"/>
                <w:highlight w:val="none"/>
              </w:rPr>
              <w:t>编制完成了</w:t>
            </w:r>
            <w:r>
              <w:rPr>
                <w:rFonts w:cs="Times New Roman"/>
                <w:color w:val="auto"/>
                <w:szCs w:val="24"/>
                <w:highlight w:val="none"/>
              </w:rPr>
              <w:t>《</w:t>
            </w:r>
            <w:r>
              <w:rPr>
                <w:rFonts w:hint="eastAsia" w:cs="Times New Roman"/>
                <w:color w:val="auto"/>
                <w:szCs w:val="24"/>
                <w:highlight w:val="none"/>
                <w:lang w:eastAsia="zh-CN"/>
              </w:rPr>
              <w:t>山东盛迪医药有限公司创新药物研发一期项目</w:t>
            </w:r>
            <w:r>
              <w:rPr>
                <w:rFonts w:cs="Times New Roman"/>
                <w:color w:val="auto"/>
                <w:szCs w:val="24"/>
                <w:highlight w:val="none"/>
              </w:rPr>
              <w:t>环境影响报告表》，并于</w:t>
            </w:r>
            <w:r>
              <w:rPr>
                <w:rFonts w:hint="eastAsia" w:cs="Times New Roman"/>
                <w:color w:val="auto"/>
                <w:szCs w:val="24"/>
                <w:highlight w:val="none"/>
                <w:lang w:eastAsia="zh-CN"/>
              </w:rPr>
              <w:t>2021年6月15日</w:t>
            </w:r>
            <w:r>
              <w:rPr>
                <w:rFonts w:cs="Times New Roman"/>
                <w:color w:val="auto"/>
                <w:szCs w:val="24"/>
                <w:highlight w:val="none"/>
              </w:rPr>
              <w:t>经济南市生态环境局审批（</w:t>
            </w:r>
            <w:r>
              <w:rPr>
                <w:rFonts w:hint="eastAsia" w:cs="Times New Roman"/>
                <w:color w:val="auto"/>
                <w:szCs w:val="24"/>
                <w:highlight w:val="none"/>
                <w:lang w:eastAsia="zh-CN"/>
              </w:rPr>
              <w:t>济环报告表［2021］G50号</w:t>
            </w:r>
            <w:r>
              <w:rPr>
                <w:rFonts w:cs="Times New Roman"/>
                <w:color w:val="auto"/>
                <w:szCs w:val="24"/>
                <w:highlight w:val="none"/>
              </w:rPr>
              <w:t>）；</w:t>
            </w:r>
            <w:r>
              <w:rPr>
                <w:rFonts w:hint="eastAsia" w:cs="Times New Roman"/>
                <w:color w:val="auto"/>
                <w:kern w:val="0"/>
                <w:highlight w:val="none"/>
                <w:lang w:eastAsia="zh-CN"/>
              </w:rPr>
              <w:t>于2021年6月开工建设，2021年12月建成，2022年1月进行调试</w:t>
            </w:r>
            <w:r>
              <w:rPr>
                <w:rFonts w:cs="Times New Roman"/>
                <w:color w:val="auto"/>
                <w:kern w:val="0"/>
                <w:highlight w:val="none"/>
              </w:rPr>
              <w:t>，</w:t>
            </w:r>
            <w:r>
              <w:rPr>
                <w:rFonts w:hint="eastAsia" w:cs="Times New Roman"/>
                <w:color w:val="auto"/>
                <w:kern w:val="0"/>
                <w:highlight w:val="none"/>
                <w:lang w:eastAsia="zh-CN"/>
              </w:rPr>
              <w:t>环保设施同时设计、同时施工并同时进行调试，调试期间运行状况良好</w:t>
            </w:r>
            <w:r>
              <w:rPr>
                <w:rFonts w:hint="eastAsia" w:cs="Times New Roman"/>
                <w:color w:val="auto"/>
                <w:kern w:val="0"/>
                <w:highlight w:val="none"/>
              </w:rPr>
              <w:t>，具备竣工验收条件。因不具备检测能力，</w:t>
            </w:r>
            <w:r>
              <w:rPr>
                <w:rFonts w:hint="eastAsia" w:cs="Times New Roman"/>
                <w:color w:val="auto"/>
                <w:szCs w:val="24"/>
                <w:highlight w:val="none"/>
                <w:lang w:eastAsia="zh-CN"/>
              </w:rPr>
              <w:t>山东盛迪医药有限公司</w:t>
            </w:r>
            <w:r>
              <w:rPr>
                <w:rFonts w:hint="eastAsia" w:cs="Times New Roman"/>
                <w:color w:val="auto"/>
                <w:kern w:val="0"/>
                <w:highlight w:val="none"/>
              </w:rPr>
              <w:t>委托</w:t>
            </w:r>
            <w:r>
              <w:rPr>
                <w:rFonts w:cs="Times New Roman"/>
                <w:color w:val="auto"/>
                <w:kern w:val="0"/>
                <w:highlight w:val="none"/>
              </w:rPr>
              <w:t>山东华晟环境检测有限公司</w:t>
            </w:r>
            <w:r>
              <w:rPr>
                <w:rFonts w:hint="eastAsia" w:cs="Times New Roman"/>
                <w:color w:val="auto"/>
                <w:kern w:val="0"/>
                <w:highlight w:val="none"/>
              </w:rPr>
              <w:t>于</w:t>
            </w:r>
            <w:r>
              <w:rPr>
                <w:rFonts w:hint="eastAsia" w:cs="Times New Roman"/>
                <w:color w:val="auto"/>
                <w:kern w:val="0"/>
                <w:highlight w:val="none"/>
                <w:lang w:eastAsia="zh-CN"/>
              </w:rPr>
              <w:t>2022年1月10日~2022年1月11日、2022年3月30日~2022年4月1日</w:t>
            </w:r>
            <w:r>
              <w:rPr>
                <w:rFonts w:hint="eastAsia" w:cs="Times New Roman"/>
                <w:color w:val="auto"/>
                <w:kern w:val="0"/>
                <w:highlight w:val="none"/>
              </w:rPr>
              <w:t>，共计</w:t>
            </w:r>
            <w:r>
              <w:rPr>
                <w:rFonts w:hint="eastAsia" w:cs="Times New Roman"/>
                <w:color w:val="auto"/>
                <w:kern w:val="0"/>
                <w:highlight w:val="none"/>
                <w:lang w:val="en-US" w:eastAsia="zh-CN"/>
              </w:rPr>
              <w:t>5</w:t>
            </w:r>
            <w:r>
              <w:rPr>
                <w:rFonts w:cs="Times New Roman"/>
                <w:color w:val="auto"/>
                <w:kern w:val="0"/>
                <w:highlight w:val="none"/>
              </w:rPr>
              <w:t>天对本项目</w:t>
            </w:r>
            <w:r>
              <w:rPr>
                <w:rFonts w:hint="eastAsia" w:cs="Times New Roman"/>
                <w:color w:val="auto"/>
                <w:kern w:val="0"/>
                <w:highlight w:val="none"/>
              </w:rPr>
              <w:t>废气、废水、噪声</w:t>
            </w:r>
            <w:r>
              <w:rPr>
                <w:rFonts w:cs="Times New Roman"/>
                <w:color w:val="auto"/>
                <w:kern w:val="0"/>
                <w:highlight w:val="none"/>
              </w:rPr>
              <w:t>进行了</w:t>
            </w:r>
            <w:r>
              <w:rPr>
                <w:rFonts w:hint="eastAsia" w:cs="Times New Roman"/>
                <w:color w:val="auto"/>
                <w:kern w:val="0"/>
                <w:highlight w:val="none"/>
              </w:rPr>
              <w:t>竣工</w:t>
            </w:r>
            <w:r>
              <w:rPr>
                <w:rFonts w:cs="Times New Roman"/>
                <w:color w:val="auto"/>
                <w:kern w:val="0"/>
                <w:highlight w:val="none"/>
              </w:rPr>
              <w:t>验收监测</w:t>
            </w:r>
            <w:r>
              <w:rPr>
                <w:rFonts w:hint="eastAsia" w:cs="Times New Roman"/>
                <w:color w:val="auto"/>
                <w:kern w:val="0"/>
                <w:highlight w:val="none"/>
              </w:rPr>
              <w:t>并出具检测报告</w:t>
            </w:r>
            <w:r>
              <w:rPr>
                <w:rFonts w:cs="Times New Roman"/>
                <w:bCs/>
                <w:caps/>
                <w:color w:val="auto"/>
                <w:kern w:val="0"/>
                <w:szCs w:val="24"/>
                <w:highlight w:val="none"/>
              </w:rPr>
              <w:t>。</w:t>
            </w:r>
            <w:r>
              <w:rPr>
                <w:rFonts w:cs="Times New Roman"/>
                <w:color w:val="auto"/>
                <w:highlight w:val="none"/>
              </w:rPr>
              <w:t>该项目建设履行了竣工环境保护验收监测审批手续，执行了</w:t>
            </w:r>
            <w:r>
              <w:rPr>
                <w:rFonts w:cs="Times New Roman"/>
                <w:bCs/>
                <w:color w:val="auto"/>
                <w:highlight w:val="none"/>
              </w:rPr>
              <w:t>“三同时”制度，有关环保档案齐全。</w:t>
            </w:r>
          </w:p>
          <w:p>
            <w:pPr>
              <w:ind w:firstLine="482"/>
              <w:jc w:val="left"/>
              <w:rPr>
                <w:b/>
                <w:color w:val="auto"/>
                <w:highlight w:val="none"/>
              </w:rPr>
            </w:pPr>
            <w:r>
              <w:rPr>
                <w:b/>
                <w:color w:val="auto"/>
                <w:highlight w:val="none"/>
              </w:rPr>
              <w:t>2、环境管理规章制度的建立及执行情况</w:t>
            </w:r>
          </w:p>
          <w:p>
            <w:pPr>
              <w:ind w:firstLine="480"/>
              <w:jc w:val="left"/>
              <w:rPr>
                <w:color w:val="auto"/>
                <w:highlight w:val="none"/>
              </w:rPr>
            </w:pPr>
            <w:r>
              <w:rPr>
                <w:color w:val="auto"/>
                <w:highlight w:val="none"/>
              </w:rPr>
              <w:t>该企业重视环保工作，制定了相对完整的环保规章制度，厂区的各个环保设施责任到人，保证环保设施的正常运行。</w:t>
            </w:r>
          </w:p>
          <w:p>
            <w:pPr>
              <w:ind w:firstLine="482"/>
              <w:jc w:val="left"/>
              <w:rPr>
                <w:b/>
                <w:bCs/>
                <w:color w:val="auto"/>
                <w:highlight w:val="none"/>
              </w:rPr>
            </w:pPr>
            <w:r>
              <w:rPr>
                <w:b/>
                <w:bCs/>
                <w:color w:val="auto"/>
                <w:highlight w:val="none"/>
              </w:rPr>
              <w:t>二、环保设施建设、运行、检查、维护情况</w:t>
            </w:r>
          </w:p>
          <w:p>
            <w:pPr>
              <w:pStyle w:val="33"/>
              <w:rPr>
                <w:rFonts w:cs="Times New Roman"/>
                <w:color w:val="auto"/>
                <w:szCs w:val="24"/>
                <w:highlight w:val="none"/>
              </w:rPr>
            </w:pPr>
            <w:r>
              <w:rPr>
                <w:rFonts w:hint="eastAsia" w:cs="Times New Roman"/>
                <w:color w:val="auto"/>
                <w:szCs w:val="24"/>
                <w:highlight w:val="none"/>
              </w:rPr>
              <w:t>（1）废气：</w:t>
            </w:r>
          </w:p>
          <w:p>
            <w:pPr>
              <w:pStyle w:val="33"/>
              <w:rPr>
                <w:rFonts w:hint="eastAsia" w:cs="Times New Roman"/>
                <w:color w:val="auto"/>
                <w:szCs w:val="24"/>
                <w:highlight w:val="none"/>
              </w:rPr>
            </w:pPr>
            <w:r>
              <w:rPr>
                <w:rFonts w:hint="eastAsia" w:cs="Times New Roman"/>
                <w:color w:val="auto"/>
                <w:szCs w:val="24"/>
                <w:highlight w:val="none"/>
              </w:rPr>
              <w:t>本项目合成反应操作均在通风橱中进行，通风橱呈负压状态，通过风机将挥发出来的气体吸入风管。合成过程产生会产生酸性废气和有机废气。</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一层实验室废气（有机、酸性）经通风橱、万向罩收集后经“1#碱喷淋+1#除雾器+1#活性炭吸附”处理，三层东侧实验室废气（有机、酸性）经通风橱、万向罩收集后经“2#碱喷淋+2#除雾器+2#活性炭吸附”处理，三层西侧实验室废气（有机、酸性）经通风橱、万向罩收集后经“3#碱喷淋+3#除雾器+3#活性炭吸附”处理，共同通过1根排气筒 DA001 排放（距地面27米）。危废暂存间废气引至一楼合成实验室废气处理装置“1#碱喷淋+1#除雾器+1#活性炭吸附”处理后通过排气筒DA001排放。</w:t>
            </w:r>
          </w:p>
          <w:p>
            <w:pPr>
              <w:pStyle w:val="33"/>
              <w:rPr>
                <w:rFonts w:hint="eastAsia" w:cs="Times New Roman"/>
                <w:color w:val="auto"/>
                <w:szCs w:val="24"/>
                <w:highlight w:val="none"/>
              </w:rPr>
            </w:pPr>
            <w:r>
              <w:rPr>
                <w:rFonts w:hint="eastAsia" w:cs="Times New Roman"/>
                <w:color w:val="auto"/>
                <w:szCs w:val="24"/>
                <w:highlight w:val="none"/>
              </w:rPr>
              <w:t>本项目二层东侧实验室废气（有机）经通风橱、万向罩收集后经“1#一级活性炭吸附”处理，二层西侧实验室废气（有机）经通风橱、万向罩收集后经“2#一级活性炭吸附”处理，共同通过1根排气筒 DA002排放（距地面27米）。</w:t>
            </w:r>
          </w:p>
          <w:p>
            <w:pPr>
              <w:pStyle w:val="33"/>
              <w:rPr>
                <w:rFonts w:hint="eastAsia" w:cs="Times New Roman"/>
                <w:color w:val="auto"/>
                <w:szCs w:val="24"/>
                <w:highlight w:val="none"/>
              </w:rPr>
            </w:pPr>
            <w:r>
              <w:rPr>
                <w:rFonts w:hint="eastAsia" w:cs="Times New Roman"/>
                <w:color w:val="auto"/>
                <w:szCs w:val="24"/>
                <w:highlight w:val="none"/>
              </w:rPr>
              <w:t>本项目四层合成实验室废气（有机）经通风橱、万向罩收集后经“两级活性炭吸附”处理后通过（距地面29米）DA003排气筒排放。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rPr>
              <w:t>8-1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3"/>
              <w:gridCol w:w="1296"/>
              <w:gridCol w:w="1397"/>
              <w:gridCol w:w="1303"/>
              <w:gridCol w:w="1287"/>
              <w:gridCol w:w="1208"/>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采样点位</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800"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46"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37"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最高排放速率（kg/h）</w:t>
                  </w:r>
                </w:p>
              </w:tc>
              <w:tc>
                <w:tcPr>
                  <w:tcW w:w="692"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最高允许排放速率（kg/h）</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1"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一层、三层合成实验室废气排气筒DA001</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1.79</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0.150</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0.141</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2.8</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0.235</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二层合成实验室废气排气筒DA002</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1.78</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0.134</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0.132</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0.010</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restart"/>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四层合成实验室废气排气筒DA003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1.77</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0.083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0.121</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5.6×10</w:t>
                  </w:r>
                  <w:r>
                    <w:rPr>
                      <w:rFonts w:hint="eastAsia" w:ascii="Times New Roman" w:hAnsi="Times New Roman" w:eastAsia="宋体" w:cs="Times New Roman"/>
                      <w:kern w:val="2"/>
                      <w:sz w:val="21"/>
                      <w:szCs w:val="21"/>
                      <w:vertAlign w:val="superscript"/>
                      <w:lang w:val="en-US" w:eastAsia="zh-CN" w:bidi="ar-SA"/>
                    </w:rPr>
                    <w:t>-3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bl>
          <w:p>
            <w:pPr>
              <w:pStyle w:val="22"/>
              <w:spacing w:line="360" w:lineRule="auto"/>
              <w:ind w:firstLine="480" w:firstLineChars="200"/>
              <w:rPr>
                <w:rFonts w:hint="eastAsia" w:ascii="Times New Roman"/>
                <w:color w:val="auto"/>
                <w:highlight w:val="none"/>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一层、三层合成实验室废气排气筒DA001中主要污染物VOCs最高排放浓度为</w:t>
            </w:r>
            <w:r>
              <w:rPr>
                <w:rFonts w:hint="eastAsia" w:ascii="Times New Roman"/>
                <w:color w:val="auto"/>
                <w:highlight w:val="none"/>
                <w:lang w:val="en-US" w:eastAsia="zh-CN"/>
              </w:rPr>
              <w:t>1.79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0.150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0.141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r>
              <w:rPr>
                <w:rFonts w:hint="eastAsia" w:ascii="Times New Roman"/>
                <w:color w:val="auto"/>
                <w:highlight w:val="none"/>
                <w:lang w:eastAsia="zh-CN"/>
              </w:rPr>
              <w:t>氯化氢</w:t>
            </w:r>
            <w:r>
              <w:rPr>
                <w:rFonts w:hint="eastAsia" w:ascii="Times New Roman"/>
                <w:color w:val="auto"/>
                <w:highlight w:val="none"/>
              </w:rPr>
              <w:t>最高排放浓度为</w:t>
            </w:r>
            <w:r>
              <w:rPr>
                <w:rFonts w:hint="eastAsia" w:ascii="Times New Roman"/>
                <w:color w:val="auto"/>
                <w:highlight w:val="none"/>
                <w:lang w:val="en-US" w:eastAsia="zh-CN"/>
              </w:rPr>
              <w:t>2.8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0.235</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排放浓度满足《制药工业大气污染物排放标准》（GB37823-2019）表 2 标准。二层合成实验室废气排气筒DA002</w:t>
            </w:r>
            <w:r>
              <w:rPr>
                <w:rFonts w:hint="eastAsia" w:ascii="Times New Roman"/>
                <w:color w:val="auto"/>
                <w:highlight w:val="none"/>
              </w:rPr>
              <w:t>中主要污染物VOCs最高排放浓度为</w:t>
            </w:r>
            <w:r>
              <w:rPr>
                <w:rFonts w:hint="eastAsia" w:ascii="Times New Roman"/>
                <w:color w:val="auto"/>
                <w:highlight w:val="none"/>
                <w:lang w:val="en-US" w:eastAsia="zh-CN"/>
              </w:rPr>
              <w:t>1.78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0.134</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0.132</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0.010</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时段最高允许排放浓度限值。四层合成实验室废气排气筒DA003</w:t>
            </w:r>
            <w:r>
              <w:rPr>
                <w:rFonts w:hint="eastAsia" w:ascii="Times New Roman"/>
                <w:color w:val="auto"/>
                <w:highlight w:val="none"/>
              </w:rPr>
              <w:t>中主要污染物VOCs最高排放浓度为</w:t>
            </w:r>
            <w:r>
              <w:rPr>
                <w:rFonts w:hint="eastAsia" w:ascii="Times New Roman"/>
                <w:color w:val="auto"/>
                <w:highlight w:val="none"/>
                <w:lang w:val="en-US" w:eastAsia="zh-CN"/>
              </w:rPr>
              <w:t>1.77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0.121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，最高排放速率为5.6×10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p>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表8-2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1"/>
              <w:gridCol w:w="2579"/>
              <w:gridCol w:w="2596"/>
              <w:gridCol w:w="1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596"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613"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0.20</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1.26</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1.4（厂房通风口处）</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79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sz w:val="21"/>
                      <w:szCs w:val="21"/>
                      <w:lang w:val="en-US" w:eastAsia="zh-CN"/>
                    </w:rPr>
                  </w:pPr>
                  <w:r>
                    <w:rPr>
                      <w:rFonts w:ascii="Times New Roman" w:hAnsi="Times New Roman" w:eastAsia="宋体"/>
                      <w:kern w:val="2"/>
                      <w:sz w:val="21"/>
                      <w:szCs w:val="21"/>
                      <w:lang w:bidi="ar"/>
                    </w:rPr>
                    <w:t>备注：未检出表示检测值小于检出限</w:t>
                  </w:r>
                  <w:r>
                    <w:rPr>
                      <w:rFonts w:hint="eastAsia"/>
                      <w:kern w:val="2"/>
                      <w:sz w:val="21"/>
                      <w:szCs w:val="21"/>
                      <w:lang w:eastAsia="zh-CN" w:bidi="ar"/>
                    </w:rPr>
                    <w:t>。</w:t>
                  </w:r>
                </w:p>
              </w:tc>
            </w:tr>
          </w:tbl>
          <w:p>
            <w:pPr>
              <w:pStyle w:val="22"/>
              <w:spacing w:line="360" w:lineRule="auto"/>
              <w:ind w:firstLine="480" w:firstLineChars="200"/>
              <w:rPr>
                <w:rFonts w:hint="eastAsia" w:ascii="Times New Roman" w:hAnsi="Times New Roman" w:eastAsia="宋体"/>
                <w:color w:val="auto"/>
                <w:highlight w:val="none"/>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甲苯为未检出，</w:t>
            </w:r>
            <w:r>
              <w:rPr>
                <w:rFonts w:hint="eastAsia" w:ascii="Times New Roman" w:hAnsi="Times New Roman" w:cs="Times New Roman"/>
                <w:sz w:val="24"/>
                <w:lang w:eastAsia="zh-CN"/>
              </w:rPr>
              <w:t>满足《挥发性有机物排放标准第 7 部分：其他行业》（DB37/2801.7-2019）表 2 监控点浓度限值要求。氯化氢为未检出，满足《制药工业大气污染物排放标准》（GB37823-2019） 表 4 企业边界大气污染物浓度限值要求。</w:t>
            </w:r>
          </w:p>
          <w:p>
            <w:pPr>
              <w:pStyle w:val="22"/>
              <w:spacing w:line="360" w:lineRule="auto"/>
              <w:ind w:firstLine="480" w:firstLineChars="200"/>
              <w:rPr>
                <w:rFonts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1.4</w:t>
            </w:r>
            <w:r>
              <w:rPr>
                <w:rFonts w:hint="eastAsia" w:ascii="Times New Roman"/>
                <w:color w:val="auto"/>
                <w:highlight w:val="none"/>
                <w:lang w:val="en-US" w:eastAsia="zh-CN"/>
              </w:rPr>
              <w:t>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p>
            <w:pPr>
              <w:pStyle w:val="33"/>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color w:val="auto"/>
                <w:kern w:val="0"/>
                <w:szCs w:val="24"/>
                <w:highlight w:val="none"/>
                <w:lang w:eastAsia="zh-CN" w:bidi="ar"/>
              </w:rPr>
              <w:t>表1的A等</w:t>
            </w:r>
            <w:r>
              <w:rPr>
                <w:rFonts w:hint="eastAsia" w:cs="Times New Roman"/>
                <w:color w:val="auto"/>
                <w:kern w:val="0"/>
                <w:szCs w:val="24"/>
                <w:highlight w:val="none"/>
                <w:lang w:bidi="ar"/>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8-3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8-4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0"/>
              <w:rPr>
                <w:rFonts w:hint="eastAsia"/>
                <w:color w:val="auto"/>
                <w:highlight w:val="none"/>
              </w:rPr>
            </w:pPr>
            <w:r>
              <w:rPr>
                <w:rFonts w:hint="eastAsia"/>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w:t>
            </w:r>
            <w:r>
              <w:rPr>
                <w:rFonts w:hint="eastAsia"/>
                <w:color w:val="auto"/>
                <w:highlight w:val="none"/>
                <w:lang w:eastAsia="zh-CN"/>
              </w:rPr>
              <w:t>表1中A级</w:t>
            </w:r>
            <w:r>
              <w:rPr>
                <w:rFonts w:hint="eastAsia"/>
                <w:color w:val="auto"/>
                <w:highlight w:val="none"/>
              </w:rPr>
              <w:t>标准。</w:t>
            </w:r>
          </w:p>
          <w:p>
            <w:pPr>
              <w:pStyle w:val="33"/>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本项目噪声源主要来自实验室设备运行产生的噪声。本项目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表8-5  噪声判定结果表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1090"/>
              <w:gridCol w:w="1088"/>
              <w:gridCol w:w="1089"/>
              <w:gridCol w:w="1089"/>
              <w:gridCol w:w="1089"/>
              <w:gridCol w:w="1108"/>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restart"/>
                  <w:vAlign w:val="center"/>
                </w:tcPr>
                <w:p>
                  <w:pPr>
                    <w:snapToGrid/>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测量</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时段</w:t>
                  </w:r>
                </w:p>
              </w:tc>
              <w:tc>
                <w:tcPr>
                  <w:tcW w:w="550" w:type="pct"/>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检测</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项目</w:t>
                  </w:r>
                </w:p>
              </w:tc>
              <w:tc>
                <w:tcPr>
                  <w:tcW w:w="2755" w:type="pct"/>
                  <w:gridSpan w:val="5"/>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549" w:type="pct"/>
                  <w:vMerge w:val="restar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2类标准值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50"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4#</w:t>
                  </w:r>
                  <w:r>
                    <w:rPr>
                      <w:rFonts w:hint="eastAsia" w:ascii="Times New Roman" w:hAnsi="Times New Roman" w:cs="Times New Roman"/>
                      <w:b/>
                      <w:bCs/>
                      <w:color w:val="auto"/>
                      <w:sz w:val="21"/>
                      <w:szCs w:val="21"/>
                      <w:lang w:eastAsia="zh-CN"/>
                    </w:rPr>
                    <w:t>北偏西厂界</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5#</w:t>
                  </w:r>
                  <w:r>
                    <w:rPr>
                      <w:rFonts w:hint="eastAsia" w:ascii="Times New Roman" w:hAnsi="Times New Roman" w:cs="Times New Roman"/>
                      <w:b/>
                      <w:bCs/>
                      <w:color w:val="auto"/>
                      <w:sz w:val="21"/>
                      <w:szCs w:val="21"/>
                      <w:lang w:eastAsia="zh-CN"/>
                    </w:rPr>
                    <w:t>北偏东厂界</w:t>
                  </w:r>
                </w:p>
              </w:tc>
              <w:tc>
                <w:tcPr>
                  <w:tcW w:w="549"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昼间</w:t>
                  </w:r>
                </w:p>
              </w:tc>
              <w:tc>
                <w:tcPr>
                  <w:tcW w:w="550"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噪声</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57.4</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57.0</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57.8</w:t>
                  </w:r>
                </w:p>
              </w:tc>
              <w:tc>
                <w:tcPr>
                  <w:tcW w:w="558"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096" w:type="pct"/>
                  <w:gridSpan w:val="2"/>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备注</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w:t>
                  </w:r>
                </w:p>
              </w:tc>
            </w:tr>
          </w:tbl>
          <w:p>
            <w:pPr>
              <w:pStyle w:val="33"/>
              <w:snapToGrid w:val="0"/>
              <w:jc w:val="both"/>
              <w:rPr>
                <w:rFonts w:hint="eastAsia"/>
                <w:color w:val="auto"/>
                <w:highlight w:val="none"/>
              </w:rPr>
            </w:pPr>
            <w:r>
              <w:rPr>
                <w:rFonts w:hint="eastAsia"/>
                <w:color w:val="auto"/>
                <w:highlight w:val="none"/>
              </w:rPr>
              <w:t>验收监测期间，项目1#东厂界、2#南厂界、3#西厂界、4#北偏西厂界、5#北偏东厂界，昼间厂界噪声最大值分别为57.4dB（A）、57.2dB（A）、57.0dB（A）、57.8dB（A）、57.2dB（A），均满足《工业企业厂界环境噪声排放标准》(GB12348-2008)2类昼间标准。项目夜间不运行。</w:t>
            </w:r>
          </w:p>
          <w:p>
            <w:pPr>
              <w:pStyle w:val="33"/>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物、合成实验废液、初洗废液和二次清洗废液、质检废液、过期试剂、废活性炭、废催化剂、废干燥剂、废吸附剂；一般固废主要包括：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项目产生的废包装物、一次性口罩、手套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统一收集外售；生活垃圾由环卫部门定期清运；实验废物、合成实验废液、初洗废液和二次清洗废液、质检废液、过期试剂、废活性炭、废干燥剂、废吸附剂、废催化剂等危险废物定期委托有资质单位处置。</w:t>
            </w:r>
          </w:p>
          <w:p>
            <w:pPr>
              <w:pStyle w:val="33"/>
              <w:widowControl/>
              <w:adjustRightInd/>
              <w:rPr>
                <w:rFonts w:hint="eastAsia" w:cs="Times New Roman"/>
                <w:color w:val="auto"/>
                <w:szCs w:val="24"/>
                <w:highlight w:val="none"/>
              </w:rPr>
            </w:pPr>
            <w:r>
              <w:rPr>
                <w:rFonts w:hint="eastAsia" w:cs="Times New Roman"/>
                <w:color w:val="auto"/>
                <w:szCs w:val="24"/>
                <w:highlight w:val="none"/>
              </w:rPr>
              <w:t>建设单位已与山东环沃环保科技有限公司、济南德正环保科技有限公司签订危废委托处理协议。</w:t>
            </w:r>
          </w:p>
          <w:p>
            <w:pPr>
              <w:pStyle w:val="33"/>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napToGrid w:val="0"/>
              <w:jc w:val="both"/>
              <w:rPr>
                <w:rFonts w:cs="Times New Roman"/>
                <w:color w:val="auto"/>
                <w:szCs w:val="24"/>
                <w:highlight w:val="none"/>
              </w:rPr>
            </w:pPr>
          </w:p>
          <w:p>
            <w:pPr>
              <w:pStyle w:val="33"/>
              <w:spacing w:line="240" w:lineRule="auto"/>
              <w:ind w:firstLine="0" w:firstLineChars="0"/>
              <w:rPr>
                <w:rFonts w:cs="Times New Roman"/>
                <w:color w:val="auto"/>
                <w:szCs w:val="24"/>
                <w:highlight w:val="none"/>
              </w:rPr>
            </w:pPr>
          </w:p>
        </w:tc>
      </w:tr>
    </w:tbl>
    <w:p>
      <w:pPr>
        <w:adjustRightInd w:val="0"/>
        <w:snapToGrid w:val="0"/>
        <w:ind w:firstLine="0" w:firstLineChars="0"/>
        <w:outlineLvl w:val="0"/>
        <w:rPr>
          <w:b/>
          <w:bCs/>
          <w:color w:val="auto"/>
          <w:sz w:val="30"/>
          <w:szCs w:val="30"/>
          <w:highlight w:val="none"/>
        </w:rPr>
      </w:pPr>
      <w:r>
        <w:rPr>
          <w:b/>
          <w:bCs/>
          <w:color w:val="auto"/>
          <w:sz w:val="30"/>
          <w:szCs w:val="30"/>
          <w:highlight w:val="none"/>
        </w:rPr>
        <w:br w:type="page"/>
      </w:r>
      <w:bookmarkStart w:id="313" w:name="_Toc20579"/>
      <w:bookmarkStart w:id="314" w:name="_Toc29431"/>
      <w:bookmarkStart w:id="315" w:name="_Toc3003"/>
      <w:bookmarkStart w:id="316" w:name="_Toc3231"/>
      <w:bookmarkStart w:id="317" w:name="_Toc21936"/>
      <w:bookmarkStart w:id="318" w:name="_Toc8560"/>
      <w:bookmarkStart w:id="319" w:name="_Toc24715"/>
      <w:bookmarkStart w:id="320" w:name="_Toc27201"/>
      <w:bookmarkStart w:id="321" w:name="_Toc10085"/>
      <w:bookmarkStart w:id="322" w:name="_Toc158"/>
      <w:bookmarkStart w:id="323" w:name="_Toc3417"/>
      <w:bookmarkStart w:id="324" w:name="_Toc2949"/>
      <w:bookmarkStart w:id="325" w:name="_Toc32664"/>
      <w:bookmarkStart w:id="326" w:name="_Toc14130"/>
      <w:bookmarkStart w:id="327" w:name="_Toc18413"/>
      <w:bookmarkStart w:id="328" w:name="_Toc21762"/>
      <w:bookmarkStart w:id="329" w:name="_Toc27430"/>
      <w:bookmarkStart w:id="330" w:name="_Toc26760"/>
      <w:bookmarkStart w:id="331" w:name="_Toc14702"/>
      <w:bookmarkStart w:id="332" w:name="_Toc20604"/>
      <w:bookmarkStart w:id="333" w:name="_Toc13304"/>
      <w:bookmarkStart w:id="334" w:name="_Toc3145"/>
      <w:bookmarkStart w:id="335" w:name="_Toc23936"/>
      <w:bookmarkStart w:id="336" w:name="_Toc17099"/>
      <w:bookmarkStart w:id="337" w:name="_Toc3652"/>
      <w:bookmarkStart w:id="338" w:name="_Toc6657"/>
      <w:bookmarkStart w:id="339" w:name="_Toc7178"/>
      <w:bookmarkStart w:id="340" w:name="_Toc2036"/>
      <w:bookmarkStart w:id="341" w:name="_Toc29236"/>
      <w:bookmarkStart w:id="342" w:name="_Toc25468"/>
      <w:bookmarkStart w:id="343" w:name="_Toc1259"/>
      <w:bookmarkStart w:id="344" w:name="_Toc24156"/>
      <w:bookmarkStart w:id="345" w:name="_Toc19387"/>
      <w:bookmarkStart w:id="346" w:name="_Toc4233"/>
      <w:bookmarkStart w:id="347" w:name="_Toc7922"/>
      <w:bookmarkStart w:id="348" w:name="_Toc15923"/>
      <w:bookmarkStart w:id="349" w:name="_Toc29560"/>
      <w:bookmarkStart w:id="350" w:name="_Toc26709"/>
      <w:bookmarkStart w:id="351" w:name="_Toc17725"/>
      <w:bookmarkStart w:id="352" w:name="_Toc23621"/>
      <w:bookmarkStart w:id="353" w:name="_Toc14651"/>
      <w:bookmarkStart w:id="354" w:name="_Toc2432"/>
      <w:r>
        <w:rPr>
          <w:b/>
          <w:bCs/>
          <w:color w:val="auto"/>
          <w:sz w:val="30"/>
          <w:szCs w:val="30"/>
          <w:highlight w:val="none"/>
        </w:rPr>
        <w:t>表9  验收监测结论及建议</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tbl>
      <w:tblPr>
        <w:tblStyle w:val="27"/>
        <w:tblW w:w="4848" w:type="pct"/>
        <w:tblInd w:w="123"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autofit"/>
        <w:tblCellMar>
          <w:top w:w="0" w:type="dxa"/>
          <w:left w:w="108" w:type="dxa"/>
          <w:bottom w:w="0" w:type="dxa"/>
          <w:right w:w="108" w:type="dxa"/>
        </w:tblCellMar>
      </w:tblPr>
      <w:tblGrid>
        <w:gridCol w:w="895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90" w:hRule="atLeast"/>
        </w:trPr>
        <w:tc>
          <w:tcPr>
            <w:tcW w:w="5000" w:type="pct"/>
          </w:tcPr>
          <w:p>
            <w:pPr>
              <w:pStyle w:val="33"/>
              <w:ind w:firstLine="482"/>
              <w:rPr>
                <w:rFonts w:cs="Times New Roman"/>
                <w:b/>
                <w:bCs/>
                <w:color w:val="auto"/>
                <w:szCs w:val="24"/>
                <w:highlight w:val="none"/>
              </w:rPr>
            </w:pPr>
            <w:r>
              <w:rPr>
                <w:rFonts w:cs="Times New Roman"/>
                <w:b/>
                <w:bCs/>
                <w:color w:val="auto"/>
                <w:szCs w:val="24"/>
                <w:highlight w:val="none"/>
              </w:rPr>
              <w:t>一、验收监测结论：</w:t>
            </w:r>
          </w:p>
          <w:p>
            <w:pPr>
              <w:pStyle w:val="33"/>
              <w:rPr>
                <w:rFonts w:hint="eastAsia" w:cs="Times New Roman"/>
                <w:color w:val="auto"/>
                <w:szCs w:val="24"/>
                <w:highlight w:val="none"/>
              </w:rPr>
            </w:pPr>
            <w:r>
              <w:rPr>
                <w:rFonts w:hint="eastAsia" w:cs="Times New Roman"/>
                <w:color w:val="auto"/>
                <w:szCs w:val="24"/>
                <w:highlight w:val="none"/>
              </w:rPr>
              <w:t>山东盛迪医药有限公司成立于2018年06月13日，注册地位于山东省济南市高新区大正路1777号生物医药园中小企业产业化基地5号楼102，法定代表人为蒋素梅。经营范围包括药品生产；医药技术、生物技术开发等。</w:t>
            </w:r>
          </w:p>
          <w:p>
            <w:pPr>
              <w:pStyle w:val="33"/>
              <w:rPr>
                <w:rFonts w:hint="default" w:ascii="Times New Roman" w:hAnsi="Times New Roman" w:eastAsia="宋体" w:cs="Times New Roman"/>
                <w:sz w:val="24"/>
                <w:szCs w:val="24"/>
                <w:lang w:val="en-US" w:eastAsia="zh-CN"/>
              </w:rPr>
            </w:pPr>
            <w:r>
              <w:rPr>
                <w:rFonts w:hint="eastAsia" w:cs="Times New Roman"/>
                <w:szCs w:val="24"/>
                <w:lang w:val="en-US" w:eastAsia="zh-CN"/>
              </w:rPr>
              <w:t>山东盛迪医药有限公司</w:t>
            </w:r>
            <w:r>
              <w:rPr>
                <w:rFonts w:hint="eastAsia"/>
                <w:color w:val="auto"/>
                <w:sz w:val="24"/>
                <w:highlight w:val="none"/>
                <w:lang w:eastAsia="zh-CN"/>
              </w:rPr>
              <w:t>现有项目为《</w:t>
            </w:r>
            <w:r>
              <w:rPr>
                <w:rFonts w:hint="eastAsia" w:cs="Times New Roman"/>
                <w:szCs w:val="24"/>
                <w:lang w:val="en-US" w:eastAsia="zh-CN"/>
              </w:rPr>
              <w:t>山东盛迪医药有限公司</w:t>
            </w:r>
            <w:r>
              <w:rPr>
                <w:rFonts w:hint="eastAsia"/>
                <w:color w:val="auto"/>
                <w:sz w:val="24"/>
                <w:highlight w:val="none"/>
                <w:lang w:eastAsia="zh-CN"/>
              </w:rPr>
              <w:t>高端制剂研发及口服制剂产业化一期建设项目》</w:t>
            </w:r>
            <w:r>
              <w:rPr>
                <w:rFonts w:hint="eastAsia"/>
                <w:color w:val="auto"/>
                <w:sz w:val="24"/>
                <w:highlight w:val="none"/>
                <w:lang w:val="en-US" w:eastAsia="zh-CN"/>
              </w:rPr>
              <w:t>，于2019年8月12日通过了济南市生态环境局的审批（济环报告表[2019]G119号），2021年5月18日已通过自主验收。《山东盛迪医药有限公司高端制剂研发及口服制剂产业化一期建设项目固体废物环境影响补充报告》，于2021年1月25日取得济南市生态环境局的复函并完成备案，审批文号为济高固字[2021]G2号。《</w:t>
            </w:r>
            <w:r>
              <w:rPr>
                <w:rFonts w:hint="eastAsia" w:cs="Times New Roman"/>
                <w:szCs w:val="24"/>
                <w:lang w:val="en-US" w:eastAsia="zh-CN"/>
              </w:rPr>
              <w:t>山东盛迪医药有限公司动物实验室项目</w:t>
            </w:r>
            <w:r>
              <w:rPr>
                <w:rFonts w:hint="eastAsia"/>
                <w:color w:val="auto"/>
                <w:sz w:val="24"/>
                <w:highlight w:val="none"/>
                <w:lang w:val="en-US" w:eastAsia="zh-CN"/>
              </w:rPr>
              <w:t>》，于2021年7月22日通过了济南市生态环境局的审批（济环报告表[2021]G69号），2022年6月25日已通过自主验收。</w:t>
            </w:r>
            <w:r>
              <w:rPr>
                <w:rFonts w:hint="default" w:cs="Times New Roman"/>
                <w:color w:val="auto"/>
                <w:sz w:val="24"/>
                <w:szCs w:val="24"/>
                <w:lang w:val="en-US" w:eastAsia="zh-CN"/>
              </w:rPr>
              <w:t>《</w:t>
            </w:r>
            <w:r>
              <w:rPr>
                <w:rFonts w:hint="eastAsia" w:cs="Times New Roman"/>
                <w:color w:val="auto"/>
                <w:sz w:val="24"/>
                <w:szCs w:val="24"/>
                <w:lang w:eastAsia="zh-CN"/>
              </w:rPr>
              <w:t>山东盛迪医药有限公司创新药物研发二期项目</w:t>
            </w:r>
            <w:r>
              <w:rPr>
                <w:rFonts w:hint="default" w:cs="Times New Roman"/>
                <w:color w:val="auto"/>
                <w:sz w:val="24"/>
                <w:szCs w:val="24"/>
                <w:lang w:val="en-US" w:eastAsia="zh-CN"/>
              </w:rPr>
              <w:t>》</w:t>
            </w:r>
            <w:r>
              <w:rPr>
                <w:rFonts w:hint="default" w:ascii="Times New Roman" w:hAnsi="Times New Roman" w:cs="Times New Roman"/>
                <w:color w:val="auto"/>
                <w:sz w:val="24"/>
                <w:szCs w:val="24"/>
                <w:lang w:eastAsia="zh-CN"/>
              </w:rPr>
              <w:t>，于</w:t>
            </w:r>
            <w:r>
              <w:rPr>
                <w:rFonts w:hint="eastAsia" w:cs="Times New Roman"/>
                <w:color w:val="auto"/>
                <w:sz w:val="24"/>
                <w:szCs w:val="24"/>
                <w:lang w:val="en-US" w:eastAsia="zh-CN"/>
              </w:rPr>
              <w:t>2021年9月2日</w:t>
            </w:r>
            <w:r>
              <w:rPr>
                <w:rFonts w:hint="eastAsia"/>
                <w:color w:val="auto"/>
                <w:sz w:val="24"/>
                <w:highlight w:val="none"/>
                <w:lang w:val="en-US" w:eastAsia="zh-CN"/>
              </w:rPr>
              <w:t>通过了</w:t>
            </w:r>
            <w:r>
              <w:rPr>
                <w:rFonts w:hint="default" w:cs="Times New Roman"/>
                <w:color w:val="auto"/>
                <w:sz w:val="24"/>
                <w:szCs w:val="24"/>
                <w:lang w:val="en-US" w:eastAsia="zh-CN"/>
              </w:rPr>
              <w:t>济南市生态环境局</w:t>
            </w:r>
            <w:r>
              <w:rPr>
                <w:rFonts w:hint="default" w:ascii="Times New Roman" w:hAnsi="Times New Roman" w:cs="Times New Roman"/>
                <w:color w:val="auto"/>
                <w:sz w:val="24"/>
                <w:szCs w:val="24"/>
                <w:lang w:val="en-US" w:eastAsia="zh-CN"/>
              </w:rPr>
              <w:t>审批（</w:t>
            </w:r>
            <w:r>
              <w:rPr>
                <w:rFonts w:hint="eastAsia" w:cs="Times New Roman"/>
                <w:b w:val="0"/>
                <w:bCs w:val="0"/>
                <w:color w:val="auto"/>
                <w:sz w:val="24"/>
                <w:szCs w:val="24"/>
                <w:vertAlign w:val="baseline"/>
                <w:lang w:val="en-US" w:eastAsia="zh-CN"/>
              </w:rPr>
              <w:t>济环报告表［2021］G79号</w:t>
            </w:r>
            <w:r>
              <w:rPr>
                <w:rFonts w:hint="default" w:ascii="Times New Roman" w:hAnsi="Times New Roman" w:cs="Times New Roman"/>
                <w:color w:val="auto"/>
                <w:sz w:val="24"/>
                <w:szCs w:val="24"/>
                <w:lang w:val="en-US" w:eastAsia="zh-CN"/>
              </w:rPr>
              <w:t>）</w:t>
            </w:r>
            <w:r>
              <w:rPr>
                <w:rFonts w:hint="eastAsia"/>
                <w:color w:val="auto"/>
                <w:sz w:val="24"/>
                <w:highlight w:val="none"/>
                <w:lang w:val="en-US" w:eastAsia="zh-CN"/>
              </w:rPr>
              <w:t>，2022年6月25日已通过自主验收。《</w:t>
            </w:r>
            <w:r>
              <w:rPr>
                <w:rFonts w:hint="eastAsia" w:cs="Times New Roman"/>
                <w:szCs w:val="24"/>
                <w:lang w:val="en-US" w:eastAsia="zh-CN"/>
              </w:rPr>
              <w:t>山东盛迪医药有限公司</w:t>
            </w:r>
            <w:r>
              <w:rPr>
                <w:rFonts w:hint="eastAsia"/>
                <w:color w:val="auto"/>
                <w:sz w:val="24"/>
                <w:highlight w:val="none"/>
                <w:lang w:eastAsia="zh-CN"/>
              </w:rPr>
              <w:t>高端制剂产业化二期建设项目</w:t>
            </w:r>
            <w:r>
              <w:rPr>
                <w:rFonts w:hint="eastAsia"/>
                <w:color w:val="auto"/>
                <w:sz w:val="24"/>
                <w:highlight w:val="none"/>
                <w:lang w:val="en-US" w:eastAsia="zh-CN"/>
              </w:rPr>
              <w:t>》，于2022年1月21日通过了济南市生态环境局的审批（济环报告表[2022]G1号），目前暂未验收。</w:t>
            </w:r>
          </w:p>
          <w:p>
            <w:pPr>
              <w:pStyle w:val="33"/>
              <w:rPr>
                <w:rFonts w:hint="eastAsia" w:cs="Times New Roman"/>
                <w:color w:val="auto"/>
                <w:szCs w:val="24"/>
                <w:highlight w:val="none"/>
              </w:rPr>
            </w:pPr>
            <w:r>
              <w:rPr>
                <w:rFonts w:hint="eastAsia" w:cs="Times New Roman"/>
                <w:color w:val="auto"/>
                <w:szCs w:val="24"/>
                <w:highlight w:val="none"/>
              </w:rPr>
              <w:t>山东盛迪医药有限公司2021年5月委托山东共享环境管理咨询有限公司编制完成了《山东盛迪医药有限公司创新药物研发一期项目环境影响报告表》，并于2021年6月15日经济南市生态环境局审批（济环报告表［2021］G50号）。</w:t>
            </w:r>
          </w:p>
          <w:p>
            <w:pPr>
              <w:pStyle w:val="33"/>
              <w:rPr>
                <w:rFonts w:hint="eastAsia" w:cs="Times New Roman"/>
                <w:color w:val="auto"/>
                <w:szCs w:val="24"/>
                <w:highlight w:val="none"/>
              </w:rPr>
            </w:pPr>
            <w:r>
              <w:rPr>
                <w:rFonts w:hint="eastAsia" w:cs="Times New Roman"/>
                <w:color w:val="auto"/>
                <w:szCs w:val="24"/>
                <w:highlight w:val="none"/>
              </w:rPr>
              <w:t>山东盛迪医药有限公司创新药物研发一期项目位于济南市高新区大正路1777号生物医药园西侧银丰国际城12#楼。项目总占地面积2436</w:t>
            </w:r>
            <w:r>
              <w:rPr>
                <w:rFonts w:hint="eastAsia" w:cs="Times New Roman"/>
                <w:color w:val="auto"/>
                <w:szCs w:val="24"/>
                <w:highlight w:val="none"/>
                <w:lang w:eastAsia="zh-CN"/>
              </w:rPr>
              <w:t>㎡</w:t>
            </w:r>
            <w:r>
              <w:rPr>
                <w:rFonts w:hint="eastAsia" w:cs="Times New Roman"/>
                <w:color w:val="auto"/>
                <w:szCs w:val="24"/>
                <w:highlight w:val="none"/>
              </w:rPr>
              <w:t>，总建筑面积8133</w:t>
            </w:r>
            <w:r>
              <w:rPr>
                <w:rFonts w:hint="eastAsia" w:cs="Times New Roman"/>
                <w:color w:val="auto"/>
                <w:szCs w:val="24"/>
                <w:highlight w:val="none"/>
                <w:lang w:eastAsia="zh-CN"/>
              </w:rPr>
              <w:t>㎡</w:t>
            </w:r>
            <w:r>
              <w:rPr>
                <w:rFonts w:hint="eastAsia" w:cs="Times New Roman"/>
                <w:color w:val="auto"/>
                <w:szCs w:val="24"/>
                <w:highlight w:val="none"/>
              </w:rPr>
              <w:t>。建设内容为实验室、事故水池、办公区及相关配套设施。总投资7100万元，其中环保投资720万元，本项目研发的创新药物主要为治疗多种肿瘤、内分泌、心血管、炎症、中枢神经等创新药，将做成的样品供上海盛迪研究院进行进一步的毒理毒性研究检测，用于制剂研发或者临床试验。本项目职工定员200人，每天工作8小时，年工作300天，年工作时间2400小时，夜间不生产。</w:t>
            </w:r>
          </w:p>
          <w:p>
            <w:pPr>
              <w:pStyle w:val="33"/>
              <w:rPr>
                <w:rFonts w:hint="eastAsia" w:cs="Times New Roman"/>
                <w:color w:val="auto"/>
                <w:szCs w:val="24"/>
                <w:highlight w:val="none"/>
              </w:rPr>
            </w:pPr>
            <w:r>
              <w:rPr>
                <w:rFonts w:hint="eastAsia" w:cs="Times New Roman"/>
                <w:color w:val="auto"/>
                <w:szCs w:val="24"/>
                <w:highlight w:val="none"/>
              </w:rPr>
              <w:t>本项目于2021年6月开工建设，2021年12月建成，2022年1月进行调试，环保设施同时设计、同时施工并同时进行调试，调试期间运行状况良好，具备竣工验收条件。</w:t>
            </w:r>
          </w:p>
          <w:p>
            <w:pPr>
              <w:pStyle w:val="33"/>
              <w:rPr>
                <w:rFonts w:hint="eastAsia" w:cs="Times New Roman"/>
                <w:color w:val="auto"/>
                <w:szCs w:val="24"/>
                <w:highlight w:val="none"/>
              </w:rPr>
            </w:pPr>
            <w:r>
              <w:rPr>
                <w:rFonts w:hint="eastAsia" w:cs="Times New Roman"/>
                <w:color w:val="auto"/>
                <w:szCs w:val="24"/>
                <w:highlight w:val="none"/>
              </w:rPr>
              <w:t>本次验收内容为山东盛迪医药有限公司创新药物研发一期项目建成后的全部内容。</w:t>
            </w:r>
          </w:p>
          <w:p>
            <w:pPr>
              <w:pStyle w:val="33"/>
              <w:rPr>
                <w:color w:val="auto"/>
                <w:highlight w:val="none"/>
              </w:rPr>
            </w:pPr>
            <w:r>
              <w:rPr>
                <w:rFonts w:hint="eastAsia" w:cs="Times New Roman"/>
                <w:color w:val="auto"/>
                <w:szCs w:val="24"/>
                <w:highlight w:val="none"/>
              </w:rPr>
              <w:t>根据生态环境部＜关于发布《建设项目竣工环境保护验收技术指南 污染影响类》的公告＞（公告2018年 第9号）及《建设项目竣工环境保护验收暂行办法》（国环规环评[2017] 4号）要求，需对山东盛迪医药有限公司创新药物研发一期项目进行竣工环境保护验收。因企业不具备检测能力，山东盛迪医药有限公司委托山东华晟环境检测有限公司于2022年1月10日~2022年1月11日、2022年3月30日~2022年4月1日，共计5天对本项目废气、废水、噪声进行了竣工验收监测并出具检测报告。根据项目情况及检测报告，山东盛迪医药有限公司于2022年6月编制完成了《山东盛迪医药有限公司创新药物研发一期项目竣工环境保护验收监测报告表》</w:t>
            </w:r>
            <w:r>
              <w:rPr>
                <w:rFonts w:hint="eastAsia"/>
                <w:color w:val="auto"/>
                <w:kern w:val="0"/>
                <w:highlight w:val="none"/>
              </w:rPr>
              <w:t>，</w:t>
            </w:r>
            <w:r>
              <w:rPr>
                <w:rFonts w:hint="eastAsia"/>
                <w:color w:val="auto"/>
                <w:highlight w:val="none"/>
              </w:rPr>
              <w:t>结论如下：</w:t>
            </w:r>
          </w:p>
          <w:p>
            <w:pPr>
              <w:pStyle w:val="33"/>
              <w:ind w:firstLine="482"/>
              <w:rPr>
                <w:rFonts w:cs="Times New Roman"/>
                <w:b/>
                <w:bCs/>
                <w:color w:val="auto"/>
                <w:szCs w:val="24"/>
                <w:highlight w:val="none"/>
              </w:rPr>
            </w:pPr>
            <w:r>
              <w:rPr>
                <w:rFonts w:hint="eastAsia" w:cs="Times New Roman"/>
                <w:b/>
                <w:bCs/>
                <w:color w:val="auto"/>
                <w:szCs w:val="24"/>
                <w:highlight w:val="none"/>
              </w:rPr>
              <w:t>1、变更情况：</w:t>
            </w:r>
          </w:p>
          <w:p>
            <w:pPr>
              <w:pStyle w:val="33"/>
              <w:rPr>
                <w:rFonts w:cs="Times New Roman"/>
                <w:color w:val="auto"/>
                <w:szCs w:val="24"/>
                <w:highlight w:val="none"/>
              </w:rPr>
            </w:pPr>
            <w:r>
              <w:rPr>
                <w:rFonts w:cs="Times New Roman"/>
                <w:color w:val="auto"/>
                <w:szCs w:val="24"/>
                <w:highlight w:val="none"/>
              </w:rPr>
              <w:t>项目建设过程发生的主要变化为：</w:t>
            </w:r>
          </w:p>
          <w:p>
            <w:pPr>
              <w:pStyle w:val="33"/>
              <w:numPr>
                <w:ilvl w:val="0"/>
                <w:numId w:val="0"/>
              </w:numPr>
              <w:ind w:firstLine="480" w:firstLineChars="200"/>
              <w:rPr>
                <w:rFonts w:hint="eastAsia"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根据实际工作需要，配置的实验仪器设备较环评阶段有适当调整，部分设备不再建设，增加部分辅助设备，</w:t>
            </w:r>
            <w:r>
              <w:rPr>
                <w:rFonts w:hint="eastAsia" w:cs="Times New Roman"/>
                <w:b w:val="0"/>
                <w:bCs w:val="0"/>
                <w:sz w:val="24"/>
                <w:szCs w:val="24"/>
                <w:lang w:val="en-US" w:eastAsia="zh-CN"/>
              </w:rPr>
              <w:t>原辅料基本一致，未发生变化，因此</w:t>
            </w:r>
            <w:r>
              <w:rPr>
                <w:rFonts w:hint="default" w:ascii="Times New Roman" w:hAnsi="Times New Roman" w:eastAsia="宋体" w:cs="Times New Roman"/>
                <w:b w:val="0"/>
                <w:bCs w:val="0"/>
                <w:sz w:val="24"/>
                <w:szCs w:val="24"/>
                <w:lang w:val="en-US" w:eastAsia="zh-CN"/>
              </w:rPr>
              <w:t>未增加排污，项目性质不变</w:t>
            </w:r>
            <w:r>
              <w:rPr>
                <w:rFonts w:hint="eastAsia" w:cs="Times New Roman"/>
                <w:b w:val="0"/>
                <w:bCs w:val="0"/>
                <w:sz w:val="24"/>
                <w:szCs w:val="24"/>
                <w:lang w:val="en-US" w:eastAsia="zh-CN"/>
              </w:rPr>
              <w:t>；识别危废：水质指标不符合济南银丰国际生物城污水处理站进水水质要求的喷淋塔废液，委托有资质单位处置；一层、三层废气环保措施由环评中“两级活性炭吸附”变更为实际安装3套“碱喷淋+除雾器+活性炭吸附”，分别处理一层废气、三层东侧废气和三层西侧废气，二层废气环保措施由环评中“两级活性炭吸附”变更为实际安装2套“一级活性炭</w:t>
            </w:r>
            <w:r>
              <w:rPr>
                <w:rFonts w:hint="eastAsia" w:cs="Times New Roman"/>
                <w:b w:val="0"/>
                <w:bCs w:val="0"/>
                <w:color w:val="auto"/>
                <w:sz w:val="24"/>
                <w:szCs w:val="24"/>
                <w:highlight w:val="none"/>
                <w:lang w:eastAsia="zh-CN"/>
              </w:rPr>
              <w:t>吸附</w:t>
            </w:r>
            <w:r>
              <w:rPr>
                <w:rFonts w:hint="eastAsia" w:cs="Times New Roman"/>
                <w:b w:val="0"/>
                <w:bCs w:val="0"/>
                <w:sz w:val="24"/>
                <w:szCs w:val="24"/>
                <w:lang w:val="en-US" w:eastAsia="zh-CN"/>
              </w:rPr>
              <w:t>”，分别处理二楼东侧废气和二楼西侧废气，总风量未发生变化，排气筒数量未发生变化，污染物排放总量未发生变化；DA003高度由环评中距地面27米，实际建设为距地面29米，应属于污染防治措施强化、改进。</w:t>
            </w:r>
          </w:p>
          <w:p>
            <w:pPr>
              <w:pStyle w:val="33"/>
              <w:rPr>
                <w:rFonts w:cs="Times New Roman"/>
                <w:color w:val="auto"/>
                <w:szCs w:val="24"/>
                <w:highlight w:val="none"/>
              </w:rPr>
            </w:pPr>
            <w:r>
              <w:rPr>
                <w:rFonts w:cs="Times New Roman"/>
                <w:color w:val="auto"/>
                <w:szCs w:val="24"/>
                <w:highlight w:val="none"/>
              </w:rPr>
              <w:t>根据《中华人民共和国环境影响评价法》、《建设项目环境保护管理条例》（国务院令第682号）</w:t>
            </w:r>
            <w:r>
              <w:rPr>
                <w:rFonts w:cs="Times New Roman"/>
                <w:color w:val="auto"/>
                <w:highlight w:val="none"/>
              </w:rPr>
              <w:t>和关于印发《污染影响类建设项目重大变动清单（试行）》的通知（环办环评函[2020]688号）</w:t>
            </w:r>
            <w:r>
              <w:rPr>
                <w:rFonts w:cs="Times New Roman"/>
                <w:color w:val="auto"/>
                <w:szCs w:val="24"/>
                <w:highlight w:val="none"/>
              </w:rPr>
              <w:t>等的有关规定，项目性质、实际建设地点、生产工艺、防治污染的措施与环评基本一致</w:t>
            </w:r>
            <w:r>
              <w:rPr>
                <w:rFonts w:hint="eastAsia" w:cs="Times New Roman"/>
                <w:color w:val="auto"/>
                <w:szCs w:val="24"/>
                <w:highlight w:val="none"/>
              </w:rPr>
              <w:t>，不属于重大变动，应纳入竣</w:t>
            </w:r>
            <w:r>
              <w:rPr>
                <w:rFonts w:cs="Times New Roman"/>
                <w:color w:val="auto"/>
                <w:szCs w:val="24"/>
                <w:highlight w:val="none"/>
              </w:rPr>
              <w:t>工环境保护验收管理。</w:t>
            </w:r>
          </w:p>
          <w:p>
            <w:pPr>
              <w:pStyle w:val="33"/>
              <w:ind w:firstLine="482"/>
              <w:rPr>
                <w:rFonts w:cs="Times New Roman"/>
                <w:color w:val="auto"/>
                <w:highlight w:val="none"/>
              </w:rPr>
            </w:pPr>
            <w:r>
              <w:rPr>
                <w:rFonts w:cs="Times New Roman"/>
                <w:b/>
                <w:bCs/>
                <w:color w:val="auto"/>
                <w:szCs w:val="24"/>
                <w:highlight w:val="none"/>
              </w:rPr>
              <w:t>2、监测期间运营工况情况：</w:t>
            </w:r>
          </w:p>
          <w:p>
            <w:pPr>
              <w:ind w:firstLine="480"/>
              <w:rPr>
                <w:color w:val="auto"/>
                <w:highlight w:val="none"/>
              </w:rPr>
            </w:pPr>
            <w:r>
              <w:rPr>
                <w:rFonts w:hint="eastAsia"/>
                <w:color w:val="auto"/>
                <w:highlight w:val="none"/>
              </w:rPr>
              <w:t>监测</w:t>
            </w:r>
            <w:r>
              <w:rPr>
                <w:color w:val="auto"/>
                <w:highlight w:val="none"/>
              </w:rPr>
              <w:t>期间本项目运行正常。</w:t>
            </w:r>
          </w:p>
          <w:p>
            <w:pPr>
              <w:pStyle w:val="33"/>
              <w:ind w:firstLine="482"/>
              <w:rPr>
                <w:rFonts w:cs="Times New Roman"/>
                <w:color w:val="auto"/>
                <w:highlight w:val="none"/>
              </w:rPr>
            </w:pPr>
            <w:r>
              <w:rPr>
                <w:rFonts w:cs="Times New Roman"/>
                <w:b/>
                <w:bCs/>
                <w:color w:val="auto"/>
                <w:szCs w:val="24"/>
                <w:highlight w:val="none"/>
              </w:rPr>
              <w:t>3、验收</w:t>
            </w:r>
            <w:r>
              <w:rPr>
                <w:rFonts w:hint="eastAsia" w:cs="Times New Roman"/>
                <w:b/>
                <w:bCs/>
                <w:color w:val="auto"/>
                <w:szCs w:val="24"/>
                <w:highlight w:val="none"/>
              </w:rPr>
              <w:t>检测结果</w:t>
            </w:r>
          </w:p>
          <w:p>
            <w:pPr>
              <w:pStyle w:val="33"/>
              <w:rPr>
                <w:rFonts w:hint="eastAsia" w:cs="Times New Roman"/>
                <w:color w:val="auto"/>
                <w:szCs w:val="24"/>
                <w:highlight w:val="none"/>
              </w:rPr>
            </w:pPr>
            <w:r>
              <w:rPr>
                <w:rFonts w:hint="eastAsia" w:cs="Times New Roman"/>
                <w:color w:val="auto"/>
                <w:szCs w:val="24"/>
                <w:highlight w:val="none"/>
              </w:rPr>
              <w:t>本项目合成反应操作均在通风橱中进行，通风橱呈负压状态，通过风机将挥发出来的气体吸入风管。合成过程产生会产生酸性废气和有机废气。</w:t>
            </w:r>
          </w:p>
          <w:p>
            <w:pPr>
              <w:pStyle w:val="33"/>
              <w:rPr>
                <w:rFonts w:hint="eastAsia" w:cs="Times New Roman"/>
                <w:color w:val="auto"/>
                <w:szCs w:val="24"/>
                <w:highlight w:val="none"/>
              </w:rPr>
            </w:pPr>
            <w:r>
              <w:rPr>
                <w:rFonts w:hint="eastAsia" w:cs="Times New Roman"/>
                <w:color w:val="auto"/>
                <w:szCs w:val="24"/>
                <w:highlight w:val="none"/>
              </w:rPr>
              <w:t>①有组织废气：</w:t>
            </w:r>
          </w:p>
          <w:p>
            <w:pPr>
              <w:pStyle w:val="33"/>
              <w:rPr>
                <w:rFonts w:hint="eastAsia" w:cs="Times New Roman"/>
                <w:color w:val="auto"/>
                <w:szCs w:val="24"/>
                <w:highlight w:val="none"/>
              </w:rPr>
            </w:pPr>
            <w:r>
              <w:rPr>
                <w:rFonts w:hint="eastAsia" w:cs="Times New Roman"/>
                <w:color w:val="auto"/>
                <w:szCs w:val="24"/>
                <w:highlight w:val="none"/>
              </w:rPr>
              <w:t>本项目一层实验室废气（有机、酸性）经通风橱、万向罩收集后经“1#碱喷淋+1#除雾器+1#活性炭吸附”处理，三层东侧实验室废气（有机、酸性）经通风橱、万向罩收集后经“2#碱喷淋+2#除雾器+2#活性炭吸附”处理，三层西侧实验室废气（有机、酸性）经通风橱、万向罩收集后经“3#碱喷淋+3#除雾器+3#活性炭吸附”处理，共同通过1根排气筒 DA001 排放（距地面27米）。危废暂存间废气引至一楼合成实验室废气处理装置“1#碱喷淋+1#除雾器+1#活性炭吸附”处理后通过排气筒DA001排放。</w:t>
            </w:r>
          </w:p>
          <w:p>
            <w:pPr>
              <w:pStyle w:val="33"/>
              <w:rPr>
                <w:rFonts w:hint="eastAsia" w:cs="Times New Roman"/>
                <w:color w:val="auto"/>
                <w:szCs w:val="24"/>
                <w:highlight w:val="none"/>
              </w:rPr>
            </w:pPr>
            <w:r>
              <w:rPr>
                <w:rFonts w:hint="eastAsia" w:cs="Times New Roman"/>
                <w:color w:val="auto"/>
                <w:szCs w:val="24"/>
                <w:highlight w:val="none"/>
              </w:rPr>
              <w:t>本项目二层东侧实验室废气（有机）经通风橱、万向罩收集后经“1#一级活性炭吸附”处理，二层西侧实验室废气（有机）经通风橱、万向罩收集后经“2#一级活性炭吸附”处理，共同通过1根排气筒 DA002排放（距地面27米）。</w:t>
            </w:r>
          </w:p>
          <w:p>
            <w:pPr>
              <w:pStyle w:val="33"/>
              <w:rPr>
                <w:rFonts w:hint="eastAsia" w:cs="Times New Roman"/>
                <w:color w:val="auto"/>
                <w:szCs w:val="24"/>
                <w:highlight w:val="none"/>
              </w:rPr>
            </w:pPr>
            <w:r>
              <w:rPr>
                <w:rFonts w:hint="eastAsia" w:cs="Times New Roman"/>
                <w:color w:val="auto"/>
                <w:szCs w:val="24"/>
                <w:highlight w:val="none"/>
              </w:rPr>
              <w:t>本项目四层合成实验室废气（有机）经通风橱、万向罩收集后经“两级活性炭吸附”处理后通过（距地面29米）DA003排气筒排放。</w:t>
            </w:r>
          </w:p>
          <w:p>
            <w:pPr>
              <w:pStyle w:val="33"/>
              <w:rPr>
                <w:rFonts w:hint="eastAsia" w:cs="Times New Roman"/>
                <w:color w:val="auto"/>
                <w:szCs w:val="24"/>
                <w:highlight w:val="none"/>
              </w:rPr>
            </w:pPr>
            <w:r>
              <w:rPr>
                <w:rFonts w:hint="eastAsia" w:cs="Times New Roman"/>
                <w:color w:val="auto"/>
                <w:szCs w:val="24"/>
                <w:highlight w:val="none"/>
              </w:rPr>
              <w:t>②无组织废气：</w:t>
            </w:r>
          </w:p>
          <w:p>
            <w:pPr>
              <w:pStyle w:val="33"/>
              <w:rPr>
                <w:rFonts w:hint="eastAsia" w:cs="Times New Roman"/>
                <w:color w:val="auto"/>
                <w:szCs w:val="24"/>
                <w:highlight w:val="none"/>
              </w:rPr>
            </w:pPr>
            <w:r>
              <w:rPr>
                <w:rFonts w:hint="eastAsia" w:cs="Times New Roman"/>
                <w:color w:val="auto"/>
                <w:szCs w:val="24"/>
                <w:highlight w:val="none"/>
              </w:rPr>
              <w:t>未被收集的实验室废气等，实验室通风后无组织排放。</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-1</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有组织废气</w:t>
            </w:r>
            <w:r>
              <w:rPr>
                <w:rFonts w:ascii="Times New Roman" w:hAnsi="Times New Roman"/>
                <w:b/>
                <w:bCs/>
                <w:color w:val="auto"/>
                <w:sz w:val="24"/>
                <w:highlight w:val="none"/>
              </w:rPr>
              <w:t>判定结果表</w:t>
            </w:r>
          </w:p>
          <w:tbl>
            <w:tblPr>
              <w:tblStyle w:val="2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3"/>
              <w:gridCol w:w="1296"/>
              <w:gridCol w:w="1397"/>
              <w:gridCol w:w="1303"/>
              <w:gridCol w:w="1287"/>
              <w:gridCol w:w="1208"/>
              <w:gridCol w:w="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采样点位</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800"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46"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737" w:type="pct"/>
                  <w:vAlign w:val="center"/>
                </w:tcPr>
                <w:p>
                  <w:pPr>
                    <w:spacing w:line="240" w:lineRule="auto"/>
                    <w:ind w:firstLine="0" w:firstLineChars="0"/>
                    <w:jc w:val="center"/>
                    <w:rPr>
                      <w:rFonts w:hint="default" w:ascii="Times New Roman" w:hAnsi="Times New Roman" w:eastAsia="宋体" w:cs="Times New Roman"/>
                      <w:b/>
                      <w:bCs/>
                      <w:sz w:val="21"/>
                      <w:szCs w:val="21"/>
                      <w:lang w:val="en-US" w:eastAsia="zh-CN"/>
                    </w:rPr>
                  </w:pPr>
                  <w:r>
                    <w:rPr>
                      <w:rFonts w:hint="eastAsia"/>
                      <w:b/>
                      <w:bCs/>
                      <w:color w:val="auto"/>
                      <w:sz w:val="21"/>
                      <w:szCs w:val="21"/>
                      <w:highlight w:val="none"/>
                    </w:rPr>
                    <w:t>最高排放速率（kg/h）</w:t>
                  </w:r>
                </w:p>
              </w:tc>
              <w:tc>
                <w:tcPr>
                  <w:tcW w:w="692" w:type="pct"/>
                  <w:vAlign w:val="center"/>
                </w:tcPr>
                <w:p>
                  <w:pPr>
                    <w:spacing w:line="240" w:lineRule="auto"/>
                    <w:ind w:firstLine="0" w:firstLineChars="0"/>
                    <w:jc w:val="center"/>
                    <w:rPr>
                      <w:rFonts w:hint="eastAsia" w:ascii="Times New Roman" w:hAnsi="Times New Roman" w:eastAsia="宋体" w:cs="Times New Roman"/>
                      <w:b/>
                      <w:bCs/>
                      <w:sz w:val="21"/>
                      <w:szCs w:val="21"/>
                      <w:lang w:val="en-US" w:eastAsia="zh-CN"/>
                    </w:rPr>
                  </w:pPr>
                  <w:r>
                    <w:rPr>
                      <w:rFonts w:hint="eastAsia"/>
                      <w:b/>
                      <w:bCs/>
                      <w:color w:val="auto"/>
                      <w:sz w:val="21"/>
                      <w:szCs w:val="21"/>
                      <w:highlight w:val="none"/>
                    </w:rPr>
                    <w:t>最高允许排放速率（kg/h）</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bCs/>
                      <w:sz w:val="21"/>
                      <w:szCs w:val="21"/>
                      <w:lang w:val="en-US" w:eastAsia="zh-CN"/>
                    </w:rPr>
                  </w:pPr>
                  <w:r>
                    <w:rPr>
                      <w:rFonts w:hint="eastAsia" w:cs="Times New Roman"/>
                      <w:b/>
                      <w:bCs/>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1"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一层、三层合成实验室废气排气筒DA001</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1.79</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0.150</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0.141</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2.8</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30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0.235</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二层合成实验室废气排气筒DA002</w:t>
                  </w: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1.78</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0.134</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74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0.132</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0.010</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5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restart"/>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四层合成实验室废气排气筒DA003</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1.77</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60</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0.083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741" w:type="pct"/>
                  <w:vMerge w:val="continue"/>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800"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0.121</w:t>
                  </w:r>
                </w:p>
              </w:tc>
              <w:tc>
                <w:tcPr>
                  <w:tcW w:w="746"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737"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5.6×10</w:t>
                  </w:r>
                  <w:r>
                    <w:rPr>
                      <w:rFonts w:hint="eastAsia" w:ascii="Times New Roman" w:hAnsi="Times New Roman" w:eastAsia="宋体" w:cs="Times New Roman"/>
                      <w:kern w:val="2"/>
                      <w:sz w:val="21"/>
                      <w:szCs w:val="21"/>
                      <w:vertAlign w:val="superscript"/>
                      <w:lang w:val="en-US" w:eastAsia="zh-CN" w:bidi="ar-SA"/>
                    </w:rPr>
                    <w:t>-3</w:t>
                  </w:r>
                </w:p>
              </w:tc>
              <w:tc>
                <w:tcPr>
                  <w:tcW w:w="692" w:type="pct"/>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w:t>
                  </w:r>
                </w:p>
              </w:tc>
              <w:tc>
                <w:tcPr>
                  <w:tcW w:w="0" w:type="auto"/>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cs="Times New Roman"/>
                      <w:sz w:val="21"/>
                      <w:szCs w:val="21"/>
                      <w:lang w:val="en-US" w:eastAsia="zh-CN"/>
                    </w:rPr>
                    <w:t>达标</w:t>
                  </w:r>
                </w:p>
              </w:tc>
            </w:tr>
          </w:tbl>
          <w:p>
            <w:pPr>
              <w:pStyle w:val="22"/>
              <w:spacing w:line="360" w:lineRule="auto"/>
              <w:ind w:firstLine="480" w:firstLineChars="200"/>
              <w:rPr>
                <w:rFonts w:hint="eastAsia" w:ascii="Times New Roman"/>
                <w:color w:val="auto"/>
                <w:highlight w:val="none"/>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color w:val="auto"/>
                <w:highlight w:val="none"/>
              </w:rPr>
              <w:t>一层、三层合成实验室废气排气筒DA001中主要污染物VOCs最高排放浓度为</w:t>
            </w:r>
            <w:r>
              <w:rPr>
                <w:rFonts w:hint="eastAsia" w:ascii="Times New Roman"/>
                <w:color w:val="auto"/>
                <w:highlight w:val="none"/>
                <w:lang w:val="en-US" w:eastAsia="zh-CN"/>
              </w:rPr>
              <w:t>1.79</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0.150</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0.141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r>
              <w:rPr>
                <w:rFonts w:hint="eastAsia" w:ascii="Times New Roman"/>
                <w:color w:val="auto"/>
                <w:highlight w:val="none"/>
                <w:lang w:eastAsia="zh-CN"/>
              </w:rPr>
              <w:t>氯化氢</w:t>
            </w:r>
            <w:r>
              <w:rPr>
                <w:rFonts w:hint="eastAsia" w:ascii="Times New Roman"/>
                <w:color w:val="auto"/>
                <w:highlight w:val="none"/>
              </w:rPr>
              <w:t>最高排放浓度为</w:t>
            </w:r>
            <w:r>
              <w:rPr>
                <w:rFonts w:hint="eastAsia" w:ascii="Times New Roman"/>
                <w:color w:val="auto"/>
                <w:highlight w:val="none"/>
                <w:lang w:val="en-US" w:eastAsia="zh-CN"/>
              </w:rPr>
              <w:t>2.8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0.235</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排放浓度满足《制药工业大气污染物排放标准》（GB37823-2019）表 2 标准。二层合成实验室废气排气筒DA002</w:t>
            </w:r>
            <w:r>
              <w:rPr>
                <w:rFonts w:hint="eastAsia" w:ascii="Times New Roman"/>
                <w:color w:val="auto"/>
                <w:highlight w:val="none"/>
              </w:rPr>
              <w:t>中主要污染物VOCs最高排放浓度为</w:t>
            </w:r>
            <w:r>
              <w:rPr>
                <w:rFonts w:hint="eastAsia" w:ascii="Times New Roman"/>
                <w:color w:val="auto"/>
                <w:highlight w:val="none"/>
                <w:lang w:val="en-US" w:eastAsia="zh-CN"/>
              </w:rPr>
              <w:t>1.78</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0.134</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0.132</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0.010</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时段最高允许排放浓度限值。四层合成实验室废气排气筒DA003</w:t>
            </w:r>
            <w:r>
              <w:rPr>
                <w:rFonts w:hint="eastAsia" w:ascii="Times New Roman"/>
                <w:color w:val="auto"/>
                <w:highlight w:val="none"/>
              </w:rPr>
              <w:t>中主要污染物VOCs最高排放浓度为</w:t>
            </w:r>
            <w:r>
              <w:rPr>
                <w:rFonts w:hint="eastAsia" w:ascii="Times New Roman"/>
                <w:color w:val="auto"/>
                <w:highlight w:val="none"/>
                <w:lang w:val="en-US" w:eastAsia="zh-CN"/>
              </w:rPr>
              <w:t>1.77</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w:t>
            </w:r>
            <w:r>
              <w:rPr>
                <w:rFonts w:hint="eastAsia" w:ascii="Times New Roman"/>
                <w:color w:val="auto"/>
                <w:highlight w:val="none"/>
                <w:lang w:val="en-US" w:eastAsia="zh-CN"/>
              </w:rPr>
              <w:t>0.083</w:t>
            </w:r>
            <w:r>
              <w:rPr>
                <w:rFonts w:ascii="Times New Roman"/>
                <w:color w:val="auto"/>
                <w:highlight w:val="none"/>
              </w:rPr>
              <w:t>kg/h</w:t>
            </w:r>
            <w:r>
              <w:rPr>
                <w:rFonts w:hint="eastAsia" w:ascii="Times New Roman"/>
                <w:color w:val="auto"/>
                <w:highlight w:val="none"/>
              </w:rPr>
              <w:t xml:space="preserve"> ，</w:t>
            </w:r>
            <w:r>
              <w:rPr>
                <w:rFonts w:hint="eastAsia" w:ascii="Times New Roman"/>
                <w:color w:val="auto"/>
                <w:highlight w:val="none"/>
                <w:lang w:eastAsia="zh-CN"/>
              </w:rPr>
              <w:t>甲苯</w:t>
            </w:r>
            <w:r>
              <w:rPr>
                <w:rFonts w:hint="eastAsia" w:ascii="Times New Roman"/>
                <w:color w:val="auto"/>
                <w:highlight w:val="none"/>
              </w:rPr>
              <w:t>最高排放浓度为</w:t>
            </w:r>
            <w:r>
              <w:rPr>
                <w:rFonts w:hint="eastAsia" w:ascii="Times New Roman"/>
                <w:color w:val="auto"/>
                <w:highlight w:val="none"/>
                <w:lang w:val="en-US" w:eastAsia="zh-CN"/>
              </w:rPr>
              <w:t>0.121</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，最高排放速率为5.6×10</w:t>
            </w:r>
            <w:r>
              <w:rPr>
                <w:rFonts w:hint="eastAsia" w:ascii="Times New Roman"/>
                <w:color w:val="auto"/>
                <w:highlight w:val="none"/>
                <w:vertAlign w:val="superscript"/>
              </w:rPr>
              <w:t>-3</w:t>
            </w:r>
            <w:r>
              <w:rPr>
                <w:rFonts w:ascii="Times New Roman"/>
                <w:color w:val="auto"/>
                <w:highlight w:val="none"/>
              </w:rPr>
              <w:t>kg/h</w:t>
            </w:r>
            <w:r>
              <w:rPr>
                <w:rFonts w:hint="eastAsia" w:ascii="Times New Roman"/>
                <w:color w:val="auto"/>
                <w:highlight w:val="none"/>
              </w:rPr>
              <w:t xml:space="preserve"> ，</w:t>
            </w:r>
            <w:r>
              <w:rPr>
                <w:rFonts w:hint="eastAsia" w:ascii="Times New Roman" w:hAnsi="Times New Roman" w:cs="Times New Roman"/>
                <w:sz w:val="24"/>
                <w:lang w:eastAsia="zh-CN"/>
              </w:rPr>
              <w:t>排放浓度、排放速率均满足《挥发性有机物排放标准第 7 部分：其他行业》（DB37/2801.7-2019） 表 1“非重点行业”II 时段最高允许排放浓度限值。</w:t>
            </w:r>
          </w:p>
          <w:p>
            <w:pPr>
              <w:pStyle w:val="3"/>
              <w:ind w:firstLine="0" w:firstLineChars="0"/>
              <w:jc w:val="center"/>
              <w:rPr>
                <w:rFonts w:hint="eastAsia" w:ascii="Times New Roman" w:hAnsi="Times New Roman"/>
                <w:b/>
                <w:bCs/>
                <w:color w:val="auto"/>
                <w:sz w:val="24"/>
                <w:highlight w:val="none"/>
              </w:rPr>
            </w:pP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-2  无组织废气判定结果表</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1"/>
              <w:gridCol w:w="2579"/>
              <w:gridCol w:w="2596"/>
              <w:gridCol w:w="1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ascii="Times New Roman" w:hAnsi="Times New Roman" w:eastAsia="宋体" w:cs="Times New Roman"/>
                      <w:b/>
                      <w:bCs/>
                      <w:sz w:val="21"/>
                      <w:szCs w:val="21"/>
                      <w:lang w:val="en-US" w:eastAsia="zh-CN"/>
                    </w:rPr>
                    <w:t>污染物</w:t>
                  </w:r>
                </w:p>
              </w:tc>
              <w:tc>
                <w:tcPr>
                  <w:tcW w:w="2596"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周界外浓度最高点浓度（mg/</w:t>
                  </w:r>
                  <w:r>
                    <w:rPr>
                      <w:rFonts w:hint="eastAsia"/>
                      <w:b/>
                      <w:bCs/>
                      <w:color w:val="auto"/>
                      <w:sz w:val="21"/>
                      <w:szCs w:val="21"/>
                      <w:highlight w:val="none"/>
                      <w:lang w:eastAsia="zh-CN"/>
                    </w:rPr>
                    <w:t>m³</w:t>
                  </w:r>
                  <w:r>
                    <w:rPr>
                      <w:rFonts w:hint="eastAsia"/>
                      <w:b/>
                      <w:bCs/>
                      <w:color w:val="auto"/>
                      <w:sz w:val="21"/>
                      <w:szCs w:val="21"/>
                      <w:highlight w:val="none"/>
                    </w:rPr>
                    <w:t>）</w:t>
                  </w:r>
                </w:p>
              </w:tc>
              <w:tc>
                <w:tcPr>
                  <w:tcW w:w="2613" w:type="dxa"/>
                  <w:vAlign w:val="center"/>
                </w:tcPr>
                <w:p>
                  <w:pPr>
                    <w:spacing w:line="240" w:lineRule="auto"/>
                    <w:ind w:firstLine="0" w:firstLineChars="0"/>
                    <w:jc w:val="center"/>
                    <w:rPr>
                      <w:rFonts w:hint="eastAsia" w:ascii="Times New Roman" w:hAnsi="Times New Roman" w:eastAsia="宋体" w:cs="Times New Roman"/>
                      <w:b/>
                      <w:bCs/>
                      <w:kern w:val="2"/>
                      <w:sz w:val="21"/>
                      <w:szCs w:val="21"/>
                      <w:lang w:val="en-US" w:eastAsia="zh-CN" w:bidi="ar-SA"/>
                    </w:rPr>
                  </w:pPr>
                  <w:r>
                    <w:rPr>
                      <w:rFonts w:hint="eastAsia"/>
                      <w:b/>
                      <w:bCs/>
                      <w:color w:val="auto"/>
                      <w:sz w:val="21"/>
                      <w:szCs w:val="21"/>
                      <w:highlight w:val="none"/>
                    </w:rPr>
                    <w:t>周界外浓度最高点限值（mg/</w:t>
                  </w:r>
                  <w:r>
                    <w:rPr>
                      <w:rFonts w:hint="eastAsia"/>
                      <w:b/>
                      <w:bCs/>
                      <w:color w:val="auto"/>
                      <w:sz w:val="21"/>
                      <w:szCs w:val="21"/>
                      <w:highlight w:val="none"/>
                      <w:lang w:eastAsia="zh-CN"/>
                    </w:rPr>
                    <w:t>m³</w:t>
                  </w:r>
                  <w:r>
                    <w:rPr>
                      <w:rFonts w:hint="eastAsia"/>
                      <w:b/>
                      <w:bCs/>
                      <w:color w:val="auto"/>
                      <w:sz w:val="21"/>
                      <w:szCs w:val="21"/>
                      <w:highlight w:val="none"/>
                    </w:rPr>
                    <w:t>）</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bCs/>
                      <w:kern w:val="2"/>
                      <w:sz w:val="21"/>
                      <w:szCs w:val="21"/>
                      <w:lang w:val="en-US" w:eastAsia="zh-CN" w:bidi="ar-SA"/>
                    </w:rPr>
                  </w:pPr>
                  <w:r>
                    <w:rPr>
                      <w:rFonts w:hint="eastAsia" w:cs="Times New Roman"/>
                      <w:b/>
                      <w:bCs/>
                      <w:kern w:val="2"/>
                      <w:sz w:val="21"/>
                      <w:szCs w:val="21"/>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氯化氢</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0.20</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VOCs</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1.26</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2.0</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NMHC</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1.4（厂房通风口处）</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6</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76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甲苯</w:t>
                  </w:r>
                </w:p>
              </w:tc>
              <w:tc>
                <w:tcPr>
                  <w:tcW w:w="2596"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2613"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kern w:val="2"/>
                      <w:sz w:val="21"/>
                      <w:szCs w:val="21"/>
                      <w:lang w:val="en-US" w:eastAsia="zh-CN" w:bidi="ar-SA"/>
                    </w:rPr>
                    <w:t>0.2</w:t>
                  </w:r>
                </w:p>
              </w:tc>
              <w:tc>
                <w:tcPr>
                  <w:tcW w:w="1818" w:type="dxa"/>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cs="Times New Roman"/>
                      <w:sz w:val="21"/>
                      <w:szCs w:val="21"/>
                      <w:lang w:val="en-US" w:eastAsia="zh-CN"/>
                    </w:rPr>
                  </w:pPr>
                  <w:r>
                    <w:rPr>
                      <w:rFonts w:hint="eastAsia" w:cs="Times New Roman"/>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8790" w:type="dxa"/>
                  <w:gridSpan w:val="4"/>
                  <w:vAlign w:val="center"/>
                </w:tcPr>
                <w:p>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cs="Times New Roman"/>
                      <w:sz w:val="21"/>
                      <w:szCs w:val="21"/>
                      <w:lang w:val="en-US" w:eastAsia="zh-CN"/>
                    </w:rPr>
                  </w:pPr>
                  <w:r>
                    <w:rPr>
                      <w:rFonts w:ascii="Times New Roman" w:hAnsi="Times New Roman" w:eastAsia="宋体"/>
                      <w:kern w:val="2"/>
                      <w:sz w:val="21"/>
                      <w:szCs w:val="21"/>
                      <w:lang w:bidi="ar"/>
                    </w:rPr>
                    <w:t>备注：未检出表示检测值小于检出限</w:t>
                  </w:r>
                  <w:r>
                    <w:rPr>
                      <w:rFonts w:hint="eastAsia"/>
                      <w:kern w:val="2"/>
                      <w:sz w:val="21"/>
                      <w:szCs w:val="21"/>
                      <w:lang w:eastAsia="zh-CN" w:bidi="ar"/>
                    </w:rPr>
                    <w:t>。</w:t>
                  </w:r>
                </w:p>
              </w:tc>
            </w:tr>
          </w:tbl>
          <w:p>
            <w:pPr>
              <w:pStyle w:val="22"/>
              <w:spacing w:line="360" w:lineRule="auto"/>
              <w:ind w:firstLine="480" w:firstLineChars="200"/>
              <w:rPr>
                <w:rFonts w:hint="eastAsia" w:ascii="Times New Roman" w:hAnsi="Times New Roman" w:eastAsia="宋体"/>
                <w:color w:val="auto"/>
                <w:highlight w:val="none"/>
                <w:lang w:eastAsia="zh-CN"/>
              </w:rPr>
            </w:pPr>
            <w:r>
              <w:rPr>
                <w:rFonts w:ascii="Times New Roman"/>
                <w:color w:val="auto"/>
                <w:highlight w:val="none"/>
              </w:rPr>
              <w:t>验收</w:t>
            </w:r>
            <w:r>
              <w:rPr>
                <w:rFonts w:hint="eastAsia" w:ascii="Times New Roman"/>
                <w:color w:val="auto"/>
                <w:highlight w:val="none"/>
              </w:rPr>
              <w:t>监测</w:t>
            </w:r>
            <w:r>
              <w:rPr>
                <w:rFonts w:ascii="Times New Roman"/>
                <w:color w:val="auto"/>
                <w:highlight w:val="none"/>
              </w:rPr>
              <w:t>期间，</w:t>
            </w:r>
            <w:r>
              <w:rPr>
                <w:rFonts w:hint="eastAsia" w:ascii="Times New Roman" w:hAnsi="Times New Roman"/>
                <w:color w:val="auto"/>
                <w:highlight w:val="none"/>
              </w:rPr>
              <w:t>厂界无组织排放的VOCs周界外浓度最高点浓度为</w:t>
            </w:r>
            <w:r>
              <w:rPr>
                <w:rFonts w:hint="eastAsia" w:ascii="Times New Roman" w:hAnsi="Times New Roman"/>
                <w:color w:val="auto"/>
                <w:highlight w:val="none"/>
                <w:lang w:val="en-US" w:eastAsia="zh-CN"/>
              </w:rPr>
              <w:t>1.26</w:t>
            </w:r>
            <w:r>
              <w:rPr>
                <w:rFonts w:hint="eastAsia" w:ascii="Times New Roman" w:hAnsi="Times New Roman"/>
                <w:color w:val="auto"/>
                <w:highlight w:val="none"/>
              </w:rPr>
              <w:t>mg/</w:t>
            </w:r>
            <w:r>
              <w:rPr>
                <w:rFonts w:hint="eastAsia" w:ascii="Times New Roman" w:hAnsi="Times New Roman"/>
                <w:color w:val="auto"/>
                <w:highlight w:val="none"/>
                <w:lang w:eastAsia="zh-CN"/>
              </w:rPr>
              <w:t>m³</w:t>
            </w:r>
            <w:r>
              <w:rPr>
                <w:rFonts w:hint="eastAsia" w:ascii="Times New Roman" w:hAnsi="Times New Roman"/>
                <w:color w:val="auto"/>
                <w:highlight w:val="none"/>
              </w:rPr>
              <w:t>，</w:t>
            </w:r>
            <w:r>
              <w:rPr>
                <w:rFonts w:hint="eastAsia" w:ascii="Times New Roman" w:hAnsi="Times New Roman"/>
                <w:color w:val="auto"/>
                <w:highlight w:val="none"/>
                <w:lang w:eastAsia="zh-CN"/>
              </w:rPr>
              <w:t>甲苯为未检出，</w:t>
            </w:r>
            <w:r>
              <w:rPr>
                <w:rFonts w:hint="eastAsia" w:ascii="Times New Roman" w:hAnsi="Times New Roman" w:cs="Times New Roman"/>
                <w:sz w:val="24"/>
                <w:lang w:eastAsia="zh-CN"/>
              </w:rPr>
              <w:t>满足《挥发性有机物排放标准第 7 部分：其他行业》（DB37/2801.7-2019）表 2 监控点浓度限值要求。氯化氢为未检出，满足《制药工业大气污染物排放标准》（GB37823-2019） 表 4 企业边界大气污染物浓度限值要求。</w:t>
            </w:r>
          </w:p>
          <w:p>
            <w:pPr>
              <w:pStyle w:val="22"/>
              <w:spacing w:line="360" w:lineRule="auto"/>
              <w:ind w:firstLine="480" w:firstLineChars="200"/>
              <w:rPr>
                <w:rFonts w:ascii="Times New Roman"/>
                <w:bCs/>
                <w:color w:val="auto"/>
                <w:highlight w:val="none"/>
              </w:rPr>
            </w:pPr>
            <w:r>
              <w:rPr>
                <w:rFonts w:hint="eastAsia" w:ascii="Times New Roman"/>
                <w:color w:val="auto"/>
                <w:highlight w:val="none"/>
              </w:rPr>
              <w:t>车间外通风口下风向1m处非甲烷总烃最大1h平均浓度值为</w:t>
            </w:r>
            <w:r>
              <w:rPr>
                <w:rFonts w:ascii="Times New Roman"/>
                <w:color w:val="auto"/>
                <w:highlight w:val="none"/>
              </w:rPr>
              <w:t>1.4</w:t>
            </w:r>
            <w:r>
              <w:rPr>
                <w:rFonts w:hint="eastAsia" w:ascii="Times New Roman"/>
                <w:color w:val="auto"/>
                <w:highlight w:val="none"/>
                <w:lang w:val="en-US" w:eastAsia="zh-CN"/>
              </w:rPr>
              <w:t>0</w:t>
            </w:r>
            <w:r>
              <w:rPr>
                <w:rFonts w:ascii="Times New Roman"/>
                <w:color w:val="auto"/>
                <w:highlight w:val="none"/>
              </w:rPr>
              <w:t>mg/</w:t>
            </w:r>
            <w:r>
              <w:rPr>
                <w:rFonts w:hint="eastAsia" w:ascii="Times New Roman"/>
                <w:color w:val="auto"/>
                <w:highlight w:val="none"/>
                <w:lang w:eastAsia="zh-CN"/>
              </w:rPr>
              <w:t>m³</w:t>
            </w:r>
            <w:r>
              <w:rPr>
                <w:rFonts w:hint="eastAsia" w:ascii="Times New Roman"/>
                <w:color w:val="auto"/>
                <w:highlight w:val="none"/>
              </w:rPr>
              <w:t>，满足</w:t>
            </w:r>
            <w:r>
              <w:rPr>
                <w:rFonts w:hint="eastAsia" w:ascii="Times New Roman"/>
                <w:bCs/>
                <w:color w:val="auto"/>
                <w:highlight w:val="none"/>
              </w:rPr>
              <w:t>《挥发性有机物无组织排放控制标准》（GB37822-2019）的附录A中表A.1限值要求。</w:t>
            </w:r>
          </w:p>
          <w:p>
            <w:pPr>
              <w:pStyle w:val="33"/>
              <w:adjustRightInd/>
              <w:jc w:val="both"/>
              <w:rPr>
                <w:rFonts w:cs="Times New Roman"/>
                <w:color w:val="auto"/>
                <w:kern w:val="0"/>
                <w:szCs w:val="24"/>
                <w:highlight w:val="none"/>
                <w:lang w:bidi="ar"/>
              </w:rPr>
            </w:pPr>
            <w:r>
              <w:rPr>
                <w:rFonts w:hint="eastAsia" w:cs="Times New Roman"/>
                <w:color w:val="auto"/>
                <w:kern w:val="0"/>
                <w:szCs w:val="24"/>
                <w:highlight w:val="none"/>
                <w:lang w:bidi="ar"/>
              </w:rPr>
              <w:t>（2）废水：</w:t>
            </w:r>
          </w:p>
          <w:p>
            <w:pPr>
              <w:pStyle w:val="33"/>
              <w:adjustRightInd/>
              <w:jc w:val="both"/>
              <w:rPr>
                <w:rFonts w:hint="eastAsia" w:cs="Times New Roman"/>
                <w:color w:val="auto"/>
                <w:kern w:val="0"/>
                <w:szCs w:val="24"/>
                <w:highlight w:val="none"/>
                <w:lang w:bidi="ar"/>
              </w:rPr>
            </w:pPr>
            <w:r>
              <w:rPr>
                <w:rFonts w:hint="eastAsia" w:cs="Times New Roman"/>
                <w:color w:val="auto"/>
                <w:kern w:val="0"/>
                <w:szCs w:val="24"/>
                <w:highlight w:val="none"/>
                <w:lang w:bidi="ar"/>
              </w:rPr>
              <w:t>本项目地面清洗废水、深度清洗废水等生产废水、生活污水符合接管标准后通过园区污水管网直接排入济南银丰国际生物城污水处理站，经污水处理站处理满足《污水排入城镇下水道水质标准》（GB/T 31962-2015）中</w:t>
            </w:r>
            <w:r>
              <w:rPr>
                <w:rFonts w:hint="eastAsia" w:cs="Times New Roman"/>
                <w:color w:val="auto"/>
                <w:kern w:val="0"/>
                <w:szCs w:val="24"/>
                <w:highlight w:val="none"/>
                <w:lang w:eastAsia="zh-CN" w:bidi="ar"/>
              </w:rPr>
              <w:t>表1的A等</w:t>
            </w:r>
            <w:r>
              <w:rPr>
                <w:rFonts w:hint="eastAsia" w:cs="Times New Roman"/>
                <w:color w:val="auto"/>
                <w:kern w:val="0"/>
                <w:szCs w:val="24"/>
                <w:highlight w:val="none"/>
                <w:lang w:bidi="ar"/>
              </w:rPr>
              <w:t>级标准后通过市政污水管网排入巨野河污水处理厂，由其进一步处理至《城镇污水处理厂污染物排放标准》（GB18918-2002）一级 A 标准、《济南市人民政府办公厅关于提高部分排污企业水污染物排放执行标准的通知》（济政办字[2011]49 号）的要求、《济南市人民政府办公厅关于济南市小清河流域执行水污染物区域排放限值的通知》（济政办字[2017]30 号）、《流域水污染物综合排放标准第 3 部分：小清河流域》（DB37/3416.3-2018）标准要求后，最终排入西巨野河。</w:t>
            </w:r>
          </w:p>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9-3</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银丰国际生物城污水处理站进口</w:t>
            </w:r>
            <w:r>
              <w:rPr>
                <w:rFonts w:ascii="Times New Roman" w:hAnsi="Times New Roman"/>
                <w:b/>
                <w:bCs/>
                <w:color w:val="auto"/>
                <w:sz w:val="24"/>
                <w:highlight w:val="none"/>
              </w:rPr>
              <w:t>废水判定结果表</w:t>
            </w:r>
          </w:p>
          <w:tbl>
            <w:tblPr>
              <w:tblStyle w:val="27"/>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1"/>
              <w:gridCol w:w="1665"/>
              <w:gridCol w:w="1005"/>
              <w:gridCol w:w="1322"/>
              <w:gridCol w:w="2284"/>
              <w:gridCol w:w="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665" w:type="dxa"/>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1005"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单位</w:t>
                  </w:r>
                </w:p>
              </w:tc>
              <w:tc>
                <w:tcPr>
                  <w:tcW w:w="1322"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2284" w:type="dxa"/>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银丰国际生物城污水处理站进水水质要求</w:t>
                  </w:r>
                </w:p>
              </w:tc>
              <w:tc>
                <w:tcPr>
                  <w:tcW w:w="977" w:type="dxa"/>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restart"/>
                  <w:shd w:val="clear" w:color="auto" w:fill="auto"/>
                  <w:vAlign w:val="center"/>
                </w:tcPr>
                <w:p>
                  <w:pPr>
                    <w:spacing w:line="240" w:lineRule="auto"/>
                    <w:ind w:firstLine="0" w:firstLineChars="0"/>
                    <w:jc w:val="center"/>
                    <w:rPr>
                      <w:rFonts w:hint="eastAsia" w:eastAsia="宋体"/>
                      <w:color w:val="auto"/>
                      <w:sz w:val="21"/>
                      <w:szCs w:val="21"/>
                      <w:highlight w:val="none"/>
                      <w:lang w:eastAsia="zh-CN"/>
                    </w:rPr>
                  </w:pPr>
                  <w:r>
                    <w:rPr>
                      <w:rFonts w:hint="eastAsia"/>
                      <w:color w:val="auto"/>
                      <w:sz w:val="21"/>
                      <w:szCs w:val="21"/>
                      <w:highlight w:val="none"/>
                    </w:rPr>
                    <w:t>银丰国际生物城污水处理站</w:t>
                  </w:r>
                  <w:r>
                    <w:rPr>
                      <w:rFonts w:hint="eastAsia"/>
                      <w:color w:val="auto"/>
                      <w:sz w:val="21"/>
                      <w:szCs w:val="21"/>
                      <w:highlight w:val="none"/>
                      <w:lang w:eastAsia="zh-CN"/>
                    </w:rPr>
                    <w:t>进口</w:t>
                  </w: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化学需氧量</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412</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5000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461" w:type="dxa"/>
                  <w:vMerge w:val="continue"/>
                  <w:shd w:val="clear" w:color="auto" w:fill="auto"/>
                  <w:vAlign w:val="center"/>
                </w:tcPr>
                <w:p>
                  <w:pPr>
                    <w:spacing w:line="240" w:lineRule="auto"/>
                    <w:ind w:firstLine="0" w:firstLineChars="0"/>
                    <w:jc w:val="center"/>
                    <w:rPr>
                      <w:color w:val="auto"/>
                      <w:highlight w:val="none"/>
                    </w:rPr>
                  </w:pPr>
                </w:p>
              </w:tc>
              <w:tc>
                <w:tcPr>
                  <w:tcW w:w="166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氨氮</w:t>
                  </w:r>
                </w:p>
              </w:tc>
              <w:tc>
                <w:tcPr>
                  <w:tcW w:w="1005"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z w:val="21"/>
                      <w:szCs w:val="21"/>
                      <w:highlight w:val="none"/>
                    </w:rPr>
                    <w:t>mg/L</w:t>
                  </w:r>
                </w:p>
              </w:tc>
              <w:tc>
                <w:tcPr>
                  <w:tcW w:w="1322" w:type="dxa"/>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46.3</w:t>
                  </w:r>
                </w:p>
              </w:tc>
              <w:tc>
                <w:tcPr>
                  <w:tcW w:w="2284" w:type="dxa"/>
                  <w:shd w:val="clear" w:color="auto" w:fill="auto"/>
                  <w:vAlign w:val="center"/>
                </w:tcPr>
                <w:p>
                  <w:pPr>
                    <w:widowControl/>
                    <w:autoSpaceDE w:val="0"/>
                    <w:autoSpaceDN w:val="0"/>
                    <w:adjustRightInd w:val="0"/>
                    <w:spacing w:line="240" w:lineRule="auto"/>
                    <w:ind w:firstLine="0" w:firstLineChars="0"/>
                    <w:jc w:val="center"/>
                    <w:rPr>
                      <w:color w:val="auto"/>
                      <w:spacing w:val="10"/>
                      <w:sz w:val="21"/>
                      <w:szCs w:val="21"/>
                      <w:highlight w:val="none"/>
                    </w:rPr>
                  </w:pPr>
                  <w:r>
                    <w:rPr>
                      <w:rFonts w:hint="eastAsia"/>
                      <w:color w:val="auto"/>
                      <w:spacing w:val="10"/>
                      <w:sz w:val="21"/>
                      <w:szCs w:val="21"/>
                      <w:highlight w:val="none"/>
                    </w:rPr>
                    <w:t>100</w:t>
                  </w:r>
                </w:p>
              </w:tc>
              <w:tc>
                <w:tcPr>
                  <w:tcW w:w="977" w:type="dxa"/>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bl>
          <w:p>
            <w:pPr>
              <w:pStyle w:val="3"/>
              <w:ind w:firstLine="0" w:firstLineChars="0"/>
              <w:jc w:val="center"/>
              <w:rPr>
                <w:rFonts w:ascii="Times New Roman" w:hAnsi="Times New Roman"/>
                <w:b/>
                <w:bCs/>
                <w:color w:val="auto"/>
                <w:sz w:val="24"/>
                <w:highlight w:val="none"/>
              </w:rPr>
            </w:pPr>
            <w:r>
              <w:rPr>
                <w:rFonts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9-4</w:t>
            </w:r>
            <w:r>
              <w:rPr>
                <w:rFonts w:ascii="Times New Roman" w:hAnsi="Times New Roman"/>
                <w:b/>
                <w:bCs/>
                <w:color w:val="auto"/>
                <w:sz w:val="24"/>
                <w:highlight w:val="none"/>
              </w:rPr>
              <w:t xml:space="preserve">  </w:t>
            </w:r>
            <w:r>
              <w:rPr>
                <w:rFonts w:hint="eastAsia" w:ascii="Times New Roman" w:hAnsi="Times New Roman"/>
                <w:b/>
                <w:bCs/>
                <w:color w:val="auto"/>
                <w:sz w:val="24"/>
                <w:highlight w:val="none"/>
              </w:rPr>
              <w:t>银丰国际生物城污水处理站出口</w:t>
            </w:r>
            <w:r>
              <w:rPr>
                <w:rFonts w:ascii="Times New Roman" w:hAnsi="Times New Roman"/>
                <w:b/>
                <w:bCs/>
                <w:color w:val="auto"/>
                <w:sz w:val="24"/>
                <w:highlight w:val="none"/>
              </w:rPr>
              <w:t>废水判定结果表</w:t>
            </w:r>
          </w:p>
          <w:tbl>
            <w:tblPr>
              <w:tblStyle w:val="27"/>
              <w:tblW w:w="87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0"/>
              <w:gridCol w:w="1893"/>
              <w:gridCol w:w="1006"/>
              <w:gridCol w:w="1306"/>
              <w:gridCol w:w="2672"/>
              <w:gridCol w:w="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点位</w:t>
                  </w:r>
                </w:p>
              </w:tc>
              <w:tc>
                <w:tcPr>
                  <w:tcW w:w="1084" w:type="pct"/>
                  <w:shd w:val="clear" w:color="auto" w:fill="auto"/>
                  <w:vAlign w:val="center"/>
                </w:tcPr>
                <w:p>
                  <w:pPr>
                    <w:spacing w:line="240" w:lineRule="auto"/>
                    <w:ind w:firstLine="0" w:firstLineChars="0"/>
                    <w:jc w:val="center"/>
                    <w:rPr>
                      <w:b/>
                      <w:bCs/>
                      <w:color w:val="auto"/>
                      <w:sz w:val="21"/>
                      <w:szCs w:val="21"/>
                      <w:highlight w:val="none"/>
                    </w:rPr>
                  </w:pPr>
                  <w:r>
                    <w:rPr>
                      <w:rFonts w:hint="eastAsia"/>
                      <w:b/>
                      <w:color w:val="auto"/>
                      <w:sz w:val="21"/>
                      <w:szCs w:val="21"/>
                      <w:highlight w:val="none"/>
                    </w:rPr>
                    <w:t>控制项目名称</w:t>
                  </w:r>
                </w:p>
              </w:tc>
              <w:tc>
                <w:tcPr>
                  <w:tcW w:w="576" w:type="pct"/>
                  <w:shd w:val="clear" w:color="auto" w:fill="auto"/>
                  <w:vAlign w:val="center"/>
                </w:tcPr>
                <w:p>
                  <w:pPr>
                    <w:spacing w:line="240" w:lineRule="auto"/>
                    <w:ind w:firstLine="0" w:firstLineChars="0"/>
                    <w:jc w:val="center"/>
                    <w:rPr>
                      <w:b/>
                      <w:color w:val="auto"/>
                      <w:sz w:val="21"/>
                      <w:szCs w:val="21"/>
                      <w:highlight w:val="none"/>
                    </w:rPr>
                  </w:pPr>
                  <w:r>
                    <w:rPr>
                      <w:rFonts w:hint="eastAsia"/>
                      <w:b/>
                      <w:color w:val="auto"/>
                      <w:sz w:val="21"/>
                      <w:szCs w:val="21"/>
                      <w:highlight w:val="none"/>
                    </w:rPr>
                    <w:t>单位</w:t>
                  </w:r>
                </w:p>
              </w:tc>
              <w:tc>
                <w:tcPr>
                  <w:tcW w:w="748"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最大日均值</w:t>
                  </w:r>
                </w:p>
              </w:tc>
              <w:tc>
                <w:tcPr>
                  <w:tcW w:w="1530" w:type="pct"/>
                  <w:shd w:val="clear" w:color="auto" w:fill="auto"/>
                  <w:vAlign w:val="center"/>
                </w:tcPr>
                <w:p>
                  <w:pPr>
                    <w:spacing w:line="240" w:lineRule="auto"/>
                    <w:ind w:firstLine="0" w:firstLineChars="0"/>
                    <w:jc w:val="center"/>
                    <w:rPr>
                      <w:b/>
                      <w:bCs/>
                      <w:color w:val="auto"/>
                      <w:sz w:val="21"/>
                      <w:szCs w:val="21"/>
                      <w:highlight w:val="none"/>
                    </w:rPr>
                  </w:pPr>
                  <w:r>
                    <w:rPr>
                      <w:b/>
                      <w:bCs/>
                      <w:color w:val="auto"/>
                      <w:sz w:val="21"/>
                      <w:szCs w:val="21"/>
                      <w:highlight w:val="none"/>
                    </w:rPr>
                    <w:t>《污水排入城镇下水道水质标准》（GB/T 31962-2015）</w:t>
                  </w:r>
                  <w:r>
                    <w:rPr>
                      <w:rFonts w:hint="eastAsia"/>
                      <w:b/>
                      <w:bCs/>
                      <w:color w:val="auto"/>
                      <w:sz w:val="21"/>
                      <w:szCs w:val="21"/>
                      <w:highlight w:val="none"/>
                      <w:lang w:eastAsia="zh-CN"/>
                    </w:rPr>
                    <w:t>A级</w:t>
                  </w:r>
                  <w:r>
                    <w:rPr>
                      <w:b/>
                      <w:bCs/>
                      <w:color w:val="auto"/>
                      <w:sz w:val="21"/>
                      <w:szCs w:val="21"/>
                      <w:highlight w:val="none"/>
                    </w:rPr>
                    <w:t>标准</w:t>
                  </w:r>
                  <w:r>
                    <w:rPr>
                      <w:rFonts w:hint="eastAsia"/>
                      <w:b/>
                      <w:bCs/>
                      <w:color w:val="auto"/>
                      <w:sz w:val="21"/>
                      <w:szCs w:val="21"/>
                      <w:highlight w:val="none"/>
                    </w:rPr>
                    <w:t>限值</w:t>
                  </w:r>
                </w:p>
              </w:tc>
              <w:tc>
                <w:tcPr>
                  <w:tcW w:w="561" w:type="pct"/>
                  <w:shd w:val="clear" w:color="auto" w:fill="auto"/>
                  <w:vAlign w:val="center"/>
                </w:tcPr>
                <w:p>
                  <w:pPr>
                    <w:spacing w:line="240" w:lineRule="auto"/>
                    <w:ind w:firstLine="0" w:firstLineChars="0"/>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restar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rPr>
                    <w:t>银丰国际生物城污水处理站出口</w:t>
                  </w: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b w:val="0"/>
                      <w:spacing w:val="10"/>
                      <w:kern w:val="2"/>
                      <w:sz w:val="21"/>
                      <w:szCs w:val="21"/>
                      <w:lang w:val="en-US" w:eastAsia="zh-CN" w:bidi="ar-SA"/>
                    </w:rPr>
                  </w:pPr>
                  <w:r>
                    <w:rPr>
                      <w:rFonts w:hint="default" w:ascii="Times New Roman" w:hAnsi="Times New Roman" w:eastAsia="宋体" w:cs="Times New Roman"/>
                      <w:spacing w:val="10"/>
                      <w:sz w:val="21"/>
                      <w:szCs w:val="21"/>
                    </w:rPr>
                    <w:t>pH值</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w:t>
                  </w:r>
                </w:p>
              </w:tc>
              <w:tc>
                <w:tcPr>
                  <w:tcW w:w="748" w:type="pct"/>
                  <w:shd w:val="clear" w:color="auto" w:fill="auto"/>
                  <w:vAlign w:val="center"/>
                </w:tcPr>
                <w:p>
                  <w:pPr>
                    <w:spacing w:line="240" w:lineRule="auto"/>
                    <w:ind w:firstLine="0" w:firstLineChars="0"/>
                    <w:jc w:val="center"/>
                    <w:rPr>
                      <w:color w:val="auto"/>
                      <w:sz w:val="21"/>
                      <w:szCs w:val="21"/>
                      <w:highlight w:val="none"/>
                    </w:rPr>
                  </w:pPr>
                  <w:r>
                    <w:rPr>
                      <w:rFonts w:hint="eastAsia"/>
                      <w:color w:val="auto"/>
                      <w:sz w:val="21"/>
                      <w:szCs w:val="21"/>
                      <w:highlight w:val="none"/>
                      <w:lang w:val="en-US" w:eastAsia="zh-CN"/>
                    </w:rPr>
                    <w:t>7.8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6.5-9.5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氨氮</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23.8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45</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悬浮物</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63</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b w:val="0"/>
                      <w:bCs w:val="0"/>
                      <w:spacing w:val="10"/>
                      <w:kern w:val="2"/>
                      <w:sz w:val="21"/>
                      <w:szCs w:val="21"/>
                      <w:lang w:val="en-US" w:eastAsia="zh-CN" w:bidi="ar-SA"/>
                    </w:rPr>
                    <w:t>400</w:t>
                  </w:r>
                </w:p>
              </w:tc>
              <w:tc>
                <w:tcPr>
                  <w:tcW w:w="561" w:type="pct"/>
                  <w:shd w:val="clear" w:color="auto" w:fill="auto"/>
                  <w:vAlign w:val="center"/>
                </w:tcPr>
                <w:p>
                  <w:pPr>
                    <w:tabs>
                      <w:tab w:val="left" w:pos="336"/>
                    </w:tabs>
                    <w:spacing w:line="240" w:lineRule="auto"/>
                    <w:ind w:firstLine="0" w:firstLineChars="0"/>
                    <w:jc w:val="center"/>
                    <w:rPr>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总磷</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2.29</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8</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default"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rPr>
                    <w:t>化学需氧量</w:t>
                  </w:r>
                </w:p>
              </w:tc>
              <w:tc>
                <w:tcPr>
                  <w:tcW w:w="576" w:type="pct"/>
                  <w:shd w:val="clear" w:color="auto" w:fill="auto"/>
                  <w:vAlign w:val="center"/>
                </w:tcPr>
                <w:p>
                  <w:pPr>
                    <w:widowControl/>
                    <w:adjustRightInd w:val="0"/>
                    <w:snapToGrid w:val="0"/>
                    <w:spacing w:line="240" w:lineRule="auto"/>
                    <w:ind w:firstLine="0" w:firstLineChars="0"/>
                    <w:jc w:val="center"/>
                    <w:rPr>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208</w:t>
                  </w:r>
                </w:p>
              </w:tc>
              <w:tc>
                <w:tcPr>
                  <w:tcW w:w="2672" w:type="dxa"/>
                  <w:shd w:val="clear" w:color="auto" w:fill="auto"/>
                  <w:vAlign w:val="center"/>
                </w:tcPr>
                <w:p>
                  <w:pPr>
                    <w:widowControl/>
                    <w:autoSpaceDE w:val="0"/>
                    <w:autoSpaceDN w:val="0"/>
                    <w:adjustRightInd w:val="0"/>
                    <w:spacing w:line="240" w:lineRule="auto"/>
                    <w:ind w:firstLine="0" w:firstLineChars="0"/>
                    <w:jc w:val="center"/>
                    <w:rPr>
                      <w:color w:val="auto"/>
                      <w:sz w:val="21"/>
                      <w:szCs w:val="21"/>
                      <w:highlight w:val="none"/>
                    </w:rPr>
                  </w:pPr>
                  <w:r>
                    <w:rPr>
                      <w:rFonts w:hint="eastAsia" w:ascii="Times New Roman" w:hAnsi="Times New Roman" w:eastAsia="宋体" w:cs="Times New Roman"/>
                      <w:spacing w:val="10"/>
                      <w:kern w:val="2"/>
                      <w:sz w:val="21"/>
                      <w:szCs w:val="21"/>
                      <w:lang w:val="en-US" w:eastAsia="zh-CN" w:bidi="ar-SA"/>
                    </w:rPr>
                    <w:t>500</w:t>
                  </w:r>
                </w:p>
              </w:tc>
              <w:tc>
                <w:tcPr>
                  <w:tcW w:w="561" w:type="pct"/>
                  <w:shd w:val="clear" w:color="auto" w:fill="auto"/>
                  <w:vAlign w:val="center"/>
                </w:tcPr>
                <w:p>
                  <w:pPr>
                    <w:spacing w:line="240" w:lineRule="auto"/>
                    <w:ind w:firstLine="0" w:firstLineChars="0"/>
                    <w:jc w:val="center"/>
                    <w:rPr>
                      <w:color w:val="auto"/>
                      <w:spacing w:val="10"/>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sz w:val="21"/>
                      <w:szCs w:val="21"/>
                      <w:lang w:eastAsia="zh-CN"/>
                    </w:rPr>
                    <w:t>生化需氧量</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default"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97.0</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eastAsia"/>
                      <w:color w:val="auto"/>
                      <w:sz w:val="21"/>
                      <w:szCs w:val="21"/>
                      <w:highlight w:val="none"/>
                    </w:rPr>
                  </w:pPr>
                  <w:r>
                    <w:rPr>
                      <w:rFonts w:hint="eastAsia" w:ascii="Times New Roman" w:hAnsi="Times New Roman" w:eastAsia="宋体" w:cs="Times New Roman"/>
                      <w:spacing w:val="10"/>
                      <w:kern w:val="2"/>
                      <w:sz w:val="21"/>
                      <w:szCs w:val="21"/>
                      <w:lang w:val="en-US" w:eastAsia="zh-CN" w:bidi="ar-SA"/>
                    </w:rPr>
                    <w:t>350</w:t>
                  </w:r>
                </w:p>
              </w:tc>
              <w:tc>
                <w:tcPr>
                  <w:tcW w:w="980" w:type="dxa"/>
                  <w:shd w:val="clear" w:color="auto" w:fill="auto"/>
                  <w:vAlign w:val="center"/>
                </w:tcPr>
                <w:p>
                  <w:pPr>
                    <w:tabs>
                      <w:tab w:val="left" w:pos="336"/>
                    </w:tabs>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498" w:type="pct"/>
                  <w:vMerge w:val="continue"/>
                  <w:shd w:val="clear" w:color="auto" w:fill="auto"/>
                  <w:vAlign w:val="center"/>
                </w:tcPr>
                <w:p>
                  <w:pPr>
                    <w:spacing w:line="240" w:lineRule="auto"/>
                    <w:ind w:firstLine="0" w:firstLineChars="0"/>
                    <w:jc w:val="center"/>
                    <w:rPr>
                      <w:color w:val="auto"/>
                      <w:sz w:val="21"/>
                      <w:szCs w:val="21"/>
                      <w:highlight w:val="none"/>
                    </w:rPr>
                  </w:pPr>
                </w:p>
              </w:tc>
              <w:tc>
                <w:tcPr>
                  <w:tcW w:w="1084" w:type="pct"/>
                  <w:shd w:val="clear" w:color="auto" w:fill="auto"/>
                  <w:vAlign w:val="center"/>
                </w:tcPr>
                <w:p>
                  <w:pPr>
                    <w:widowControl/>
                    <w:autoSpaceDE w:val="0"/>
                    <w:autoSpaceDN w:val="0"/>
                    <w:adjustRightInd w:val="0"/>
                    <w:spacing w:line="240" w:lineRule="auto"/>
                    <w:ind w:firstLine="0" w:firstLineChars="0"/>
                    <w:jc w:val="center"/>
                    <w:rPr>
                      <w:rFonts w:hint="eastAsia" w:ascii="Times New Roman" w:hAnsi="Times New Roman" w:eastAsia="宋体" w:cs="Times New Roman"/>
                      <w:spacing w:val="10"/>
                      <w:kern w:val="2"/>
                      <w:sz w:val="21"/>
                      <w:szCs w:val="21"/>
                      <w:lang w:val="en-US" w:eastAsia="zh-CN" w:bidi="ar-SA"/>
                    </w:rPr>
                  </w:pPr>
                  <w:r>
                    <w:rPr>
                      <w:rFonts w:hint="default" w:ascii="Times New Roman" w:hAnsi="Times New Roman" w:eastAsia="宋体" w:cs="Times New Roman"/>
                      <w:spacing w:val="10"/>
                      <w:kern w:val="2"/>
                      <w:sz w:val="21"/>
                      <w:szCs w:val="21"/>
                      <w:lang w:val="en-US" w:eastAsia="zh-CN" w:bidi="ar-SA"/>
                    </w:rPr>
                    <w:t>溶解性总固体</w:t>
                  </w:r>
                </w:p>
              </w:tc>
              <w:tc>
                <w:tcPr>
                  <w:tcW w:w="1006" w:type="dxa"/>
                  <w:shd w:val="clear" w:color="auto" w:fill="auto"/>
                  <w:vAlign w:val="center"/>
                </w:tcPr>
                <w:p>
                  <w:pPr>
                    <w:widowControl/>
                    <w:adjustRightInd w:val="0"/>
                    <w:snapToGrid w:val="0"/>
                    <w:spacing w:line="240" w:lineRule="auto"/>
                    <w:ind w:firstLine="0" w:firstLineChars="0"/>
                    <w:jc w:val="center"/>
                    <w:rPr>
                      <w:rFonts w:hint="eastAsia"/>
                      <w:color w:val="auto"/>
                      <w:sz w:val="21"/>
                      <w:szCs w:val="21"/>
                      <w:highlight w:val="none"/>
                    </w:rPr>
                  </w:pPr>
                  <w:r>
                    <w:rPr>
                      <w:rFonts w:hint="eastAsia"/>
                      <w:color w:val="auto"/>
                      <w:sz w:val="21"/>
                      <w:szCs w:val="21"/>
                      <w:highlight w:val="none"/>
                    </w:rPr>
                    <w:t>mg/L</w:t>
                  </w:r>
                </w:p>
              </w:tc>
              <w:tc>
                <w:tcPr>
                  <w:tcW w:w="1306" w:type="dxa"/>
                  <w:shd w:val="clear" w:color="auto" w:fill="auto"/>
                  <w:vAlign w:val="center"/>
                </w:tcPr>
                <w:p>
                  <w:pPr>
                    <w:keepNext w:val="0"/>
                    <w:keepLines w:val="0"/>
                    <w:widowControl/>
                    <w:suppressLineNumbers w:val="0"/>
                    <w:autoSpaceDE w:val="0"/>
                    <w:autoSpaceDN w:val="0"/>
                    <w:adjustRightInd w:val="0"/>
                    <w:spacing w:line="240" w:lineRule="auto"/>
                    <w:ind w:firstLine="0" w:firstLineChars="0"/>
                    <w:jc w:val="center"/>
                    <w:textAlignment w:val="auto"/>
                    <w:rPr>
                      <w:rFonts w:hint="eastAsia" w:ascii="Times New Roman" w:hAnsi="Times New Roman" w:eastAsia="宋体" w:cs="Times New Roman"/>
                      <w:spacing w:val="10"/>
                      <w:sz w:val="21"/>
                      <w:szCs w:val="21"/>
                    </w:rPr>
                  </w:pPr>
                  <w:r>
                    <w:rPr>
                      <w:rFonts w:hint="eastAsia" w:ascii="Times New Roman" w:hAnsi="Times New Roman" w:eastAsia="宋体" w:cs="Times New Roman"/>
                      <w:i w:val="0"/>
                      <w:iCs w:val="0"/>
                      <w:spacing w:val="10"/>
                      <w:kern w:val="2"/>
                      <w:sz w:val="21"/>
                      <w:szCs w:val="21"/>
                      <w:u w:val="none"/>
                      <w:lang w:val="en-US" w:eastAsia="zh-CN" w:bidi="ar-SA"/>
                    </w:rPr>
                    <w:t>854</w:t>
                  </w:r>
                </w:p>
              </w:tc>
              <w:tc>
                <w:tcPr>
                  <w:tcW w:w="2672" w:type="dxa"/>
                  <w:shd w:val="clear" w:color="auto" w:fill="auto"/>
                  <w:vAlign w:val="center"/>
                </w:tcPr>
                <w:p>
                  <w:pPr>
                    <w:widowControl/>
                    <w:autoSpaceDE w:val="0"/>
                    <w:autoSpaceDN w:val="0"/>
                    <w:adjustRightInd w:val="0"/>
                    <w:spacing w:line="240" w:lineRule="auto"/>
                    <w:ind w:firstLine="0" w:firstLineChars="0"/>
                    <w:jc w:val="center"/>
                    <w:rPr>
                      <w:rFonts w:hint="default"/>
                      <w:color w:val="auto"/>
                      <w:sz w:val="21"/>
                      <w:szCs w:val="21"/>
                      <w:highlight w:val="none"/>
                      <w:lang w:val="en-US"/>
                    </w:rPr>
                  </w:pPr>
                  <w:r>
                    <w:rPr>
                      <w:rFonts w:hint="eastAsia" w:cs="Times New Roman"/>
                      <w:spacing w:val="10"/>
                      <w:kern w:val="2"/>
                      <w:sz w:val="21"/>
                      <w:szCs w:val="21"/>
                      <w:lang w:val="en-US" w:eastAsia="zh-CN" w:bidi="ar-SA"/>
                    </w:rPr>
                    <w:t>1500</w:t>
                  </w:r>
                </w:p>
              </w:tc>
              <w:tc>
                <w:tcPr>
                  <w:tcW w:w="980" w:type="dxa"/>
                  <w:shd w:val="clear" w:color="auto" w:fill="auto"/>
                  <w:vAlign w:val="center"/>
                </w:tcPr>
                <w:p>
                  <w:pPr>
                    <w:spacing w:line="240" w:lineRule="auto"/>
                    <w:ind w:firstLine="0" w:firstLineChars="0"/>
                    <w:jc w:val="center"/>
                    <w:rPr>
                      <w:rFonts w:hint="eastAsia"/>
                      <w:color w:val="auto"/>
                      <w:sz w:val="21"/>
                      <w:szCs w:val="21"/>
                      <w:highlight w:val="none"/>
                    </w:rPr>
                  </w:pPr>
                  <w:r>
                    <w:rPr>
                      <w:rFonts w:hint="eastAsia"/>
                      <w:color w:val="auto"/>
                      <w:sz w:val="21"/>
                      <w:szCs w:val="21"/>
                      <w:highlight w:val="none"/>
                    </w:rPr>
                    <w:t>达标</w:t>
                  </w:r>
                </w:p>
              </w:tc>
            </w:tr>
          </w:tbl>
          <w:p>
            <w:pPr>
              <w:ind w:firstLine="480"/>
              <w:rPr>
                <w:rFonts w:hint="eastAsia"/>
                <w:color w:val="auto"/>
                <w:highlight w:val="none"/>
              </w:rPr>
            </w:pPr>
            <w:r>
              <w:rPr>
                <w:rFonts w:hint="eastAsia"/>
                <w:color w:val="auto"/>
                <w:highlight w:val="none"/>
              </w:rPr>
              <w:t>验收监测期间，银丰国际生物城污水处理站进口化学需氧量、氨氮最大日均浓度分别为412mg/L、46.3mg/L，均满足银丰国际生物城污水处理站进水水质要求。银丰国际生物城污水处理站出口主要污染物pH值为7.8，氨氮、悬浮物、总磷、化学需氧量、生化需氧量、溶解性总固体最大日均浓度分别为23.8mg/L、63mg/L、2.29mg/L、208mg/L、97.0mg/L、854mg/L，均满足《污水排入城镇下水道水质标准》（GB/T 31962-2015）</w:t>
            </w:r>
            <w:r>
              <w:rPr>
                <w:rFonts w:hint="eastAsia"/>
                <w:color w:val="auto"/>
                <w:highlight w:val="none"/>
                <w:lang w:eastAsia="zh-CN"/>
              </w:rPr>
              <w:t>表1中A级</w:t>
            </w:r>
            <w:r>
              <w:rPr>
                <w:rFonts w:hint="eastAsia"/>
                <w:color w:val="auto"/>
                <w:highlight w:val="none"/>
              </w:rPr>
              <w:t>标准。</w:t>
            </w:r>
          </w:p>
          <w:p>
            <w:pPr>
              <w:pStyle w:val="33"/>
              <w:rPr>
                <w:rFonts w:cs="Times New Roman"/>
                <w:color w:val="auto"/>
                <w:szCs w:val="24"/>
                <w:highlight w:val="none"/>
              </w:rPr>
            </w:pPr>
            <w:r>
              <w:rPr>
                <w:rFonts w:hint="eastAsia" w:cs="Times New Roman"/>
                <w:color w:val="auto"/>
                <w:szCs w:val="24"/>
                <w:highlight w:val="none"/>
              </w:rPr>
              <w:t>（3）噪声：</w:t>
            </w:r>
          </w:p>
          <w:p>
            <w:pPr>
              <w:ind w:firstLine="480"/>
              <w:rPr>
                <w:rFonts w:hint="eastAsia"/>
                <w:color w:val="auto"/>
                <w:highlight w:val="none"/>
              </w:rPr>
            </w:pPr>
            <w:r>
              <w:rPr>
                <w:rFonts w:hint="eastAsia"/>
                <w:color w:val="auto"/>
                <w:highlight w:val="none"/>
              </w:rPr>
              <w:t>本项目噪声源主要来自实验室设备运行产生的噪声。本项目采取实验设备均布置于室内，采取门窗、墙体隔声，全部设备均选用低噪声设备并采取减振措施。加强管理，经常保养和维护机械设备避免设备在不良状态下运行等措施。</w:t>
            </w:r>
          </w:p>
          <w:p>
            <w:pPr>
              <w:pStyle w:val="3"/>
              <w:ind w:firstLine="0" w:firstLineChars="0"/>
              <w:jc w:val="center"/>
              <w:rPr>
                <w:rFonts w:hint="eastAsia" w:ascii="Times New Roman" w:hAnsi="Times New Roman"/>
                <w:b/>
                <w:bCs/>
                <w:color w:val="auto"/>
                <w:sz w:val="24"/>
                <w:highlight w:val="none"/>
              </w:rPr>
            </w:pPr>
            <w:r>
              <w:rPr>
                <w:rFonts w:hint="eastAsia" w:ascii="Times New Roman" w:hAnsi="Times New Roman"/>
                <w:b/>
                <w:bCs/>
                <w:color w:val="auto"/>
                <w:sz w:val="24"/>
                <w:highlight w:val="none"/>
              </w:rPr>
              <w:t>表</w:t>
            </w:r>
            <w:r>
              <w:rPr>
                <w:rFonts w:hint="eastAsia" w:ascii="Times New Roman" w:hAnsi="Times New Roman"/>
                <w:b/>
                <w:bCs/>
                <w:color w:val="auto"/>
                <w:sz w:val="24"/>
                <w:highlight w:val="none"/>
                <w:lang w:val="en-US" w:eastAsia="zh-CN"/>
              </w:rPr>
              <w:t>9</w:t>
            </w:r>
            <w:r>
              <w:rPr>
                <w:rFonts w:hint="eastAsia" w:ascii="Times New Roman" w:hAnsi="Times New Roman"/>
                <w:b/>
                <w:bCs/>
                <w:color w:val="auto"/>
                <w:sz w:val="24"/>
                <w:highlight w:val="none"/>
              </w:rPr>
              <w:t>-5  噪声判定结果表</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2"/>
              <w:gridCol w:w="1090"/>
              <w:gridCol w:w="1088"/>
              <w:gridCol w:w="1089"/>
              <w:gridCol w:w="1089"/>
              <w:gridCol w:w="1089"/>
              <w:gridCol w:w="1108"/>
              <w:gridCol w:w="10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restart"/>
                  <w:vAlign w:val="center"/>
                </w:tcPr>
                <w:p>
                  <w:pPr>
                    <w:snapToGrid/>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测量</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时段</w:t>
                  </w:r>
                </w:p>
              </w:tc>
              <w:tc>
                <w:tcPr>
                  <w:tcW w:w="550" w:type="pct"/>
                  <w:vMerge w:val="restart"/>
                  <w:vAlign w:val="center"/>
                </w:tcPr>
                <w:p>
                  <w:pPr>
                    <w:spacing w:line="240" w:lineRule="auto"/>
                    <w:ind w:firstLine="0" w:firstLineChars="0"/>
                    <w:jc w:val="center"/>
                    <w:rPr>
                      <w:rFonts w:hint="eastAsia" w:ascii="Times New Roman" w:hAnsi="Times New Roman" w:eastAsia="宋体" w:cs="Times New Roman"/>
                      <w:b/>
                      <w:bCs/>
                      <w:color w:val="auto"/>
                      <w:sz w:val="21"/>
                      <w:szCs w:val="21"/>
                    </w:rPr>
                  </w:pPr>
                  <w:r>
                    <w:rPr>
                      <w:rFonts w:hint="eastAsia" w:ascii="Times New Roman" w:hAnsi="Times New Roman" w:eastAsia="宋体" w:cs="Times New Roman"/>
                      <w:b/>
                      <w:bCs/>
                      <w:color w:val="auto"/>
                      <w:sz w:val="21"/>
                      <w:szCs w:val="21"/>
                    </w:rPr>
                    <w:t>检测</w:t>
                  </w:r>
                </w:p>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rPr>
                    <w:t>项目</w:t>
                  </w:r>
                </w:p>
              </w:tc>
              <w:tc>
                <w:tcPr>
                  <w:tcW w:w="2755" w:type="pct"/>
                  <w:gridSpan w:val="5"/>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最大噪声值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c>
                <w:tcPr>
                  <w:tcW w:w="549" w:type="pct"/>
                  <w:vMerge w:val="restar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2类标准值</w:t>
                  </w:r>
                  <w:r>
                    <w:rPr>
                      <w:rFonts w:hint="eastAsia" w:ascii="Times New Roman" w:hAnsi="Times New Roman" w:cs="Times New Roman"/>
                      <w:b/>
                      <w:bCs/>
                      <w:color w:val="auto"/>
                      <w:sz w:val="21"/>
                      <w:szCs w:val="21"/>
                      <w:lang w:val="en-US" w:eastAsia="zh-CN"/>
                    </w:rPr>
                    <w:t xml:space="preserve"> </w:t>
                  </w:r>
                  <w:r>
                    <w:rPr>
                      <w:rFonts w:hint="eastAsia" w:cs="Times New Roman"/>
                      <w:b/>
                      <w:bCs/>
                      <w:color w:val="auto"/>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50"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1</w:t>
                  </w:r>
                  <w:r>
                    <w:rPr>
                      <w:rFonts w:hint="eastAsia" w:ascii="Times New Roman" w:hAnsi="Times New Roman" w:eastAsia="宋体" w:cs="Times New Roman"/>
                      <w:b/>
                      <w:bCs/>
                      <w:color w:val="auto"/>
                      <w:sz w:val="21"/>
                      <w:szCs w:val="21"/>
                    </w:rPr>
                    <w:t>#</w:t>
                  </w:r>
                  <w:r>
                    <w:rPr>
                      <w:rFonts w:hint="eastAsia" w:ascii="Times New Roman" w:hAnsi="Times New Roman" w:eastAsia="宋体" w:cs="Times New Roman"/>
                      <w:b/>
                      <w:bCs/>
                      <w:color w:val="auto"/>
                      <w:sz w:val="21"/>
                      <w:szCs w:val="21"/>
                      <w:lang w:eastAsia="zh-CN"/>
                    </w:rPr>
                    <w:t>东</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2#</w:t>
                  </w:r>
                  <w:r>
                    <w:rPr>
                      <w:rFonts w:hint="eastAsia" w:ascii="Times New Roman" w:hAnsi="Times New Roman" w:cs="Times New Roman"/>
                      <w:b/>
                      <w:bCs/>
                      <w:color w:val="auto"/>
                      <w:sz w:val="21"/>
                      <w:szCs w:val="21"/>
                      <w:lang w:eastAsia="zh-CN"/>
                    </w:rPr>
                    <w:t>南</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r>
                    <w:rPr>
                      <w:rFonts w:hint="eastAsia" w:ascii="Times New Roman" w:hAnsi="Times New Roman" w:eastAsia="宋体" w:cs="Times New Roman"/>
                      <w:b/>
                      <w:bCs/>
                      <w:color w:val="auto"/>
                      <w:sz w:val="21"/>
                      <w:szCs w:val="21"/>
                      <w:lang w:val="en-US" w:eastAsia="zh-CN"/>
                    </w:rPr>
                    <w:t>3#西</w:t>
                  </w:r>
                  <w:r>
                    <w:rPr>
                      <w:rFonts w:hint="eastAsia" w:ascii="Times New Roman" w:hAnsi="Times New Roman" w:eastAsia="宋体" w:cs="Times New Roman"/>
                      <w:b/>
                      <w:bCs/>
                      <w:color w:val="auto"/>
                      <w:sz w:val="21"/>
                      <w:szCs w:val="21"/>
                    </w:rPr>
                    <w:t>厂界</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4#</w:t>
                  </w:r>
                  <w:r>
                    <w:rPr>
                      <w:rFonts w:hint="eastAsia" w:ascii="Times New Roman" w:hAnsi="Times New Roman" w:cs="Times New Roman"/>
                      <w:b/>
                      <w:bCs/>
                      <w:color w:val="auto"/>
                      <w:sz w:val="21"/>
                      <w:szCs w:val="21"/>
                      <w:lang w:eastAsia="zh-CN"/>
                    </w:rPr>
                    <w:t>北偏西厂界</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lang w:val="en-US" w:eastAsia="zh-CN"/>
                    </w:rPr>
                  </w:pPr>
                  <w:r>
                    <w:rPr>
                      <w:rFonts w:hint="eastAsia" w:cs="Times New Roman"/>
                      <w:b/>
                      <w:bCs/>
                      <w:color w:val="auto"/>
                      <w:sz w:val="21"/>
                      <w:szCs w:val="21"/>
                      <w:vertAlign w:val="baseline"/>
                      <w:lang w:val="en-US" w:eastAsia="zh-CN"/>
                    </w:rPr>
                    <w:t>5#</w:t>
                  </w:r>
                  <w:r>
                    <w:rPr>
                      <w:rFonts w:hint="eastAsia" w:ascii="Times New Roman" w:hAnsi="Times New Roman" w:cs="Times New Roman"/>
                      <w:b/>
                      <w:bCs/>
                      <w:color w:val="auto"/>
                      <w:sz w:val="21"/>
                      <w:szCs w:val="21"/>
                      <w:lang w:eastAsia="zh-CN"/>
                    </w:rPr>
                    <w:t>北偏东厂界</w:t>
                  </w:r>
                </w:p>
              </w:tc>
              <w:tc>
                <w:tcPr>
                  <w:tcW w:w="549" w:type="pct"/>
                  <w:vMerge w:val="continue"/>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546"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昼间</w:t>
                  </w:r>
                </w:p>
              </w:tc>
              <w:tc>
                <w:tcPr>
                  <w:tcW w:w="550"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sz w:val="21"/>
                      <w:szCs w:val="21"/>
                      <w:lang w:eastAsia="zh-CN"/>
                    </w:rPr>
                    <w:t>噪声</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57.4</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57.0</w:t>
                  </w:r>
                </w:p>
              </w:tc>
              <w:tc>
                <w:tcPr>
                  <w:tcW w:w="549"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57.8</w:t>
                  </w:r>
                </w:p>
              </w:tc>
              <w:tc>
                <w:tcPr>
                  <w:tcW w:w="558" w:type="pct"/>
                  <w:vAlign w:val="center"/>
                </w:tcPr>
                <w:p>
                  <w:pPr>
                    <w:adjustRightInd/>
                    <w:spacing w:line="240" w:lineRule="auto"/>
                    <w:ind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eastAsia" w:cs="Times New Roman"/>
                      <w:b w:val="0"/>
                      <w:bCs w:val="0"/>
                      <w:color w:val="auto"/>
                      <w:sz w:val="21"/>
                      <w:szCs w:val="21"/>
                      <w:vertAlign w:val="baseline"/>
                      <w:lang w:val="en-US" w:eastAsia="zh-CN"/>
                    </w:rPr>
                    <w:t>57.2</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1096" w:type="pct"/>
                  <w:gridSpan w:val="2"/>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eastAsia="zh-CN"/>
                    </w:rPr>
                    <w:t>备注</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spacing w:line="240" w:lineRule="auto"/>
                    <w:ind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达标</w:t>
                  </w:r>
                </w:p>
              </w:tc>
              <w:tc>
                <w:tcPr>
                  <w:tcW w:w="558"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ascii="Times New Roman" w:hAnsi="Times New Roman" w:cs="Times New Roman"/>
                      <w:color w:val="auto"/>
                      <w:sz w:val="21"/>
                      <w:szCs w:val="21"/>
                      <w:lang w:val="en-US" w:eastAsia="zh-CN"/>
                    </w:rPr>
                    <w:t>达标</w:t>
                  </w:r>
                </w:p>
              </w:tc>
              <w:tc>
                <w:tcPr>
                  <w:tcW w:w="549" w:type="pct"/>
                  <w:vAlign w:val="center"/>
                </w:tcPr>
                <w:p>
                  <w:pPr>
                    <w:adjustRightInd/>
                    <w:spacing w:line="240" w:lineRule="auto"/>
                    <w:ind w:firstLine="0" w:firstLineChars="0"/>
                    <w:jc w:val="center"/>
                    <w:textAlignment w:val="auto"/>
                    <w:rPr>
                      <w:rFonts w:hint="eastAsia" w:ascii="Times New Roman" w:hAnsi="Times New Roman" w:eastAsia="宋体" w:cs="Times New Roman"/>
                      <w:b/>
                      <w:bCs/>
                      <w:color w:val="auto"/>
                      <w:kern w:val="2"/>
                      <w:sz w:val="21"/>
                      <w:szCs w:val="21"/>
                      <w:vertAlign w:val="baseline"/>
                      <w:lang w:val="en-US" w:eastAsia="zh-CN" w:bidi="ar-SA"/>
                    </w:rPr>
                  </w:pPr>
                  <w:r>
                    <w:rPr>
                      <w:rFonts w:hint="eastAsia" w:cs="Times New Roman"/>
                      <w:b/>
                      <w:bCs/>
                      <w:color w:val="auto"/>
                      <w:sz w:val="21"/>
                      <w:szCs w:val="21"/>
                      <w:vertAlign w:val="baseline"/>
                      <w:lang w:val="en-US" w:eastAsia="zh-CN"/>
                    </w:rPr>
                    <w:t>/</w:t>
                  </w:r>
                </w:p>
              </w:tc>
            </w:tr>
          </w:tbl>
          <w:p>
            <w:pPr>
              <w:pStyle w:val="33"/>
              <w:snapToGrid w:val="0"/>
              <w:jc w:val="both"/>
              <w:rPr>
                <w:rFonts w:hint="eastAsia"/>
                <w:color w:val="auto"/>
                <w:highlight w:val="none"/>
              </w:rPr>
            </w:pPr>
            <w:r>
              <w:rPr>
                <w:rFonts w:hint="eastAsia"/>
                <w:color w:val="auto"/>
                <w:highlight w:val="none"/>
              </w:rPr>
              <w:t>验收监测期间，项目1#东厂界、2#南厂界、3#西厂界、4#北偏西厂界、5#北偏东厂界，昼间厂界噪声最大值分别为57.4dB（A）、57.2dB（A）、57.0dB（A）、57.8dB（A）、57.2dB（A），均满足《工业企业厂界环境噪声排放标准》(GB12348-2008)2类昼间标准。项目夜间不运行。</w:t>
            </w:r>
          </w:p>
          <w:p>
            <w:pPr>
              <w:pStyle w:val="33"/>
              <w:widowControl/>
              <w:adjustRightInd/>
              <w:rPr>
                <w:rFonts w:cs="Times New Roman"/>
                <w:color w:val="auto"/>
                <w:szCs w:val="24"/>
                <w:highlight w:val="none"/>
              </w:rPr>
            </w:pPr>
            <w:r>
              <w:rPr>
                <w:rFonts w:cs="Times New Roman"/>
                <w:color w:val="auto"/>
                <w:szCs w:val="24"/>
                <w:highlight w:val="none"/>
              </w:rPr>
              <w:t>（4）</w:t>
            </w:r>
            <w:r>
              <w:rPr>
                <w:rFonts w:hint="eastAsia" w:cs="Times New Roman"/>
                <w:color w:val="auto"/>
                <w:szCs w:val="24"/>
                <w:highlight w:val="none"/>
              </w:rPr>
              <w:t>固废：</w:t>
            </w:r>
          </w:p>
          <w:p>
            <w:pPr>
              <w:pStyle w:val="33"/>
              <w:widowControl/>
              <w:adjustRightInd/>
              <w:rPr>
                <w:rFonts w:hint="eastAsia" w:cs="Times New Roman"/>
                <w:color w:val="auto"/>
                <w:szCs w:val="24"/>
                <w:highlight w:val="none"/>
              </w:rPr>
            </w:pPr>
            <w:r>
              <w:rPr>
                <w:rFonts w:hint="eastAsia" w:cs="Times New Roman"/>
                <w:color w:val="auto"/>
                <w:szCs w:val="24"/>
                <w:highlight w:val="none"/>
              </w:rPr>
              <w:t>本项目生产过程中产生的固体废物包括危险废物和一般固废。危险废物主要包括：实验废物、合成实验废液、初洗废液和二次清洗废液、质检废液、过期试剂、废活性炭、废催化剂、废干燥剂、废吸附剂；一般固废主要包括：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和生活垃圾。</w:t>
            </w:r>
          </w:p>
          <w:p>
            <w:pPr>
              <w:pStyle w:val="33"/>
              <w:widowControl/>
              <w:adjustRightInd/>
              <w:rPr>
                <w:rFonts w:hint="eastAsia" w:cs="Times New Roman"/>
                <w:color w:val="auto"/>
                <w:szCs w:val="24"/>
                <w:highlight w:val="none"/>
              </w:rPr>
            </w:pPr>
            <w:r>
              <w:rPr>
                <w:rFonts w:hint="eastAsia" w:cs="Times New Roman"/>
                <w:color w:val="auto"/>
                <w:szCs w:val="24"/>
                <w:highlight w:val="none"/>
              </w:rPr>
              <w:t>项目产生的废包装物、一次性口罩、手套</w:t>
            </w:r>
            <w:r>
              <w:rPr>
                <w:rFonts w:hint="eastAsia" w:cs="Times New Roman"/>
                <w:color w:val="auto"/>
                <w:szCs w:val="24"/>
                <w:highlight w:val="none"/>
                <w:lang w:eastAsia="zh-CN"/>
              </w:rPr>
              <w:t>（未沾染化学药品）</w:t>
            </w:r>
            <w:r>
              <w:rPr>
                <w:rFonts w:hint="eastAsia" w:cs="Times New Roman"/>
                <w:color w:val="auto"/>
                <w:szCs w:val="24"/>
                <w:highlight w:val="none"/>
              </w:rPr>
              <w:t>统一收集外售；生活垃圾由环卫部门定期清运；实验废物、合成实验废液、初洗废液和二次清洗废液、质检废液、过期试剂、废活性炭、废干燥剂、废吸附剂、废催化剂等危险废物定期委托有资质单位处置。</w:t>
            </w:r>
          </w:p>
          <w:p>
            <w:pPr>
              <w:pStyle w:val="33"/>
              <w:widowControl/>
              <w:adjustRightInd/>
              <w:rPr>
                <w:rFonts w:hint="eastAsia" w:cs="Times New Roman"/>
                <w:color w:val="auto"/>
                <w:szCs w:val="24"/>
                <w:highlight w:val="none"/>
              </w:rPr>
            </w:pPr>
            <w:r>
              <w:rPr>
                <w:rFonts w:hint="eastAsia" w:cs="Times New Roman"/>
                <w:color w:val="auto"/>
                <w:szCs w:val="24"/>
                <w:highlight w:val="none"/>
              </w:rPr>
              <w:t>建设单位已与山东环沃环保科技有限公司、济南德正环保科技有限公司签订危废委托处理协议。</w:t>
            </w:r>
          </w:p>
          <w:p>
            <w:pPr>
              <w:pStyle w:val="33"/>
              <w:widowControl/>
              <w:adjustRightInd/>
              <w:rPr>
                <w:rFonts w:hint="eastAsia" w:cs="Times New Roman"/>
                <w:color w:val="auto"/>
                <w:szCs w:val="24"/>
                <w:highlight w:val="none"/>
              </w:rPr>
            </w:pPr>
            <w:r>
              <w:rPr>
                <w:rFonts w:hint="eastAsia" w:cs="Times New Roman"/>
                <w:color w:val="auto"/>
                <w:szCs w:val="24"/>
                <w:highlight w:val="none"/>
              </w:rPr>
              <w:t>一般固废的处置符合《一般工业固体废物贮存和填埋污染控制标准》(GB18599-2020)的要求，危险废物的处理措施和处置方案满足《危险废物贮存污染控制标准》（GB18597-2001）及修改单要求。</w:t>
            </w:r>
          </w:p>
          <w:p>
            <w:pPr>
              <w:pStyle w:val="2"/>
              <w:numPr>
                <w:ilvl w:val="255"/>
                <w:numId w:val="0"/>
              </w:numPr>
              <w:ind w:firstLine="482" w:firstLineChars="200"/>
              <w:rPr>
                <w:rFonts w:hint="eastAsia" w:ascii="Times New Roman" w:hAnsi="Times New Roman" w:eastAsia="宋体"/>
                <w:b/>
                <w:bCs/>
                <w:color w:val="auto"/>
                <w:sz w:val="24"/>
                <w:highlight w:val="none"/>
                <w:lang w:eastAsia="zh-CN"/>
              </w:rPr>
            </w:pPr>
            <w:r>
              <w:rPr>
                <w:rFonts w:hint="eastAsia" w:ascii="Times New Roman" w:hAnsi="Times New Roman"/>
                <w:b/>
                <w:bCs/>
                <w:color w:val="auto"/>
                <w:sz w:val="24"/>
                <w:highlight w:val="none"/>
                <w:lang w:val="en-US" w:eastAsia="zh-CN"/>
              </w:rPr>
              <w:t>4</w:t>
            </w:r>
            <w:r>
              <w:rPr>
                <w:rFonts w:ascii="Times New Roman" w:hAnsi="Times New Roman"/>
                <w:b/>
                <w:bCs/>
                <w:color w:val="auto"/>
                <w:sz w:val="24"/>
                <w:highlight w:val="none"/>
              </w:rPr>
              <w:t>、污染物排放总量</w:t>
            </w:r>
            <w:r>
              <w:rPr>
                <w:rFonts w:hint="eastAsia" w:ascii="Times New Roman" w:hAnsi="Times New Roman"/>
                <w:b/>
                <w:bCs/>
                <w:color w:val="auto"/>
                <w:sz w:val="24"/>
                <w:highlight w:val="none"/>
                <w:lang w:eastAsia="zh-CN"/>
              </w:rPr>
              <w:t>核算</w:t>
            </w:r>
          </w:p>
          <w:p>
            <w:pPr>
              <w:pStyle w:val="33"/>
              <w:widowControl/>
              <w:adjustRightInd/>
              <w:rPr>
                <w:rFonts w:cs="Times New Roman"/>
                <w:color w:val="auto"/>
                <w:szCs w:val="24"/>
                <w:highlight w:val="none"/>
              </w:rPr>
            </w:pPr>
            <w:r>
              <w:rPr>
                <w:rFonts w:hint="eastAsia"/>
                <w:color w:val="auto"/>
                <w:highlight w:val="none"/>
              </w:rPr>
              <w:t>废气：</w:t>
            </w:r>
            <w:r>
              <w:rPr>
                <w:rFonts w:hint="eastAsia" w:cs="Times New Roman"/>
                <w:color w:val="auto"/>
                <w:highlight w:val="none"/>
                <w:lang w:eastAsia="zh-CN"/>
              </w:rPr>
              <w:t>根据现场调查和实际生产情况，项目仅在合成工序产生有机废气</w:t>
            </w:r>
            <w:r>
              <w:rPr>
                <w:rFonts w:hint="eastAsia" w:cs="Times New Roman"/>
                <w:color w:val="auto"/>
                <w:highlight w:val="none"/>
              </w:rPr>
              <w:t>，以上工序</w:t>
            </w:r>
            <w:r>
              <w:rPr>
                <w:rFonts w:hint="eastAsia" w:cs="Times New Roman"/>
                <w:color w:val="auto"/>
                <w:highlight w:val="none"/>
                <w:lang w:eastAsia="zh-CN"/>
              </w:rPr>
              <w:t>排气筒</w:t>
            </w:r>
            <w:r>
              <w:rPr>
                <w:rFonts w:hint="eastAsia" w:cs="Times New Roman"/>
                <w:color w:val="auto"/>
                <w:highlight w:val="none"/>
              </w:rPr>
              <w:t>年排气时间</w:t>
            </w:r>
            <w:r>
              <w:rPr>
                <w:rFonts w:hint="eastAsia" w:cs="Times New Roman"/>
                <w:color w:val="auto"/>
                <w:highlight w:val="none"/>
                <w:lang w:eastAsia="zh-CN"/>
              </w:rPr>
              <w:t>均</w:t>
            </w:r>
            <w:r>
              <w:rPr>
                <w:rFonts w:hint="eastAsia" w:cs="Times New Roman"/>
                <w:color w:val="auto"/>
                <w:highlight w:val="none"/>
              </w:rPr>
              <w:t>为</w:t>
            </w:r>
            <w:r>
              <w:rPr>
                <w:rFonts w:hint="eastAsia" w:cs="Times New Roman"/>
                <w:color w:val="auto"/>
                <w:highlight w:val="none"/>
                <w:lang w:val="en-US" w:eastAsia="zh-CN"/>
              </w:rPr>
              <w:t>2400</w:t>
            </w:r>
            <w:r>
              <w:rPr>
                <w:rFonts w:hint="eastAsia" w:cs="Times New Roman"/>
                <w:color w:val="auto"/>
                <w:highlight w:val="none"/>
              </w:rPr>
              <w:t>小时，根据验收监测结果核算，</w:t>
            </w:r>
            <w:r>
              <w:rPr>
                <w:rFonts w:hint="eastAsia" w:cs="Times New Roman"/>
                <w:color w:val="auto"/>
                <w:highlight w:val="none"/>
                <w:lang w:eastAsia="zh-CN"/>
              </w:rPr>
              <w:t>项目VOCs排放量为</w:t>
            </w:r>
            <w:r>
              <w:rPr>
                <w:rFonts w:hint="eastAsia" w:cs="Times New Roman"/>
                <w:color w:val="auto"/>
                <w:highlight w:val="none"/>
                <w:lang w:val="en-US" w:eastAsia="zh-CN"/>
              </w:rPr>
              <w:t>0.8808</w:t>
            </w:r>
            <w:r>
              <w:rPr>
                <w:rFonts w:hint="eastAsia" w:cs="Times New Roman"/>
                <w:color w:val="auto"/>
                <w:highlight w:val="none"/>
              </w:rPr>
              <w:t>t/a，满足VOCs总量控制要求</w:t>
            </w:r>
            <w:r>
              <w:rPr>
                <w:rFonts w:hint="eastAsia" w:cs="Times New Roman"/>
                <w:color w:val="auto"/>
                <w:highlight w:val="none"/>
                <w:lang w:val="en-US" w:eastAsia="zh-CN"/>
              </w:rPr>
              <w:t>0.9</w:t>
            </w:r>
            <w:r>
              <w:rPr>
                <w:rFonts w:hint="eastAsia" w:cs="Times New Roman"/>
                <w:color w:val="auto"/>
                <w:highlight w:val="none"/>
              </w:rPr>
              <w:t>t/a（低于环评文件测算总量）。</w:t>
            </w:r>
          </w:p>
          <w:p>
            <w:pPr>
              <w:pStyle w:val="2"/>
              <w:numPr>
                <w:ilvl w:val="255"/>
                <w:numId w:val="0"/>
              </w:numPr>
              <w:ind w:firstLine="482"/>
              <w:rPr>
                <w:rFonts w:hint="default"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lang w:val="en-US" w:eastAsia="zh-CN"/>
              </w:rPr>
              <w:t>5</w:t>
            </w:r>
            <w:r>
              <w:rPr>
                <w:rFonts w:hint="default" w:ascii="Times New Roman" w:hAnsi="Times New Roman" w:eastAsia="宋体" w:cs="Times New Roman"/>
                <w:b/>
                <w:bCs/>
                <w:color w:val="auto"/>
                <w:sz w:val="24"/>
                <w:highlight w:val="none"/>
              </w:rPr>
              <w:t>、环保设施去除效率</w:t>
            </w:r>
          </w:p>
          <w:p>
            <w:pPr>
              <w:pStyle w:val="2"/>
              <w:ind w:firstLine="480"/>
              <w:rPr>
                <w:rFonts w:hint="eastAsia" w:ascii="Times New Roman" w:hAnsi="Times New Roman" w:eastAsia="宋体" w:cs="Times New Roman"/>
                <w:color w:val="000000"/>
                <w:sz w:val="24"/>
                <w:highlight w:val="none"/>
              </w:rPr>
            </w:pPr>
            <w:r>
              <w:rPr>
                <w:rFonts w:hint="eastAsia"/>
                <w:color w:val="auto"/>
                <w:sz w:val="24"/>
                <w:highlight w:val="none"/>
              </w:rPr>
              <w:t>废气：</w:t>
            </w:r>
            <w:r>
              <w:rPr>
                <w:rFonts w:hint="eastAsia"/>
                <w:color w:val="auto"/>
                <w:sz w:val="24"/>
                <w:highlight w:val="none"/>
                <w:lang w:eastAsia="zh-CN"/>
              </w:rPr>
              <w:t>废气</w:t>
            </w:r>
            <w:r>
              <w:rPr>
                <w:rFonts w:hint="eastAsia" w:ascii="Times New Roman" w:hAnsi="Times New Roman" w:eastAsia="宋体" w:cs="Times New Roman"/>
                <w:b w:val="0"/>
                <w:bCs w:val="0"/>
                <w:color w:val="000000"/>
                <w:sz w:val="24"/>
                <w:szCs w:val="24"/>
                <w:highlight w:val="none"/>
                <w:lang w:val="en-US" w:eastAsia="zh-CN"/>
              </w:rPr>
              <w:t>环保处理装置进口因管道距离过短不具备开口条件，本次验收未进行去除效率监测。不具备检测条件现场照片见附件6。</w:t>
            </w:r>
          </w:p>
          <w:p>
            <w:pPr>
              <w:pStyle w:val="2"/>
              <w:ind w:firstLine="48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废水：根据验收监测结果核算，银丰国际生物城污水处理站对废水中主要污染物氨氮、化学需氧量平均去除效率分别为46.9%、50.5%。</w:t>
            </w:r>
          </w:p>
          <w:p>
            <w:pPr>
              <w:numPr>
                <w:ilvl w:val="255"/>
                <w:numId w:val="0"/>
              </w:numPr>
              <w:ind w:firstLine="482"/>
              <w:rPr>
                <w:b/>
                <w:bCs/>
                <w:color w:val="auto"/>
                <w:highlight w:val="none"/>
              </w:rPr>
            </w:pPr>
            <w:r>
              <w:rPr>
                <w:rFonts w:hint="eastAsia"/>
                <w:b/>
                <w:bCs/>
                <w:color w:val="auto"/>
                <w:highlight w:val="none"/>
                <w:lang w:val="en-US" w:eastAsia="zh-CN"/>
              </w:rPr>
              <w:t>6</w:t>
            </w:r>
            <w:r>
              <w:rPr>
                <w:rFonts w:hint="eastAsia"/>
                <w:b/>
                <w:bCs/>
                <w:color w:val="auto"/>
                <w:highlight w:val="none"/>
              </w:rPr>
              <w:t>、</w:t>
            </w:r>
            <w:r>
              <w:rPr>
                <w:b/>
                <w:color w:val="auto"/>
                <w:highlight w:val="none"/>
              </w:rPr>
              <w:t>工程建设对环境的影响</w:t>
            </w:r>
          </w:p>
          <w:p>
            <w:pPr>
              <w:pStyle w:val="33"/>
              <w:jc w:val="both"/>
              <w:rPr>
                <w:rFonts w:cs="Times New Roman"/>
                <w:color w:val="auto"/>
                <w:szCs w:val="24"/>
                <w:highlight w:val="none"/>
              </w:rPr>
            </w:pPr>
            <w:r>
              <w:rPr>
                <w:rFonts w:cs="Times New Roman"/>
                <w:color w:val="auto"/>
                <w:szCs w:val="24"/>
                <w:highlight w:val="none"/>
              </w:rPr>
              <w:t>本项目位于</w:t>
            </w:r>
            <w:r>
              <w:rPr>
                <w:rFonts w:hint="eastAsia" w:cs="Times New Roman"/>
                <w:color w:val="auto"/>
                <w:szCs w:val="24"/>
                <w:highlight w:val="none"/>
                <w:lang w:eastAsia="zh-CN"/>
              </w:rPr>
              <w:t>济南市高新区大正路1777号生物医药园西侧银丰国际城12#楼</w:t>
            </w:r>
            <w:r>
              <w:rPr>
                <w:rFonts w:cs="Times New Roman"/>
                <w:color w:val="auto"/>
                <w:szCs w:val="24"/>
                <w:highlight w:val="none"/>
              </w:rPr>
              <w:t>，监测结果表明，本项目废气、</w:t>
            </w:r>
            <w:r>
              <w:rPr>
                <w:rFonts w:hint="eastAsia" w:cs="Times New Roman"/>
                <w:color w:val="auto"/>
                <w:szCs w:val="24"/>
                <w:highlight w:val="none"/>
              </w:rPr>
              <w:t>废水、</w:t>
            </w:r>
            <w:r>
              <w:rPr>
                <w:rFonts w:cs="Times New Roman"/>
                <w:color w:val="auto"/>
                <w:szCs w:val="24"/>
                <w:highlight w:val="none"/>
              </w:rPr>
              <w:t>噪声均符合国家标准要求，达标排放，固体废物均合理处置，对周围环境影响较小。</w:t>
            </w:r>
          </w:p>
          <w:p>
            <w:pPr>
              <w:pStyle w:val="33"/>
              <w:jc w:val="both"/>
              <w:rPr>
                <w:rFonts w:cs="Times New Roman"/>
                <w:color w:val="auto"/>
                <w:szCs w:val="24"/>
                <w:highlight w:val="none"/>
              </w:rPr>
            </w:pPr>
            <w:r>
              <w:rPr>
                <w:rFonts w:cs="Times New Roman"/>
                <w:color w:val="auto"/>
                <w:szCs w:val="24"/>
                <w:highlight w:val="none"/>
              </w:rPr>
              <w:t>根据监测及调查结果分析，项目建设对环境的影响可以接受，不会造成环境质量的恶化。</w:t>
            </w:r>
          </w:p>
          <w:p>
            <w:pPr>
              <w:pStyle w:val="33"/>
              <w:ind w:firstLine="482"/>
              <w:jc w:val="left"/>
              <w:rPr>
                <w:rFonts w:hint="eastAsia" w:ascii="Times New Roman" w:hAnsi="Times New Roman" w:eastAsia="宋体" w:cs="Times New Roman"/>
                <w:b/>
                <w:bCs/>
                <w:color w:val="auto"/>
                <w:szCs w:val="24"/>
                <w:highlight w:val="none"/>
                <w:lang w:val="en-US" w:eastAsia="zh-CN"/>
              </w:rPr>
            </w:pPr>
            <w:r>
              <w:rPr>
                <w:rFonts w:hint="eastAsia" w:cs="Times New Roman"/>
                <w:b/>
                <w:bCs/>
                <w:color w:val="auto"/>
                <w:szCs w:val="24"/>
                <w:highlight w:val="none"/>
                <w:lang w:val="en-US" w:eastAsia="zh-CN"/>
              </w:rPr>
              <w:t>7</w:t>
            </w:r>
            <w:r>
              <w:rPr>
                <w:rFonts w:hint="eastAsia" w:ascii="Times New Roman" w:hAnsi="Times New Roman" w:eastAsia="宋体" w:cs="Times New Roman"/>
                <w:b/>
                <w:bCs/>
                <w:color w:val="auto"/>
                <w:szCs w:val="24"/>
                <w:highlight w:val="none"/>
                <w:lang w:val="en-US" w:eastAsia="zh-CN"/>
              </w:rPr>
              <w:t>、</w:t>
            </w:r>
            <w:r>
              <w:rPr>
                <w:rFonts w:hint="eastAsia" w:ascii="Times New Roman" w:hAnsi="Times New Roman" w:eastAsia="宋体" w:cs="Times New Roman"/>
                <w:b/>
                <w:bCs/>
                <w:color w:val="auto"/>
                <w:sz w:val="24"/>
                <w:szCs w:val="24"/>
                <w:highlight w:val="none"/>
              </w:rPr>
              <w:t>排污许可</w:t>
            </w:r>
          </w:p>
          <w:p>
            <w:pPr>
              <w:pStyle w:val="33"/>
              <w:jc w:val="both"/>
              <w:rPr>
                <w:rFonts w:hint="eastAsia" w:cs="Times New Roman"/>
                <w:color w:val="auto"/>
                <w:szCs w:val="24"/>
                <w:highlight w:val="none"/>
              </w:rPr>
            </w:pPr>
            <w:r>
              <w:rPr>
                <w:rFonts w:hint="eastAsia" w:cs="Times New Roman"/>
                <w:color w:val="auto"/>
                <w:szCs w:val="24"/>
                <w:highlight w:val="none"/>
              </w:rPr>
              <w:t>根据《固定污染源排污许可分类管理名录（2019 年版）》，项目行业类别属于M7340医学研究和试验发展，不在固定污染源排污许可分类管理名录之内，可不需申请排污许可证。</w:t>
            </w:r>
          </w:p>
          <w:p>
            <w:pPr>
              <w:pStyle w:val="33"/>
              <w:ind w:firstLine="482"/>
              <w:rPr>
                <w:rFonts w:cs="Times New Roman"/>
                <w:b/>
                <w:bCs/>
                <w:color w:val="auto"/>
                <w:szCs w:val="24"/>
                <w:highlight w:val="none"/>
              </w:rPr>
            </w:pPr>
            <w:r>
              <w:rPr>
                <w:rFonts w:hint="eastAsia" w:cs="Times New Roman"/>
                <w:b/>
                <w:bCs/>
                <w:color w:val="auto"/>
                <w:szCs w:val="24"/>
                <w:highlight w:val="none"/>
                <w:lang w:val="en-US" w:eastAsia="zh-CN"/>
              </w:rPr>
              <w:t>8</w:t>
            </w:r>
            <w:r>
              <w:rPr>
                <w:rFonts w:hint="eastAsia" w:cs="Times New Roman"/>
                <w:b/>
                <w:bCs/>
                <w:color w:val="auto"/>
                <w:szCs w:val="24"/>
                <w:highlight w:val="none"/>
              </w:rPr>
              <w:t>、</w:t>
            </w:r>
            <w:r>
              <w:rPr>
                <w:rFonts w:cs="Times New Roman"/>
                <w:b/>
                <w:bCs/>
                <w:color w:val="auto"/>
                <w:szCs w:val="24"/>
                <w:highlight w:val="none"/>
              </w:rPr>
              <w:t>验收结论</w:t>
            </w:r>
          </w:p>
          <w:p>
            <w:pPr>
              <w:pStyle w:val="33"/>
              <w:jc w:val="both"/>
              <w:rPr>
                <w:rFonts w:cs="Times New Roman"/>
                <w:color w:val="auto"/>
                <w:szCs w:val="24"/>
                <w:highlight w:val="none"/>
              </w:rPr>
            </w:pPr>
            <w:r>
              <w:rPr>
                <w:rFonts w:hint="eastAsia" w:cs="Times New Roman"/>
                <w:color w:val="auto"/>
                <w:kern w:val="21"/>
                <w:szCs w:val="24"/>
                <w:highlight w:val="none"/>
                <w:lang w:eastAsia="zh-CN"/>
              </w:rPr>
              <w:t>山东盛迪医药有限公司创新药物研发一期项目</w:t>
            </w:r>
            <w:r>
              <w:rPr>
                <w:rFonts w:hint="eastAsia" w:cs="Times New Roman"/>
                <w:color w:val="auto"/>
                <w:kern w:val="21"/>
                <w:szCs w:val="24"/>
                <w:highlight w:val="none"/>
              </w:rPr>
              <w:t>环评手续完备，技术资料基本齐全。项目主体及环境保护设施等总体按环评及批复要求建成，项目建设了完善的环保设施</w:t>
            </w:r>
            <w:r>
              <w:rPr>
                <w:rFonts w:hint="eastAsia" w:cs="Times New Roman"/>
                <w:color w:val="auto"/>
                <w:kern w:val="21"/>
                <w:szCs w:val="24"/>
                <w:highlight w:val="none"/>
                <w:lang w:eastAsia="zh-CN"/>
              </w:rPr>
              <w:t>并能正常运行。</w:t>
            </w:r>
            <w:r>
              <w:rPr>
                <w:rFonts w:hint="eastAsia" w:cs="Times New Roman"/>
                <w:color w:val="auto"/>
                <w:kern w:val="21"/>
                <w:szCs w:val="24"/>
                <w:highlight w:val="none"/>
              </w:rPr>
              <w:t>调试期间废气污染物排放浓度和排放速率均满足有关标准要求，废水污染物浓度满足排放标准要求，固体废物贮存及处置合理、得当，厂界噪声均达标，污染物排放总量满足要求。项目具备正常运行条件，</w:t>
            </w:r>
            <w:r>
              <w:rPr>
                <w:rFonts w:hint="eastAsia" w:cs="Times New Roman"/>
                <w:color w:val="auto"/>
                <w:kern w:val="21"/>
                <w:szCs w:val="24"/>
                <w:highlight w:val="none"/>
                <w:lang w:eastAsia="zh-CN"/>
              </w:rPr>
              <w:t>未发生重大变动</w:t>
            </w:r>
            <w:r>
              <w:rPr>
                <w:rFonts w:hint="eastAsia" w:cs="Times New Roman"/>
                <w:color w:val="auto"/>
                <w:kern w:val="21"/>
                <w:szCs w:val="24"/>
                <w:highlight w:val="none"/>
              </w:rPr>
              <w:t>，</w:t>
            </w:r>
            <w:r>
              <w:rPr>
                <w:rFonts w:hint="eastAsia" w:cs="Times New Roman"/>
                <w:color w:val="auto"/>
                <w:szCs w:val="24"/>
                <w:highlight w:val="none"/>
                <w:lang w:eastAsia="zh-CN"/>
              </w:rPr>
              <w:t>符合</w:t>
            </w:r>
            <w:r>
              <w:rPr>
                <w:rFonts w:cs="Times New Roman"/>
                <w:color w:val="auto"/>
                <w:szCs w:val="24"/>
                <w:highlight w:val="none"/>
              </w:rPr>
              <w:t>建设项目竣工环境保护验收条件</w:t>
            </w:r>
            <w:r>
              <w:rPr>
                <w:rFonts w:hint="eastAsia" w:cs="Times New Roman"/>
                <w:color w:val="auto"/>
                <w:szCs w:val="24"/>
                <w:highlight w:val="none"/>
              </w:rPr>
              <w:t>。</w:t>
            </w:r>
          </w:p>
          <w:p>
            <w:pPr>
              <w:ind w:firstLine="482"/>
              <w:rPr>
                <w:b/>
                <w:bCs/>
                <w:color w:val="auto"/>
                <w:highlight w:val="none"/>
              </w:rPr>
            </w:pPr>
            <w:r>
              <w:rPr>
                <w:b/>
                <w:bCs/>
                <w:color w:val="auto"/>
                <w:highlight w:val="none"/>
              </w:rPr>
              <w:t>二、建议：</w:t>
            </w:r>
          </w:p>
          <w:p>
            <w:pPr>
              <w:snapToGrid w:val="0"/>
              <w:ind w:right="113" w:firstLine="480"/>
              <w:rPr>
                <w:color w:val="auto"/>
                <w:highlight w:val="none"/>
              </w:rPr>
            </w:pPr>
            <w:r>
              <w:rPr>
                <w:color w:val="auto"/>
                <w:highlight w:val="none"/>
              </w:rPr>
              <w:t>（1）加强废气处理设施的管理与维护，建立并落实日常运行管理台账，确保废气环保设施的稳定运行和污染物长期稳定达标排放；</w:t>
            </w:r>
          </w:p>
          <w:p>
            <w:pPr>
              <w:pStyle w:val="33"/>
              <w:rPr>
                <w:rFonts w:cs="Times New Roman"/>
                <w:color w:val="auto"/>
                <w:szCs w:val="24"/>
                <w:highlight w:val="none"/>
              </w:rPr>
            </w:pPr>
            <w:r>
              <w:rPr>
                <w:rFonts w:cs="Times New Roman"/>
                <w:color w:val="auto"/>
                <w:szCs w:val="24"/>
                <w:highlight w:val="none"/>
              </w:rPr>
              <w:t xml:space="preserve">（2）加强高噪音设备的维修和保养，降低噪声污染，维持噪声排放达标。 </w:t>
            </w:r>
          </w:p>
          <w:p>
            <w:pPr>
              <w:pStyle w:val="33"/>
              <w:rPr>
                <w:rFonts w:hint="eastAsia" w:eastAsia="宋体" w:cs="Times New Roman"/>
                <w:color w:val="auto"/>
                <w:szCs w:val="24"/>
                <w:highlight w:val="none"/>
                <w:lang w:eastAsia="zh-CN"/>
              </w:rPr>
            </w:pPr>
            <w:r>
              <w:rPr>
                <w:rFonts w:hint="eastAsia" w:cs="Times New Roman"/>
                <w:color w:val="auto"/>
                <w:szCs w:val="24"/>
                <w:highlight w:val="none"/>
                <w:lang w:eastAsia="zh-CN"/>
              </w:rPr>
              <w:t>（</w:t>
            </w:r>
            <w:r>
              <w:rPr>
                <w:rFonts w:hint="eastAsia" w:cs="Times New Roman"/>
                <w:color w:val="auto"/>
                <w:szCs w:val="24"/>
                <w:highlight w:val="none"/>
                <w:lang w:val="en-US" w:eastAsia="zh-CN"/>
              </w:rPr>
              <w:t>3</w:t>
            </w:r>
            <w:r>
              <w:rPr>
                <w:rFonts w:hint="eastAsia" w:cs="Times New Roman"/>
                <w:color w:val="auto"/>
                <w:szCs w:val="24"/>
                <w:highlight w:val="none"/>
                <w:lang w:eastAsia="zh-CN"/>
              </w:rPr>
              <w:t>）按照《危险废物贮存污染物控制标准》（GB18597-2001）及修改单中的相关要求，进一步规范危废间的建设与管理，分类存放；规范标识、台账，妥善处置，减少对环境影响。</w:t>
            </w:r>
          </w:p>
          <w:p>
            <w:pPr>
              <w:pStyle w:val="33"/>
              <w:rPr>
                <w:rFonts w:hint="eastAsia" w:eastAsia="宋体" w:cs="Times New Roman"/>
                <w:color w:val="auto"/>
                <w:szCs w:val="24"/>
                <w:highlight w:val="none"/>
                <w:lang w:eastAsia="zh-CN"/>
              </w:rPr>
            </w:pPr>
            <w:r>
              <w:rPr>
                <w:rFonts w:hint="eastAsia" w:cs="Times New Roman"/>
                <w:color w:val="auto"/>
                <w:szCs w:val="24"/>
                <w:highlight w:val="none"/>
                <w:lang w:eastAsia="zh-CN"/>
              </w:rPr>
              <w:t>（</w:t>
            </w:r>
            <w:r>
              <w:rPr>
                <w:rFonts w:hint="eastAsia" w:cs="Times New Roman"/>
                <w:color w:val="auto"/>
                <w:szCs w:val="24"/>
                <w:highlight w:val="none"/>
                <w:lang w:val="en-US" w:eastAsia="zh-CN"/>
              </w:rPr>
              <w:t>4</w:t>
            </w:r>
            <w:r>
              <w:rPr>
                <w:rFonts w:hint="eastAsia" w:cs="Times New Roman"/>
                <w:color w:val="auto"/>
                <w:szCs w:val="24"/>
                <w:highlight w:val="none"/>
                <w:lang w:eastAsia="zh-CN"/>
              </w:rPr>
              <w:t>）</w:t>
            </w:r>
            <w:r>
              <w:rPr>
                <w:rFonts w:ascii="Times New Roman" w:hAnsi="Times New Roman"/>
                <w:color w:val="auto"/>
                <w:kern w:val="0"/>
                <w:sz w:val="24"/>
                <w:highlight w:val="none"/>
              </w:rPr>
              <w:t>按照企业自行监测技术指南相关要求开展企业定期自行监测工作，并按照《企事业单位环境信息公开管理办法》要求进行环境信息公开。</w:t>
            </w: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p>
          <w:p>
            <w:pPr>
              <w:pStyle w:val="33"/>
              <w:rPr>
                <w:rFonts w:cs="Times New Roman"/>
                <w:color w:val="auto"/>
                <w:szCs w:val="24"/>
                <w:highlight w:val="none"/>
              </w:rPr>
            </w:pPr>
            <w:r>
              <w:rPr>
                <w:rFonts w:cs="Times New Roman"/>
                <w:color w:val="auto"/>
                <w:szCs w:val="24"/>
                <w:highlight w:val="none"/>
              </w:rPr>
              <w:t xml:space="preserve">   </w:t>
            </w:r>
          </w:p>
        </w:tc>
      </w:tr>
    </w:tbl>
    <w:p>
      <w:pPr>
        <w:ind w:firstLine="480"/>
        <w:rPr>
          <w:color w:val="auto"/>
          <w:highlight w:val="none"/>
        </w:rPr>
      </w:pPr>
    </w:p>
    <w:sectPr>
      <w:footerReference r:id="rId6" w:type="default"/>
      <w:pgSz w:w="11906" w:h="16838"/>
      <w:pgMar w:top="1440" w:right="1463" w:bottom="1440" w:left="1519"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华文宋体">
    <w:panose1 w:val="02010600040101010101"/>
    <w:charset w:val="86"/>
    <w:family w:val="auto"/>
    <w:pitch w:val="default"/>
    <w:sig w:usb0="00000287" w:usb1="080F0000" w:usb2="00000000" w:usb3="00000000" w:csb0="0004009F" w:csb1="DFD70000"/>
  </w:font>
  <w:font w:name="仿宋体">
    <w:altName w:val="微软雅黑"/>
    <w:panose1 w:val="00000000000000000000"/>
    <w:charset w:val="86"/>
    <w:family w:val="swiss"/>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r>
      <w:pict>
        <v:shape id="文本框 1026" o:spid="_x0000_s2050"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8"/>
                  <w:ind w:firstLine="36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BA604"/>
    <w:multiLevelType w:val="singleLevel"/>
    <w:tmpl w:val="824BA604"/>
    <w:lvl w:ilvl="0" w:tentative="0">
      <w:start w:val="2"/>
      <w:numFmt w:val="decimal"/>
      <w:suff w:val="nothing"/>
      <w:lvlText w:val="（%1）"/>
      <w:lvlJc w:val="left"/>
    </w:lvl>
  </w:abstractNum>
  <w:abstractNum w:abstractNumId="1">
    <w:nsid w:val="83D8DAAB"/>
    <w:multiLevelType w:val="singleLevel"/>
    <w:tmpl w:val="83D8DAAB"/>
    <w:lvl w:ilvl="0" w:tentative="0">
      <w:start w:val="1"/>
      <w:numFmt w:val="decimal"/>
      <w:suff w:val="nothing"/>
      <w:lvlText w:val="（%1）"/>
      <w:lvlJc w:val="left"/>
    </w:lvl>
  </w:abstractNum>
  <w:abstractNum w:abstractNumId="2">
    <w:nsid w:val="A8758E5B"/>
    <w:multiLevelType w:val="singleLevel"/>
    <w:tmpl w:val="A8758E5B"/>
    <w:lvl w:ilvl="0" w:tentative="0">
      <w:start w:val="3"/>
      <w:numFmt w:val="decimal"/>
      <w:suff w:val="nothing"/>
      <w:lvlText w:val="（%1）"/>
      <w:lvlJc w:val="left"/>
    </w:lvl>
  </w:abstractNum>
  <w:abstractNum w:abstractNumId="3">
    <w:nsid w:val="CA5D6D1D"/>
    <w:multiLevelType w:val="singleLevel"/>
    <w:tmpl w:val="CA5D6D1D"/>
    <w:lvl w:ilvl="0" w:tentative="0">
      <w:start w:val="3"/>
      <w:numFmt w:val="decimal"/>
      <w:suff w:val="nothing"/>
      <w:lvlText w:val="%1）"/>
      <w:lvlJc w:val="left"/>
    </w:lvl>
  </w:abstractNum>
  <w:abstractNum w:abstractNumId="4">
    <w:nsid w:val="D6D0AE8A"/>
    <w:multiLevelType w:val="singleLevel"/>
    <w:tmpl w:val="D6D0AE8A"/>
    <w:lvl w:ilvl="0" w:tentative="0">
      <w:start w:val="2"/>
      <w:numFmt w:val="decimal"/>
      <w:suff w:val="nothing"/>
      <w:lvlText w:val="%1、"/>
      <w:lvlJc w:val="left"/>
    </w:lvl>
  </w:abstractNum>
  <w:abstractNum w:abstractNumId="5">
    <w:nsid w:val="DE9CD2FC"/>
    <w:multiLevelType w:val="singleLevel"/>
    <w:tmpl w:val="DE9CD2FC"/>
    <w:lvl w:ilvl="0" w:tentative="0">
      <w:start w:val="1"/>
      <w:numFmt w:val="bullet"/>
      <w:pStyle w:val="8"/>
      <w:lvlText w:val=""/>
      <w:lvlJc w:val="left"/>
      <w:pPr>
        <w:tabs>
          <w:tab w:val="left" w:pos="2040"/>
        </w:tabs>
        <w:ind w:left="2040" w:hanging="360"/>
      </w:pPr>
      <w:rPr>
        <w:rFonts w:hint="default" w:ascii="Wingdings" w:hAnsi="Wingdings"/>
      </w:rPr>
    </w:lvl>
  </w:abstractNum>
  <w:abstractNum w:abstractNumId="6">
    <w:nsid w:val="44DB2C60"/>
    <w:multiLevelType w:val="singleLevel"/>
    <w:tmpl w:val="44DB2C60"/>
    <w:lvl w:ilvl="0" w:tentative="0">
      <w:start w:val="2"/>
      <w:numFmt w:val="chineseCounting"/>
      <w:suff w:val="nothing"/>
      <w:lvlText w:val="%1、"/>
      <w:lvlJc w:val="left"/>
      <w:rPr>
        <w:rFonts w:hint="eastAsia"/>
      </w:rPr>
    </w:lvl>
  </w:abstractNum>
  <w:abstractNum w:abstractNumId="7">
    <w:nsid w:val="4517F584"/>
    <w:multiLevelType w:val="singleLevel"/>
    <w:tmpl w:val="4517F584"/>
    <w:lvl w:ilvl="0" w:tentative="0">
      <w:start w:val="3"/>
      <w:numFmt w:val="chineseCounting"/>
      <w:suff w:val="nothing"/>
      <w:lvlText w:val="%1、"/>
      <w:lvlJc w:val="left"/>
      <w:rPr>
        <w:rFonts w:hint="eastAsia"/>
      </w:rPr>
    </w:lvl>
  </w:abstractNum>
  <w:abstractNum w:abstractNumId="8">
    <w:nsid w:val="53D3422C"/>
    <w:multiLevelType w:val="singleLevel"/>
    <w:tmpl w:val="53D3422C"/>
    <w:lvl w:ilvl="0" w:tentative="0">
      <w:start w:val="1"/>
      <w:numFmt w:val="decimal"/>
      <w:suff w:val="nothing"/>
      <w:lvlText w:val="%1）"/>
      <w:lvlJc w:val="left"/>
    </w:lvl>
  </w:abstractNum>
  <w:abstractNum w:abstractNumId="9">
    <w:nsid w:val="677197B0"/>
    <w:multiLevelType w:val="singleLevel"/>
    <w:tmpl w:val="677197B0"/>
    <w:lvl w:ilvl="0" w:tentative="0">
      <w:start w:val="1"/>
      <w:numFmt w:val="decimal"/>
      <w:suff w:val="nothing"/>
      <w:lvlText w:val="%1、"/>
      <w:lvlJc w:val="left"/>
    </w:lvl>
  </w:abstractNum>
  <w:abstractNum w:abstractNumId="10">
    <w:nsid w:val="6C849EB2"/>
    <w:multiLevelType w:val="singleLevel"/>
    <w:tmpl w:val="6C849EB2"/>
    <w:lvl w:ilvl="0" w:tentative="0">
      <w:start w:val="2"/>
      <w:numFmt w:val="decimal"/>
      <w:suff w:val="nothing"/>
      <w:lvlText w:val="%1、"/>
      <w:lvlJc w:val="left"/>
    </w:lvl>
  </w:abstractNum>
  <w:num w:numId="1">
    <w:abstractNumId w:val="5"/>
  </w:num>
  <w:num w:numId="2">
    <w:abstractNumId w:val="4"/>
  </w:num>
  <w:num w:numId="3">
    <w:abstractNumId w:val="10"/>
  </w:num>
  <w:num w:numId="4">
    <w:abstractNumId w:val="3"/>
  </w:num>
  <w:num w:numId="5">
    <w:abstractNumId w:val="0"/>
  </w:num>
  <w:num w:numId="6">
    <w:abstractNumId w:val="2"/>
  </w:num>
  <w:num w:numId="7">
    <w:abstractNumId w:val="7"/>
  </w:num>
  <w:num w:numId="8">
    <w:abstractNumId w:val="1"/>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gxMjNkZDE3NjJiZmU3MzFlNjgxMTIzZjViZDlhMDEifQ=="/>
  </w:docVars>
  <w:rsids>
    <w:rsidRoot w:val="00C92A4A"/>
    <w:rsid w:val="00133537"/>
    <w:rsid w:val="0021349B"/>
    <w:rsid w:val="00216040"/>
    <w:rsid w:val="00223B27"/>
    <w:rsid w:val="00297FFC"/>
    <w:rsid w:val="003471E1"/>
    <w:rsid w:val="00377076"/>
    <w:rsid w:val="003F06E7"/>
    <w:rsid w:val="00422E93"/>
    <w:rsid w:val="0047371B"/>
    <w:rsid w:val="006C0C52"/>
    <w:rsid w:val="006C51A5"/>
    <w:rsid w:val="00733ADA"/>
    <w:rsid w:val="00816F1D"/>
    <w:rsid w:val="009E524A"/>
    <w:rsid w:val="00AC3EC8"/>
    <w:rsid w:val="00C92A4A"/>
    <w:rsid w:val="00D5063D"/>
    <w:rsid w:val="00DE25E2"/>
    <w:rsid w:val="00DE7EF5"/>
    <w:rsid w:val="00E65F23"/>
    <w:rsid w:val="00F44DA0"/>
    <w:rsid w:val="010E11FA"/>
    <w:rsid w:val="013D04D4"/>
    <w:rsid w:val="01400946"/>
    <w:rsid w:val="01510BEF"/>
    <w:rsid w:val="015206A9"/>
    <w:rsid w:val="01662125"/>
    <w:rsid w:val="016F4F87"/>
    <w:rsid w:val="01796CFC"/>
    <w:rsid w:val="01825D28"/>
    <w:rsid w:val="01AA67C9"/>
    <w:rsid w:val="01AE5391"/>
    <w:rsid w:val="01BE2C5A"/>
    <w:rsid w:val="01CD70A4"/>
    <w:rsid w:val="020B604A"/>
    <w:rsid w:val="02311EFB"/>
    <w:rsid w:val="02431E27"/>
    <w:rsid w:val="02591901"/>
    <w:rsid w:val="02662CBA"/>
    <w:rsid w:val="026B3007"/>
    <w:rsid w:val="027A7982"/>
    <w:rsid w:val="027E4268"/>
    <w:rsid w:val="02881E0B"/>
    <w:rsid w:val="028A7DFD"/>
    <w:rsid w:val="02906F11"/>
    <w:rsid w:val="029301EE"/>
    <w:rsid w:val="029638CF"/>
    <w:rsid w:val="029F6E8A"/>
    <w:rsid w:val="02A35F83"/>
    <w:rsid w:val="02BC789B"/>
    <w:rsid w:val="02D65E4B"/>
    <w:rsid w:val="02DD53DA"/>
    <w:rsid w:val="02DD598C"/>
    <w:rsid w:val="02EE4716"/>
    <w:rsid w:val="03036C83"/>
    <w:rsid w:val="031D70B2"/>
    <w:rsid w:val="03303A6C"/>
    <w:rsid w:val="035328CF"/>
    <w:rsid w:val="037B520E"/>
    <w:rsid w:val="03892C19"/>
    <w:rsid w:val="03930E11"/>
    <w:rsid w:val="03C07005"/>
    <w:rsid w:val="03C21B8E"/>
    <w:rsid w:val="03E73F51"/>
    <w:rsid w:val="03ED38B6"/>
    <w:rsid w:val="03F21E0D"/>
    <w:rsid w:val="03F86B1C"/>
    <w:rsid w:val="04297E3C"/>
    <w:rsid w:val="043A613C"/>
    <w:rsid w:val="04557299"/>
    <w:rsid w:val="04876F6C"/>
    <w:rsid w:val="049715D3"/>
    <w:rsid w:val="04A06377"/>
    <w:rsid w:val="04D8694E"/>
    <w:rsid w:val="04E7250F"/>
    <w:rsid w:val="04E73936"/>
    <w:rsid w:val="04F3565F"/>
    <w:rsid w:val="05406729"/>
    <w:rsid w:val="0560351D"/>
    <w:rsid w:val="05746CDB"/>
    <w:rsid w:val="05864472"/>
    <w:rsid w:val="05B43FA6"/>
    <w:rsid w:val="05E22866"/>
    <w:rsid w:val="05EA345B"/>
    <w:rsid w:val="05F860E5"/>
    <w:rsid w:val="061544E1"/>
    <w:rsid w:val="06347FC0"/>
    <w:rsid w:val="06400C4E"/>
    <w:rsid w:val="06754E26"/>
    <w:rsid w:val="06805A4F"/>
    <w:rsid w:val="069536E9"/>
    <w:rsid w:val="06A825F4"/>
    <w:rsid w:val="06B367A3"/>
    <w:rsid w:val="06B5519F"/>
    <w:rsid w:val="06BB217B"/>
    <w:rsid w:val="06CA63B8"/>
    <w:rsid w:val="06D51D6A"/>
    <w:rsid w:val="07090C52"/>
    <w:rsid w:val="07296F16"/>
    <w:rsid w:val="07462294"/>
    <w:rsid w:val="07550D30"/>
    <w:rsid w:val="079E53C5"/>
    <w:rsid w:val="07B92DF8"/>
    <w:rsid w:val="07C35CFA"/>
    <w:rsid w:val="07EA3C15"/>
    <w:rsid w:val="07EC732D"/>
    <w:rsid w:val="08154DC3"/>
    <w:rsid w:val="08223887"/>
    <w:rsid w:val="083A2F63"/>
    <w:rsid w:val="085C2138"/>
    <w:rsid w:val="085D4B1A"/>
    <w:rsid w:val="08865107"/>
    <w:rsid w:val="08903093"/>
    <w:rsid w:val="08DA7138"/>
    <w:rsid w:val="08E83851"/>
    <w:rsid w:val="08EE04EE"/>
    <w:rsid w:val="090D69D4"/>
    <w:rsid w:val="09423105"/>
    <w:rsid w:val="095962AF"/>
    <w:rsid w:val="096761A8"/>
    <w:rsid w:val="097275F8"/>
    <w:rsid w:val="09AA2F1B"/>
    <w:rsid w:val="09BA2B89"/>
    <w:rsid w:val="09C32EC2"/>
    <w:rsid w:val="09C74070"/>
    <w:rsid w:val="09CE7B1C"/>
    <w:rsid w:val="09CF4BD2"/>
    <w:rsid w:val="09D861D9"/>
    <w:rsid w:val="09DC6FDC"/>
    <w:rsid w:val="09E74C46"/>
    <w:rsid w:val="09FE6E56"/>
    <w:rsid w:val="09FF38AA"/>
    <w:rsid w:val="0A1C1AFC"/>
    <w:rsid w:val="0A2C7F98"/>
    <w:rsid w:val="0A2E0D3C"/>
    <w:rsid w:val="0A597DDE"/>
    <w:rsid w:val="0A5D1981"/>
    <w:rsid w:val="0A6B4741"/>
    <w:rsid w:val="0A7A7F5F"/>
    <w:rsid w:val="0AA82867"/>
    <w:rsid w:val="0AB143FE"/>
    <w:rsid w:val="0B2A5B1C"/>
    <w:rsid w:val="0B3A2FAD"/>
    <w:rsid w:val="0B3A70C3"/>
    <w:rsid w:val="0B4D5DA2"/>
    <w:rsid w:val="0B82583D"/>
    <w:rsid w:val="0B89325F"/>
    <w:rsid w:val="0BBC2B25"/>
    <w:rsid w:val="0BBE4019"/>
    <w:rsid w:val="0BDC27AC"/>
    <w:rsid w:val="0BF23B46"/>
    <w:rsid w:val="0BF83554"/>
    <w:rsid w:val="0C0D40EB"/>
    <w:rsid w:val="0C4F54B4"/>
    <w:rsid w:val="0C503F46"/>
    <w:rsid w:val="0C5361FC"/>
    <w:rsid w:val="0C5E4C02"/>
    <w:rsid w:val="0C6B725D"/>
    <w:rsid w:val="0C7B29E0"/>
    <w:rsid w:val="0C7D381D"/>
    <w:rsid w:val="0C935C3C"/>
    <w:rsid w:val="0CB93CA2"/>
    <w:rsid w:val="0CC53C5B"/>
    <w:rsid w:val="0CD619C5"/>
    <w:rsid w:val="0CDD313D"/>
    <w:rsid w:val="0D0C1474"/>
    <w:rsid w:val="0D1E3B0E"/>
    <w:rsid w:val="0D605C68"/>
    <w:rsid w:val="0D7379F4"/>
    <w:rsid w:val="0D9413D8"/>
    <w:rsid w:val="0DB717F6"/>
    <w:rsid w:val="0E3258FD"/>
    <w:rsid w:val="0E582966"/>
    <w:rsid w:val="0E6B22F4"/>
    <w:rsid w:val="0E8536A2"/>
    <w:rsid w:val="0EBA38E6"/>
    <w:rsid w:val="0EBB07DB"/>
    <w:rsid w:val="0ED939EE"/>
    <w:rsid w:val="0EDE1763"/>
    <w:rsid w:val="0EFF52AD"/>
    <w:rsid w:val="0F061813"/>
    <w:rsid w:val="0F222ECC"/>
    <w:rsid w:val="0F275BBC"/>
    <w:rsid w:val="0F2B795D"/>
    <w:rsid w:val="0F2F200D"/>
    <w:rsid w:val="0F4B19BF"/>
    <w:rsid w:val="0F4C0664"/>
    <w:rsid w:val="0F4F7E54"/>
    <w:rsid w:val="0F5624FB"/>
    <w:rsid w:val="0F82537E"/>
    <w:rsid w:val="0F8C424A"/>
    <w:rsid w:val="0FA65A71"/>
    <w:rsid w:val="0FDE601F"/>
    <w:rsid w:val="0FF131C4"/>
    <w:rsid w:val="0FFB3A06"/>
    <w:rsid w:val="10025E7A"/>
    <w:rsid w:val="100B2D56"/>
    <w:rsid w:val="101544EB"/>
    <w:rsid w:val="10241FE0"/>
    <w:rsid w:val="102A4B9D"/>
    <w:rsid w:val="10446BCA"/>
    <w:rsid w:val="104739AC"/>
    <w:rsid w:val="105B06CE"/>
    <w:rsid w:val="10C920F4"/>
    <w:rsid w:val="10E96908"/>
    <w:rsid w:val="11023098"/>
    <w:rsid w:val="11276467"/>
    <w:rsid w:val="115745DF"/>
    <w:rsid w:val="11991213"/>
    <w:rsid w:val="11A24424"/>
    <w:rsid w:val="11AA678F"/>
    <w:rsid w:val="11B575B6"/>
    <w:rsid w:val="11BE0997"/>
    <w:rsid w:val="11C137B8"/>
    <w:rsid w:val="11C46C08"/>
    <w:rsid w:val="11CC2B0E"/>
    <w:rsid w:val="120325DE"/>
    <w:rsid w:val="12386C7D"/>
    <w:rsid w:val="1264305F"/>
    <w:rsid w:val="126C71CE"/>
    <w:rsid w:val="127376A9"/>
    <w:rsid w:val="128D3425"/>
    <w:rsid w:val="12AC282E"/>
    <w:rsid w:val="12B22989"/>
    <w:rsid w:val="12B26A30"/>
    <w:rsid w:val="12E260AD"/>
    <w:rsid w:val="12E91559"/>
    <w:rsid w:val="12E95F2B"/>
    <w:rsid w:val="12F232D0"/>
    <w:rsid w:val="131D034D"/>
    <w:rsid w:val="131F0A7F"/>
    <w:rsid w:val="13205619"/>
    <w:rsid w:val="13394A5B"/>
    <w:rsid w:val="133B4B25"/>
    <w:rsid w:val="13680D28"/>
    <w:rsid w:val="139454AD"/>
    <w:rsid w:val="13A47873"/>
    <w:rsid w:val="13B55962"/>
    <w:rsid w:val="13C61F27"/>
    <w:rsid w:val="13CA6CD3"/>
    <w:rsid w:val="14043122"/>
    <w:rsid w:val="14151024"/>
    <w:rsid w:val="14437B44"/>
    <w:rsid w:val="1460135C"/>
    <w:rsid w:val="148C21B0"/>
    <w:rsid w:val="14C33DB7"/>
    <w:rsid w:val="14EC41EA"/>
    <w:rsid w:val="14F744C9"/>
    <w:rsid w:val="150A4901"/>
    <w:rsid w:val="15194B44"/>
    <w:rsid w:val="15261ADB"/>
    <w:rsid w:val="156113E2"/>
    <w:rsid w:val="156F6E5A"/>
    <w:rsid w:val="15737602"/>
    <w:rsid w:val="15793835"/>
    <w:rsid w:val="15914368"/>
    <w:rsid w:val="159A3ED7"/>
    <w:rsid w:val="159F2051"/>
    <w:rsid w:val="15A37B48"/>
    <w:rsid w:val="15A7091D"/>
    <w:rsid w:val="15B40634"/>
    <w:rsid w:val="15B84334"/>
    <w:rsid w:val="15BF5987"/>
    <w:rsid w:val="15CC123F"/>
    <w:rsid w:val="15ED1B17"/>
    <w:rsid w:val="15F638FB"/>
    <w:rsid w:val="15FF213F"/>
    <w:rsid w:val="16096967"/>
    <w:rsid w:val="163C029A"/>
    <w:rsid w:val="16414AC9"/>
    <w:rsid w:val="1641578F"/>
    <w:rsid w:val="164803CE"/>
    <w:rsid w:val="164C7AF9"/>
    <w:rsid w:val="16773610"/>
    <w:rsid w:val="16865A4A"/>
    <w:rsid w:val="1693108B"/>
    <w:rsid w:val="16D04616"/>
    <w:rsid w:val="16E4165D"/>
    <w:rsid w:val="16FE2D5E"/>
    <w:rsid w:val="17147A18"/>
    <w:rsid w:val="17342399"/>
    <w:rsid w:val="17446A01"/>
    <w:rsid w:val="17575DF8"/>
    <w:rsid w:val="17595A97"/>
    <w:rsid w:val="175A4B41"/>
    <w:rsid w:val="1760737E"/>
    <w:rsid w:val="177A4E90"/>
    <w:rsid w:val="17A411E1"/>
    <w:rsid w:val="17D149BC"/>
    <w:rsid w:val="18411CF8"/>
    <w:rsid w:val="1847039F"/>
    <w:rsid w:val="18622CA6"/>
    <w:rsid w:val="187825D6"/>
    <w:rsid w:val="18797892"/>
    <w:rsid w:val="18957D75"/>
    <w:rsid w:val="18964FA8"/>
    <w:rsid w:val="189F35B2"/>
    <w:rsid w:val="18A0088A"/>
    <w:rsid w:val="18B85315"/>
    <w:rsid w:val="18CB3E99"/>
    <w:rsid w:val="18D06021"/>
    <w:rsid w:val="18DC2DEE"/>
    <w:rsid w:val="18EA1E36"/>
    <w:rsid w:val="18F07354"/>
    <w:rsid w:val="190776DD"/>
    <w:rsid w:val="1918427E"/>
    <w:rsid w:val="1930525F"/>
    <w:rsid w:val="195B2DEE"/>
    <w:rsid w:val="19650358"/>
    <w:rsid w:val="197720A3"/>
    <w:rsid w:val="198A6E34"/>
    <w:rsid w:val="198B2AAE"/>
    <w:rsid w:val="19B062B6"/>
    <w:rsid w:val="1A3D7527"/>
    <w:rsid w:val="1A5C7316"/>
    <w:rsid w:val="1A5F56EF"/>
    <w:rsid w:val="1A723D6B"/>
    <w:rsid w:val="1A8E059C"/>
    <w:rsid w:val="1AA03F29"/>
    <w:rsid w:val="1AA43E0E"/>
    <w:rsid w:val="1AAF3571"/>
    <w:rsid w:val="1ABC7D4E"/>
    <w:rsid w:val="1AD772FB"/>
    <w:rsid w:val="1AE53683"/>
    <w:rsid w:val="1AE55B64"/>
    <w:rsid w:val="1AF51BD8"/>
    <w:rsid w:val="1AFB6971"/>
    <w:rsid w:val="1B28788F"/>
    <w:rsid w:val="1B2C1F36"/>
    <w:rsid w:val="1B2D12FA"/>
    <w:rsid w:val="1B3B0ABD"/>
    <w:rsid w:val="1B3D20D5"/>
    <w:rsid w:val="1B3E509E"/>
    <w:rsid w:val="1B4548E5"/>
    <w:rsid w:val="1B4555D6"/>
    <w:rsid w:val="1B4D5379"/>
    <w:rsid w:val="1B66485B"/>
    <w:rsid w:val="1B854865"/>
    <w:rsid w:val="1B854FDF"/>
    <w:rsid w:val="1B8B170E"/>
    <w:rsid w:val="1B98337D"/>
    <w:rsid w:val="1B993D30"/>
    <w:rsid w:val="1B9C45A8"/>
    <w:rsid w:val="1BAE0AE9"/>
    <w:rsid w:val="1BDD5651"/>
    <w:rsid w:val="1BE64BA3"/>
    <w:rsid w:val="1BF15DCA"/>
    <w:rsid w:val="1C0711D4"/>
    <w:rsid w:val="1C083029"/>
    <w:rsid w:val="1C0876C1"/>
    <w:rsid w:val="1C0F399F"/>
    <w:rsid w:val="1C360715"/>
    <w:rsid w:val="1C3C7EA9"/>
    <w:rsid w:val="1C3E7A3C"/>
    <w:rsid w:val="1C454471"/>
    <w:rsid w:val="1C582DE0"/>
    <w:rsid w:val="1C6F14EE"/>
    <w:rsid w:val="1CB22D3B"/>
    <w:rsid w:val="1CBE3199"/>
    <w:rsid w:val="1CD049D0"/>
    <w:rsid w:val="1CD37AB5"/>
    <w:rsid w:val="1CEC2C59"/>
    <w:rsid w:val="1CED6FE2"/>
    <w:rsid w:val="1CF332BF"/>
    <w:rsid w:val="1D2152F1"/>
    <w:rsid w:val="1D2F2FE7"/>
    <w:rsid w:val="1D6708AF"/>
    <w:rsid w:val="1D7068D1"/>
    <w:rsid w:val="1D75191F"/>
    <w:rsid w:val="1D7B0CEF"/>
    <w:rsid w:val="1D7C7C8B"/>
    <w:rsid w:val="1D8C3E58"/>
    <w:rsid w:val="1DA27A04"/>
    <w:rsid w:val="1DA94F92"/>
    <w:rsid w:val="1DB8001F"/>
    <w:rsid w:val="1DBE151C"/>
    <w:rsid w:val="1DD40B7D"/>
    <w:rsid w:val="1DE2262F"/>
    <w:rsid w:val="1DF45C16"/>
    <w:rsid w:val="1E1360D3"/>
    <w:rsid w:val="1E141307"/>
    <w:rsid w:val="1E2A6526"/>
    <w:rsid w:val="1E375B49"/>
    <w:rsid w:val="1E804169"/>
    <w:rsid w:val="1EA065D4"/>
    <w:rsid w:val="1EAC4C7B"/>
    <w:rsid w:val="1EBF06D7"/>
    <w:rsid w:val="1EFD54D7"/>
    <w:rsid w:val="1F0C3E04"/>
    <w:rsid w:val="1F1F2C34"/>
    <w:rsid w:val="1F26567D"/>
    <w:rsid w:val="1F271546"/>
    <w:rsid w:val="1F2C7572"/>
    <w:rsid w:val="1F8D0609"/>
    <w:rsid w:val="1FAD5AA6"/>
    <w:rsid w:val="1FC17C12"/>
    <w:rsid w:val="1FC6340A"/>
    <w:rsid w:val="1FDE59B1"/>
    <w:rsid w:val="1FE81CE3"/>
    <w:rsid w:val="200415C4"/>
    <w:rsid w:val="2006563C"/>
    <w:rsid w:val="2022193A"/>
    <w:rsid w:val="20306BD1"/>
    <w:rsid w:val="2033005C"/>
    <w:rsid w:val="20374D4E"/>
    <w:rsid w:val="209E3C88"/>
    <w:rsid w:val="20A4740D"/>
    <w:rsid w:val="20B03D83"/>
    <w:rsid w:val="20DA79B4"/>
    <w:rsid w:val="20F3473B"/>
    <w:rsid w:val="20FA49EA"/>
    <w:rsid w:val="20FC0CDE"/>
    <w:rsid w:val="210C0DE0"/>
    <w:rsid w:val="213E6B87"/>
    <w:rsid w:val="214C004F"/>
    <w:rsid w:val="215B468B"/>
    <w:rsid w:val="21607D16"/>
    <w:rsid w:val="21870F94"/>
    <w:rsid w:val="218D668D"/>
    <w:rsid w:val="21B34266"/>
    <w:rsid w:val="21BD7364"/>
    <w:rsid w:val="21BE085D"/>
    <w:rsid w:val="21C415C4"/>
    <w:rsid w:val="21DC30F5"/>
    <w:rsid w:val="22031779"/>
    <w:rsid w:val="22094132"/>
    <w:rsid w:val="220B7216"/>
    <w:rsid w:val="22160FB3"/>
    <w:rsid w:val="2240296C"/>
    <w:rsid w:val="22452CD9"/>
    <w:rsid w:val="22573150"/>
    <w:rsid w:val="22600B99"/>
    <w:rsid w:val="22713E52"/>
    <w:rsid w:val="22923C34"/>
    <w:rsid w:val="229C0074"/>
    <w:rsid w:val="22AD5281"/>
    <w:rsid w:val="22BB4EC8"/>
    <w:rsid w:val="22D762F3"/>
    <w:rsid w:val="22DC0ADE"/>
    <w:rsid w:val="22EF38AF"/>
    <w:rsid w:val="22FE4BEA"/>
    <w:rsid w:val="231E4892"/>
    <w:rsid w:val="2322454C"/>
    <w:rsid w:val="2339743D"/>
    <w:rsid w:val="234279B0"/>
    <w:rsid w:val="239F377F"/>
    <w:rsid w:val="23AA1FE5"/>
    <w:rsid w:val="23CE6699"/>
    <w:rsid w:val="23E31D17"/>
    <w:rsid w:val="23FC31D7"/>
    <w:rsid w:val="240F4A2D"/>
    <w:rsid w:val="24581193"/>
    <w:rsid w:val="2460559A"/>
    <w:rsid w:val="247D50F0"/>
    <w:rsid w:val="24A81235"/>
    <w:rsid w:val="24D01010"/>
    <w:rsid w:val="24E64EBF"/>
    <w:rsid w:val="2503311B"/>
    <w:rsid w:val="250E6E30"/>
    <w:rsid w:val="25165674"/>
    <w:rsid w:val="251771C2"/>
    <w:rsid w:val="25184258"/>
    <w:rsid w:val="251B7141"/>
    <w:rsid w:val="2531151D"/>
    <w:rsid w:val="255E6A17"/>
    <w:rsid w:val="2566044A"/>
    <w:rsid w:val="259D37E8"/>
    <w:rsid w:val="25DB6CBC"/>
    <w:rsid w:val="25EB092E"/>
    <w:rsid w:val="261455E0"/>
    <w:rsid w:val="261761A2"/>
    <w:rsid w:val="262670C1"/>
    <w:rsid w:val="264358A9"/>
    <w:rsid w:val="264A2E70"/>
    <w:rsid w:val="267D5105"/>
    <w:rsid w:val="269475E4"/>
    <w:rsid w:val="26CF4A60"/>
    <w:rsid w:val="26ED18E9"/>
    <w:rsid w:val="27003BC0"/>
    <w:rsid w:val="270F5B8F"/>
    <w:rsid w:val="27111B1F"/>
    <w:rsid w:val="27402EAC"/>
    <w:rsid w:val="274F4A0F"/>
    <w:rsid w:val="275A34C6"/>
    <w:rsid w:val="27640B66"/>
    <w:rsid w:val="2780222C"/>
    <w:rsid w:val="27B62191"/>
    <w:rsid w:val="27B80D82"/>
    <w:rsid w:val="27C43035"/>
    <w:rsid w:val="27F03715"/>
    <w:rsid w:val="27F07786"/>
    <w:rsid w:val="280D3597"/>
    <w:rsid w:val="28143990"/>
    <w:rsid w:val="282910EA"/>
    <w:rsid w:val="285F4A1E"/>
    <w:rsid w:val="2866065C"/>
    <w:rsid w:val="28662BD3"/>
    <w:rsid w:val="287454C4"/>
    <w:rsid w:val="288A0840"/>
    <w:rsid w:val="288A7AA8"/>
    <w:rsid w:val="288C2F19"/>
    <w:rsid w:val="2892400F"/>
    <w:rsid w:val="28BB2B58"/>
    <w:rsid w:val="28D56B7C"/>
    <w:rsid w:val="28D600E2"/>
    <w:rsid w:val="28DC5EA4"/>
    <w:rsid w:val="28DE70EB"/>
    <w:rsid w:val="28E56758"/>
    <w:rsid w:val="28F30D41"/>
    <w:rsid w:val="28F614A7"/>
    <w:rsid w:val="2931260B"/>
    <w:rsid w:val="293F0351"/>
    <w:rsid w:val="294778BF"/>
    <w:rsid w:val="29793709"/>
    <w:rsid w:val="298C18C1"/>
    <w:rsid w:val="29A7420A"/>
    <w:rsid w:val="29AE55F7"/>
    <w:rsid w:val="29AF345F"/>
    <w:rsid w:val="29C56B78"/>
    <w:rsid w:val="29D44898"/>
    <w:rsid w:val="29E05209"/>
    <w:rsid w:val="29E7324B"/>
    <w:rsid w:val="2A0D172C"/>
    <w:rsid w:val="2A0F5360"/>
    <w:rsid w:val="2A1243E7"/>
    <w:rsid w:val="2A273408"/>
    <w:rsid w:val="2A4022D4"/>
    <w:rsid w:val="2A4715CF"/>
    <w:rsid w:val="2A4D1354"/>
    <w:rsid w:val="2A580712"/>
    <w:rsid w:val="2A7F0B53"/>
    <w:rsid w:val="2AA53FB3"/>
    <w:rsid w:val="2AAA4924"/>
    <w:rsid w:val="2ACB7F37"/>
    <w:rsid w:val="2AD97A87"/>
    <w:rsid w:val="2AF02ACB"/>
    <w:rsid w:val="2AF20BB1"/>
    <w:rsid w:val="2B0B1799"/>
    <w:rsid w:val="2B1453E4"/>
    <w:rsid w:val="2B1D1780"/>
    <w:rsid w:val="2B2012AD"/>
    <w:rsid w:val="2B490AEE"/>
    <w:rsid w:val="2B605B59"/>
    <w:rsid w:val="2B67525B"/>
    <w:rsid w:val="2B853825"/>
    <w:rsid w:val="2B893600"/>
    <w:rsid w:val="2B916CDF"/>
    <w:rsid w:val="2BE6191D"/>
    <w:rsid w:val="2BEF4305"/>
    <w:rsid w:val="2BF9498F"/>
    <w:rsid w:val="2BFB7326"/>
    <w:rsid w:val="2C081860"/>
    <w:rsid w:val="2C0D0BE9"/>
    <w:rsid w:val="2C1313E8"/>
    <w:rsid w:val="2C183950"/>
    <w:rsid w:val="2C2461F3"/>
    <w:rsid w:val="2C2A0B96"/>
    <w:rsid w:val="2C6027BC"/>
    <w:rsid w:val="2C680AA2"/>
    <w:rsid w:val="2C6A7F59"/>
    <w:rsid w:val="2CA406D6"/>
    <w:rsid w:val="2CBA4A07"/>
    <w:rsid w:val="2CD158B5"/>
    <w:rsid w:val="2CFD19F5"/>
    <w:rsid w:val="2CFD652B"/>
    <w:rsid w:val="2D0E3978"/>
    <w:rsid w:val="2D2212E5"/>
    <w:rsid w:val="2D462537"/>
    <w:rsid w:val="2DBA7D40"/>
    <w:rsid w:val="2DC413B6"/>
    <w:rsid w:val="2DC77EFE"/>
    <w:rsid w:val="2DD3461D"/>
    <w:rsid w:val="2E5B4739"/>
    <w:rsid w:val="2E5D4969"/>
    <w:rsid w:val="2E673156"/>
    <w:rsid w:val="2E6F1629"/>
    <w:rsid w:val="2E7078E1"/>
    <w:rsid w:val="2E76670C"/>
    <w:rsid w:val="2E7B3745"/>
    <w:rsid w:val="2E836001"/>
    <w:rsid w:val="2E90284D"/>
    <w:rsid w:val="2E9A689E"/>
    <w:rsid w:val="2EA46655"/>
    <w:rsid w:val="2EA770E8"/>
    <w:rsid w:val="2EAF2D66"/>
    <w:rsid w:val="2EDF4686"/>
    <w:rsid w:val="2EE203AF"/>
    <w:rsid w:val="2EE87A31"/>
    <w:rsid w:val="2EEB70FA"/>
    <w:rsid w:val="2EF05FE7"/>
    <w:rsid w:val="2EF91817"/>
    <w:rsid w:val="2F027601"/>
    <w:rsid w:val="2F0C1127"/>
    <w:rsid w:val="2F104DB2"/>
    <w:rsid w:val="2F266266"/>
    <w:rsid w:val="2F4A6121"/>
    <w:rsid w:val="2F603F3E"/>
    <w:rsid w:val="2F8A246F"/>
    <w:rsid w:val="2F8D6403"/>
    <w:rsid w:val="2F9C00DB"/>
    <w:rsid w:val="2FA459A5"/>
    <w:rsid w:val="2FBA585A"/>
    <w:rsid w:val="2FBB6ACC"/>
    <w:rsid w:val="2FF10027"/>
    <w:rsid w:val="301C14C1"/>
    <w:rsid w:val="30233399"/>
    <w:rsid w:val="3038636F"/>
    <w:rsid w:val="304B0B4C"/>
    <w:rsid w:val="30500089"/>
    <w:rsid w:val="3058359B"/>
    <w:rsid w:val="305947FE"/>
    <w:rsid w:val="3070722D"/>
    <w:rsid w:val="30777D25"/>
    <w:rsid w:val="307862DE"/>
    <w:rsid w:val="308556FC"/>
    <w:rsid w:val="30915D32"/>
    <w:rsid w:val="30CF2A40"/>
    <w:rsid w:val="311D5D13"/>
    <w:rsid w:val="312B7C81"/>
    <w:rsid w:val="313568B9"/>
    <w:rsid w:val="31442EA9"/>
    <w:rsid w:val="314E4ADE"/>
    <w:rsid w:val="31502DEF"/>
    <w:rsid w:val="315F3BAC"/>
    <w:rsid w:val="316A5CB5"/>
    <w:rsid w:val="31730030"/>
    <w:rsid w:val="318B1DD8"/>
    <w:rsid w:val="318C4312"/>
    <w:rsid w:val="3195076F"/>
    <w:rsid w:val="31A02ABC"/>
    <w:rsid w:val="31DA602E"/>
    <w:rsid w:val="31E66087"/>
    <w:rsid w:val="31EC7BF6"/>
    <w:rsid w:val="31FC3722"/>
    <w:rsid w:val="320209E2"/>
    <w:rsid w:val="320A7AA4"/>
    <w:rsid w:val="321815DB"/>
    <w:rsid w:val="32286688"/>
    <w:rsid w:val="322A7D1F"/>
    <w:rsid w:val="322F7F00"/>
    <w:rsid w:val="323E33C3"/>
    <w:rsid w:val="324C4353"/>
    <w:rsid w:val="328B74FD"/>
    <w:rsid w:val="328D3485"/>
    <w:rsid w:val="33097E25"/>
    <w:rsid w:val="330B1693"/>
    <w:rsid w:val="332E694B"/>
    <w:rsid w:val="333B65B6"/>
    <w:rsid w:val="3340186F"/>
    <w:rsid w:val="334453A4"/>
    <w:rsid w:val="334F03CF"/>
    <w:rsid w:val="3355049A"/>
    <w:rsid w:val="3360174A"/>
    <w:rsid w:val="3375198A"/>
    <w:rsid w:val="33870C1A"/>
    <w:rsid w:val="338D1111"/>
    <w:rsid w:val="339B6ADF"/>
    <w:rsid w:val="33A6015F"/>
    <w:rsid w:val="33AB50A9"/>
    <w:rsid w:val="33F63C33"/>
    <w:rsid w:val="34094276"/>
    <w:rsid w:val="34185E8E"/>
    <w:rsid w:val="342C28E4"/>
    <w:rsid w:val="342C61EA"/>
    <w:rsid w:val="34405969"/>
    <w:rsid w:val="346B74BB"/>
    <w:rsid w:val="34783A2E"/>
    <w:rsid w:val="347E6CEC"/>
    <w:rsid w:val="348302C0"/>
    <w:rsid w:val="349E5EEA"/>
    <w:rsid w:val="34A61090"/>
    <w:rsid w:val="34AB6B6B"/>
    <w:rsid w:val="34AD4A64"/>
    <w:rsid w:val="34B83161"/>
    <w:rsid w:val="34BC595C"/>
    <w:rsid w:val="34E3550C"/>
    <w:rsid w:val="34EA2E3B"/>
    <w:rsid w:val="350031D3"/>
    <w:rsid w:val="3504246A"/>
    <w:rsid w:val="35072491"/>
    <w:rsid w:val="350E307A"/>
    <w:rsid w:val="352970EB"/>
    <w:rsid w:val="352E4A01"/>
    <w:rsid w:val="353214BB"/>
    <w:rsid w:val="35436D6F"/>
    <w:rsid w:val="356A23BE"/>
    <w:rsid w:val="35852C22"/>
    <w:rsid w:val="358C6C6C"/>
    <w:rsid w:val="35DE4F44"/>
    <w:rsid w:val="35ED64F8"/>
    <w:rsid w:val="361339D9"/>
    <w:rsid w:val="36150E2C"/>
    <w:rsid w:val="368E2148"/>
    <w:rsid w:val="36C07833"/>
    <w:rsid w:val="36C57E2E"/>
    <w:rsid w:val="36C715D4"/>
    <w:rsid w:val="37032093"/>
    <w:rsid w:val="370E0375"/>
    <w:rsid w:val="37164613"/>
    <w:rsid w:val="37396C25"/>
    <w:rsid w:val="373B0455"/>
    <w:rsid w:val="373E0B7B"/>
    <w:rsid w:val="37467467"/>
    <w:rsid w:val="376E71BC"/>
    <w:rsid w:val="3794778E"/>
    <w:rsid w:val="37947DDC"/>
    <w:rsid w:val="379B6CAD"/>
    <w:rsid w:val="37C52DC1"/>
    <w:rsid w:val="37D969D7"/>
    <w:rsid w:val="38055726"/>
    <w:rsid w:val="380C1EEC"/>
    <w:rsid w:val="382A14D1"/>
    <w:rsid w:val="382A2BB6"/>
    <w:rsid w:val="382A30A3"/>
    <w:rsid w:val="385E5DFF"/>
    <w:rsid w:val="38665A54"/>
    <w:rsid w:val="387554F4"/>
    <w:rsid w:val="38860B35"/>
    <w:rsid w:val="388D1922"/>
    <w:rsid w:val="38C01558"/>
    <w:rsid w:val="38CF661B"/>
    <w:rsid w:val="38D64CA0"/>
    <w:rsid w:val="38F35D01"/>
    <w:rsid w:val="38FE152C"/>
    <w:rsid w:val="39001039"/>
    <w:rsid w:val="39023647"/>
    <w:rsid w:val="39327A82"/>
    <w:rsid w:val="3937132F"/>
    <w:rsid w:val="393D0552"/>
    <w:rsid w:val="395B0800"/>
    <w:rsid w:val="39AC1DA0"/>
    <w:rsid w:val="39B22FD2"/>
    <w:rsid w:val="39E01568"/>
    <w:rsid w:val="39FE59EE"/>
    <w:rsid w:val="3A014B0F"/>
    <w:rsid w:val="3A0F4B8D"/>
    <w:rsid w:val="3A250ED1"/>
    <w:rsid w:val="3A36183C"/>
    <w:rsid w:val="3A3A1169"/>
    <w:rsid w:val="3A572C4A"/>
    <w:rsid w:val="3A5E6C3C"/>
    <w:rsid w:val="3A6B3E1F"/>
    <w:rsid w:val="3A6C08F8"/>
    <w:rsid w:val="3ABB16DC"/>
    <w:rsid w:val="3AD30B52"/>
    <w:rsid w:val="3AE93483"/>
    <w:rsid w:val="3AEC6CA1"/>
    <w:rsid w:val="3B153E6E"/>
    <w:rsid w:val="3B1E418A"/>
    <w:rsid w:val="3B1E4B89"/>
    <w:rsid w:val="3B263102"/>
    <w:rsid w:val="3B2B17FF"/>
    <w:rsid w:val="3B2F652A"/>
    <w:rsid w:val="3B420B2B"/>
    <w:rsid w:val="3B57219D"/>
    <w:rsid w:val="3B6651A5"/>
    <w:rsid w:val="3B667CFC"/>
    <w:rsid w:val="3B6E6CB9"/>
    <w:rsid w:val="3B6F55C4"/>
    <w:rsid w:val="3B833BB7"/>
    <w:rsid w:val="3B963EE5"/>
    <w:rsid w:val="3BAD58D2"/>
    <w:rsid w:val="3BBB6D8F"/>
    <w:rsid w:val="3BCB3E96"/>
    <w:rsid w:val="3BE51A90"/>
    <w:rsid w:val="3C0250D8"/>
    <w:rsid w:val="3C1F3A37"/>
    <w:rsid w:val="3C464A9E"/>
    <w:rsid w:val="3C5B3E6A"/>
    <w:rsid w:val="3C6F02CC"/>
    <w:rsid w:val="3C7E23E0"/>
    <w:rsid w:val="3C8C471D"/>
    <w:rsid w:val="3CA01F00"/>
    <w:rsid w:val="3CB46DFB"/>
    <w:rsid w:val="3CB503CB"/>
    <w:rsid w:val="3CC814A1"/>
    <w:rsid w:val="3CC92A96"/>
    <w:rsid w:val="3CF41FEF"/>
    <w:rsid w:val="3CFC6E71"/>
    <w:rsid w:val="3CFF37EC"/>
    <w:rsid w:val="3D361E88"/>
    <w:rsid w:val="3D4F0C4B"/>
    <w:rsid w:val="3D6C1880"/>
    <w:rsid w:val="3D705902"/>
    <w:rsid w:val="3D804F53"/>
    <w:rsid w:val="3D8F5805"/>
    <w:rsid w:val="3D98044D"/>
    <w:rsid w:val="3D9E19D5"/>
    <w:rsid w:val="3DAE0295"/>
    <w:rsid w:val="3DCF0A88"/>
    <w:rsid w:val="3DF276CF"/>
    <w:rsid w:val="3DF5641B"/>
    <w:rsid w:val="3E1026D9"/>
    <w:rsid w:val="3E162E51"/>
    <w:rsid w:val="3E1A2831"/>
    <w:rsid w:val="3E240386"/>
    <w:rsid w:val="3E267B22"/>
    <w:rsid w:val="3E2D5039"/>
    <w:rsid w:val="3E3637AD"/>
    <w:rsid w:val="3E4147B1"/>
    <w:rsid w:val="3E763C97"/>
    <w:rsid w:val="3E783652"/>
    <w:rsid w:val="3E9174FC"/>
    <w:rsid w:val="3E987E51"/>
    <w:rsid w:val="3EB5668D"/>
    <w:rsid w:val="3EBE20D4"/>
    <w:rsid w:val="3EDC080D"/>
    <w:rsid w:val="3EED6C06"/>
    <w:rsid w:val="3EF766CB"/>
    <w:rsid w:val="3F07392F"/>
    <w:rsid w:val="3F201483"/>
    <w:rsid w:val="3F2C4D37"/>
    <w:rsid w:val="3F422D66"/>
    <w:rsid w:val="3F4423E4"/>
    <w:rsid w:val="3F470C1C"/>
    <w:rsid w:val="3F753CD1"/>
    <w:rsid w:val="3FB5734D"/>
    <w:rsid w:val="40072013"/>
    <w:rsid w:val="40271B91"/>
    <w:rsid w:val="406B6EE7"/>
    <w:rsid w:val="409B315A"/>
    <w:rsid w:val="409F6003"/>
    <w:rsid w:val="40C63BE4"/>
    <w:rsid w:val="40D53C89"/>
    <w:rsid w:val="40E25BA0"/>
    <w:rsid w:val="410F7EE8"/>
    <w:rsid w:val="411B6481"/>
    <w:rsid w:val="411B7DB6"/>
    <w:rsid w:val="414564B4"/>
    <w:rsid w:val="414765CF"/>
    <w:rsid w:val="415467CA"/>
    <w:rsid w:val="416D1A8D"/>
    <w:rsid w:val="417A08B0"/>
    <w:rsid w:val="41AE5BA6"/>
    <w:rsid w:val="41AF35D7"/>
    <w:rsid w:val="41B373D1"/>
    <w:rsid w:val="41BE51F4"/>
    <w:rsid w:val="41BF47EC"/>
    <w:rsid w:val="41C01A99"/>
    <w:rsid w:val="41FA4D4B"/>
    <w:rsid w:val="420C4083"/>
    <w:rsid w:val="42215E03"/>
    <w:rsid w:val="423E2FD9"/>
    <w:rsid w:val="425A3900"/>
    <w:rsid w:val="42673750"/>
    <w:rsid w:val="427C5FF0"/>
    <w:rsid w:val="42891FAA"/>
    <w:rsid w:val="428A6A3E"/>
    <w:rsid w:val="42AD0832"/>
    <w:rsid w:val="42B93B1E"/>
    <w:rsid w:val="42BE1AF7"/>
    <w:rsid w:val="42C5722F"/>
    <w:rsid w:val="42C6302C"/>
    <w:rsid w:val="42EA6528"/>
    <w:rsid w:val="42F55B27"/>
    <w:rsid w:val="431B55A6"/>
    <w:rsid w:val="4331199B"/>
    <w:rsid w:val="433C1AFE"/>
    <w:rsid w:val="433D4F0E"/>
    <w:rsid w:val="43430E5B"/>
    <w:rsid w:val="434D3D80"/>
    <w:rsid w:val="43792585"/>
    <w:rsid w:val="437B0938"/>
    <w:rsid w:val="437E52D3"/>
    <w:rsid w:val="438751EB"/>
    <w:rsid w:val="439876BD"/>
    <w:rsid w:val="43A27485"/>
    <w:rsid w:val="43C05490"/>
    <w:rsid w:val="43CA1F96"/>
    <w:rsid w:val="43D043B4"/>
    <w:rsid w:val="43D269A9"/>
    <w:rsid w:val="43D60CB9"/>
    <w:rsid w:val="43D7416E"/>
    <w:rsid w:val="43D955EF"/>
    <w:rsid w:val="43DF6FF0"/>
    <w:rsid w:val="43E066A9"/>
    <w:rsid w:val="43F753F8"/>
    <w:rsid w:val="43F81C45"/>
    <w:rsid w:val="44093084"/>
    <w:rsid w:val="440C1383"/>
    <w:rsid w:val="440D6ED6"/>
    <w:rsid w:val="441445A5"/>
    <w:rsid w:val="4425531B"/>
    <w:rsid w:val="442A7E48"/>
    <w:rsid w:val="44310893"/>
    <w:rsid w:val="447C2876"/>
    <w:rsid w:val="447C4823"/>
    <w:rsid w:val="447F2366"/>
    <w:rsid w:val="448A40A1"/>
    <w:rsid w:val="449F59C2"/>
    <w:rsid w:val="44AC69D9"/>
    <w:rsid w:val="44B23C8E"/>
    <w:rsid w:val="44C53D68"/>
    <w:rsid w:val="44E40468"/>
    <w:rsid w:val="45065071"/>
    <w:rsid w:val="451470F8"/>
    <w:rsid w:val="45660E30"/>
    <w:rsid w:val="45823E19"/>
    <w:rsid w:val="45842B85"/>
    <w:rsid w:val="458626FF"/>
    <w:rsid w:val="4588524B"/>
    <w:rsid w:val="45905068"/>
    <w:rsid w:val="45B606E7"/>
    <w:rsid w:val="45BA77FF"/>
    <w:rsid w:val="45DF32B3"/>
    <w:rsid w:val="45E702E2"/>
    <w:rsid w:val="45F470EC"/>
    <w:rsid w:val="46034E21"/>
    <w:rsid w:val="46222152"/>
    <w:rsid w:val="462D6710"/>
    <w:rsid w:val="46362EF9"/>
    <w:rsid w:val="463A6F12"/>
    <w:rsid w:val="463B7681"/>
    <w:rsid w:val="464C34D6"/>
    <w:rsid w:val="466C0A1D"/>
    <w:rsid w:val="467474C9"/>
    <w:rsid w:val="46880799"/>
    <w:rsid w:val="469E39D0"/>
    <w:rsid w:val="46C07DC2"/>
    <w:rsid w:val="46CA3926"/>
    <w:rsid w:val="46EB3D58"/>
    <w:rsid w:val="46F830B9"/>
    <w:rsid w:val="47282AD0"/>
    <w:rsid w:val="47301B2E"/>
    <w:rsid w:val="477612F6"/>
    <w:rsid w:val="478231AF"/>
    <w:rsid w:val="4787232B"/>
    <w:rsid w:val="47B3234E"/>
    <w:rsid w:val="47B75973"/>
    <w:rsid w:val="47CB382A"/>
    <w:rsid w:val="47CC1DDE"/>
    <w:rsid w:val="47D46525"/>
    <w:rsid w:val="47D9409D"/>
    <w:rsid w:val="47DA5463"/>
    <w:rsid w:val="47DF6A6D"/>
    <w:rsid w:val="47F1446D"/>
    <w:rsid w:val="47F6304E"/>
    <w:rsid w:val="480D0CD3"/>
    <w:rsid w:val="48272AF9"/>
    <w:rsid w:val="484E0155"/>
    <w:rsid w:val="484F67FB"/>
    <w:rsid w:val="48964DF5"/>
    <w:rsid w:val="4896623E"/>
    <w:rsid w:val="48C07F26"/>
    <w:rsid w:val="48C24DE3"/>
    <w:rsid w:val="48DF33E5"/>
    <w:rsid w:val="48EE3617"/>
    <w:rsid w:val="48F36732"/>
    <w:rsid w:val="49281C38"/>
    <w:rsid w:val="494266EE"/>
    <w:rsid w:val="494A0752"/>
    <w:rsid w:val="49575B00"/>
    <w:rsid w:val="496031C8"/>
    <w:rsid w:val="496725F4"/>
    <w:rsid w:val="496D642E"/>
    <w:rsid w:val="497B12BD"/>
    <w:rsid w:val="498E08FD"/>
    <w:rsid w:val="49927573"/>
    <w:rsid w:val="49951AB2"/>
    <w:rsid w:val="499B6F33"/>
    <w:rsid w:val="499F7D81"/>
    <w:rsid w:val="49CB686E"/>
    <w:rsid w:val="49D64976"/>
    <w:rsid w:val="49DA5979"/>
    <w:rsid w:val="49E51A63"/>
    <w:rsid w:val="49E726B5"/>
    <w:rsid w:val="4A10021B"/>
    <w:rsid w:val="4A162A08"/>
    <w:rsid w:val="4A34643C"/>
    <w:rsid w:val="4A3C67B2"/>
    <w:rsid w:val="4A420BA1"/>
    <w:rsid w:val="4A4B4A9E"/>
    <w:rsid w:val="4A864349"/>
    <w:rsid w:val="4AAC21B0"/>
    <w:rsid w:val="4AB90E63"/>
    <w:rsid w:val="4AD172F2"/>
    <w:rsid w:val="4AEA36E0"/>
    <w:rsid w:val="4AF50324"/>
    <w:rsid w:val="4B032B87"/>
    <w:rsid w:val="4B222B26"/>
    <w:rsid w:val="4B363E9F"/>
    <w:rsid w:val="4B697A44"/>
    <w:rsid w:val="4B7C26C9"/>
    <w:rsid w:val="4B83098E"/>
    <w:rsid w:val="4BBC1F9B"/>
    <w:rsid w:val="4BE21160"/>
    <w:rsid w:val="4BFF088F"/>
    <w:rsid w:val="4C0B1D5F"/>
    <w:rsid w:val="4C3126CB"/>
    <w:rsid w:val="4C382E0A"/>
    <w:rsid w:val="4C3920CB"/>
    <w:rsid w:val="4C397865"/>
    <w:rsid w:val="4C3F41A4"/>
    <w:rsid w:val="4C5D75CA"/>
    <w:rsid w:val="4C623CEF"/>
    <w:rsid w:val="4C6E36B7"/>
    <w:rsid w:val="4C7029C5"/>
    <w:rsid w:val="4C787BB6"/>
    <w:rsid w:val="4C7B78B7"/>
    <w:rsid w:val="4C7F28E5"/>
    <w:rsid w:val="4C8112ED"/>
    <w:rsid w:val="4C9362A9"/>
    <w:rsid w:val="4CA04AED"/>
    <w:rsid w:val="4CC429A7"/>
    <w:rsid w:val="4CC823D1"/>
    <w:rsid w:val="4CCB33EC"/>
    <w:rsid w:val="4CCC1953"/>
    <w:rsid w:val="4CD00D23"/>
    <w:rsid w:val="4CD72E8E"/>
    <w:rsid w:val="4CD83605"/>
    <w:rsid w:val="4CDE27F3"/>
    <w:rsid w:val="4CF67FD1"/>
    <w:rsid w:val="4D036904"/>
    <w:rsid w:val="4D0E6A50"/>
    <w:rsid w:val="4D152F41"/>
    <w:rsid w:val="4D365005"/>
    <w:rsid w:val="4D642C30"/>
    <w:rsid w:val="4D87403A"/>
    <w:rsid w:val="4D9927AF"/>
    <w:rsid w:val="4DA11831"/>
    <w:rsid w:val="4DA90454"/>
    <w:rsid w:val="4DE9191A"/>
    <w:rsid w:val="4DEC1CC7"/>
    <w:rsid w:val="4E082271"/>
    <w:rsid w:val="4E1C4759"/>
    <w:rsid w:val="4E293CD0"/>
    <w:rsid w:val="4E372CB3"/>
    <w:rsid w:val="4E3B474E"/>
    <w:rsid w:val="4E4F2DA9"/>
    <w:rsid w:val="4E524648"/>
    <w:rsid w:val="4E654DB7"/>
    <w:rsid w:val="4E6F2D41"/>
    <w:rsid w:val="4E8A160E"/>
    <w:rsid w:val="4E9A408E"/>
    <w:rsid w:val="4EAD5D22"/>
    <w:rsid w:val="4F0E2BF9"/>
    <w:rsid w:val="4F142475"/>
    <w:rsid w:val="4F195957"/>
    <w:rsid w:val="4F253FEC"/>
    <w:rsid w:val="4F2C7590"/>
    <w:rsid w:val="4F6071CE"/>
    <w:rsid w:val="4F84721C"/>
    <w:rsid w:val="4F9E4301"/>
    <w:rsid w:val="4FC13833"/>
    <w:rsid w:val="4FC52EF0"/>
    <w:rsid w:val="4FD67643"/>
    <w:rsid w:val="4FE31002"/>
    <w:rsid w:val="4FED6944"/>
    <w:rsid w:val="501E292C"/>
    <w:rsid w:val="50300E75"/>
    <w:rsid w:val="503B41B6"/>
    <w:rsid w:val="503E20AA"/>
    <w:rsid w:val="503F05DC"/>
    <w:rsid w:val="50502C8E"/>
    <w:rsid w:val="50715259"/>
    <w:rsid w:val="50727E12"/>
    <w:rsid w:val="50790B73"/>
    <w:rsid w:val="50850D04"/>
    <w:rsid w:val="50CA4969"/>
    <w:rsid w:val="50EA615E"/>
    <w:rsid w:val="50EC5FC6"/>
    <w:rsid w:val="50ED5EFD"/>
    <w:rsid w:val="511225FA"/>
    <w:rsid w:val="51347367"/>
    <w:rsid w:val="515B5F7F"/>
    <w:rsid w:val="51742987"/>
    <w:rsid w:val="517767E1"/>
    <w:rsid w:val="51AE6D95"/>
    <w:rsid w:val="51AF71F5"/>
    <w:rsid w:val="51C94CD2"/>
    <w:rsid w:val="51D13AD5"/>
    <w:rsid w:val="51D2331D"/>
    <w:rsid w:val="51E6434F"/>
    <w:rsid w:val="51EF6F14"/>
    <w:rsid w:val="5206316B"/>
    <w:rsid w:val="5209753A"/>
    <w:rsid w:val="520C1FBF"/>
    <w:rsid w:val="523948DD"/>
    <w:rsid w:val="525B0C34"/>
    <w:rsid w:val="52685339"/>
    <w:rsid w:val="527201F1"/>
    <w:rsid w:val="529A0D8A"/>
    <w:rsid w:val="52AE36F0"/>
    <w:rsid w:val="52AF406A"/>
    <w:rsid w:val="52C21540"/>
    <w:rsid w:val="52C8559F"/>
    <w:rsid w:val="52C9184B"/>
    <w:rsid w:val="52D4295D"/>
    <w:rsid w:val="52FB788F"/>
    <w:rsid w:val="5305035F"/>
    <w:rsid w:val="53243A3B"/>
    <w:rsid w:val="53254DF5"/>
    <w:rsid w:val="532708C5"/>
    <w:rsid w:val="532A5B93"/>
    <w:rsid w:val="533C5358"/>
    <w:rsid w:val="534E106C"/>
    <w:rsid w:val="535E2162"/>
    <w:rsid w:val="53625171"/>
    <w:rsid w:val="536D782E"/>
    <w:rsid w:val="5370717B"/>
    <w:rsid w:val="538B3BC4"/>
    <w:rsid w:val="53C90757"/>
    <w:rsid w:val="53E61085"/>
    <w:rsid w:val="541174EE"/>
    <w:rsid w:val="541774AA"/>
    <w:rsid w:val="542B1BC3"/>
    <w:rsid w:val="5436281D"/>
    <w:rsid w:val="54664FFC"/>
    <w:rsid w:val="54802CFF"/>
    <w:rsid w:val="548F7351"/>
    <w:rsid w:val="54B653C0"/>
    <w:rsid w:val="54B73C39"/>
    <w:rsid w:val="54B91A16"/>
    <w:rsid w:val="54CA05DF"/>
    <w:rsid w:val="54D65852"/>
    <w:rsid w:val="54F839CA"/>
    <w:rsid w:val="55057555"/>
    <w:rsid w:val="550A17D8"/>
    <w:rsid w:val="55203D5B"/>
    <w:rsid w:val="553654F1"/>
    <w:rsid w:val="55403DB8"/>
    <w:rsid w:val="55456520"/>
    <w:rsid w:val="554E7EC4"/>
    <w:rsid w:val="55546084"/>
    <w:rsid w:val="55820CAC"/>
    <w:rsid w:val="55935C72"/>
    <w:rsid w:val="559B0619"/>
    <w:rsid w:val="55AF5177"/>
    <w:rsid w:val="55B54084"/>
    <w:rsid w:val="55C51BA3"/>
    <w:rsid w:val="55D33A01"/>
    <w:rsid w:val="55D40C5C"/>
    <w:rsid w:val="55EC13F4"/>
    <w:rsid w:val="55F955D4"/>
    <w:rsid w:val="55FA199E"/>
    <w:rsid w:val="561E7639"/>
    <w:rsid w:val="56437F80"/>
    <w:rsid w:val="56460F02"/>
    <w:rsid w:val="56486A5C"/>
    <w:rsid w:val="565F3DA6"/>
    <w:rsid w:val="56715929"/>
    <w:rsid w:val="56784C3B"/>
    <w:rsid w:val="5679268D"/>
    <w:rsid w:val="56BA722E"/>
    <w:rsid w:val="56C76E83"/>
    <w:rsid w:val="56DA3975"/>
    <w:rsid w:val="56DC2E8E"/>
    <w:rsid w:val="56E27E0B"/>
    <w:rsid w:val="56E3313F"/>
    <w:rsid w:val="56F4704A"/>
    <w:rsid w:val="57213057"/>
    <w:rsid w:val="57275B7E"/>
    <w:rsid w:val="57321A3A"/>
    <w:rsid w:val="57407733"/>
    <w:rsid w:val="57427C5A"/>
    <w:rsid w:val="575B132A"/>
    <w:rsid w:val="576D42A0"/>
    <w:rsid w:val="576E673F"/>
    <w:rsid w:val="578B2DF8"/>
    <w:rsid w:val="578D0B61"/>
    <w:rsid w:val="57B8376D"/>
    <w:rsid w:val="57C044FC"/>
    <w:rsid w:val="57C36009"/>
    <w:rsid w:val="57C53AC2"/>
    <w:rsid w:val="57E21315"/>
    <w:rsid w:val="57F52B59"/>
    <w:rsid w:val="58000968"/>
    <w:rsid w:val="580B26F7"/>
    <w:rsid w:val="58263D40"/>
    <w:rsid w:val="58341026"/>
    <w:rsid w:val="584D2133"/>
    <w:rsid w:val="584F160A"/>
    <w:rsid w:val="58612827"/>
    <w:rsid w:val="58707BE8"/>
    <w:rsid w:val="587B7B5D"/>
    <w:rsid w:val="58855EB2"/>
    <w:rsid w:val="58B104E2"/>
    <w:rsid w:val="58CD5907"/>
    <w:rsid w:val="58DA5965"/>
    <w:rsid w:val="58DE3773"/>
    <w:rsid w:val="58FF3061"/>
    <w:rsid w:val="591C42FE"/>
    <w:rsid w:val="59226106"/>
    <w:rsid w:val="592F1F7D"/>
    <w:rsid w:val="593E233D"/>
    <w:rsid w:val="595E3400"/>
    <w:rsid w:val="5985283B"/>
    <w:rsid w:val="59C0225F"/>
    <w:rsid w:val="59C42A07"/>
    <w:rsid w:val="59CA7151"/>
    <w:rsid w:val="59FE715B"/>
    <w:rsid w:val="5A0828A8"/>
    <w:rsid w:val="5A187995"/>
    <w:rsid w:val="5A2E0BBE"/>
    <w:rsid w:val="5A771EF2"/>
    <w:rsid w:val="5A831712"/>
    <w:rsid w:val="5A8C21A3"/>
    <w:rsid w:val="5A966243"/>
    <w:rsid w:val="5AAC2124"/>
    <w:rsid w:val="5AB316B1"/>
    <w:rsid w:val="5AB3672C"/>
    <w:rsid w:val="5AC57957"/>
    <w:rsid w:val="5AD12D2F"/>
    <w:rsid w:val="5AE327BC"/>
    <w:rsid w:val="5AE84658"/>
    <w:rsid w:val="5B1517EF"/>
    <w:rsid w:val="5B314370"/>
    <w:rsid w:val="5B386A15"/>
    <w:rsid w:val="5B3E176E"/>
    <w:rsid w:val="5B452533"/>
    <w:rsid w:val="5B4B2C4D"/>
    <w:rsid w:val="5B4C501C"/>
    <w:rsid w:val="5B6F7110"/>
    <w:rsid w:val="5B70435F"/>
    <w:rsid w:val="5B710A3B"/>
    <w:rsid w:val="5B7B4262"/>
    <w:rsid w:val="5B7E082A"/>
    <w:rsid w:val="5B8C2E9B"/>
    <w:rsid w:val="5BC375D6"/>
    <w:rsid w:val="5BCA7EEA"/>
    <w:rsid w:val="5BD250A3"/>
    <w:rsid w:val="5BDA2511"/>
    <w:rsid w:val="5C1709E1"/>
    <w:rsid w:val="5C1A2979"/>
    <w:rsid w:val="5C2F28D5"/>
    <w:rsid w:val="5C330657"/>
    <w:rsid w:val="5C3369BA"/>
    <w:rsid w:val="5C595EA3"/>
    <w:rsid w:val="5C5B66E6"/>
    <w:rsid w:val="5C75020C"/>
    <w:rsid w:val="5C8619C1"/>
    <w:rsid w:val="5CFF3B9A"/>
    <w:rsid w:val="5D011713"/>
    <w:rsid w:val="5D286699"/>
    <w:rsid w:val="5D3564FD"/>
    <w:rsid w:val="5D39431C"/>
    <w:rsid w:val="5D423AA3"/>
    <w:rsid w:val="5D4715D6"/>
    <w:rsid w:val="5D5B391D"/>
    <w:rsid w:val="5D804D2D"/>
    <w:rsid w:val="5D8607BA"/>
    <w:rsid w:val="5DA71D84"/>
    <w:rsid w:val="5DD26D33"/>
    <w:rsid w:val="5E0276B2"/>
    <w:rsid w:val="5E1619CA"/>
    <w:rsid w:val="5E1C257C"/>
    <w:rsid w:val="5E312A07"/>
    <w:rsid w:val="5E3C677A"/>
    <w:rsid w:val="5E4B342A"/>
    <w:rsid w:val="5E5555FD"/>
    <w:rsid w:val="5E6122E3"/>
    <w:rsid w:val="5E630089"/>
    <w:rsid w:val="5E6612E6"/>
    <w:rsid w:val="5EA11185"/>
    <w:rsid w:val="5ECA4AF3"/>
    <w:rsid w:val="5EE17A4E"/>
    <w:rsid w:val="5F0E5EA3"/>
    <w:rsid w:val="5F101C07"/>
    <w:rsid w:val="5F1B7858"/>
    <w:rsid w:val="5F3722C3"/>
    <w:rsid w:val="5F374274"/>
    <w:rsid w:val="5F392EA3"/>
    <w:rsid w:val="5F4D16DB"/>
    <w:rsid w:val="5F5819C1"/>
    <w:rsid w:val="5F67740E"/>
    <w:rsid w:val="5F6C1D22"/>
    <w:rsid w:val="5F8853CD"/>
    <w:rsid w:val="5F9171DB"/>
    <w:rsid w:val="5F984F2E"/>
    <w:rsid w:val="5FA12D39"/>
    <w:rsid w:val="5FA315F5"/>
    <w:rsid w:val="5FC35BED"/>
    <w:rsid w:val="5FD5300A"/>
    <w:rsid w:val="60097F77"/>
    <w:rsid w:val="600C1AA2"/>
    <w:rsid w:val="601B0F31"/>
    <w:rsid w:val="60671456"/>
    <w:rsid w:val="606D3CD4"/>
    <w:rsid w:val="607851F2"/>
    <w:rsid w:val="608471CB"/>
    <w:rsid w:val="60980B11"/>
    <w:rsid w:val="60CB71DC"/>
    <w:rsid w:val="611773D2"/>
    <w:rsid w:val="61187462"/>
    <w:rsid w:val="613126C4"/>
    <w:rsid w:val="614E3D64"/>
    <w:rsid w:val="61591384"/>
    <w:rsid w:val="616E6252"/>
    <w:rsid w:val="61821144"/>
    <w:rsid w:val="61AB71C3"/>
    <w:rsid w:val="61D31BC1"/>
    <w:rsid w:val="621B5F23"/>
    <w:rsid w:val="622B39A5"/>
    <w:rsid w:val="62340155"/>
    <w:rsid w:val="62374AA8"/>
    <w:rsid w:val="6243676B"/>
    <w:rsid w:val="6244702F"/>
    <w:rsid w:val="624D42CA"/>
    <w:rsid w:val="626A4288"/>
    <w:rsid w:val="62800180"/>
    <w:rsid w:val="629923ED"/>
    <w:rsid w:val="629B43B7"/>
    <w:rsid w:val="62A3189F"/>
    <w:rsid w:val="62AD6DCB"/>
    <w:rsid w:val="62B270BB"/>
    <w:rsid w:val="62B86D17"/>
    <w:rsid w:val="62E10795"/>
    <w:rsid w:val="62F6339C"/>
    <w:rsid w:val="6314602D"/>
    <w:rsid w:val="63202BCA"/>
    <w:rsid w:val="633334B4"/>
    <w:rsid w:val="63366A69"/>
    <w:rsid w:val="633C2632"/>
    <w:rsid w:val="633F27E5"/>
    <w:rsid w:val="63703AFF"/>
    <w:rsid w:val="63927751"/>
    <w:rsid w:val="63A02ED7"/>
    <w:rsid w:val="63B63F09"/>
    <w:rsid w:val="63BB49EE"/>
    <w:rsid w:val="63BF07FF"/>
    <w:rsid w:val="63C741F0"/>
    <w:rsid w:val="63ED0C43"/>
    <w:rsid w:val="63F84F14"/>
    <w:rsid w:val="63F95B02"/>
    <w:rsid w:val="64094949"/>
    <w:rsid w:val="64207BFC"/>
    <w:rsid w:val="642251FF"/>
    <w:rsid w:val="644011CB"/>
    <w:rsid w:val="644B6D13"/>
    <w:rsid w:val="64646CAC"/>
    <w:rsid w:val="646E3234"/>
    <w:rsid w:val="64881FF6"/>
    <w:rsid w:val="64A42F2F"/>
    <w:rsid w:val="64A8302A"/>
    <w:rsid w:val="64C623B3"/>
    <w:rsid w:val="64DB504D"/>
    <w:rsid w:val="64E262CE"/>
    <w:rsid w:val="64E4321D"/>
    <w:rsid w:val="64E576F7"/>
    <w:rsid w:val="64FC4B4F"/>
    <w:rsid w:val="65092D1D"/>
    <w:rsid w:val="6521632B"/>
    <w:rsid w:val="657B15F3"/>
    <w:rsid w:val="657F129C"/>
    <w:rsid w:val="65BE3CD6"/>
    <w:rsid w:val="65BF017A"/>
    <w:rsid w:val="65D26342"/>
    <w:rsid w:val="65DB0D7A"/>
    <w:rsid w:val="65E816C2"/>
    <w:rsid w:val="66040158"/>
    <w:rsid w:val="661477AD"/>
    <w:rsid w:val="664B3FFA"/>
    <w:rsid w:val="666002B1"/>
    <w:rsid w:val="66686B7C"/>
    <w:rsid w:val="670B5473"/>
    <w:rsid w:val="671B0AE4"/>
    <w:rsid w:val="67205C47"/>
    <w:rsid w:val="67206486"/>
    <w:rsid w:val="67226B22"/>
    <w:rsid w:val="67292D3C"/>
    <w:rsid w:val="673D3C8F"/>
    <w:rsid w:val="67564D51"/>
    <w:rsid w:val="676C5E93"/>
    <w:rsid w:val="676C6322"/>
    <w:rsid w:val="678D1AB8"/>
    <w:rsid w:val="679D0811"/>
    <w:rsid w:val="67AB07E4"/>
    <w:rsid w:val="67D77C40"/>
    <w:rsid w:val="67DC2276"/>
    <w:rsid w:val="67DD1216"/>
    <w:rsid w:val="67E1728F"/>
    <w:rsid w:val="68064081"/>
    <w:rsid w:val="68064D7E"/>
    <w:rsid w:val="681C3A31"/>
    <w:rsid w:val="683D44EE"/>
    <w:rsid w:val="683E1CF9"/>
    <w:rsid w:val="68443B82"/>
    <w:rsid w:val="68790CF7"/>
    <w:rsid w:val="689567EB"/>
    <w:rsid w:val="68A2071A"/>
    <w:rsid w:val="68A563A7"/>
    <w:rsid w:val="68B7339D"/>
    <w:rsid w:val="68B86AB7"/>
    <w:rsid w:val="68BA3F1C"/>
    <w:rsid w:val="68CF7B0C"/>
    <w:rsid w:val="68D371F1"/>
    <w:rsid w:val="68E30C38"/>
    <w:rsid w:val="68EB4502"/>
    <w:rsid w:val="68F16F31"/>
    <w:rsid w:val="68F35871"/>
    <w:rsid w:val="68F74D57"/>
    <w:rsid w:val="690804F2"/>
    <w:rsid w:val="690A4DC4"/>
    <w:rsid w:val="69392368"/>
    <w:rsid w:val="694B5DFC"/>
    <w:rsid w:val="695F613F"/>
    <w:rsid w:val="696B7830"/>
    <w:rsid w:val="699E35F4"/>
    <w:rsid w:val="69AF0461"/>
    <w:rsid w:val="69C450F7"/>
    <w:rsid w:val="69CF44BC"/>
    <w:rsid w:val="69DD2A9A"/>
    <w:rsid w:val="69DF2175"/>
    <w:rsid w:val="69F957DD"/>
    <w:rsid w:val="6A02691A"/>
    <w:rsid w:val="6A1E33C9"/>
    <w:rsid w:val="6A26751E"/>
    <w:rsid w:val="6A274783"/>
    <w:rsid w:val="6A296884"/>
    <w:rsid w:val="6A333127"/>
    <w:rsid w:val="6A421040"/>
    <w:rsid w:val="6A4C1EF1"/>
    <w:rsid w:val="6A4F56A9"/>
    <w:rsid w:val="6A505F51"/>
    <w:rsid w:val="6A594925"/>
    <w:rsid w:val="6A5A6906"/>
    <w:rsid w:val="6A7555EA"/>
    <w:rsid w:val="6A99742E"/>
    <w:rsid w:val="6AAD7E56"/>
    <w:rsid w:val="6AE91BF7"/>
    <w:rsid w:val="6AF66948"/>
    <w:rsid w:val="6AFF2CEE"/>
    <w:rsid w:val="6B023FAE"/>
    <w:rsid w:val="6B273C97"/>
    <w:rsid w:val="6B4D1CA7"/>
    <w:rsid w:val="6B533A81"/>
    <w:rsid w:val="6B65177B"/>
    <w:rsid w:val="6B83675A"/>
    <w:rsid w:val="6BAB287A"/>
    <w:rsid w:val="6BB40298"/>
    <w:rsid w:val="6BF333E5"/>
    <w:rsid w:val="6C0433FB"/>
    <w:rsid w:val="6C135683"/>
    <w:rsid w:val="6C2703D2"/>
    <w:rsid w:val="6C3041B5"/>
    <w:rsid w:val="6C4C4D83"/>
    <w:rsid w:val="6C5D03E7"/>
    <w:rsid w:val="6C5E7622"/>
    <w:rsid w:val="6C7C5D15"/>
    <w:rsid w:val="6CA62166"/>
    <w:rsid w:val="6CA63239"/>
    <w:rsid w:val="6CAF3B0B"/>
    <w:rsid w:val="6CB419CF"/>
    <w:rsid w:val="6CF0092B"/>
    <w:rsid w:val="6CF04C05"/>
    <w:rsid w:val="6CFE3812"/>
    <w:rsid w:val="6D006BE4"/>
    <w:rsid w:val="6D071106"/>
    <w:rsid w:val="6D0E5786"/>
    <w:rsid w:val="6D2C3CF4"/>
    <w:rsid w:val="6D4F64CA"/>
    <w:rsid w:val="6D6E42EF"/>
    <w:rsid w:val="6D764863"/>
    <w:rsid w:val="6D89250E"/>
    <w:rsid w:val="6D964223"/>
    <w:rsid w:val="6DAE66B7"/>
    <w:rsid w:val="6DD15131"/>
    <w:rsid w:val="6DFF074B"/>
    <w:rsid w:val="6E184B0E"/>
    <w:rsid w:val="6E236E02"/>
    <w:rsid w:val="6E4327AC"/>
    <w:rsid w:val="6EA51209"/>
    <w:rsid w:val="6EB04D47"/>
    <w:rsid w:val="6EBA3E17"/>
    <w:rsid w:val="6ED6311E"/>
    <w:rsid w:val="6EDC1070"/>
    <w:rsid w:val="6F0F0CE1"/>
    <w:rsid w:val="6F375694"/>
    <w:rsid w:val="6F4E0CD0"/>
    <w:rsid w:val="6F503B94"/>
    <w:rsid w:val="6F727E3E"/>
    <w:rsid w:val="6F9B2424"/>
    <w:rsid w:val="6F9D2209"/>
    <w:rsid w:val="6FAC5870"/>
    <w:rsid w:val="6FC43A30"/>
    <w:rsid w:val="6FC614C4"/>
    <w:rsid w:val="6FE95A08"/>
    <w:rsid w:val="6FF52413"/>
    <w:rsid w:val="706031C2"/>
    <w:rsid w:val="70820965"/>
    <w:rsid w:val="709134B3"/>
    <w:rsid w:val="709E583F"/>
    <w:rsid w:val="70BF1DFE"/>
    <w:rsid w:val="70EB7CB3"/>
    <w:rsid w:val="710147BF"/>
    <w:rsid w:val="71015D2D"/>
    <w:rsid w:val="710363FD"/>
    <w:rsid w:val="71057760"/>
    <w:rsid w:val="71075128"/>
    <w:rsid w:val="71180B52"/>
    <w:rsid w:val="71226EC2"/>
    <w:rsid w:val="71281547"/>
    <w:rsid w:val="71281B9C"/>
    <w:rsid w:val="714A297D"/>
    <w:rsid w:val="714C6039"/>
    <w:rsid w:val="714F3171"/>
    <w:rsid w:val="7176608C"/>
    <w:rsid w:val="717C3606"/>
    <w:rsid w:val="717F16E3"/>
    <w:rsid w:val="71A212BE"/>
    <w:rsid w:val="71A32611"/>
    <w:rsid w:val="71C60C26"/>
    <w:rsid w:val="71CB5A97"/>
    <w:rsid w:val="71CF76A5"/>
    <w:rsid w:val="71D522F9"/>
    <w:rsid w:val="71DB5C9D"/>
    <w:rsid w:val="71FC2EA2"/>
    <w:rsid w:val="721D1D33"/>
    <w:rsid w:val="723201D8"/>
    <w:rsid w:val="724051E8"/>
    <w:rsid w:val="724539F8"/>
    <w:rsid w:val="725B5FFD"/>
    <w:rsid w:val="72931A05"/>
    <w:rsid w:val="72990D92"/>
    <w:rsid w:val="72AF7B7E"/>
    <w:rsid w:val="72B3764B"/>
    <w:rsid w:val="72B573A8"/>
    <w:rsid w:val="72B63417"/>
    <w:rsid w:val="72D7797A"/>
    <w:rsid w:val="734343DB"/>
    <w:rsid w:val="73B70891"/>
    <w:rsid w:val="73D45817"/>
    <w:rsid w:val="73D56E21"/>
    <w:rsid w:val="73ED6005"/>
    <w:rsid w:val="73F53944"/>
    <w:rsid w:val="73F80ACF"/>
    <w:rsid w:val="742465B7"/>
    <w:rsid w:val="743D0984"/>
    <w:rsid w:val="744B04EA"/>
    <w:rsid w:val="744D0EC6"/>
    <w:rsid w:val="745B56DF"/>
    <w:rsid w:val="747D74C9"/>
    <w:rsid w:val="748660CD"/>
    <w:rsid w:val="748A76D2"/>
    <w:rsid w:val="74B97D3E"/>
    <w:rsid w:val="74C57177"/>
    <w:rsid w:val="74CE2672"/>
    <w:rsid w:val="74DD25AD"/>
    <w:rsid w:val="74FD2A85"/>
    <w:rsid w:val="756B7C19"/>
    <w:rsid w:val="75882C0C"/>
    <w:rsid w:val="758C7D84"/>
    <w:rsid w:val="75911FEE"/>
    <w:rsid w:val="759325C0"/>
    <w:rsid w:val="75A9738B"/>
    <w:rsid w:val="75B6475D"/>
    <w:rsid w:val="75B84C9E"/>
    <w:rsid w:val="75C31803"/>
    <w:rsid w:val="75CC26D6"/>
    <w:rsid w:val="75E32AAA"/>
    <w:rsid w:val="75EB7168"/>
    <w:rsid w:val="75FA634C"/>
    <w:rsid w:val="760D0CD1"/>
    <w:rsid w:val="7612284D"/>
    <w:rsid w:val="7628461E"/>
    <w:rsid w:val="762C0F3E"/>
    <w:rsid w:val="76413491"/>
    <w:rsid w:val="76493E64"/>
    <w:rsid w:val="765D07B9"/>
    <w:rsid w:val="76652245"/>
    <w:rsid w:val="76872831"/>
    <w:rsid w:val="76AB3CFA"/>
    <w:rsid w:val="76C131A0"/>
    <w:rsid w:val="76C16F09"/>
    <w:rsid w:val="76DB492B"/>
    <w:rsid w:val="76DE5A8F"/>
    <w:rsid w:val="76E34DFB"/>
    <w:rsid w:val="76F732C9"/>
    <w:rsid w:val="76F73AEE"/>
    <w:rsid w:val="76FB15A5"/>
    <w:rsid w:val="77191A35"/>
    <w:rsid w:val="772757A8"/>
    <w:rsid w:val="774150D6"/>
    <w:rsid w:val="77470212"/>
    <w:rsid w:val="775178C8"/>
    <w:rsid w:val="777B0ED9"/>
    <w:rsid w:val="777D3C34"/>
    <w:rsid w:val="778841F7"/>
    <w:rsid w:val="77970978"/>
    <w:rsid w:val="77B21BDE"/>
    <w:rsid w:val="77BB17EE"/>
    <w:rsid w:val="782D5ACB"/>
    <w:rsid w:val="782F4E7C"/>
    <w:rsid w:val="78452678"/>
    <w:rsid w:val="788714E8"/>
    <w:rsid w:val="78940B0A"/>
    <w:rsid w:val="789F624A"/>
    <w:rsid w:val="78AA485E"/>
    <w:rsid w:val="78BC55B0"/>
    <w:rsid w:val="78D32032"/>
    <w:rsid w:val="78D44BF3"/>
    <w:rsid w:val="78D610F1"/>
    <w:rsid w:val="78E94929"/>
    <w:rsid w:val="78EA1CB2"/>
    <w:rsid w:val="790B3277"/>
    <w:rsid w:val="790E75A0"/>
    <w:rsid w:val="79143A2E"/>
    <w:rsid w:val="791A3E30"/>
    <w:rsid w:val="7929591E"/>
    <w:rsid w:val="79843224"/>
    <w:rsid w:val="798D541A"/>
    <w:rsid w:val="79B452A3"/>
    <w:rsid w:val="79BC6C95"/>
    <w:rsid w:val="79CF5DBB"/>
    <w:rsid w:val="79FA59D1"/>
    <w:rsid w:val="7A091BAF"/>
    <w:rsid w:val="7A0E7443"/>
    <w:rsid w:val="7A463B18"/>
    <w:rsid w:val="7A4E4E1E"/>
    <w:rsid w:val="7A63392F"/>
    <w:rsid w:val="7A836286"/>
    <w:rsid w:val="7A93214F"/>
    <w:rsid w:val="7AB87E26"/>
    <w:rsid w:val="7ABB6C39"/>
    <w:rsid w:val="7ADB2460"/>
    <w:rsid w:val="7B007457"/>
    <w:rsid w:val="7B194DFF"/>
    <w:rsid w:val="7B326164"/>
    <w:rsid w:val="7B36582E"/>
    <w:rsid w:val="7B5B24C6"/>
    <w:rsid w:val="7B5C1712"/>
    <w:rsid w:val="7B605E1E"/>
    <w:rsid w:val="7B6C15BB"/>
    <w:rsid w:val="7B727DD7"/>
    <w:rsid w:val="7B791623"/>
    <w:rsid w:val="7B9D2AF7"/>
    <w:rsid w:val="7BED7766"/>
    <w:rsid w:val="7C0500F0"/>
    <w:rsid w:val="7C296D8A"/>
    <w:rsid w:val="7C4A4251"/>
    <w:rsid w:val="7C4F3DF1"/>
    <w:rsid w:val="7C6F2B32"/>
    <w:rsid w:val="7C7A3690"/>
    <w:rsid w:val="7CB2612E"/>
    <w:rsid w:val="7CB47737"/>
    <w:rsid w:val="7CBA692F"/>
    <w:rsid w:val="7CCA7565"/>
    <w:rsid w:val="7CE015FE"/>
    <w:rsid w:val="7CE54755"/>
    <w:rsid w:val="7D1532D0"/>
    <w:rsid w:val="7D1C17A5"/>
    <w:rsid w:val="7D315F9B"/>
    <w:rsid w:val="7D730B4C"/>
    <w:rsid w:val="7D785951"/>
    <w:rsid w:val="7D8F5316"/>
    <w:rsid w:val="7DB172C4"/>
    <w:rsid w:val="7DE36142"/>
    <w:rsid w:val="7DEC003C"/>
    <w:rsid w:val="7E153E08"/>
    <w:rsid w:val="7E344F88"/>
    <w:rsid w:val="7E38519C"/>
    <w:rsid w:val="7E3B0BBA"/>
    <w:rsid w:val="7E535562"/>
    <w:rsid w:val="7E5A5D7A"/>
    <w:rsid w:val="7E603F35"/>
    <w:rsid w:val="7E7A7D18"/>
    <w:rsid w:val="7E817ACB"/>
    <w:rsid w:val="7EAD60AE"/>
    <w:rsid w:val="7EB35BF6"/>
    <w:rsid w:val="7EC55300"/>
    <w:rsid w:val="7EC93BAC"/>
    <w:rsid w:val="7ECA657B"/>
    <w:rsid w:val="7ED14F91"/>
    <w:rsid w:val="7ED93E46"/>
    <w:rsid w:val="7EDC7492"/>
    <w:rsid w:val="7EFB7192"/>
    <w:rsid w:val="7F097845"/>
    <w:rsid w:val="7F1232AF"/>
    <w:rsid w:val="7F147A5B"/>
    <w:rsid w:val="7F404F2D"/>
    <w:rsid w:val="7F417C68"/>
    <w:rsid w:val="7F6B621B"/>
    <w:rsid w:val="7F89002C"/>
    <w:rsid w:val="7FB16B71"/>
    <w:rsid w:val="7FD727EA"/>
    <w:rsid w:val="7FD96ABC"/>
    <w:rsid w:val="7FED0C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560" w:firstLineChars="200"/>
      <w:jc w:val="both"/>
    </w:pPr>
    <w:rPr>
      <w:rFonts w:ascii="Times New Roman" w:hAnsi="Times New Roman" w:eastAsia="宋体" w:cs="Times New Roman"/>
      <w:kern w:val="2"/>
      <w:sz w:val="24"/>
      <w:szCs w:val="24"/>
      <w:lang w:val="en-US" w:eastAsia="zh-CN" w:bidi="ar-SA"/>
    </w:rPr>
  </w:style>
  <w:style w:type="paragraph" w:styleId="9">
    <w:name w:val="heading 1"/>
    <w:basedOn w:val="1"/>
    <w:next w:val="1"/>
    <w:qFormat/>
    <w:uiPriority w:val="0"/>
    <w:pPr>
      <w:keepNext/>
      <w:ind w:firstLine="0" w:firstLineChars="0"/>
      <w:jc w:val="center"/>
      <w:outlineLvl w:val="0"/>
    </w:pPr>
    <w:rPr>
      <w:b/>
      <w:sz w:val="28"/>
      <w:szCs w:val="20"/>
    </w:rPr>
  </w:style>
  <w:style w:type="paragraph" w:styleId="10">
    <w:name w:val="heading 2"/>
    <w:basedOn w:val="1"/>
    <w:next w:val="1"/>
    <w:qFormat/>
    <w:uiPriority w:val="0"/>
    <w:pPr>
      <w:keepNext/>
      <w:ind w:firstLine="0" w:firstLineChars="0"/>
      <w:outlineLvl w:val="1"/>
    </w:pPr>
    <w:rPr>
      <w:b/>
      <w:bCs/>
      <w:sz w:val="28"/>
    </w:rPr>
  </w:style>
  <w:style w:type="paragraph" w:styleId="11">
    <w:name w:val="heading 3"/>
    <w:basedOn w:val="1"/>
    <w:next w:val="1"/>
    <w:unhideWhenUsed/>
    <w:qFormat/>
    <w:uiPriority w:val="0"/>
    <w:pPr>
      <w:keepNext/>
      <w:keepLines/>
      <w:spacing w:before="260" w:after="260" w:line="413" w:lineRule="auto"/>
      <w:outlineLvl w:val="2"/>
    </w:pPr>
    <w:rPr>
      <w:b/>
      <w:sz w:val="32"/>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6"/>
    <w:qFormat/>
    <w:uiPriority w:val="0"/>
    <w:pPr>
      <w:ind w:firstLine="420"/>
    </w:pPr>
  </w:style>
  <w:style w:type="paragraph" w:styleId="3">
    <w:name w:val="Body Text Indent"/>
    <w:basedOn w:val="1"/>
    <w:next w:val="4"/>
    <w:qFormat/>
    <w:uiPriority w:val="0"/>
    <w:pPr>
      <w:ind w:firstLine="570"/>
    </w:pPr>
    <w:rPr>
      <w:rFonts w:ascii="宋体" w:hAnsi="宋体"/>
      <w:color w:val="000000"/>
      <w:sz w:val="28"/>
    </w:rPr>
  </w:style>
  <w:style w:type="paragraph" w:customStyle="1" w:styleId="4">
    <w:name w:val="样式 正文文本缩进 + 行距: 1.5 倍行距"/>
    <w:basedOn w:val="5"/>
    <w:next w:val="1"/>
    <w:qFormat/>
    <w:uiPriority w:val="0"/>
    <w:pPr>
      <w:ind w:left="90" w:leftChars="32"/>
    </w:pPr>
    <w:rPr>
      <w:rFonts w:cs="宋体"/>
    </w:rPr>
  </w:style>
  <w:style w:type="paragraph" w:customStyle="1" w:styleId="5">
    <w:name w:val="Body Text Indent"/>
    <w:basedOn w:val="1"/>
    <w:next w:val="4"/>
    <w:qFormat/>
    <w:uiPriority w:val="0"/>
    <w:pPr>
      <w:spacing w:after="120" w:afterLines="0"/>
      <w:ind w:left="420" w:leftChars="200"/>
    </w:pPr>
    <w:rPr>
      <w:rFonts w:ascii="Times New Roman" w:hAnsi="Times New Roman" w:eastAsia="宋体"/>
      <w:sz w:val="24"/>
    </w:rPr>
  </w:style>
  <w:style w:type="paragraph" w:styleId="6">
    <w:name w:val="Body Text First Indent"/>
    <w:basedOn w:val="7"/>
    <w:next w:val="1"/>
    <w:qFormat/>
    <w:uiPriority w:val="0"/>
    <w:pPr>
      <w:spacing w:after="120"/>
      <w:ind w:firstLine="420" w:firstLineChars="100"/>
    </w:pPr>
  </w:style>
  <w:style w:type="paragraph" w:styleId="7">
    <w:name w:val="Body Text"/>
    <w:basedOn w:val="1"/>
    <w:next w:val="8"/>
    <w:qFormat/>
    <w:uiPriority w:val="0"/>
    <w:rPr>
      <w:rFonts w:hint="eastAsia" w:eastAsia="华文宋体"/>
      <w:szCs w:val="20"/>
    </w:rPr>
  </w:style>
  <w:style w:type="paragraph" w:styleId="8">
    <w:name w:val="List Bullet 5"/>
    <w:basedOn w:val="1"/>
    <w:qFormat/>
    <w:uiPriority w:val="0"/>
    <w:pPr>
      <w:numPr>
        <w:ilvl w:val="0"/>
        <w:numId w:val="1"/>
      </w:numPr>
    </w:pPr>
  </w:style>
  <w:style w:type="paragraph" w:styleId="12">
    <w:name w:val="Normal Indent"/>
    <w:basedOn w:val="1"/>
    <w:next w:val="1"/>
    <w:qFormat/>
    <w:uiPriority w:val="0"/>
    <w:pPr>
      <w:ind w:firstLine="420"/>
    </w:pPr>
    <w:rPr>
      <w:szCs w:val="20"/>
    </w:rPr>
  </w:style>
  <w:style w:type="paragraph" w:styleId="13">
    <w:name w:val="annotation text"/>
    <w:basedOn w:val="1"/>
    <w:qFormat/>
    <w:uiPriority w:val="0"/>
    <w:pPr>
      <w:jc w:val="left"/>
    </w:pPr>
  </w:style>
  <w:style w:type="paragraph" w:styleId="14">
    <w:name w:val="Date"/>
    <w:basedOn w:val="1"/>
    <w:next w:val="1"/>
    <w:qFormat/>
    <w:uiPriority w:val="0"/>
    <w:pPr>
      <w:ind w:left="100" w:leftChars="2500"/>
    </w:pPr>
    <w:rPr>
      <w:kern w:val="0"/>
      <w:sz w:val="20"/>
      <w:szCs w:val="20"/>
    </w:rPr>
  </w:style>
  <w:style w:type="paragraph" w:styleId="15">
    <w:name w:val="Body Text Indent 2"/>
    <w:basedOn w:val="1"/>
    <w:next w:val="16"/>
    <w:qFormat/>
    <w:uiPriority w:val="0"/>
    <w:pPr>
      <w:spacing w:line="300" w:lineRule="auto"/>
      <w:ind w:firstLine="480"/>
    </w:pPr>
    <w:rPr>
      <w:rFonts w:ascii="仿宋体" w:eastAsia="仿宋体"/>
      <w:b/>
    </w:rPr>
  </w:style>
  <w:style w:type="paragraph" w:styleId="16">
    <w:name w:val="Body Text 2"/>
    <w:basedOn w:val="1"/>
    <w:qFormat/>
    <w:uiPriority w:val="0"/>
    <w:pPr>
      <w:spacing w:after="120" w:line="480" w:lineRule="auto"/>
    </w:pPr>
  </w:style>
  <w:style w:type="paragraph" w:styleId="17">
    <w:name w:val="Balloon Text"/>
    <w:basedOn w:val="1"/>
    <w:link w:val="70"/>
    <w:qFormat/>
    <w:uiPriority w:val="0"/>
    <w:pPr>
      <w:spacing w:line="240" w:lineRule="auto"/>
    </w:pPr>
    <w:rPr>
      <w:sz w:val="18"/>
      <w:szCs w:val="18"/>
    </w:rPr>
  </w:style>
  <w:style w:type="paragraph" w:styleId="18">
    <w:name w:val="footer"/>
    <w:basedOn w:val="1"/>
    <w:qFormat/>
    <w:uiPriority w:val="99"/>
    <w:pPr>
      <w:tabs>
        <w:tab w:val="center" w:pos="4153"/>
        <w:tab w:val="right" w:pos="8306"/>
      </w:tabs>
      <w:snapToGrid w:val="0"/>
      <w:jc w:val="left"/>
    </w:pPr>
    <w:rPr>
      <w:sz w:val="18"/>
      <w:szCs w:val="18"/>
    </w:rPr>
  </w:style>
  <w:style w:type="paragraph" w:styleId="19">
    <w:name w:val="header"/>
    <w:basedOn w:val="1"/>
    <w:next w:val="20"/>
    <w:qFormat/>
    <w:uiPriority w:val="99"/>
    <w:pPr>
      <w:pBdr>
        <w:bottom w:val="single" w:color="auto" w:sz="6" w:space="1"/>
      </w:pBdr>
      <w:tabs>
        <w:tab w:val="center" w:pos="4153"/>
        <w:tab w:val="right" w:pos="8306"/>
      </w:tabs>
      <w:snapToGrid w:val="0"/>
      <w:jc w:val="center"/>
    </w:pPr>
    <w:rPr>
      <w:sz w:val="18"/>
      <w:szCs w:val="18"/>
    </w:rPr>
  </w:style>
  <w:style w:type="paragraph" w:customStyle="1" w:styleId="20">
    <w:name w:val="样式5"/>
    <w:basedOn w:val="21"/>
    <w:next w:val="1"/>
    <w:qFormat/>
    <w:uiPriority w:val="0"/>
    <w:pPr>
      <w:spacing w:line="360" w:lineRule="auto"/>
      <w:ind w:firstLine="510"/>
    </w:pPr>
  </w:style>
  <w:style w:type="paragraph" w:customStyle="1" w:styleId="21">
    <w:name w:val="正文1"/>
    <w:basedOn w:val="1"/>
    <w:next w:val="22"/>
    <w:qFormat/>
    <w:uiPriority w:val="0"/>
    <w:pPr>
      <w:snapToGrid w:val="0"/>
      <w:spacing w:before="62" w:beforeLines="20" w:after="62" w:afterLines="20" w:line="312" w:lineRule="auto"/>
      <w:ind w:firstLine="475" w:firstLineChars="198"/>
    </w:pPr>
    <w:rPr>
      <w:rFonts w:ascii="宋体" w:hAnsi="宋体"/>
      <w:color w:val="000000"/>
      <w:szCs w:val="20"/>
    </w:rPr>
  </w:style>
  <w:style w:type="paragraph" w:customStyle="1" w:styleId="22">
    <w:name w:val="Default"/>
    <w:basedOn w:val="23"/>
    <w:next w:val="24"/>
    <w:unhideWhenUsed/>
    <w:qFormat/>
    <w:uiPriority w:val="99"/>
    <w:pPr>
      <w:autoSpaceDE w:val="0"/>
      <w:autoSpaceDN w:val="0"/>
      <w:adjustRightInd w:val="0"/>
    </w:pPr>
    <w:rPr>
      <w:rFonts w:ascii="宋体" w:hAnsi="宋体"/>
      <w:sz w:val="24"/>
    </w:rPr>
  </w:style>
  <w:style w:type="paragraph" w:customStyle="1" w:styleId="23">
    <w:name w:val="纯文本1"/>
    <w:basedOn w:val="1"/>
    <w:qFormat/>
    <w:uiPriority w:val="0"/>
    <w:pPr>
      <w:adjustRightInd w:val="0"/>
      <w:textAlignment w:val="baseline"/>
    </w:pPr>
    <w:rPr>
      <w:rFonts w:ascii="宋体" w:hAnsi="Courier New"/>
    </w:rPr>
  </w:style>
  <w:style w:type="paragraph" w:customStyle="1" w:styleId="24">
    <w:name w:val="样式35"/>
    <w:basedOn w:val="1"/>
    <w:next w:val="1"/>
    <w:qFormat/>
    <w:uiPriority w:val="0"/>
    <w:pPr>
      <w:spacing w:line="312" w:lineRule="auto"/>
      <w:ind w:firstLine="567"/>
    </w:pPr>
    <w:rPr>
      <w:rFonts w:ascii="宋体"/>
      <w:sz w:val="28"/>
    </w:rPr>
  </w:style>
  <w:style w:type="paragraph" w:styleId="25">
    <w:name w:val="toc 1"/>
    <w:basedOn w:val="1"/>
    <w:next w:val="1"/>
    <w:qFormat/>
    <w:uiPriority w:val="99"/>
    <w:pPr>
      <w:tabs>
        <w:tab w:val="right" w:leader="dot" w:pos="8836"/>
      </w:tabs>
      <w:jc w:val="center"/>
    </w:pPr>
    <w:rPr>
      <w:rFonts w:ascii="宋体" w:hAnsi="宋体"/>
      <w:sz w:val="32"/>
    </w:rPr>
  </w:style>
  <w:style w:type="paragraph" w:styleId="26">
    <w:name w:val="toc 2"/>
    <w:basedOn w:val="1"/>
    <w:next w:val="1"/>
    <w:qFormat/>
    <w:uiPriority w:val="0"/>
    <w:pPr>
      <w:ind w:left="420" w:leftChars="200"/>
    </w:p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qFormat/>
    <w:uiPriority w:val="0"/>
    <w:rPr>
      <w:b/>
    </w:rPr>
  </w:style>
  <w:style w:type="paragraph" w:customStyle="1" w:styleId="31">
    <w:name w:val="正文文本缩进1"/>
    <w:basedOn w:val="1"/>
    <w:next w:val="4"/>
    <w:qFormat/>
    <w:uiPriority w:val="0"/>
    <w:pPr>
      <w:spacing w:after="120"/>
      <w:ind w:left="420" w:leftChars="200"/>
    </w:pPr>
  </w:style>
  <w:style w:type="paragraph" w:customStyle="1" w:styleId="32">
    <w:name w:val="Date1"/>
    <w:basedOn w:val="1"/>
    <w:next w:val="1"/>
    <w:qFormat/>
    <w:uiPriority w:val="0"/>
    <w:rPr>
      <w:sz w:val="21"/>
      <w:szCs w:val="20"/>
    </w:rPr>
  </w:style>
  <w:style w:type="paragraph" w:customStyle="1" w:styleId="33">
    <w:name w:val="样式 样式 样式 样式 小四 左 首行缩进:  2 字符 + 首行缩进:  2 字符 Char + 右  0 字符1 + 首行缩...3"/>
    <w:basedOn w:val="1"/>
    <w:qFormat/>
    <w:uiPriority w:val="0"/>
    <w:pPr>
      <w:adjustRightInd w:val="0"/>
      <w:ind w:firstLine="480"/>
      <w:jc w:val="left"/>
      <w:textAlignment w:val="baseline"/>
    </w:pPr>
    <w:rPr>
      <w:rFonts w:cs="宋体"/>
      <w:szCs w:val="20"/>
    </w:rPr>
  </w:style>
  <w:style w:type="paragraph" w:customStyle="1" w:styleId="34">
    <w:name w:val="批注文字1"/>
    <w:qFormat/>
    <w:uiPriority w:val="0"/>
    <w:pPr>
      <w:widowControl w:val="0"/>
    </w:pPr>
    <w:rPr>
      <w:rFonts w:ascii="Times New Roman" w:hAnsi="Times New Roman" w:eastAsia="宋体" w:cs="Times New Roman"/>
      <w:color w:val="000000"/>
      <w:kern w:val="2"/>
      <w:sz w:val="21"/>
      <w:szCs w:val="24"/>
      <w:lang w:val="en-US" w:eastAsia="zh-CN" w:bidi="ar-SA"/>
    </w:rPr>
  </w:style>
  <w:style w:type="paragraph" w:customStyle="1" w:styleId="35">
    <w:name w:val="正文文本缩进2"/>
    <w:basedOn w:val="1"/>
    <w:next w:val="4"/>
    <w:qFormat/>
    <w:uiPriority w:val="0"/>
    <w:pPr>
      <w:spacing w:after="120"/>
      <w:ind w:left="420" w:leftChars="200"/>
    </w:pPr>
  </w:style>
  <w:style w:type="paragraph" w:customStyle="1" w:styleId="36">
    <w:name w:val="Body Text First Indent 21"/>
    <w:basedOn w:val="37"/>
    <w:qFormat/>
    <w:uiPriority w:val="0"/>
    <w:pPr>
      <w:ind w:firstLine="420"/>
    </w:pPr>
  </w:style>
  <w:style w:type="paragraph" w:customStyle="1" w:styleId="37">
    <w:name w:val="Body Text Indent1"/>
    <w:basedOn w:val="1"/>
    <w:qFormat/>
    <w:uiPriority w:val="0"/>
    <w:pPr>
      <w:spacing w:after="120"/>
      <w:ind w:left="420" w:leftChars="200"/>
    </w:pPr>
  </w:style>
  <w:style w:type="character" w:customStyle="1" w:styleId="38">
    <w:name w:val="font31"/>
    <w:qFormat/>
    <w:uiPriority w:val="0"/>
    <w:rPr>
      <w:rFonts w:hint="default" w:ascii="Times New Roman" w:hAnsi="Times New Roman" w:cs="Times New Roman"/>
      <w:b/>
      <w:color w:val="000000"/>
      <w:sz w:val="24"/>
      <w:szCs w:val="24"/>
      <w:u w:val="none"/>
    </w:rPr>
  </w:style>
  <w:style w:type="character" w:customStyle="1" w:styleId="39">
    <w:name w:val="font41"/>
    <w:qFormat/>
    <w:uiPriority w:val="0"/>
    <w:rPr>
      <w:rFonts w:hint="default" w:ascii="Times New Roman" w:hAnsi="Times New Roman" w:cs="Times New Roman"/>
      <w:b/>
      <w:color w:val="000000"/>
      <w:sz w:val="22"/>
      <w:szCs w:val="22"/>
      <w:u w:val="none"/>
    </w:rPr>
  </w:style>
  <w:style w:type="character" w:customStyle="1" w:styleId="40">
    <w:name w:val="font21"/>
    <w:qFormat/>
    <w:uiPriority w:val="0"/>
    <w:rPr>
      <w:rFonts w:hint="eastAsia" w:ascii="宋体" w:hAnsi="宋体" w:eastAsia="宋体" w:cs="宋体"/>
      <w:color w:val="0000FF"/>
      <w:sz w:val="18"/>
      <w:szCs w:val="18"/>
      <w:u w:val="none"/>
    </w:rPr>
  </w:style>
  <w:style w:type="paragraph" w:customStyle="1" w:styleId="41">
    <w:name w:val="Body text|2"/>
    <w:basedOn w:val="1"/>
    <w:qFormat/>
    <w:uiPriority w:val="0"/>
    <w:pPr>
      <w:spacing w:after="160" w:line="445" w:lineRule="exact"/>
      <w:ind w:left="1320"/>
    </w:pPr>
    <w:rPr>
      <w:rFonts w:ascii="宋体" w:hAnsi="宋体" w:cs="宋体"/>
      <w:sz w:val="19"/>
      <w:szCs w:val="19"/>
      <w:lang w:val="zh-TW" w:eastAsia="zh-TW" w:bidi="zh-TW"/>
    </w:rPr>
  </w:style>
  <w:style w:type="paragraph" w:customStyle="1" w:styleId="42">
    <w:name w:val="Table Paragraph"/>
    <w:basedOn w:val="1"/>
    <w:unhideWhenUsed/>
    <w:qFormat/>
    <w:uiPriority w:val="1"/>
    <w:pPr>
      <w:spacing w:line="240" w:lineRule="auto"/>
      <w:ind w:firstLine="0" w:firstLineChars="0"/>
      <w:jc w:val="center"/>
    </w:pPr>
    <w:rPr>
      <w:sz w:val="21"/>
    </w:rPr>
  </w:style>
  <w:style w:type="paragraph" w:customStyle="1" w:styleId="43">
    <w:name w:val="Other|1"/>
    <w:basedOn w:val="1"/>
    <w:qFormat/>
    <w:uiPriority w:val="0"/>
    <w:pPr>
      <w:spacing w:line="420" w:lineRule="auto"/>
      <w:ind w:firstLine="400"/>
    </w:pPr>
    <w:rPr>
      <w:rFonts w:ascii="宋体" w:hAnsi="宋体" w:cs="宋体"/>
      <w:lang w:val="zh-TW" w:eastAsia="zh-TW" w:bidi="zh-TW"/>
    </w:rPr>
  </w:style>
  <w:style w:type="paragraph" w:customStyle="1" w:styleId="44">
    <w:name w:val="正文文本 21"/>
    <w:basedOn w:val="1"/>
    <w:qFormat/>
    <w:uiPriority w:val="0"/>
    <w:pPr>
      <w:autoSpaceDE w:val="0"/>
      <w:autoSpaceDN w:val="0"/>
      <w:adjustRightInd w:val="0"/>
      <w:spacing w:line="480" w:lineRule="atLeast"/>
      <w:ind w:firstLine="570"/>
      <w:textAlignment w:val="baseline"/>
    </w:pPr>
    <w:rPr>
      <w:rFonts w:ascii="宋体" w:hAnsi="Tms Rmn"/>
      <w:kern w:val="0"/>
      <w:sz w:val="28"/>
      <w:szCs w:val="20"/>
    </w:rPr>
  </w:style>
  <w:style w:type="paragraph" w:customStyle="1" w:styleId="45">
    <w:name w:val="普通(网站)1"/>
    <w:basedOn w:val="1"/>
    <w:qFormat/>
    <w:uiPriority w:val="0"/>
    <w:pPr>
      <w:spacing w:before="100" w:beforeAutospacing="1" w:after="100" w:afterAutospacing="1"/>
    </w:pPr>
    <w:rPr>
      <w:rFonts w:ascii="宋体" w:hAnsi="宋体" w:cs="宋体"/>
    </w:rPr>
  </w:style>
  <w:style w:type="paragraph" w:customStyle="1" w:styleId="46">
    <w:name w:val="表格文字"/>
    <w:basedOn w:val="1"/>
    <w:next w:val="1"/>
    <w:qFormat/>
    <w:uiPriority w:val="0"/>
    <w:pPr>
      <w:spacing w:beforeLines="30" w:afterLines="30"/>
      <w:jc w:val="center"/>
    </w:pPr>
    <w:rPr>
      <w:spacing w:val="10"/>
      <w:kern w:val="0"/>
      <w:szCs w:val="21"/>
    </w:rPr>
  </w:style>
  <w:style w:type="paragraph" w:customStyle="1" w:styleId="47">
    <w:name w:val="Body text|3"/>
    <w:basedOn w:val="1"/>
    <w:qFormat/>
    <w:uiPriority w:val="0"/>
    <w:pPr>
      <w:ind w:firstLine="140"/>
    </w:pPr>
    <w:rPr>
      <w:sz w:val="20"/>
      <w:szCs w:val="20"/>
    </w:rPr>
  </w:style>
  <w:style w:type="paragraph" w:customStyle="1" w:styleId="48">
    <w:name w:val="文本内容"/>
    <w:basedOn w:val="1"/>
    <w:qFormat/>
    <w:uiPriority w:val="0"/>
    <w:pPr>
      <w:adjustRightInd w:val="0"/>
      <w:snapToGrid w:val="0"/>
      <w:ind w:firstLine="546"/>
    </w:pPr>
    <w:rPr>
      <w:rFonts w:cs="宋体"/>
      <w:sz w:val="28"/>
    </w:rPr>
  </w:style>
  <w:style w:type="paragraph" w:customStyle="1" w:styleId="49">
    <w:name w:val="表格1"/>
    <w:basedOn w:val="1"/>
    <w:qFormat/>
    <w:uiPriority w:val="0"/>
    <w:pPr>
      <w:jc w:val="center"/>
    </w:pPr>
    <w:rPr>
      <w:sz w:val="18"/>
      <w:szCs w:val="18"/>
    </w:rPr>
  </w:style>
  <w:style w:type="paragraph" w:customStyle="1" w:styleId="50">
    <w:name w:val="表格文字两端对齐"/>
    <w:basedOn w:val="1"/>
    <w:qFormat/>
    <w:uiPriority w:val="0"/>
    <w:pPr>
      <w:spacing w:line="240" w:lineRule="auto"/>
      <w:ind w:firstLine="0" w:firstLineChars="0"/>
      <w:jc w:val="center"/>
    </w:pPr>
    <w:rPr>
      <w:sz w:val="21"/>
    </w:rPr>
  </w:style>
  <w:style w:type="paragraph" w:customStyle="1" w:styleId="51">
    <w:name w:val="Body text|6"/>
    <w:basedOn w:val="1"/>
    <w:qFormat/>
    <w:uiPriority w:val="0"/>
    <w:pPr>
      <w:spacing w:after="170" w:line="317" w:lineRule="auto"/>
      <w:ind w:firstLine="370"/>
    </w:pPr>
  </w:style>
  <w:style w:type="paragraph" w:customStyle="1" w:styleId="52">
    <w:name w:val="正文小四"/>
    <w:basedOn w:val="1"/>
    <w:qFormat/>
    <w:uiPriority w:val="0"/>
    <w:pPr>
      <w:spacing w:line="460" w:lineRule="exact"/>
      <w:ind w:firstLine="600"/>
    </w:pPr>
    <w:rPr>
      <w:rFonts w:ascii="宋体" w:hAnsi="宋体" w:cs="宋体"/>
      <w:spacing w:val="30"/>
      <w:kern w:val="24"/>
    </w:rPr>
  </w:style>
  <w:style w:type="paragraph" w:customStyle="1" w:styleId="53">
    <w:name w:val="表格正文"/>
    <w:qFormat/>
    <w:uiPriority w:val="0"/>
    <w:pPr>
      <w:widowControl w:val="0"/>
      <w:jc w:val="center"/>
    </w:pPr>
    <w:rPr>
      <w:rFonts w:ascii="Times New Roman" w:hAnsi="Times New Roman" w:eastAsia="宋体" w:cs="Times New Roman"/>
      <w:kern w:val="2"/>
      <w:sz w:val="21"/>
      <w:szCs w:val="24"/>
      <w:lang w:val="en-US" w:eastAsia="zh-CN" w:bidi="ar-SA"/>
    </w:rPr>
  </w:style>
  <w:style w:type="paragraph" w:customStyle="1" w:styleId="54">
    <w:name w:val="Heading #2|1"/>
    <w:basedOn w:val="1"/>
    <w:qFormat/>
    <w:uiPriority w:val="0"/>
    <w:pPr>
      <w:spacing w:line="523" w:lineRule="exact"/>
      <w:jc w:val="center"/>
      <w:outlineLvl w:val="1"/>
    </w:pPr>
    <w:rPr>
      <w:rFonts w:ascii="宋体" w:hAnsi="宋体" w:cs="宋体"/>
      <w:sz w:val="28"/>
      <w:szCs w:val="28"/>
      <w:lang w:val="zh-TW" w:eastAsia="zh-TW" w:bidi="zh-TW"/>
    </w:rPr>
  </w:style>
  <w:style w:type="paragraph" w:customStyle="1" w:styleId="55">
    <w:name w:val="样式 样式 样式 样式 小四 左 首行缩进: 2 字符 + 首行缩进: 2 字符 Char + 右 0 字符1 + 首行缩...3"/>
    <w:basedOn w:val="1"/>
    <w:qFormat/>
    <w:uiPriority w:val="0"/>
    <w:pPr>
      <w:adjustRightInd w:val="0"/>
      <w:ind w:firstLine="480"/>
      <w:jc w:val="left"/>
      <w:textAlignment w:val="baseline"/>
    </w:pPr>
  </w:style>
  <w:style w:type="paragraph" w:customStyle="1" w:styleId="56">
    <w:name w:val="Body text|1"/>
    <w:basedOn w:val="1"/>
    <w:qFormat/>
    <w:uiPriority w:val="0"/>
    <w:pPr>
      <w:spacing w:line="398" w:lineRule="auto"/>
      <w:ind w:firstLine="400"/>
    </w:pPr>
    <w:rPr>
      <w:rFonts w:ascii="宋体" w:hAnsi="宋体" w:cs="宋体"/>
      <w:sz w:val="30"/>
      <w:szCs w:val="30"/>
      <w:lang w:val="zh-TW" w:eastAsia="zh-TW" w:bidi="zh-TW"/>
    </w:rPr>
  </w:style>
  <w:style w:type="paragraph" w:customStyle="1" w:styleId="57">
    <w:name w:val="表格文字1.0"/>
    <w:basedOn w:val="1"/>
    <w:qFormat/>
    <w:uiPriority w:val="0"/>
    <w:pPr>
      <w:adjustRightInd w:val="0"/>
      <w:snapToGrid w:val="0"/>
      <w:jc w:val="center"/>
    </w:pPr>
    <w:rPr>
      <w:kern w:val="0"/>
      <w:sz w:val="21"/>
    </w:rPr>
  </w:style>
  <w:style w:type="paragraph" w:customStyle="1" w:styleId="58">
    <w:name w:val="框架内容"/>
    <w:basedOn w:val="21"/>
    <w:qFormat/>
    <w:uiPriority w:val="0"/>
  </w:style>
  <w:style w:type="character" w:customStyle="1" w:styleId="59">
    <w:name w:val="15"/>
    <w:qFormat/>
    <w:uiPriority w:val="0"/>
    <w:rPr>
      <w:rFonts w:hint="default" w:ascii="Times New Roman" w:hAnsi="Times New Roman" w:cs="Times New Roman"/>
      <w:color w:val="000000"/>
      <w:sz w:val="22"/>
      <w:szCs w:val="22"/>
    </w:rPr>
  </w:style>
  <w:style w:type="paragraph" w:customStyle="1" w:styleId="60">
    <w:name w:val="表1111111111"/>
    <w:basedOn w:val="1"/>
    <w:qFormat/>
    <w:uiPriority w:val="0"/>
    <w:pPr>
      <w:jc w:val="center"/>
    </w:pPr>
  </w:style>
  <w:style w:type="paragraph" w:customStyle="1" w:styleId="61">
    <w:name w:val="表格"/>
    <w:basedOn w:val="1"/>
    <w:next w:val="1"/>
    <w:qFormat/>
    <w:uiPriority w:val="0"/>
    <w:pPr>
      <w:adjustRightInd w:val="0"/>
      <w:snapToGrid w:val="0"/>
      <w:spacing w:beforeLines="10" w:afterLines="10" w:line="259" w:lineRule="auto"/>
      <w:jc w:val="center"/>
    </w:pPr>
    <w:rPr>
      <w:rFonts w:ascii="宋体"/>
      <w:kern w:val="0"/>
      <w:szCs w:val="20"/>
    </w:rPr>
  </w:style>
  <w:style w:type="paragraph" w:customStyle="1" w:styleId="62">
    <w:name w:val="内部文字"/>
    <w:basedOn w:val="1"/>
    <w:qFormat/>
    <w:uiPriority w:val="0"/>
    <w:pPr>
      <w:adjustRightInd w:val="0"/>
      <w:snapToGrid w:val="0"/>
      <w:ind w:firstLine="200"/>
    </w:pPr>
  </w:style>
  <w:style w:type="paragraph" w:customStyle="1" w:styleId="63">
    <w:name w:val="lh-表格文字-报告表"/>
    <w:basedOn w:val="1"/>
    <w:qFormat/>
    <w:uiPriority w:val="0"/>
    <w:pPr>
      <w:jc w:val="center"/>
    </w:pPr>
    <w:rPr>
      <w:kern w:val="0"/>
    </w:rPr>
  </w:style>
  <w:style w:type="paragraph" w:customStyle="1" w:styleId="64">
    <w:name w:val="正文文本2"/>
    <w:qFormat/>
    <w:uiPriority w:val="0"/>
    <w:pPr>
      <w:widowControl w:val="0"/>
      <w:spacing w:line="360" w:lineRule="auto"/>
      <w:ind w:firstLine="480" w:firstLineChars="200"/>
      <w:jc w:val="both"/>
    </w:pPr>
    <w:rPr>
      <w:rFonts w:ascii="宋体" w:hAnsi="Times New Roman" w:eastAsia="宋体" w:cs="宋体"/>
      <w:kern w:val="2"/>
      <w:sz w:val="24"/>
      <w:lang w:val="en-US" w:eastAsia="zh-CN" w:bidi="ar-SA"/>
    </w:rPr>
  </w:style>
  <w:style w:type="character" w:customStyle="1" w:styleId="65">
    <w:name w:val="font01"/>
    <w:qFormat/>
    <w:uiPriority w:val="0"/>
    <w:rPr>
      <w:rFonts w:hint="default" w:ascii="Times New Roman" w:hAnsi="Times New Roman" w:cs="Times New Roman"/>
      <w:color w:val="000000"/>
      <w:sz w:val="21"/>
      <w:szCs w:val="21"/>
      <w:u w:val="none"/>
      <w:vertAlign w:val="superscript"/>
    </w:rPr>
  </w:style>
  <w:style w:type="paragraph" w:customStyle="1" w:styleId="66">
    <w:name w:val="表内容"/>
    <w:basedOn w:val="1"/>
    <w:qFormat/>
    <w:uiPriority w:val="0"/>
    <w:pPr>
      <w:adjustRightInd w:val="0"/>
      <w:snapToGrid w:val="0"/>
      <w:jc w:val="center"/>
    </w:pPr>
    <w:rPr>
      <w:snapToGrid w:val="0"/>
      <w:szCs w:val="21"/>
    </w:rPr>
  </w:style>
  <w:style w:type="paragraph" w:customStyle="1" w:styleId="67">
    <w:name w:val="li_正文"/>
    <w:basedOn w:val="1"/>
    <w:qFormat/>
    <w:uiPriority w:val="0"/>
    <w:pPr>
      <w:ind w:firstLine="200"/>
    </w:pPr>
    <w:rPr>
      <w:sz w:val="28"/>
      <w:szCs w:val="28"/>
    </w:rPr>
  </w:style>
  <w:style w:type="paragraph" w:customStyle="1" w:styleId="68">
    <w:name w:val="普通(网站)11"/>
    <w:basedOn w:val="1"/>
    <w:qFormat/>
    <w:uiPriority w:val="0"/>
    <w:pPr>
      <w:spacing w:before="100" w:beforeAutospacing="1" w:after="100" w:afterAutospacing="1"/>
    </w:pPr>
    <w:rPr>
      <w:rFonts w:ascii="宋体" w:hAnsi="宋体" w:cs="宋体"/>
    </w:rPr>
  </w:style>
  <w:style w:type="paragraph" w:customStyle="1" w:styleId="69">
    <w:name w:val="报告书表格"/>
    <w:basedOn w:val="1"/>
    <w:qFormat/>
    <w:uiPriority w:val="0"/>
    <w:pPr>
      <w:adjustRightInd w:val="0"/>
      <w:spacing w:before="60" w:after="60" w:line="240" w:lineRule="atLeast"/>
      <w:jc w:val="center"/>
      <w:textAlignment w:val="baseline"/>
    </w:pPr>
    <w:rPr>
      <w:kern w:val="0"/>
    </w:rPr>
  </w:style>
  <w:style w:type="character" w:customStyle="1" w:styleId="70">
    <w:name w:val="批注框文本 Char"/>
    <w:link w:val="17"/>
    <w:qFormat/>
    <w:uiPriority w:val="0"/>
    <w:rPr>
      <w:kern w:val="2"/>
      <w:sz w:val="18"/>
      <w:szCs w:val="18"/>
    </w:rPr>
  </w:style>
  <w:style w:type="paragraph" w:customStyle="1" w:styleId="71">
    <w:name w:val="报告书正文段落"/>
    <w:basedOn w:val="1"/>
    <w:qFormat/>
    <w:uiPriority w:val="0"/>
    <w:pPr>
      <w:spacing w:line="520" w:lineRule="exact"/>
      <w:ind w:firstLine="200" w:firstLineChars="200"/>
      <w:jc w:val="left"/>
    </w:pPr>
    <w:rPr>
      <w:kern w:val="0"/>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3.jpeg"/><Relationship Id="rId2" Type="http://schemas.openxmlformats.org/officeDocument/2006/relationships/settings" Target="settings.xml"/><Relationship Id="rId19" Type="http://schemas.openxmlformats.org/officeDocument/2006/relationships/image" Target="media/image12.jpeg"/><Relationship Id="rId18" Type="http://schemas.openxmlformats.org/officeDocument/2006/relationships/image" Target="media/image11.jpeg"/><Relationship Id="rId17" Type="http://schemas.openxmlformats.org/officeDocument/2006/relationships/image" Target="media/image10.jpeg"/><Relationship Id="rId16" Type="http://schemas.openxmlformats.org/officeDocument/2006/relationships/image" Target="media/image9.jpeg"/><Relationship Id="rId15" Type="http://schemas.openxmlformats.org/officeDocument/2006/relationships/image" Target="media/image8.jpeg"/><Relationship Id="rId14" Type="http://schemas.openxmlformats.org/officeDocument/2006/relationships/image" Target="media/image7.jpe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1109"/>
    <customShpInfo spid="_x0000_s1092"/>
    <customShpInfo spid="_x0000_s1078"/>
    <customShpInfo spid="_x0000_s1074"/>
    <customShpInfo spid="_x0000_s1111"/>
    <customShpInfo spid="_x0000_s1090"/>
    <customShpInfo spid="_x0000_s1110"/>
    <customShpInfo spid="_x0000_s1075"/>
    <customShpInfo spid="_x0000_s1076"/>
    <customShpInfo spid="_x0000_s1077"/>
  </customShpExts>
  <extobjs>
    <extobj name="ECB019B1-382A-4266-B25C-5B523AA43C14-1">
      <extobjdata type="ECB019B1-382A-4266-B25C-5B523AA43C14" data="ewoJIkZpbGVJZCIgOiAiMTc4MTA4ODk1MTk2IiwKCSJHcm91cElkIiA6ICI0MTc4Mzk5NjciLAoJIkltYWdlIiA6ICJpVkJPUncwS0dnb0FBQUFOU1VoRVVnQUFBaXNBQUFMa0NBWUFBQURPRUhWSkFBQUFDWEJJV1hNQUFBc1RBQUFMRXdFQW1wd1lBQUFnQUVsRVFWUjRuT3pkZVZ4VTVmN0E4YzhNU3lpS0FvSkc0cEttcHRjRmNFa3JJN2NnQ1JFTnpRWDFacFlMaWxuWXZZbTUzbHlDNjRyaWdsc3VrV0t1WE5lcjVWSVNrSW1tSXU1b29oQ0xvUTR3OC91RDM1ekx5SURnRWdOODM2K1hyK2FjODV4em5wbk9uUG55bk9mNVBpQ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41208</Words>
  <Characters>49909</Characters>
  <Lines>288</Lines>
  <Paragraphs>81</Paragraphs>
  <TotalTime>0</TotalTime>
  <ScaleCrop>false</ScaleCrop>
  <LinksUpToDate>false</LinksUpToDate>
  <CharactersWithSpaces>50589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2020-07-23T00:40:00Z</dcterms:created>
  <dc:creator>Administrator.SKY-20190624CFY</dc:creator>
  <cp:lastModifiedBy>六月</cp:lastModifiedBy>
  <cp:lastPrinted>2023-04-19T07:49:37Z</cp:lastPrinted>
  <dcterms:modified xsi:type="dcterms:W3CDTF">2023-04-19T07:49:50Z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7A1B6DF1F5A749A19E8F6B429C7139C7</vt:lpwstr>
  </property>
</Properties>
</file>