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pageBreakBefore w:val="0"/>
        <w:shd w:val="clear" w:color="auto" w:fill="FFFFFF"/>
        <w:kinsoku/>
        <w:wordWrap/>
        <w:overflowPunct/>
        <w:topLinePunct w:val="0"/>
        <w:autoSpaceDE/>
        <w:autoSpaceDN/>
        <w:bidi w:val="0"/>
        <w:spacing w:before="0" w:beforeAutospacing="0" w:after="0" w:afterAutospacing="0" w:line="500" w:lineRule="exact"/>
        <w:jc w:val="center"/>
        <w:textAlignment w:val="auto"/>
        <w:rPr>
          <w:rStyle w:val="18"/>
          <w:rFonts w:hint="default" w:ascii="Times New Roman" w:hAnsi="Times New Roman" w:eastAsia="黑体" w:cs="Times New Roman"/>
          <w:b/>
          <w:bCs w:val="0"/>
          <w:sz w:val="32"/>
          <w:szCs w:val="32"/>
        </w:rPr>
      </w:pPr>
      <w:r>
        <w:rPr>
          <w:rFonts w:hint="eastAsia" w:ascii="黑体" w:hAnsi="黑体" w:eastAsia="黑体" w:cs="黑体"/>
          <w:b/>
          <w:bCs/>
          <w:color w:val="auto"/>
          <w:kern w:val="2"/>
          <w:sz w:val="32"/>
          <w:szCs w:val="32"/>
          <w:lang w:val="en-US" w:eastAsia="zh-CN"/>
        </w:rPr>
        <w:t>河南恒泰重工集团股份有限公司年产100台（套）电磁吸盘项目验收</w:t>
      </w:r>
      <w:r>
        <w:rPr>
          <w:rFonts w:hint="default" w:ascii="Times New Roman" w:hAnsi="Times New Roman" w:eastAsia="黑体" w:cs="Times New Roman"/>
          <w:b/>
          <w:bCs w:val="0"/>
          <w:sz w:val="32"/>
          <w:szCs w:val="32"/>
          <w:lang w:eastAsia="zh-CN"/>
        </w:rPr>
        <w:t>竣工环境保护验收</w:t>
      </w:r>
      <w:r>
        <w:rPr>
          <w:rStyle w:val="18"/>
          <w:rFonts w:hint="default" w:ascii="Times New Roman" w:hAnsi="Times New Roman" w:eastAsia="黑体" w:cs="Times New Roman"/>
          <w:b/>
          <w:bCs w:val="0"/>
          <w:sz w:val="32"/>
          <w:szCs w:val="32"/>
        </w:rPr>
        <w:t>意见</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20</w:t>
      </w:r>
      <w:r>
        <w:rPr>
          <w:rFonts w:hint="default" w:ascii="Times New Roman" w:hAnsi="Times New Roman" w:eastAsia="宋体" w:cs="Times New Roman"/>
          <w:b w:val="0"/>
          <w:bCs/>
          <w:color w:val="auto"/>
          <w:sz w:val="24"/>
          <w:szCs w:val="24"/>
          <w:highlight w:val="none"/>
          <w:lang w:val="en-US" w:eastAsia="zh-CN"/>
        </w:rPr>
        <w:t>22</w:t>
      </w:r>
      <w:r>
        <w:rPr>
          <w:rFonts w:hint="default" w:ascii="Times New Roman" w:hAnsi="Times New Roman" w:eastAsia="宋体" w:cs="Times New Roman"/>
          <w:b w:val="0"/>
          <w:bCs/>
          <w:color w:val="auto"/>
          <w:sz w:val="24"/>
          <w:szCs w:val="24"/>
          <w:highlight w:val="none"/>
        </w:rPr>
        <w:t>年</w:t>
      </w:r>
      <w:r>
        <w:rPr>
          <w:rFonts w:hint="default" w:ascii="Times New Roman" w:hAnsi="Times New Roman" w:eastAsia="宋体" w:cs="Times New Roman"/>
          <w:b w:val="0"/>
          <w:bCs/>
          <w:color w:val="auto"/>
          <w:sz w:val="24"/>
          <w:szCs w:val="24"/>
          <w:highlight w:val="none"/>
          <w:lang w:val="en-US" w:eastAsia="zh-CN"/>
        </w:rPr>
        <w:t>11</w:t>
      </w:r>
      <w:r>
        <w:rPr>
          <w:rFonts w:hint="default" w:ascii="Times New Roman" w:hAnsi="Times New Roman" w:eastAsia="宋体" w:cs="Times New Roman"/>
          <w:b w:val="0"/>
          <w:bCs/>
          <w:color w:val="auto"/>
          <w:sz w:val="24"/>
          <w:szCs w:val="24"/>
          <w:highlight w:val="none"/>
        </w:rPr>
        <w:t>月</w:t>
      </w:r>
      <w:r>
        <w:rPr>
          <w:rFonts w:hint="default" w:ascii="Times New Roman" w:hAnsi="Times New Roman" w:eastAsia="宋体" w:cs="Times New Roman"/>
          <w:b w:val="0"/>
          <w:bCs/>
          <w:color w:val="auto"/>
          <w:sz w:val="24"/>
          <w:szCs w:val="24"/>
          <w:highlight w:val="none"/>
          <w:lang w:val="en-US" w:eastAsia="zh-CN"/>
        </w:rPr>
        <w:t>1</w:t>
      </w:r>
      <w:r>
        <w:rPr>
          <w:rFonts w:hint="default" w:ascii="Times New Roman" w:hAnsi="Times New Roman" w:eastAsia="宋体" w:cs="Times New Roman"/>
          <w:b w:val="0"/>
          <w:bCs/>
          <w:color w:val="auto"/>
          <w:sz w:val="24"/>
          <w:szCs w:val="24"/>
          <w:highlight w:val="none"/>
        </w:rPr>
        <w:t>日，</w:t>
      </w:r>
      <w:r>
        <w:rPr>
          <w:rFonts w:hint="default" w:ascii="Times New Roman" w:hAnsi="Times New Roman" w:eastAsia="宋体" w:cs="Times New Roman"/>
          <w:b w:val="0"/>
          <w:bCs/>
          <w:color w:val="auto"/>
          <w:sz w:val="24"/>
          <w:szCs w:val="24"/>
          <w:lang w:val="en-US" w:eastAsia="zh-CN"/>
        </w:rPr>
        <w:t>河南恒泰重工集团股份有限公司年产100台（套）电磁吸盘项目</w:t>
      </w:r>
      <w:r>
        <w:rPr>
          <w:rFonts w:hint="default" w:ascii="Times New Roman" w:hAnsi="Times New Roman" w:eastAsia="宋体" w:cs="Times New Roman"/>
          <w:b w:val="0"/>
          <w:bCs/>
          <w:color w:val="auto"/>
          <w:sz w:val="24"/>
          <w:szCs w:val="24"/>
          <w:highlight w:val="none"/>
          <w:lang w:val="en-US" w:eastAsia="zh-CN"/>
        </w:rPr>
        <w:t>竣工环境保护验收</w:t>
      </w:r>
      <w:r>
        <w:rPr>
          <w:rFonts w:hint="default" w:ascii="Times New Roman" w:hAnsi="Times New Roman" w:eastAsia="宋体" w:cs="Times New Roman"/>
          <w:b w:val="0"/>
          <w:bCs/>
          <w:color w:val="auto"/>
          <w:sz w:val="24"/>
          <w:szCs w:val="24"/>
          <w:highlight w:val="none"/>
          <w:lang w:eastAsia="zh-CN"/>
        </w:rPr>
        <w:t>评审会在长垣市召开。验收专家组通过审阅</w:t>
      </w:r>
      <w:r>
        <w:rPr>
          <w:rFonts w:hint="default" w:ascii="Times New Roman" w:hAnsi="Times New Roman" w:eastAsia="宋体" w:cs="Times New Roman"/>
          <w:b w:val="0"/>
          <w:bCs/>
          <w:color w:val="auto"/>
          <w:sz w:val="24"/>
          <w:szCs w:val="24"/>
          <w:highlight w:val="none"/>
          <w:lang w:val="en-US" w:eastAsia="zh-CN"/>
        </w:rPr>
        <w:t>本项目</w:t>
      </w:r>
      <w:r>
        <w:rPr>
          <w:rFonts w:hint="default" w:ascii="Times New Roman" w:hAnsi="Times New Roman" w:eastAsia="宋体" w:cs="Times New Roman"/>
          <w:b w:val="0"/>
          <w:bCs/>
          <w:color w:val="auto"/>
          <w:sz w:val="24"/>
          <w:szCs w:val="24"/>
          <w:highlight w:val="none"/>
        </w:rPr>
        <w:t>竣工环境保护</w:t>
      </w:r>
      <w:r>
        <w:rPr>
          <w:rFonts w:hint="default" w:ascii="Times New Roman" w:hAnsi="Times New Roman" w:eastAsia="宋体" w:cs="Times New Roman"/>
          <w:b w:val="0"/>
          <w:bCs/>
          <w:color w:val="auto"/>
          <w:sz w:val="24"/>
          <w:szCs w:val="24"/>
          <w:highlight w:val="none"/>
          <w:lang w:eastAsia="zh-CN"/>
        </w:rPr>
        <w:t>验收</w:t>
      </w:r>
      <w:r>
        <w:rPr>
          <w:rFonts w:hint="default" w:ascii="Times New Roman" w:hAnsi="Times New Roman" w:eastAsia="宋体" w:cs="Times New Roman"/>
          <w:b w:val="0"/>
          <w:bCs/>
          <w:color w:val="auto"/>
          <w:sz w:val="24"/>
          <w:szCs w:val="24"/>
          <w:highlight w:val="none"/>
        </w:rPr>
        <w:t>监测报告并对照《建设项目竣工环境保护验收暂行办法》，严格依照国家有关法律法规、建设项目竣工环境保护验收技术规范、本项目环境影响评价报告</w:t>
      </w:r>
      <w:r>
        <w:rPr>
          <w:rFonts w:hint="default" w:ascii="Times New Roman" w:hAnsi="Times New Roman" w:eastAsia="宋体" w:cs="Times New Roman"/>
          <w:b w:val="0"/>
          <w:bCs/>
          <w:color w:val="auto"/>
          <w:sz w:val="24"/>
          <w:szCs w:val="24"/>
          <w:highlight w:val="none"/>
          <w:lang w:eastAsia="zh-CN"/>
        </w:rPr>
        <w:t>表</w:t>
      </w:r>
      <w:r>
        <w:rPr>
          <w:rFonts w:hint="default" w:ascii="Times New Roman" w:hAnsi="Times New Roman" w:eastAsia="宋体" w:cs="Times New Roman"/>
          <w:b w:val="0"/>
          <w:bCs/>
          <w:color w:val="auto"/>
          <w:sz w:val="24"/>
          <w:szCs w:val="24"/>
          <w:highlight w:val="none"/>
        </w:rPr>
        <w:t>和审批部门审批决定等要求对本项目进行验收，提出意见如下：</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jc w:val="both"/>
        <w:textAlignment w:val="auto"/>
        <w:rPr>
          <w:rFonts w:hint="default" w:ascii="Times New Roman" w:hAnsi="Times New Roman" w:eastAsia="宋体" w:cs="Times New Roman"/>
          <w:b w:val="0"/>
          <w:bCs/>
          <w:color w:val="auto"/>
          <w:sz w:val="24"/>
          <w:szCs w:val="24"/>
        </w:rPr>
      </w:pPr>
      <w:r>
        <w:rPr>
          <w:rStyle w:val="18"/>
          <w:rFonts w:hint="default" w:ascii="Times New Roman" w:hAnsi="Times New Roman" w:eastAsia="宋体" w:cs="Times New Roman"/>
          <w:b w:val="0"/>
          <w:bCs/>
          <w:color w:val="auto"/>
          <w:sz w:val="24"/>
          <w:szCs w:val="24"/>
        </w:rPr>
        <w:t>一、工程建设基本情况</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（一）建设地点、规模、主要建设内容</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000000"/>
          <w:sz w:val="24"/>
          <w:szCs w:val="24"/>
          <w:lang w:eastAsia="zh-CN"/>
        </w:rPr>
        <w:t>河南恒泰重工集团股份有限公司</w:t>
      </w:r>
      <w:r>
        <w:rPr>
          <w:rFonts w:hint="default" w:ascii="Times New Roman" w:hAnsi="Times New Roman" w:eastAsia="宋体" w:cs="Times New Roman"/>
          <w:b w:val="0"/>
          <w:bCs/>
          <w:color w:val="000000"/>
          <w:sz w:val="24"/>
          <w:szCs w:val="24"/>
        </w:rPr>
        <w:t>在</w:t>
      </w:r>
      <w:r>
        <w:rPr>
          <w:rFonts w:hint="default" w:ascii="Times New Roman" w:hAnsi="Times New Roman" w:eastAsia="宋体" w:cs="Times New Roman"/>
          <w:b w:val="0"/>
          <w:bCs/>
          <w:color w:val="auto"/>
          <w:sz w:val="24"/>
          <w:szCs w:val="24"/>
          <w:lang w:eastAsia="zh-CN"/>
        </w:rPr>
        <w:t>长垣市南蒲纬二路南侧至木掀店村路东侧</w:t>
      </w:r>
      <w:r>
        <w:rPr>
          <w:rFonts w:hint="default" w:ascii="Times New Roman" w:hAnsi="Times New Roman" w:eastAsia="宋体" w:cs="Times New Roman"/>
          <w:b w:val="0"/>
          <w:bCs/>
          <w:color w:val="auto"/>
          <w:sz w:val="24"/>
          <w:szCs w:val="24"/>
          <w:lang w:val="en-US" w:eastAsia="zh-CN"/>
        </w:rPr>
        <w:t>建设年产100台（套）电磁吸盘项目，共占地100m</w:t>
      </w:r>
      <w:r>
        <w:rPr>
          <w:rFonts w:hint="default" w:ascii="Times New Roman" w:hAnsi="Times New Roman" w:eastAsia="宋体" w:cs="Times New Roman"/>
          <w:b w:val="0"/>
          <w:bCs/>
          <w:color w:val="auto"/>
          <w:sz w:val="24"/>
          <w:szCs w:val="24"/>
          <w:vertAlign w:val="superscript"/>
          <w:lang w:val="en-US" w:eastAsia="zh-CN"/>
        </w:rPr>
        <w:t>2</w:t>
      </w:r>
      <w:r>
        <w:rPr>
          <w:rFonts w:hint="default" w:ascii="Times New Roman" w:hAnsi="Times New Roman" w:eastAsia="宋体" w:cs="Times New Roman"/>
          <w:b w:val="0"/>
          <w:bCs/>
          <w:color w:val="auto"/>
          <w:sz w:val="24"/>
          <w:szCs w:val="24"/>
          <w:lang w:val="en-US" w:eastAsia="zh-CN"/>
        </w:rPr>
        <w:t>。项目总投资100万元</w:t>
      </w:r>
      <w:r>
        <w:rPr>
          <w:rFonts w:hint="default" w:ascii="Times New Roman" w:hAnsi="Times New Roman" w:eastAsia="宋体" w:cs="Times New Roman"/>
          <w:b w:val="0"/>
          <w:bCs/>
          <w:color w:val="auto"/>
          <w:sz w:val="24"/>
          <w:szCs w:val="24"/>
          <w:highlight w:val="none"/>
          <w:lang w:val="en-US" w:eastAsia="zh-CN"/>
        </w:rPr>
        <w:t xml:space="preserve">，其中环保投资30万元。      </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（二）建设过程及环保审批情况</w:t>
      </w:r>
    </w:p>
    <w:p>
      <w:pPr>
        <w:pageBreakBefore w:val="0"/>
        <w:kinsoku/>
        <w:wordWrap/>
        <w:overflowPunct/>
        <w:topLinePunct w:val="0"/>
        <w:autoSpaceDE/>
        <w:autoSpaceDN/>
        <w:bidi w:val="0"/>
        <w:spacing w:after="0" w:line="500" w:lineRule="exact"/>
        <w:ind w:firstLine="480" w:firstLineChars="200"/>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项目由来：</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lang w:val="en-US" w:eastAsia="zh-CN"/>
        </w:rPr>
        <w:t>河南恒泰重工集团股份有限公司年产100台（套）电磁吸盘项目</w:t>
      </w:r>
      <w:r>
        <w:rPr>
          <w:rFonts w:hint="default" w:ascii="Times New Roman" w:hAnsi="Times New Roman" w:eastAsia="宋体" w:cs="Times New Roman"/>
          <w:b w:val="0"/>
          <w:bCs/>
          <w:color w:val="auto"/>
          <w:sz w:val="24"/>
          <w:szCs w:val="24"/>
          <w:highlight w:val="none"/>
        </w:rPr>
        <w:t>环境影响报告表</w:t>
      </w:r>
      <w:r>
        <w:rPr>
          <w:rFonts w:hint="default" w:ascii="Times New Roman" w:hAnsi="Times New Roman" w:eastAsia="宋体" w:cs="Times New Roman"/>
          <w:b w:val="0"/>
          <w:bCs/>
          <w:color w:val="auto"/>
          <w:sz w:val="24"/>
          <w:szCs w:val="24"/>
          <w:highlight w:val="none"/>
          <w:lang w:val="en-US" w:eastAsia="zh-CN"/>
        </w:rPr>
        <w:t>》由</w:t>
      </w:r>
      <w:r>
        <w:rPr>
          <w:rFonts w:hint="default" w:ascii="Times New Roman" w:hAnsi="Times New Roman" w:eastAsia="宋体" w:cs="Times New Roman"/>
          <w:b w:val="0"/>
          <w:bCs/>
          <w:i w:val="0"/>
          <w:iCs w:val="0"/>
          <w:color w:val="000000" w:themeColor="text1"/>
          <w:sz w:val="24"/>
          <w:szCs w:val="24"/>
          <w:highlight w:val="none"/>
          <w:lang w:val="en-US" w:eastAsia="zh-CN"/>
          <w14:textFill>
            <w14:solidFill>
              <w14:schemeClr w14:val="tx1"/>
            </w14:solidFill>
          </w14:textFill>
        </w:rPr>
        <w:t>深圳市墨染生态环境有限公司编制完成了</w:t>
      </w:r>
      <w:r>
        <w:rPr>
          <w:rFonts w:hint="default" w:ascii="Times New Roman" w:hAnsi="Times New Roman" w:eastAsia="宋体" w:cs="Times New Roman"/>
          <w:b w:val="0"/>
          <w:bCs/>
          <w:color w:val="auto"/>
          <w:sz w:val="24"/>
          <w:szCs w:val="24"/>
          <w:lang w:eastAsia="zh-CN"/>
        </w:rPr>
        <w:t>年产100台（套）电磁吸盘项目</w:t>
      </w:r>
      <w:r>
        <w:rPr>
          <w:rFonts w:hint="default" w:ascii="Times New Roman" w:hAnsi="Times New Roman" w:eastAsia="宋体" w:cs="Times New Roman"/>
          <w:b w:val="0"/>
          <w:bCs/>
          <w:i w:val="0"/>
          <w:iCs w:val="0"/>
          <w:color w:val="000000" w:themeColor="text1"/>
          <w:sz w:val="24"/>
          <w:szCs w:val="24"/>
          <w:highlight w:val="none"/>
          <w:lang w:val="en-US" w:eastAsia="zh-CN"/>
          <w14:textFill>
            <w14:solidFill>
              <w14:schemeClr w14:val="tx1"/>
            </w14:solidFill>
          </w14:textFill>
        </w:rPr>
        <w:t>的环境影响报告表，2022年4月19日，获得新乡市生态环境局长垣分局批复（长环审（2022年）26号）</w:t>
      </w:r>
      <w:r>
        <w:rPr>
          <w:rFonts w:hint="default" w:ascii="Times New Roman" w:hAnsi="Times New Roman" w:eastAsia="宋体" w:cs="Times New Roman"/>
          <w:b w:val="0"/>
          <w:bCs/>
          <w:color w:val="auto"/>
          <w:sz w:val="24"/>
          <w:szCs w:val="24"/>
          <w:lang w:val="en-US" w:eastAsia="zh-CN"/>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本项目于</w:t>
      </w:r>
      <w:r>
        <w:rPr>
          <w:rFonts w:hint="default" w:ascii="Times New Roman" w:hAnsi="Times New Roman" w:eastAsia="宋体" w:cs="Times New Roman"/>
          <w:b w:val="0"/>
          <w:bCs/>
          <w:color w:val="auto"/>
          <w:sz w:val="24"/>
          <w:szCs w:val="24"/>
          <w:lang w:val="en-US" w:eastAsia="zh-CN"/>
        </w:rPr>
        <w:t>2022年6月</w:t>
      </w:r>
      <w:r>
        <w:rPr>
          <w:rFonts w:hint="default" w:ascii="Times New Roman" w:hAnsi="Times New Roman" w:eastAsia="宋体" w:cs="Times New Roman"/>
          <w:b w:val="0"/>
          <w:bCs/>
          <w:color w:val="auto"/>
          <w:sz w:val="24"/>
          <w:szCs w:val="24"/>
          <w:highlight w:val="none"/>
          <w:lang w:val="en-US" w:eastAsia="zh-CN"/>
        </w:rPr>
        <w:t>开工建设，</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2022年9月</w:t>
      </w:r>
      <w:r>
        <w:rPr>
          <w:rFonts w:hint="default" w:ascii="Times New Roman" w:hAnsi="Times New Roman" w:eastAsia="宋体" w:cs="Times New Roman"/>
          <w:b w:val="0"/>
          <w:bCs/>
          <w:color w:val="auto"/>
          <w:sz w:val="24"/>
          <w:szCs w:val="24"/>
          <w:highlight w:val="none"/>
          <w:lang w:val="en-US" w:eastAsia="zh-CN"/>
        </w:rPr>
        <w:t>竣工。</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（三）投资情况</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lang w:eastAsia="zh-CN"/>
        </w:rPr>
        <w:t>总投资</w:t>
      </w:r>
      <w:r>
        <w:rPr>
          <w:rFonts w:hint="default" w:ascii="Times New Roman" w:hAnsi="Times New Roman" w:eastAsia="宋体" w:cs="Times New Roman"/>
          <w:b w:val="0"/>
          <w:bCs/>
          <w:color w:val="auto"/>
          <w:sz w:val="24"/>
          <w:szCs w:val="24"/>
          <w:highlight w:val="none"/>
          <w:lang w:val="en-US" w:eastAsia="zh-CN"/>
        </w:rPr>
        <w:t>100万元，其中环保投资30万元</w:t>
      </w:r>
      <w:r>
        <w:rPr>
          <w:rFonts w:hint="default" w:ascii="Times New Roman" w:hAnsi="Times New Roman" w:eastAsia="宋体" w:cs="Times New Roman"/>
          <w:b w:val="0"/>
          <w:bCs/>
          <w:color w:val="auto"/>
          <w:sz w:val="24"/>
          <w:szCs w:val="24"/>
          <w:highlight w:val="none"/>
        </w:rPr>
        <w:t>，占比为</w:t>
      </w:r>
      <w:r>
        <w:rPr>
          <w:rFonts w:hint="default" w:ascii="Times New Roman" w:hAnsi="Times New Roman" w:eastAsia="宋体" w:cs="Times New Roman"/>
          <w:b w:val="0"/>
          <w:bCs/>
          <w:color w:val="auto"/>
          <w:sz w:val="24"/>
          <w:szCs w:val="24"/>
          <w:highlight w:val="none"/>
          <w:lang w:val="en-US" w:eastAsia="zh-CN"/>
        </w:rPr>
        <w:t>30</w:t>
      </w:r>
      <w:r>
        <w:rPr>
          <w:rFonts w:hint="default" w:ascii="Times New Roman" w:hAnsi="Times New Roman" w:eastAsia="宋体" w:cs="Times New Roman"/>
          <w:b w:val="0"/>
          <w:bCs/>
          <w:color w:val="auto"/>
          <w:sz w:val="24"/>
          <w:szCs w:val="24"/>
          <w:highlight w:val="none"/>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（四）验收范围</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本次验收范围为</w:t>
      </w:r>
      <w:r>
        <w:rPr>
          <w:rFonts w:hint="default" w:ascii="Times New Roman" w:hAnsi="Times New Roman" w:eastAsia="宋体" w:cs="Times New Roman"/>
          <w:b w:val="0"/>
          <w:bCs/>
          <w:color w:val="auto"/>
          <w:sz w:val="24"/>
          <w:szCs w:val="24"/>
          <w:lang w:val="en-US" w:eastAsia="zh-CN"/>
        </w:rPr>
        <w:t>河南恒泰重工集团股份有限公司年产100台（套）电磁吸盘项目</w:t>
      </w:r>
      <w:r>
        <w:rPr>
          <w:rFonts w:hint="default" w:ascii="Times New Roman" w:hAnsi="Times New Roman" w:eastAsia="宋体" w:cs="Times New Roman"/>
          <w:b w:val="0"/>
          <w:bCs/>
          <w:color w:val="auto"/>
          <w:sz w:val="24"/>
          <w:szCs w:val="24"/>
          <w:highlight w:val="none"/>
          <w:lang w:eastAsia="zh-CN"/>
        </w:rPr>
        <w:t>的主体工程、配套设施、辅助设施、环保设施的建设、运行及环保要求落实情况</w:t>
      </w:r>
      <w:r>
        <w:rPr>
          <w:rFonts w:hint="default" w:ascii="Times New Roman" w:hAnsi="Times New Roman" w:eastAsia="宋体" w:cs="Times New Roman"/>
          <w:b w:val="0"/>
          <w:bCs/>
          <w:color w:val="auto"/>
          <w:sz w:val="24"/>
          <w:szCs w:val="24"/>
          <w:highlight w:val="none"/>
          <w:lang w:val="en-US" w:eastAsia="zh-CN"/>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textAlignment w:val="auto"/>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二、工程变更情况</w:t>
      </w:r>
    </w:p>
    <w:p>
      <w:pPr>
        <w:keepNext w:val="0"/>
        <w:keepLines w:val="0"/>
        <w:pageBreakBefore w:val="0"/>
        <w:widowControl/>
        <w:kinsoku/>
        <w:wordWrap/>
        <w:overflowPunct/>
        <w:topLinePunct w:val="0"/>
        <w:autoSpaceDE/>
        <w:autoSpaceDN/>
        <w:bidi w:val="0"/>
        <w:adjustRightInd w:val="0"/>
        <w:snapToGrid w:val="0"/>
        <w:spacing w:after="0" w:afterLines="0" w:line="500" w:lineRule="exact"/>
        <w:ind w:firstLine="480" w:firstLineChars="200"/>
        <w:jc w:val="both"/>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color w:val="auto"/>
          <w:sz w:val="24"/>
          <w:szCs w:val="24"/>
          <w:lang w:val="en-US" w:eastAsia="zh-CN"/>
        </w:rPr>
        <w:t>对照</w:t>
      </w:r>
      <w:r>
        <w:rPr>
          <w:rFonts w:hint="default"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color w:val="auto"/>
          <w:sz w:val="24"/>
          <w:szCs w:val="24"/>
          <w:lang w:val="en-US" w:eastAsia="zh-CN"/>
        </w:rPr>
        <w:t>河南恒泰重工集团股份有限公司年产100台（套）电磁吸盘项目</w:t>
      </w:r>
      <w:r>
        <w:rPr>
          <w:rFonts w:hint="default" w:ascii="Times New Roman" w:hAnsi="Times New Roman" w:eastAsia="宋体" w:cs="Times New Roman"/>
          <w:b w:val="0"/>
          <w:bCs/>
          <w:sz w:val="24"/>
          <w:szCs w:val="24"/>
          <w:lang w:val="en-US" w:eastAsia="zh-CN"/>
        </w:rPr>
        <w:t>环境影响报告表》及新乡市生态环境局长垣分局关于《</w:t>
      </w:r>
      <w:r>
        <w:rPr>
          <w:rFonts w:hint="default" w:ascii="Times New Roman" w:hAnsi="Times New Roman" w:eastAsia="宋体" w:cs="Times New Roman"/>
          <w:b w:val="0"/>
          <w:bCs/>
          <w:color w:val="auto"/>
          <w:sz w:val="24"/>
          <w:szCs w:val="24"/>
          <w:lang w:val="en-US" w:eastAsia="zh-CN"/>
        </w:rPr>
        <w:t>河南恒泰重工集团股份有限公司年产100台（套）电磁吸盘项目</w:t>
      </w:r>
      <w:r>
        <w:rPr>
          <w:rFonts w:hint="default" w:ascii="Times New Roman" w:hAnsi="Times New Roman" w:eastAsia="宋体" w:cs="Times New Roman"/>
          <w:b w:val="0"/>
          <w:bCs/>
          <w:sz w:val="24"/>
          <w:szCs w:val="24"/>
          <w:lang w:val="en-US" w:eastAsia="zh-CN"/>
        </w:rPr>
        <w:t>环境影响报告表》的批复。</w:t>
      </w:r>
    </w:p>
    <w:p>
      <w:pPr>
        <w:keepNext w:val="0"/>
        <w:keepLines w:val="0"/>
        <w:pageBreakBefore w:val="0"/>
        <w:widowControl/>
        <w:kinsoku/>
        <w:wordWrap/>
        <w:overflowPunct/>
        <w:topLinePunct w:val="0"/>
        <w:autoSpaceDE/>
        <w:autoSpaceDN/>
        <w:bidi w:val="0"/>
        <w:adjustRightInd w:val="0"/>
        <w:snapToGrid w:val="0"/>
        <w:spacing w:after="0" w:afterLines="0" w:line="500" w:lineRule="exact"/>
        <w:ind w:firstLine="480" w:firstLineChars="200"/>
        <w:jc w:val="both"/>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项目在实际建设中与环评相比，变动如下：</w:t>
      </w:r>
    </w:p>
    <w:p>
      <w:pPr>
        <w:pStyle w:val="2"/>
        <w:keepNext/>
        <w:keepLines/>
        <w:pageBreakBefore w:val="0"/>
        <w:widowControl/>
        <w:kinsoku/>
        <w:wordWrap/>
        <w:overflowPunct/>
        <w:topLinePunct w:val="0"/>
        <w:autoSpaceDE/>
        <w:autoSpaceDN/>
        <w:bidi w:val="0"/>
        <w:adjustRightInd w:val="0"/>
        <w:snapToGrid w:val="0"/>
        <w:spacing w:before="0" w:beforeLines="0" w:after="0" w:afterLines="0"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环保设施：本项目在实际建设中切割、焊接、打磨共用一套除尘器处理；滑石粉投料位于密闭房间内，废气经收集后采用袋式除尘器处理与刷绝缘漆及烘干过程产生的废气经收集后采用活性炭吸附+脱附催化燃烧处理后共用1根15m高排气筒排放；此次变动优于环评设计，不属于重大变动。</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color w:val="auto"/>
          <w:sz w:val="24"/>
          <w:szCs w:val="24"/>
          <w:lang w:val="en-US" w:eastAsia="zh-CN"/>
        </w:rPr>
        <w:t>满足《关于印发环评管理中部分行业建设项目重大变动清单的通知》（环境保护部办公厅文件，环办[2015]52号）、《环境影响评价法》及《建设项目环境保护管理条例》有关规定，可纳入竣工环境保护验收管理</w:t>
      </w:r>
      <w:r>
        <w:rPr>
          <w:rFonts w:hint="default" w:ascii="Times New Roman" w:hAnsi="Times New Roman" w:eastAsia="宋体" w:cs="Times New Roman"/>
          <w:b w:val="0"/>
          <w:bCs/>
          <w:sz w:val="24"/>
          <w:szCs w:val="24"/>
          <w:lang w:val="en-US" w:eastAsia="zh-CN"/>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textAlignment w:val="auto"/>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三、环境保护设施建设情况</w:t>
      </w:r>
    </w:p>
    <w:p>
      <w:pPr>
        <w:pageBreakBefore w:val="0"/>
        <w:kinsoku/>
        <w:wordWrap/>
        <w:overflowPunct/>
        <w:topLinePunct w:val="0"/>
        <w:autoSpaceDE/>
        <w:autoSpaceDN/>
        <w:bidi w:val="0"/>
        <w:spacing w:after="0" w:line="500" w:lineRule="exact"/>
        <w:ind w:firstLine="480" w:firstLineChars="200"/>
        <w:textAlignment w:val="auto"/>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项目由来：</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lang w:val="en-US" w:eastAsia="zh-CN"/>
        </w:rPr>
        <w:t>河南恒泰重工集团股份有限公司年产100台（套）电磁吸盘项目</w:t>
      </w:r>
      <w:r>
        <w:rPr>
          <w:rFonts w:hint="default" w:ascii="Times New Roman" w:hAnsi="Times New Roman" w:eastAsia="宋体" w:cs="Times New Roman"/>
          <w:b w:val="0"/>
          <w:bCs/>
          <w:color w:val="auto"/>
          <w:sz w:val="24"/>
          <w:szCs w:val="24"/>
          <w:highlight w:val="none"/>
        </w:rPr>
        <w:t>环境影响报告表</w:t>
      </w:r>
      <w:r>
        <w:rPr>
          <w:rFonts w:hint="default" w:ascii="Times New Roman" w:hAnsi="Times New Roman" w:eastAsia="宋体" w:cs="Times New Roman"/>
          <w:b w:val="0"/>
          <w:bCs/>
          <w:color w:val="auto"/>
          <w:sz w:val="24"/>
          <w:szCs w:val="24"/>
          <w:highlight w:val="none"/>
          <w:lang w:val="en-US" w:eastAsia="zh-CN"/>
        </w:rPr>
        <w:t>》由</w:t>
      </w:r>
      <w:r>
        <w:rPr>
          <w:rFonts w:hint="default" w:ascii="Times New Roman" w:hAnsi="Times New Roman" w:eastAsia="宋体" w:cs="Times New Roman"/>
          <w:b w:val="0"/>
          <w:bCs/>
          <w:i w:val="0"/>
          <w:iCs w:val="0"/>
          <w:color w:val="000000" w:themeColor="text1"/>
          <w:sz w:val="24"/>
          <w:szCs w:val="24"/>
          <w:highlight w:val="none"/>
          <w:lang w:val="en-US" w:eastAsia="zh-CN"/>
          <w14:textFill>
            <w14:solidFill>
              <w14:schemeClr w14:val="tx1"/>
            </w14:solidFill>
          </w14:textFill>
        </w:rPr>
        <w:t>深圳市墨染生态环境有限公司编制完成了</w:t>
      </w:r>
      <w:r>
        <w:rPr>
          <w:rFonts w:hint="default" w:ascii="Times New Roman" w:hAnsi="Times New Roman" w:eastAsia="宋体" w:cs="Times New Roman"/>
          <w:b w:val="0"/>
          <w:bCs/>
          <w:color w:val="auto"/>
          <w:sz w:val="24"/>
          <w:szCs w:val="24"/>
          <w:lang w:eastAsia="zh-CN"/>
        </w:rPr>
        <w:t>年产100台（套）电磁吸盘项目</w:t>
      </w:r>
      <w:r>
        <w:rPr>
          <w:rFonts w:hint="default" w:ascii="Times New Roman" w:hAnsi="Times New Roman" w:eastAsia="宋体" w:cs="Times New Roman"/>
          <w:b w:val="0"/>
          <w:bCs/>
          <w:i w:val="0"/>
          <w:iCs w:val="0"/>
          <w:color w:val="000000" w:themeColor="text1"/>
          <w:sz w:val="24"/>
          <w:szCs w:val="24"/>
          <w:highlight w:val="none"/>
          <w:lang w:val="en-US" w:eastAsia="zh-CN"/>
          <w14:textFill>
            <w14:solidFill>
              <w14:schemeClr w14:val="tx1"/>
            </w14:solidFill>
          </w14:textFill>
        </w:rPr>
        <w:t>的环境影响报告表，2022年4月19日，获得新乡市生态环境局长垣分局批复（长环审（2022年）26号）</w:t>
      </w:r>
      <w:r>
        <w:rPr>
          <w:rFonts w:hint="default" w:ascii="Times New Roman" w:hAnsi="Times New Roman" w:eastAsia="宋体" w:cs="Times New Roman"/>
          <w:b w:val="0"/>
          <w:bCs/>
          <w:color w:val="auto"/>
          <w:sz w:val="24"/>
          <w:szCs w:val="24"/>
          <w:lang w:val="en-US" w:eastAsia="zh-CN"/>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1</w:t>
      </w:r>
      <w:r>
        <w:rPr>
          <w:rFonts w:hint="default" w:ascii="Times New Roman" w:hAnsi="Times New Roman" w:eastAsia="宋体" w:cs="Times New Roman"/>
          <w:b w:val="0"/>
          <w:bCs/>
          <w:color w:val="auto"/>
          <w:sz w:val="24"/>
          <w:szCs w:val="24"/>
          <w:highlight w:val="none"/>
          <w:lang w:eastAsia="zh-CN"/>
        </w:rPr>
        <w:t>）废水</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u w:val="none"/>
          <w:lang w:val="en-US" w:eastAsia="zh-CN"/>
        </w:rPr>
        <w:t>本项目员工从现有工程调剂，不新增职工，不新增生活污水排放</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keepNext w:val="0"/>
        <w:keepLines w:val="0"/>
        <w:pageBreakBefore w:val="0"/>
        <w:widowControl/>
        <w:numPr>
          <w:ilvl w:val="0"/>
          <w:numId w:val="1"/>
        </w:numPr>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废气</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本项目营运期切割、焊接、打磨过程产生的颗粒物经集气装置收集后通过袋式除尘器处理后由1根15m高排气筒（P1）排放；滑石粉投料搅拌过程产生的颗粒物经集气装置收集后通过袋式除尘器处理后由1根15m高排气筒（P2）排放；投料搅拌、刷漆烘干过程产生的颗粒物、非甲烷总烃（含二甲苯）经集气装置收集后通过活性炭吸附+脱附催化燃烧装置处理后由1根15m高排气筒（与滑石粉投料搅拌共用一根排气筒）排放；表面处理产生的颗粒物、非甲烷总烃经干式过滤棉+活性炭吸附+脱附催化燃烧装置处理后由1根15m高排气筒（P3）排放，可满足</w:t>
      </w:r>
      <w:r>
        <w:rPr>
          <w:rFonts w:hint="default" w:ascii="Times New Roman" w:hAnsi="Times New Roman" w:eastAsia="宋体" w:cs="Times New Roman"/>
          <w:b w:val="0"/>
          <w:bCs/>
          <w:color w:val="000000" w:themeColor="text1"/>
          <w:sz w:val="24"/>
          <w:szCs w:val="24"/>
          <w:u w:val="none"/>
          <w14:textFill>
            <w14:solidFill>
              <w14:schemeClr w14:val="tx1"/>
            </w14:solidFill>
          </w14:textFill>
        </w:rPr>
        <w:t>《新乡市生态环境局关于进一步规范工业企业颗粒物排放限值的通知》</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、《工业涂装工序挥发性有机物排放标准》（DB41/95-2020）、《大气污染物综合排放标准》（</w:t>
      </w:r>
      <w:r>
        <w:rPr>
          <w:rFonts w:hint="default" w:ascii="Times New Roman" w:hAnsi="Times New Roman" w:eastAsia="宋体" w:cs="Times New Roman"/>
          <w:b w:val="0"/>
          <w:bCs/>
          <w:color w:val="000000" w:themeColor="text1"/>
          <w:sz w:val="24"/>
          <w:szCs w:val="24"/>
          <w:u w:val="none"/>
          <w:lang w:val="en-US" w:eastAsia="zh-CN"/>
          <w14:textFill>
            <w14:solidFill>
              <w14:schemeClr w14:val="tx1"/>
            </w14:solidFill>
          </w14:textFill>
        </w:rPr>
        <w:t>GB16297-1996</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）、《关于全省开展工业企业挥发性有机物专项治理工作中排放建议值的通知》（豫环攻坚办〔2017〕162号）</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3</w:t>
      </w:r>
      <w:r>
        <w:rPr>
          <w:rFonts w:hint="default" w:ascii="Times New Roman" w:hAnsi="Times New Roman" w:eastAsia="宋体" w:cs="Times New Roman"/>
          <w:b w:val="0"/>
          <w:bCs/>
          <w:color w:val="auto"/>
          <w:sz w:val="24"/>
          <w:szCs w:val="24"/>
          <w:highlight w:val="none"/>
          <w:lang w:eastAsia="zh-CN"/>
        </w:rPr>
        <w:t>）噪声</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14:textFill>
            <w14:solidFill>
              <w14:schemeClr w14:val="tx1"/>
            </w14:solidFill>
          </w14:textFill>
        </w:rPr>
      </w:pPr>
      <w:r>
        <w:rPr>
          <w:rFonts w:hint="default" w:ascii="Times New Roman" w:hAnsi="Times New Roman" w:eastAsia="宋体" w:cs="Times New Roman"/>
          <w:b w:val="0"/>
          <w:bCs/>
          <w:sz w:val="24"/>
          <w:szCs w:val="24"/>
        </w:rPr>
        <w:t>本项目营运期产生的噪声主要为</w:t>
      </w:r>
      <w:r>
        <w:rPr>
          <w:rFonts w:hint="default" w:ascii="Times New Roman" w:hAnsi="Times New Roman" w:eastAsia="宋体" w:cs="Times New Roman"/>
          <w:b w:val="0"/>
          <w:bCs/>
          <w:sz w:val="24"/>
          <w:szCs w:val="24"/>
          <w:lang w:val="en-US" w:eastAsia="zh-CN"/>
        </w:rPr>
        <w:t>数控切割机、压力机</w:t>
      </w:r>
      <w:r>
        <w:rPr>
          <w:rFonts w:hint="default" w:ascii="Times New Roman" w:hAnsi="Times New Roman" w:eastAsia="宋体" w:cs="Times New Roman"/>
          <w:b w:val="0"/>
          <w:bCs/>
          <w:sz w:val="24"/>
          <w:szCs w:val="24"/>
        </w:rPr>
        <w:t>等</w:t>
      </w:r>
      <w:r>
        <w:rPr>
          <w:rFonts w:hint="default" w:ascii="Times New Roman" w:hAnsi="Times New Roman" w:eastAsia="宋体" w:cs="Times New Roman"/>
          <w:b w:val="0"/>
          <w:bCs/>
          <w:sz w:val="24"/>
          <w:szCs w:val="24"/>
          <w:lang w:val="en-US" w:eastAsia="zh-CN"/>
        </w:rPr>
        <w:t>设备</w:t>
      </w:r>
      <w:r>
        <w:rPr>
          <w:rFonts w:hint="default" w:ascii="Times New Roman" w:hAnsi="Times New Roman" w:eastAsia="宋体" w:cs="Times New Roman"/>
          <w:b w:val="0"/>
          <w:bCs/>
          <w:sz w:val="24"/>
          <w:szCs w:val="24"/>
        </w:rPr>
        <w:t>运行过程中产生的噪声</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b w:val="0"/>
          <w:bCs/>
          <w:sz w:val="24"/>
          <w:szCs w:val="24"/>
        </w:rPr>
        <w:t>通过设备隔声、厂房密闭、距离衰减</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等措施，经预测可知，厂界噪声贡献值均满足《工业企业厂界环境噪声排放标准》（GB12348-2008）中2类标准要求</w:t>
      </w:r>
      <w:r>
        <w:rPr>
          <w:rFonts w:hint="default" w:ascii="Times New Roman" w:hAnsi="Times New Roman" w:eastAsia="宋体" w:cs="Times New Roman"/>
          <w:b w:val="0"/>
          <w:bCs/>
          <w:color w:val="000000" w:themeColor="text1"/>
          <w:kern w:val="2"/>
          <w:sz w:val="24"/>
          <w:szCs w:val="24"/>
          <w:lang w:val="en-US" w:eastAsia="zh-CN" w:bidi="ar-SA"/>
          <w14:textFill>
            <w14:solidFill>
              <w14:schemeClr w14:val="tx1"/>
            </w14:solidFill>
          </w14:textFill>
        </w:rPr>
        <w:t>。</w:t>
      </w:r>
    </w:p>
    <w:p>
      <w:pPr>
        <w:pStyle w:val="1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Lines="0" w:beforeAutospacing="0" w:after="0" w:afterAutospacing="0" w:line="500" w:lineRule="exact"/>
        <w:ind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（4）固废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color w:val="000000"/>
          <w:sz w:val="24"/>
          <w:szCs w:val="24"/>
        </w:rPr>
        <w:t>本项目营运期产生的固体废物为</w:t>
      </w:r>
      <w:r>
        <w:rPr>
          <w:rFonts w:hint="default" w:ascii="Times New Roman" w:hAnsi="Times New Roman" w:eastAsia="宋体" w:cs="Times New Roman"/>
          <w:b w:val="0"/>
          <w:bCs/>
          <w:color w:val="000000"/>
          <w:sz w:val="24"/>
          <w:szCs w:val="24"/>
          <w:lang w:val="en-US" w:eastAsia="zh-CN"/>
        </w:rPr>
        <w:t>下料、卷板过程中产生的边角废料，机加工过程产生的废润滑油，滑石粉使用过程产生的废包装袋，环氧绝缘漆使用过程产生的废油漆桶，水性油漆使用过程产生的水性油漆桶，废气处理设施产生的废过滤棉、废活性炭、废UV灯管、废催化剂</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textAlignment w:val="auto"/>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四、环境保护设施调试效果</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（一）污染物达标排放情况</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根据《</w:t>
      </w:r>
      <w:r>
        <w:rPr>
          <w:rFonts w:hint="default" w:ascii="Times New Roman" w:hAnsi="Times New Roman" w:eastAsia="宋体" w:cs="Times New Roman"/>
          <w:b w:val="0"/>
          <w:bCs/>
          <w:color w:val="auto"/>
          <w:sz w:val="24"/>
          <w:szCs w:val="24"/>
          <w:lang w:val="en-US" w:eastAsia="zh-CN"/>
        </w:rPr>
        <w:t>河南恒泰重工集团股份有限公司年产100台（套）电磁吸盘项目</w:t>
      </w:r>
      <w:r>
        <w:rPr>
          <w:rFonts w:hint="default" w:ascii="Times New Roman" w:hAnsi="Times New Roman" w:eastAsia="宋体" w:cs="Times New Roman"/>
          <w:b w:val="0"/>
          <w:bCs/>
          <w:color w:val="auto"/>
          <w:sz w:val="24"/>
          <w:szCs w:val="24"/>
          <w:highlight w:val="none"/>
          <w:lang w:eastAsia="zh-CN"/>
        </w:rPr>
        <w:t>竣工环境保护验收监测报告》，监测期间，</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河南恒泰重工集团股份有限公司工况稳定，生产工况符合检测要求</w:t>
      </w:r>
      <w:r>
        <w:rPr>
          <w:rFonts w:hint="default" w:ascii="Times New Roman" w:hAnsi="Times New Roman" w:eastAsia="宋体" w:cs="Times New Roman"/>
          <w:b w:val="0"/>
          <w:bCs/>
          <w:color w:val="auto"/>
          <w:sz w:val="24"/>
          <w:szCs w:val="24"/>
          <w:highlight w:val="none"/>
          <w:lang w:eastAsia="zh-CN"/>
        </w:rPr>
        <w:t>。监测结果表明：</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b w:val="0"/>
          <w:bCs/>
          <w:color w:val="auto"/>
          <w:sz w:val="24"/>
          <w:szCs w:val="24"/>
          <w:highlight w:val="none"/>
        </w:rPr>
        <w:t>废气</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本项目非甲烷总烃经处理后的排放浓度在4.95-5.24</w:t>
      </w:r>
      <w:r>
        <w:rPr>
          <w:rFonts w:hint="default" w:ascii="Times New Roman" w:hAnsi="Times New Roman" w:eastAsia="宋体" w:cs="Times New Roman"/>
          <w:b w:val="0"/>
          <w:bCs/>
          <w:sz w:val="24"/>
          <w:szCs w:val="24"/>
        </w:rPr>
        <w:t>mg/m</w:t>
      </w:r>
      <w:r>
        <w:rPr>
          <w:rFonts w:hint="default" w:ascii="Times New Roman" w:hAnsi="Times New Roman" w:eastAsia="宋体" w:cs="Times New Roman"/>
          <w:b w:val="0"/>
          <w:bCs/>
          <w:sz w:val="24"/>
          <w:szCs w:val="24"/>
          <w:vertAlign w:val="superscript"/>
        </w:rPr>
        <w:t>3</w:t>
      </w:r>
      <w:r>
        <w:rPr>
          <w:rFonts w:hint="default" w:ascii="Times New Roman" w:hAnsi="Times New Roman" w:eastAsia="宋体" w:cs="Times New Roman"/>
          <w:b w:val="0"/>
          <w:bCs/>
          <w:sz w:val="24"/>
          <w:szCs w:val="24"/>
          <w:vertAlign w:val="baseline"/>
          <w:lang w:eastAsia="zh-CN"/>
        </w:rPr>
        <w:t>之间，颗粒物</w:t>
      </w:r>
      <w:r>
        <w:rPr>
          <w:rFonts w:hint="default" w:ascii="Times New Roman" w:hAnsi="Times New Roman" w:eastAsia="宋体" w:cs="Times New Roman"/>
          <w:b w:val="0"/>
          <w:bCs/>
          <w:sz w:val="24"/>
          <w:szCs w:val="24"/>
          <w:vertAlign w:val="baseline"/>
          <w:lang w:val="en-US" w:eastAsia="zh-CN"/>
        </w:rPr>
        <w:t>经处理后的排放浓度在4.6-6.3</w:t>
      </w:r>
      <w:r>
        <w:rPr>
          <w:rFonts w:hint="default" w:ascii="Times New Roman" w:hAnsi="Times New Roman" w:eastAsia="宋体" w:cs="Times New Roman"/>
          <w:b w:val="0"/>
          <w:bCs/>
          <w:sz w:val="24"/>
          <w:szCs w:val="24"/>
        </w:rPr>
        <w:t>mg/m</w:t>
      </w:r>
      <w:r>
        <w:rPr>
          <w:rFonts w:hint="default" w:ascii="Times New Roman" w:hAnsi="Times New Roman" w:eastAsia="宋体" w:cs="Times New Roman"/>
          <w:b w:val="0"/>
          <w:bCs/>
          <w:sz w:val="24"/>
          <w:szCs w:val="24"/>
          <w:vertAlign w:val="superscript"/>
        </w:rPr>
        <w:t>3</w:t>
      </w:r>
      <w:r>
        <w:rPr>
          <w:rFonts w:hint="default" w:ascii="Times New Roman" w:hAnsi="Times New Roman" w:eastAsia="宋体" w:cs="Times New Roman"/>
          <w:b w:val="0"/>
          <w:bCs/>
          <w:sz w:val="24"/>
          <w:szCs w:val="24"/>
          <w:vertAlign w:val="baseline"/>
          <w:lang w:eastAsia="zh-CN"/>
        </w:rPr>
        <w:t>之间，</w:t>
      </w:r>
      <w:r>
        <w:rPr>
          <w:rFonts w:hint="default" w:ascii="Times New Roman" w:hAnsi="Times New Roman" w:eastAsia="宋体" w:cs="Times New Roman"/>
          <w:b w:val="0"/>
          <w:bCs/>
          <w:sz w:val="24"/>
          <w:szCs w:val="24"/>
          <w:lang w:val="en-US" w:eastAsia="zh-CN"/>
        </w:rPr>
        <w:t>满足</w:t>
      </w:r>
      <w:r>
        <w:rPr>
          <w:rFonts w:hint="default" w:ascii="Times New Roman" w:hAnsi="Times New Roman" w:eastAsia="宋体" w:cs="Times New Roman"/>
          <w:b w:val="0"/>
          <w:bCs/>
          <w:color w:val="000000" w:themeColor="text1"/>
          <w:sz w:val="24"/>
          <w:szCs w:val="24"/>
          <w:u w:val="none"/>
          <w14:textFill>
            <w14:solidFill>
              <w14:schemeClr w14:val="tx1"/>
            </w14:solidFill>
          </w14:textFill>
        </w:rPr>
        <w:t>《新乡市生态环境局关于进一步规范工业企业颗粒物排放限值的通知》</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、《工业涂装工序挥发性有机物排放标准》（DB41/95-2020）、《大气污染物综合排放标准》（</w:t>
      </w:r>
      <w:r>
        <w:rPr>
          <w:rFonts w:hint="default" w:ascii="Times New Roman" w:hAnsi="Times New Roman" w:eastAsia="宋体" w:cs="Times New Roman"/>
          <w:b w:val="0"/>
          <w:bCs/>
          <w:color w:val="000000" w:themeColor="text1"/>
          <w:sz w:val="24"/>
          <w:szCs w:val="24"/>
          <w:u w:val="none"/>
          <w:lang w:val="en-US" w:eastAsia="zh-CN"/>
          <w14:textFill>
            <w14:solidFill>
              <w14:schemeClr w14:val="tx1"/>
            </w14:solidFill>
          </w14:textFill>
        </w:rPr>
        <w:t>GB16297-1996</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）、《关于全省开展工业企业挥发性有机物专项治理工作中排放建议值的通知》（豫环攻坚办〔2017〕162号）</w:t>
      </w:r>
      <w:r>
        <w:rPr>
          <w:rFonts w:hint="default" w:ascii="Times New Roman" w:hAnsi="Times New Roman" w:eastAsia="宋体" w:cs="Times New Roman"/>
          <w:b w:val="0"/>
          <w:bCs/>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both"/>
        <w:textAlignment w:val="auto"/>
        <w:outlineLvl w:val="9"/>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无组织废气中非甲烷总烃、颗粒物排放浓度满足</w:t>
      </w:r>
      <w:r>
        <w:rPr>
          <w:rFonts w:hint="default" w:ascii="Times New Roman" w:hAnsi="Times New Roman" w:eastAsia="宋体" w:cs="Times New Roman"/>
          <w:b w:val="0"/>
          <w:bCs/>
          <w:color w:val="000000" w:themeColor="text1"/>
          <w:sz w:val="24"/>
          <w:szCs w:val="24"/>
          <w:u w:val="none"/>
          <w14:textFill>
            <w14:solidFill>
              <w14:schemeClr w14:val="tx1"/>
            </w14:solidFill>
          </w14:textFill>
        </w:rPr>
        <w:t>《新乡市生态环境局关于进一步规范工业企业颗粒物排放限值的通知》</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、《工业涂装工序挥发性有机物排放标准》（DB41/95-2020）、《大气污染物综合排放标准》（</w:t>
      </w:r>
      <w:r>
        <w:rPr>
          <w:rFonts w:hint="default" w:ascii="Times New Roman" w:hAnsi="Times New Roman" w:eastAsia="宋体" w:cs="Times New Roman"/>
          <w:b w:val="0"/>
          <w:bCs/>
          <w:color w:val="000000" w:themeColor="text1"/>
          <w:sz w:val="24"/>
          <w:szCs w:val="24"/>
          <w:u w:val="none"/>
          <w:lang w:val="en-US" w:eastAsia="zh-CN"/>
          <w14:textFill>
            <w14:solidFill>
              <w14:schemeClr w14:val="tx1"/>
            </w14:solidFill>
          </w14:textFill>
        </w:rPr>
        <w:t>GB16297-1996</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）、《关于全省开展工业企业挥发性有机物专项治理工作中排放建议值的通知》（豫环攻坚办〔2017〕162号）</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w:t>
      </w:r>
    </w:p>
    <w:p>
      <w:pPr>
        <w:pStyle w:val="1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Lines="0" w:beforeAutospacing="0" w:after="0" w:afterAutospacing="0" w:line="500" w:lineRule="exact"/>
        <w:ind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2</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噪声</w:t>
      </w:r>
    </w:p>
    <w:p>
      <w:pPr>
        <w:pStyle w:val="6"/>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本项目厂界昼间噪声在53-56dB（A）间，能够达到《工业企业厂界环境噪声排放标准》（GB12348-2008）2类标准要求。</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（3）固废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color w:val="000000"/>
          <w:sz w:val="24"/>
          <w:szCs w:val="24"/>
        </w:rPr>
        <w:t>本项目营运期产生的固体废物为</w:t>
      </w:r>
      <w:r>
        <w:rPr>
          <w:rFonts w:hint="default" w:ascii="Times New Roman" w:hAnsi="Times New Roman" w:eastAsia="宋体" w:cs="Times New Roman"/>
          <w:b w:val="0"/>
          <w:bCs/>
          <w:color w:val="000000"/>
          <w:sz w:val="24"/>
          <w:szCs w:val="24"/>
          <w:lang w:val="en-US" w:eastAsia="zh-CN"/>
        </w:rPr>
        <w:t>下料、卷板过程中产生的边角废料，机加工过程产生的废润滑油，滑石粉使用过程产生的废包装袋，环氧绝缘漆使用过程产生的废油漆桶，水性油漆使用过程产生的水性油漆桶，废气处理设施产生的废过滤棉、废活性炭、废UV灯管、废催化剂</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right="0" w:rightChars="0" w:firstLine="240" w:firstLineChars="100"/>
        <w:jc w:val="left"/>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lang w:eastAsia="zh-CN"/>
        </w:rPr>
        <w:t>（二）环保设施去除效率</w:t>
      </w:r>
      <w:r>
        <w:rPr>
          <w:rFonts w:hint="default" w:ascii="Times New Roman" w:hAnsi="Times New Roman" w:eastAsia="宋体" w:cs="Times New Roman"/>
          <w:b w:val="0"/>
          <w:bCs/>
          <w:color w:val="auto"/>
          <w:sz w:val="24"/>
          <w:szCs w:val="24"/>
          <w:highlight w:val="none"/>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b w:val="0"/>
          <w:bCs/>
          <w:color w:val="auto"/>
          <w:sz w:val="24"/>
          <w:szCs w:val="24"/>
          <w:highlight w:val="none"/>
        </w:rPr>
        <w:t>废气</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本项目非甲烷总烃经处理后的排放浓度在4.95-5.24</w:t>
      </w:r>
      <w:r>
        <w:rPr>
          <w:rFonts w:hint="default" w:ascii="Times New Roman" w:hAnsi="Times New Roman" w:eastAsia="宋体" w:cs="Times New Roman"/>
          <w:b w:val="0"/>
          <w:bCs/>
          <w:sz w:val="24"/>
          <w:szCs w:val="24"/>
        </w:rPr>
        <w:t>mg/m</w:t>
      </w:r>
      <w:r>
        <w:rPr>
          <w:rFonts w:hint="default" w:ascii="Times New Roman" w:hAnsi="Times New Roman" w:eastAsia="宋体" w:cs="Times New Roman"/>
          <w:b w:val="0"/>
          <w:bCs/>
          <w:sz w:val="24"/>
          <w:szCs w:val="24"/>
          <w:vertAlign w:val="superscript"/>
        </w:rPr>
        <w:t>3</w:t>
      </w:r>
      <w:r>
        <w:rPr>
          <w:rFonts w:hint="default" w:ascii="Times New Roman" w:hAnsi="Times New Roman" w:eastAsia="宋体" w:cs="Times New Roman"/>
          <w:b w:val="0"/>
          <w:bCs/>
          <w:sz w:val="24"/>
          <w:szCs w:val="24"/>
          <w:vertAlign w:val="baseline"/>
          <w:lang w:eastAsia="zh-CN"/>
        </w:rPr>
        <w:t>之间，颗粒物</w:t>
      </w:r>
      <w:r>
        <w:rPr>
          <w:rFonts w:hint="default" w:ascii="Times New Roman" w:hAnsi="Times New Roman" w:eastAsia="宋体" w:cs="Times New Roman"/>
          <w:b w:val="0"/>
          <w:bCs/>
          <w:sz w:val="24"/>
          <w:szCs w:val="24"/>
          <w:vertAlign w:val="baseline"/>
          <w:lang w:val="en-US" w:eastAsia="zh-CN"/>
        </w:rPr>
        <w:t>经处理后的排放浓度在4.6-6.3</w:t>
      </w:r>
      <w:r>
        <w:rPr>
          <w:rFonts w:hint="default" w:ascii="Times New Roman" w:hAnsi="Times New Roman" w:eastAsia="宋体" w:cs="Times New Roman"/>
          <w:b w:val="0"/>
          <w:bCs/>
          <w:sz w:val="24"/>
          <w:szCs w:val="24"/>
        </w:rPr>
        <w:t>mg/m</w:t>
      </w:r>
      <w:r>
        <w:rPr>
          <w:rFonts w:hint="default" w:ascii="Times New Roman" w:hAnsi="Times New Roman" w:eastAsia="宋体" w:cs="Times New Roman"/>
          <w:b w:val="0"/>
          <w:bCs/>
          <w:sz w:val="24"/>
          <w:szCs w:val="24"/>
          <w:vertAlign w:val="superscript"/>
        </w:rPr>
        <w:t>3</w:t>
      </w:r>
      <w:r>
        <w:rPr>
          <w:rFonts w:hint="default" w:ascii="Times New Roman" w:hAnsi="Times New Roman" w:eastAsia="宋体" w:cs="Times New Roman"/>
          <w:b w:val="0"/>
          <w:bCs/>
          <w:sz w:val="24"/>
          <w:szCs w:val="24"/>
          <w:vertAlign w:val="baseline"/>
          <w:lang w:eastAsia="zh-CN"/>
        </w:rPr>
        <w:t>之间，</w:t>
      </w:r>
      <w:r>
        <w:rPr>
          <w:rFonts w:hint="default" w:ascii="Times New Roman" w:hAnsi="Times New Roman" w:eastAsia="宋体" w:cs="Times New Roman"/>
          <w:b w:val="0"/>
          <w:bCs/>
          <w:sz w:val="24"/>
          <w:szCs w:val="24"/>
          <w:lang w:val="en-US" w:eastAsia="zh-CN"/>
        </w:rPr>
        <w:t>满足</w:t>
      </w:r>
      <w:r>
        <w:rPr>
          <w:rFonts w:hint="default" w:ascii="Times New Roman" w:hAnsi="Times New Roman" w:eastAsia="宋体" w:cs="Times New Roman"/>
          <w:b w:val="0"/>
          <w:bCs/>
          <w:color w:val="000000" w:themeColor="text1"/>
          <w:sz w:val="24"/>
          <w:szCs w:val="24"/>
          <w:u w:val="none"/>
          <w14:textFill>
            <w14:solidFill>
              <w14:schemeClr w14:val="tx1"/>
            </w14:solidFill>
          </w14:textFill>
        </w:rPr>
        <w:t>《新乡市生态环境局关于进一步规范工业企业颗粒物排放限值的通知》</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、《工业涂装工序挥发性有机物排放标准》（DB41/95-2020）、《大气污染物综合排放标准》（</w:t>
      </w:r>
      <w:r>
        <w:rPr>
          <w:rFonts w:hint="default" w:ascii="Times New Roman" w:hAnsi="Times New Roman" w:eastAsia="宋体" w:cs="Times New Roman"/>
          <w:b w:val="0"/>
          <w:bCs/>
          <w:color w:val="000000" w:themeColor="text1"/>
          <w:sz w:val="24"/>
          <w:szCs w:val="24"/>
          <w:u w:val="none"/>
          <w:lang w:val="en-US" w:eastAsia="zh-CN"/>
          <w14:textFill>
            <w14:solidFill>
              <w14:schemeClr w14:val="tx1"/>
            </w14:solidFill>
          </w14:textFill>
        </w:rPr>
        <w:t>GB16297-1996</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）、《关于全省开展工业企业挥发性有机物专项治理工作中排放建议值的通知》（豫环攻坚办〔2017〕162号）</w:t>
      </w:r>
      <w:r>
        <w:rPr>
          <w:rFonts w:hint="default" w:ascii="Times New Roman" w:hAnsi="Times New Roman" w:eastAsia="宋体" w:cs="Times New Roman"/>
          <w:b w:val="0"/>
          <w:bCs/>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both"/>
        <w:textAlignment w:val="auto"/>
        <w:outlineLvl w:val="9"/>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无组织废气中非甲烷总烃、颗粒物排放浓度满足</w:t>
      </w:r>
      <w:r>
        <w:rPr>
          <w:rFonts w:hint="default" w:ascii="Times New Roman" w:hAnsi="Times New Roman" w:eastAsia="宋体" w:cs="Times New Roman"/>
          <w:b w:val="0"/>
          <w:bCs/>
          <w:color w:val="000000" w:themeColor="text1"/>
          <w:sz w:val="24"/>
          <w:szCs w:val="24"/>
          <w:u w:val="none"/>
          <w14:textFill>
            <w14:solidFill>
              <w14:schemeClr w14:val="tx1"/>
            </w14:solidFill>
          </w14:textFill>
        </w:rPr>
        <w:t>《新乡市生态环境局关于进一步规范工业企业颗粒物排放限值的通知》</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、《工业涂装工序挥发性有机物排放标准》（DB41/95-2020）、《大气污染物综合排放标准》（</w:t>
      </w:r>
      <w:r>
        <w:rPr>
          <w:rFonts w:hint="default" w:ascii="Times New Roman" w:hAnsi="Times New Roman" w:eastAsia="宋体" w:cs="Times New Roman"/>
          <w:b w:val="0"/>
          <w:bCs/>
          <w:color w:val="000000" w:themeColor="text1"/>
          <w:sz w:val="24"/>
          <w:szCs w:val="24"/>
          <w:u w:val="none"/>
          <w:lang w:val="en-US" w:eastAsia="zh-CN"/>
          <w14:textFill>
            <w14:solidFill>
              <w14:schemeClr w14:val="tx1"/>
            </w14:solidFill>
          </w14:textFill>
        </w:rPr>
        <w:t>GB16297-1996</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）、《关于全省开展工业企业挥发性有机物专项治理工作中排放建议值的通知》（豫环攻坚办〔2017〕162号）</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w:t>
      </w:r>
    </w:p>
    <w:p>
      <w:pPr>
        <w:pStyle w:val="1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Lines="0" w:beforeAutospacing="0" w:after="0" w:afterAutospacing="0" w:line="500" w:lineRule="exact"/>
        <w:ind w:right="0" w:rightChars="0" w:firstLine="480" w:firstLineChars="200"/>
        <w:jc w:val="left"/>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2</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噪声</w:t>
      </w:r>
    </w:p>
    <w:p>
      <w:pPr>
        <w:pStyle w:val="6"/>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本项目厂界昼间噪声在53-56dB（A）间，能够达到《工业企业厂界环境噪声排放标准》（GB12348-2008）2类标准要求。</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right="0" w:rightChars="0"/>
        <w:textAlignment w:val="auto"/>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五、验收结论</w:t>
      </w:r>
    </w:p>
    <w:p>
      <w:pPr>
        <w:pStyle w:val="4"/>
        <w:pageBreakBefore w:val="0"/>
        <w:widowControl/>
        <w:numPr>
          <w:ilvl w:val="0"/>
          <w:numId w:val="0"/>
        </w:numPr>
        <w:kinsoku/>
        <w:wordWrap/>
        <w:overflowPunct/>
        <w:topLinePunct w:val="0"/>
        <w:autoSpaceDE/>
        <w:autoSpaceDN/>
        <w:bidi w:val="0"/>
        <w:adjustRightInd w:val="0"/>
        <w:snapToGrid w:val="0"/>
        <w:spacing w:before="0" w:beforeLines="0"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1、验收监测期间，该公司生产运行正常，生产负荷满足验收监测工况要求。</w:t>
      </w:r>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2、验收监测期间，</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本项目非甲烷总烃与颗粒物排放浓度满足</w:t>
      </w:r>
      <w:r>
        <w:rPr>
          <w:rFonts w:hint="default" w:ascii="Times New Roman" w:hAnsi="Times New Roman" w:eastAsia="宋体" w:cs="Times New Roman"/>
          <w:b w:val="0"/>
          <w:bCs/>
          <w:color w:val="000000" w:themeColor="text1"/>
          <w:sz w:val="24"/>
          <w:szCs w:val="24"/>
          <w:u w:val="none"/>
          <w14:textFill>
            <w14:solidFill>
              <w14:schemeClr w14:val="tx1"/>
            </w14:solidFill>
          </w14:textFill>
        </w:rPr>
        <w:t>《新乡市生态环境局关于进一步规范工业企业颗粒物排放限值的通知》</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、《工业涂装工序挥发性有机物排放标准》（DB41/95-2020）、《大气污染物综合排放标准》（</w:t>
      </w:r>
      <w:r>
        <w:rPr>
          <w:rFonts w:hint="default" w:ascii="Times New Roman" w:hAnsi="Times New Roman" w:eastAsia="宋体" w:cs="Times New Roman"/>
          <w:b w:val="0"/>
          <w:bCs/>
          <w:color w:val="000000" w:themeColor="text1"/>
          <w:sz w:val="24"/>
          <w:szCs w:val="24"/>
          <w:u w:val="none"/>
          <w:lang w:val="en-US" w:eastAsia="zh-CN"/>
          <w14:textFill>
            <w14:solidFill>
              <w14:schemeClr w14:val="tx1"/>
            </w14:solidFill>
          </w14:textFill>
        </w:rPr>
        <w:t>GB16297-1996</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）、《关于全省开展工业企业挥发性有机物专项治理工作中排放建议值的通知》（豫环攻坚办〔2017〕162号）</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3、由监测结果</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可知，</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本项目厂界昼间噪声在53-56dB（A）间，能够达到《工业企业厂界环境噪声排放标准》（GB12348-2008）2类标准要求。</w:t>
      </w:r>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4、建议及意见</w:t>
      </w:r>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w:t>（1）建设单位应认真贯彻执行有关建设项目环境保护管理文件，建立健全各项环保规章制度，严格执行“三同时”制度。</w:t>
      </w:r>
    </w:p>
    <w:p>
      <w:pPr>
        <w:pStyle w:val="7"/>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w:t>（2）严格落实环评提出的各种污染物治理措施，将项目污染物对周围环境的影响降至最低。</w:t>
      </w:r>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auto"/>
          <w:kern w:val="0"/>
          <w:sz w:val="24"/>
          <w:szCs w:val="24"/>
          <w:lang w:eastAsia="zh-CN"/>
        </w:rPr>
      </w:pPr>
      <w:r>
        <w:rPr>
          <w:rFonts w:hint="default" w:ascii="Times New Roman" w:hAnsi="Times New Roman" w:eastAsia="宋体" w:cs="Times New Roman"/>
          <w:b w:val="0"/>
          <w:bCs/>
          <w:color w:val="auto"/>
          <w:sz w:val="24"/>
          <w:szCs w:val="24"/>
          <w:lang w:val="en-US" w:eastAsia="zh-CN"/>
        </w:rPr>
        <w:t>（3）加强环保意识教育，制定环保设施操作规程，建立健全各项环保岗位责任制，确保环保设施正常、稳定运行。</w:t>
      </w:r>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bookmarkStart w:id="0" w:name="_Toc922_WPSOffice_Level2"/>
      <w:bookmarkStart w:id="1" w:name="_Toc30656_WPSOffice_Level2"/>
      <w:r>
        <w:rPr>
          <w:rFonts w:hint="default" w:ascii="Times New Roman" w:hAnsi="Times New Roman" w:eastAsia="宋体" w:cs="Times New Roman"/>
          <w:b w:val="0"/>
          <w:bCs/>
          <w:color w:val="auto"/>
          <w:sz w:val="24"/>
          <w:szCs w:val="24"/>
          <w:highlight w:val="none"/>
          <w:lang w:val="en-US" w:eastAsia="zh-CN"/>
        </w:rPr>
        <w:t>5、结论</w:t>
      </w:r>
      <w:bookmarkEnd w:id="0"/>
      <w:bookmarkEnd w:id="1"/>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auto"/>
          <w:sz w:val="24"/>
          <w:szCs w:val="24"/>
        </w:rPr>
      </w:pPr>
      <w:r>
        <w:rPr>
          <w:rFonts w:hint="default" w:ascii="Times New Roman" w:hAnsi="Times New Roman" w:eastAsia="宋体" w:cs="Times New Roman"/>
          <w:b w:val="0"/>
          <w:bCs/>
          <w:color w:val="auto"/>
          <w:sz w:val="24"/>
          <w:szCs w:val="24"/>
          <w:highlight w:val="none"/>
          <w:lang w:val="en-US" w:eastAsia="zh-CN"/>
        </w:rPr>
        <w:t>本项目环境影响报告</w:t>
      </w:r>
      <w:bookmarkStart w:id="2" w:name="_GoBack"/>
      <w:bookmarkEnd w:id="2"/>
      <w:r>
        <w:rPr>
          <w:rFonts w:hint="default" w:ascii="Times New Roman" w:hAnsi="Times New Roman" w:eastAsia="宋体" w:cs="Times New Roman"/>
          <w:b w:val="0"/>
          <w:bCs/>
          <w:color w:val="auto"/>
          <w:sz w:val="24"/>
          <w:szCs w:val="24"/>
          <w:highlight w:val="none"/>
          <w:lang w:val="en-US" w:eastAsia="zh-CN"/>
        </w:rPr>
        <w:t>表经批准后，项目性质、规模、建设地点、采取的污染防治措施等均未发生重大变动，项目废水、废气、噪声、固废均达到国家排放标准，符合验收要求，符合环评及审批部门审批要求</w:t>
      </w:r>
      <w:r>
        <w:rPr>
          <w:rFonts w:hint="default" w:ascii="Times New Roman" w:hAnsi="Times New Roman" w:eastAsia="宋体" w:cs="Times New Roman"/>
          <w:b w:val="0"/>
          <w:bCs/>
          <w:color w:val="auto"/>
          <w:sz w:val="24"/>
          <w:szCs w:val="24"/>
        </w:rPr>
        <w:t>。</w:t>
      </w:r>
    </w:p>
    <w:p>
      <w:pPr>
        <w:pageBreakBefore w:val="0"/>
        <w:kinsoku/>
        <w:wordWrap/>
        <w:overflowPunct/>
        <w:topLinePunct w:val="0"/>
        <w:autoSpaceDE/>
        <w:autoSpaceDN/>
        <w:bidi w:val="0"/>
        <w:spacing w:line="500" w:lineRule="exact"/>
        <w:textAlignment w:val="auto"/>
        <w:rPr>
          <w:b w:val="0"/>
          <w:b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DD6525"/>
    <w:multiLevelType w:val="singleLevel"/>
    <w:tmpl w:val="E5DD6525"/>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1ZThhYzQwNDk5ZDY3ZGZiNjU0MDAwMDk4YzY2YjYifQ=="/>
  </w:docVars>
  <w:rsids>
    <w:rsidRoot w:val="6E864419"/>
    <w:rsid w:val="00412D05"/>
    <w:rsid w:val="03B95FF4"/>
    <w:rsid w:val="04E80857"/>
    <w:rsid w:val="06B96578"/>
    <w:rsid w:val="06F23DF4"/>
    <w:rsid w:val="08E50D61"/>
    <w:rsid w:val="0B02531F"/>
    <w:rsid w:val="0E500EFF"/>
    <w:rsid w:val="127E7284"/>
    <w:rsid w:val="17091CCA"/>
    <w:rsid w:val="17A31444"/>
    <w:rsid w:val="1A50477E"/>
    <w:rsid w:val="1B5C73FF"/>
    <w:rsid w:val="1D56307D"/>
    <w:rsid w:val="23066841"/>
    <w:rsid w:val="25703F71"/>
    <w:rsid w:val="2EC16EB7"/>
    <w:rsid w:val="30A20FFD"/>
    <w:rsid w:val="31B462FA"/>
    <w:rsid w:val="33C2642B"/>
    <w:rsid w:val="34382DC3"/>
    <w:rsid w:val="354B2476"/>
    <w:rsid w:val="36143299"/>
    <w:rsid w:val="3906462E"/>
    <w:rsid w:val="3CB470AF"/>
    <w:rsid w:val="3F983F30"/>
    <w:rsid w:val="42E06899"/>
    <w:rsid w:val="42F859F0"/>
    <w:rsid w:val="443326A9"/>
    <w:rsid w:val="45101618"/>
    <w:rsid w:val="47075F93"/>
    <w:rsid w:val="499F5E0C"/>
    <w:rsid w:val="4A035E3B"/>
    <w:rsid w:val="4AD43A0B"/>
    <w:rsid w:val="4B646DDA"/>
    <w:rsid w:val="5C632E51"/>
    <w:rsid w:val="5C905465"/>
    <w:rsid w:val="5C922157"/>
    <w:rsid w:val="5DA85D6E"/>
    <w:rsid w:val="5E024F8B"/>
    <w:rsid w:val="5ED53584"/>
    <w:rsid w:val="63B6760A"/>
    <w:rsid w:val="6A556F1B"/>
    <w:rsid w:val="6D494C87"/>
    <w:rsid w:val="6DBC5B56"/>
    <w:rsid w:val="6E006FBD"/>
    <w:rsid w:val="6E864419"/>
    <w:rsid w:val="6FEA142D"/>
    <w:rsid w:val="70914D80"/>
    <w:rsid w:val="721B140B"/>
    <w:rsid w:val="728A02C5"/>
    <w:rsid w:val="72AF6714"/>
    <w:rsid w:val="759452A0"/>
    <w:rsid w:val="79627D3D"/>
    <w:rsid w:val="7AB95D8B"/>
    <w:rsid w:val="7BDD7F52"/>
    <w:rsid w:val="7BE371AA"/>
    <w:rsid w:val="7C140460"/>
    <w:rsid w:val="7C355B64"/>
    <w:rsid w:val="7CA57E62"/>
    <w:rsid w:val="7DCF6F54"/>
    <w:rsid w:val="7DFC4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afterLines="0"/>
    </w:pPr>
    <w:rPr>
      <w:rFonts w:ascii="Tahoma" w:hAnsi="Tahoma" w:eastAsia="微软雅黑" w:cs="Times New Roman"/>
      <w:sz w:val="22"/>
      <w:szCs w:val="22"/>
      <w:lang w:val="en-US" w:eastAsia="zh-CN" w:bidi="ar-SA"/>
    </w:rPr>
  </w:style>
  <w:style w:type="paragraph" w:styleId="2">
    <w:name w:val="heading 1"/>
    <w:basedOn w:val="1"/>
    <w:next w:val="1"/>
    <w:qFormat/>
    <w:uiPriority w:val="0"/>
    <w:pPr>
      <w:keepNext/>
      <w:keepLines/>
      <w:snapToGrid w:val="0"/>
      <w:spacing w:before="100" w:beforeLines="100" w:beforeAutospacing="0" w:after="30" w:afterLines="30" w:afterAutospacing="0" w:line="360" w:lineRule="auto"/>
      <w:jc w:val="left"/>
      <w:outlineLvl w:val="0"/>
    </w:pPr>
    <w:rPr>
      <w:rFonts w:ascii="Times New Roman" w:hAnsi="Times New Roman"/>
      <w:b/>
      <w:kern w:val="44"/>
      <w:sz w:val="28"/>
    </w:rPr>
  </w:style>
  <w:style w:type="paragraph" w:styleId="3">
    <w:name w:val="heading 3"/>
    <w:basedOn w:val="1"/>
    <w:next w:val="1"/>
    <w:qFormat/>
    <w:uiPriority w:val="0"/>
    <w:pPr>
      <w:keepNext/>
      <w:keepLines/>
      <w:spacing w:beforeLines="0" w:afterLines="0" w:line="360" w:lineRule="auto"/>
      <w:ind w:firstLine="0" w:firstLineChars="0"/>
      <w:outlineLvl w:val="2"/>
    </w:pPr>
    <w:rPr>
      <w:rFonts w:ascii="Times New Roman" w:hAnsi="Times New Roman" w:eastAsia="黑体"/>
      <w:bCs/>
      <w:sz w:val="24"/>
      <w:szCs w:val="32"/>
    </w:rPr>
  </w:style>
  <w:style w:type="paragraph" w:styleId="4">
    <w:name w:val="heading 4"/>
    <w:basedOn w:val="1"/>
    <w:next w:val="1"/>
    <w:unhideWhenUsed/>
    <w:qFormat/>
    <w:uiPriority w:val="0"/>
    <w:pPr>
      <w:keepNext/>
      <w:keepLines/>
      <w:spacing w:before="280" w:beforeLines="0" w:after="290" w:afterLines="0" w:line="374" w:lineRule="auto"/>
      <w:outlineLvl w:val="3"/>
    </w:pPr>
    <w:rPr>
      <w:rFonts w:ascii="Cambria" w:hAnsi="Cambria" w:eastAsia="宋体" w:cs="Times New Roman"/>
      <w:b/>
      <w:bCs/>
      <w:kern w:val="2"/>
      <w:sz w:val="28"/>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rPr>
      <w:kern w:val="2"/>
      <w:sz w:val="28"/>
    </w:rPr>
  </w:style>
  <w:style w:type="paragraph" w:styleId="6">
    <w:name w:val="annotation text"/>
    <w:basedOn w:val="1"/>
    <w:qFormat/>
    <w:uiPriority w:val="0"/>
    <w:pPr>
      <w:jc w:val="left"/>
    </w:pPr>
  </w:style>
  <w:style w:type="paragraph" w:styleId="7">
    <w:name w:val="Body Text"/>
    <w:basedOn w:val="1"/>
    <w:next w:val="8"/>
    <w:qFormat/>
    <w:uiPriority w:val="0"/>
    <w:pPr>
      <w:spacing w:after="120" w:afterLines="0"/>
    </w:pPr>
  </w:style>
  <w:style w:type="paragraph" w:customStyle="1" w:styleId="8">
    <w:name w:val="style4"/>
    <w:basedOn w:val="1"/>
    <w:next w:val="9"/>
    <w:qFormat/>
    <w:uiPriority w:val="0"/>
    <w:pPr>
      <w:widowControl/>
      <w:spacing w:before="280" w:after="280"/>
    </w:pPr>
    <w:rPr>
      <w:rFonts w:ascii="宋体"/>
      <w:sz w:val="18"/>
    </w:rPr>
  </w:style>
  <w:style w:type="paragraph" w:customStyle="1" w:styleId="9">
    <w:name w:val="2"/>
    <w:basedOn w:val="1"/>
    <w:next w:val="1"/>
    <w:qFormat/>
    <w:uiPriority w:val="0"/>
    <w:pPr>
      <w:adjustRightInd/>
      <w:snapToGrid/>
      <w:spacing w:before="50" w:beforeLines="50" w:line="480" w:lineRule="exact"/>
      <w:ind w:firstLine="522" w:firstLineChars="0"/>
    </w:pPr>
    <w:rPr>
      <w:snapToGrid/>
      <w:spacing w:val="4"/>
      <w:kern w:val="2"/>
      <w:szCs w:val="20"/>
    </w:rPr>
  </w:style>
  <w:style w:type="paragraph" w:styleId="10">
    <w:name w:val="Body Text Indent"/>
    <w:basedOn w:val="1"/>
    <w:qFormat/>
    <w:uiPriority w:val="0"/>
    <w:pPr>
      <w:spacing w:line="360" w:lineRule="auto"/>
      <w:ind w:firstLine="480" w:firstLineChars="200"/>
    </w:pPr>
    <w:rPr>
      <w:sz w:val="24"/>
    </w:rPr>
  </w:style>
  <w:style w:type="paragraph" w:styleId="11">
    <w:name w:val="Block Text"/>
    <w:basedOn w:val="1"/>
    <w:qFormat/>
    <w:uiPriority w:val="0"/>
    <w:pPr>
      <w:snapToGrid w:val="0"/>
      <w:spacing w:line="408" w:lineRule="auto"/>
      <w:ind w:left="-113" w:right="-510" w:firstLine="510"/>
    </w:pPr>
    <w:rPr>
      <w:sz w:val="24"/>
      <w:szCs w:val="20"/>
    </w:rPr>
  </w:style>
  <w:style w:type="paragraph" w:styleId="12">
    <w:name w:val="Plain Text"/>
    <w:basedOn w:val="1"/>
    <w:qFormat/>
    <w:uiPriority w:val="0"/>
    <w:rPr>
      <w:rFonts w:ascii="宋体" w:hAnsi="Courier New"/>
      <w:sz w:val="21"/>
    </w:rPr>
  </w:style>
  <w:style w:type="paragraph" w:styleId="1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14">
    <w:name w:val="Body Text First Indent 2"/>
    <w:basedOn w:val="1"/>
    <w:next w:val="1"/>
    <w:qFormat/>
    <w:uiPriority w:val="0"/>
    <w:pPr>
      <w:spacing w:after="120"/>
      <w:ind w:left="420" w:leftChars="200" w:firstLine="420"/>
    </w:pPr>
    <w:rPr>
      <w:rFonts w:ascii="Times New Roman" w:hAnsi="Times New Roman" w:eastAsia="宋体"/>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paragraph" w:customStyle="1" w:styleId="1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
    <w:name w:val="1.表头格式"/>
    <w:basedOn w:val="1"/>
    <w:next w:val="21"/>
    <w:qFormat/>
    <w:uiPriority w:val="0"/>
    <w:pPr>
      <w:ind w:firstLine="0" w:firstLineChars="0"/>
      <w:jc w:val="center"/>
    </w:pPr>
    <w:rPr>
      <w:rFonts w:eastAsia="黑体"/>
      <w:szCs w:val="24"/>
    </w:rPr>
  </w:style>
  <w:style w:type="paragraph" w:customStyle="1" w:styleId="21">
    <w:name w:val="1    正文"/>
    <w:basedOn w:val="1"/>
    <w:qFormat/>
    <w:uiPriority w:val="0"/>
  </w:style>
  <w:style w:type="paragraph" w:customStyle="1" w:styleId="22">
    <w:name w:val="1. 表格内容"/>
    <w:basedOn w:val="1"/>
    <w:qFormat/>
    <w:uiPriority w:val="0"/>
    <w:pPr>
      <w:snapToGrid w:val="0"/>
      <w:spacing w:line="240" w:lineRule="auto"/>
      <w:ind w:firstLine="0" w:firstLineChars="0"/>
      <w:jc w:val="center"/>
      <w:textAlignment w:val="baseline"/>
    </w:pPr>
    <w:rPr>
      <w:sz w:val="21"/>
      <w:szCs w:val="21"/>
    </w:rPr>
  </w:style>
  <w:style w:type="paragraph" w:customStyle="1" w:styleId="23">
    <w:name w:val="报告表正文"/>
    <w:basedOn w:val="1"/>
    <w:qFormat/>
    <w:uiPriority w:val="0"/>
    <w:pPr>
      <w:spacing w:line="360" w:lineRule="auto"/>
      <w:ind w:firstLine="200" w:firstLineChars="200"/>
    </w:pPr>
    <w:rPr>
      <w:rFonts w:eastAsia="楷体_GB2312"/>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2731</Words>
  <Characters>3192</Characters>
  <Lines>0</Lines>
  <Paragraphs>0</Paragraphs>
  <TotalTime>0</TotalTime>
  <ScaleCrop>false</ScaleCrop>
  <LinksUpToDate>false</LinksUpToDate>
  <CharactersWithSpaces>3227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2018-05-27T00:31:00Z</dcterms:created>
  <dc:creator>Administrator</dc:creator>
  <cp:lastModifiedBy>叭叭啦叭叭</cp:lastModifiedBy>
  <dcterms:modified xsi:type="dcterms:W3CDTF">2022-12-09T07:27:41Z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EF03E440A0E54F46AB2E1BF3667BF1AF</vt:lpwstr>
  </property>
</Properties>
</file>