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pageBreakBefore w:val="0"/>
        <w:shd w:val="clear" w:color="auto" w:fill="FFFFFF"/>
        <w:kinsoku/>
        <w:wordWrap/>
        <w:overflowPunct/>
        <w:topLinePunct w:val="0"/>
        <w:autoSpaceDE/>
        <w:autoSpaceDN/>
        <w:bidi w:val="0"/>
        <w:spacing w:before="0" w:beforeAutospacing="0" w:after="0" w:afterAutospacing="0" w:line="500" w:lineRule="exact"/>
        <w:jc w:val="center"/>
        <w:textAlignment w:val="auto"/>
        <w:rPr>
          <w:rStyle w:val="18"/>
          <w:rFonts w:hint="default" w:ascii="Times New Roman" w:hAnsi="Times New Roman" w:eastAsia="黑体" w:cs="Times New Roman"/>
          <w:b/>
          <w:bCs w:val="0"/>
          <w:sz w:val="32"/>
          <w:szCs w:val="32"/>
        </w:rPr>
      </w:pPr>
      <w:r>
        <w:rPr>
          <w:rFonts w:hint="eastAsia" w:ascii="黑体" w:hAnsi="黑体" w:eastAsia="黑体" w:cs="黑体"/>
          <w:b/>
          <w:bCs/>
          <w:color w:val="auto"/>
          <w:kern w:val="2"/>
          <w:sz w:val="32"/>
          <w:szCs w:val="32"/>
          <w:lang w:val="en-US" w:eastAsia="zh-CN"/>
        </w:rPr>
        <w:t>河南森夫提抓具设备有限公司年产100台抓斗项目验收</w:t>
      </w:r>
      <w:r>
        <w:rPr>
          <w:rFonts w:hint="default" w:ascii="Times New Roman" w:hAnsi="Times New Roman" w:eastAsia="黑体" w:cs="Times New Roman"/>
          <w:b/>
          <w:bCs w:val="0"/>
          <w:sz w:val="32"/>
          <w:szCs w:val="32"/>
          <w:lang w:eastAsia="zh-CN"/>
        </w:rPr>
        <w:t>竣工环境保护验收</w:t>
      </w:r>
      <w:r>
        <w:rPr>
          <w:rStyle w:val="18"/>
          <w:rFonts w:hint="default" w:ascii="Times New Roman" w:hAnsi="Times New Roman" w:eastAsia="黑体" w:cs="Times New Roman"/>
          <w:b/>
          <w:bCs w:val="0"/>
          <w:sz w:val="32"/>
          <w:szCs w:val="32"/>
        </w:rPr>
        <w:t>意见</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20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22</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年</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月</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10</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日，</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河南森夫提抓具设备有限公司年产100台抓斗项目</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竣工环境保护验收</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评审会在长垣市召开。验收专家组通过审阅</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本项目</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竣工环境保护</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验收</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监测报告并对照《建设项目竣工环境保护验收暂行办法》，严格依照国家有关法律法规、建设项目竣工环境保护验收技术规范、本项目环境影响评价报告</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表</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和审批部门审批决定等要求对本项目进行验收，提出意见如下：</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jc w:val="both"/>
        <w:textAlignment w:val="auto"/>
        <w:rPr>
          <w:rFonts w:hint="default" w:ascii="Times New Roman" w:hAnsi="Times New Roman" w:eastAsia="宋体" w:cs="Times New Roman"/>
          <w:b w:val="0"/>
          <w:bCs/>
          <w:color w:val="000000" w:themeColor="text1"/>
          <w:sz w:val="24"/>
          <w:szCs w:val="24"/>
          <w14:textFill>
            <w14:solidFill>
              <w14:schemeClr w14:val="tx1"/>
            </w14:solidFill>
          </w14:textFill>
        </w:rPr>
      </w:pPr>
      <w:r>
        <w:rPr>
          <w:rStyle w:val="18"/>
          <w:rFonts w:hint="default" w:ascii="Times New Roman" w:hAnsi="Times New Roman" w:eastAsia="宋体" w:cs="Times New Roman"/>
          <w:b w:val="0"/>
          <w:bCs/>
          <w:color w:val="000000" w:themeColor="text1"/>
          <w:sz w:val="24"/>
          <w:szCs w:val="24"/>
          <w14:textFill>
            <w14:solidFill>
              <w14:schemeClr w14:val="tx1"/>
            </w14:solidFill>
          </w14:textFill>
        </w:rPr>
        <w:t>一、工程建设基本情况</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（一）建设地点、规模、主要建设内容</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河南森夫提抓具设备有限公司</w:t>
      </w:r>
      <w:r>
        <w:rPr>
          <w:rFonts w:hint="default" w:ascii="Times New Roman" w:hAnsi="Times New Roman" w:eastAsia="宋体" w:cs="Times New Roman"/>
          <w:b w:val="0"/>
          <w:bCs/>
          <w:color w:val="000000" w:themeColor="text1"/>
          <w:sz w:val="24"/>
          <w:szCs w:val="24"/>
          <w14:textFill>
            <w14:solidFill>
              <w14:schemeClr w14:val="tx1"/>
            </w14:solidFill>
          </w14:textFill>
        </w:rPr>
        <w:t>在</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长垣县参木工业区</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建设</w:t>
      </w:r>
      <w:bookmarkStart w:id="2" w:name="_GoBack"/>
      <w:bookmarkEnd w:id="2"/>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年产100台抓斗项目，共占地4111m</w:t>
      </w:r>
      <w:r>
        <w:rPr>
          <w:rFonts w:hint="default" w:ascii="Times New Roman" w:hAnsi="Times New Roman" w:eastAsia="宋体" w:cs="Times New Roman"/>
          <w:b w:val="0"/>
          <w:bCs/>
          <w:color w:val="000000" w:themeColor="text1"/>
          <w:sz w:val="24"/>
          <w:szCs w:val="24"/>
          <w:vertAlign w:val="superscript"/>
          <w:lang w:val="en-US" w:eastAsia="zh-CN"/>
          <w14:textFill>
            <w14:solidFill>
              <w14:schemeClr w14:val="tx1"/>
            </w14:solidFill>
          </w14:textFill>
        </w:rPr>
        <w:t>2</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。项目总投资100万元</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，其中环保投资35.11万元。      </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（二）建设过程及环保审批情况</w:t>
      </w:r>
    </w:p>
    <w:p>
      <w:pPr>
        <w:pageBreakBefore w:val="0"/>
        <w:kinsoku/>
        <w:wordWrap/>
        <w:overflowPunct/>
        <w:topLinePunct w:val="0"/>
        <w:autoSpaceDE/>
        <w:autoSpaceDN/>
        <w:bidi w:val="0"/>
        <w:spacing w:after="0" w:line="500" w:lineRule="exact"/>
        <w:ind w:firstLine="480" w:firstLineChars="200"/>
        <w:textAlignment w:val="auto"/>
        <w:rPr>
          <w:rFonts w:hint="default" w:ascii="Times New Roman" w:hAnsi="Times New Roman" w:eastAsia="宋体"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color w:val="000000" w:themeColor="text1"/>
          <w:sz w:val="24"/>
          <w:szCs w:val="24"/>
          <w14:textFill>
            <w14:solidFill>
              <w14:schemeClr w14:val="tx1"/>
            </w14:solidFill>
          </w14:textFill>
        </w:rPr>
        <w:t>项目由来：</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河南森夫提抓具设备有限公司年产100台抓斗项目</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环境影响报告表</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》由</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甘肃宜洁环境工程科技有限公司编制完成了</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年产100台抓斗项目</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的环境影响报告表，2019年4月17日，获得长垣县环境保护局批复（长环审（2019）112号）</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本项目于</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2019年8月</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开工建设，</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2019年9月</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竣工。</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（三）投资情况</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总投资</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100万元，其中环保投资35.11万元</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，占比为</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35.11</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（四）验收范围</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本次验收范围为</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河南森夫提抓具设备有限公司年产100台抓斗项目</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的主体工程、配套设施、辅助设施、环保设施的建设、运行及环保要求落实情况</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二、工程变更情况</w:t>
      </w:r>
    </w:p>
    <w:p>
      <w:pPr>
        <w:keepNext w:val="0"/>
        <w:keepLines w:val="0"/>
        <w:pageBreakBefore w:val="0"/>
        <w:widowControl/>
        <w:kinsoku/>
        <w:wordWrap/>
        <w:overflowPunct/>
        <w:topLinePunct w:val="0"/>
        <w:autoSpaceDE/>
        <w:autoSpaceDN/>
        <w:bidi w:val="0"/>
        <w:adjustRightInd w:val="0"/>
        <w:snapToGrid w:val="0"/>
        <w:spacing w:after="0" w:afterLines="0" w:line="500" w:lineRule="exact"/>
        <w:ind w:firstLine="480" w:firstLineChars="200"/>
        <w:jc w:val="both"/>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对照《河南森夫提抓具设备有限公司年产100台抓斗项目环境影响报告表》及新乡市生态环境局长垣分局关于《河南森夫提抓具设备有限公司年产100台抓斗项目环境影响报告表》的批复。</w:t>
      </w:r>
    </w:p>
    <w:p>
      <w:pPr>
        <w:keepNext w:val="0"/>
        <w:keepLines w:val="0"/>
        <w:pageBreakBefore w:val="0"/>
        <w:widowControl/>
        <w:kinsoku/>
        <w:wordWrap/>
        <w:overflowPunct/>
        <w:topLinePunct w:val="0"/>
        <w:autoSpaceDE/>
        <w:autoSpaceDN/>
        <w:bidi w:val="0"/>
        <w:adjustRightInd w:val="0"/>
        <w:snapToGrid w:val="0"/>
        <w:spacing w:after="0" w:afterLines="0" w:line="500" w:lineRule="exact"/>
        <w:ind w:firstLine="480" w:firstLineChars="200"/>
        <w:jc w:val="both"/>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项目在实际建设中与环评相比，变动如下：</w:t>
      </w:r>
    </w:p>
    <w:p>
      <w:pPr>
        <w:pStyle w:val="2"/>
        <w:keepNext/>
        <w:keepLines/>
        <w:pageBreakBefore w:val="0"/>
        <w:widowControl/>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生产设施：焊机数量实际建设中仅有2台，经移动式焊烟除尘器处理后无组织排放；抛丸机工序取消。此次变动优于环评设计，不属于重大变动。</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满足《关于印发环评管理中部分行业建设项目重大变动清单的通知》（环境保护部办公厅文件，环办[2015]52号）、《环境影响评价法》及《建设项目环境保护管理条例》有关规定，可纳入竣工环境保护验收管理。</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三、环境保护设施建设情况</w:t>
      </w:r>
    </w:p>
    <w:p>
      <w:pPr>
        <w:pageBreakBefore w:val="0"/>
        <w:kinsoku/>
        <w:wordWrap/>
        <w:overflowPunct/>
        <w:topLinePunct w:val="0"/>
        <w:autoSpaceDE/>
        <w:autoSpaceDN/>
        <w:bidi w:val="0"/>
        <w:spacing w:after="0" w:line="500" w:lineRule="exact"/>
        <w:ind w:firstLine="480" w:firstLineChars="200"/>
        <w:textAlignment w:val="auto"/>
        <w:rPr>
          <w:rFonts w:hint="default" w:ascii="Times New Roman" w:hAnsi="Times New Roman" w:eastAsia="宋体"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color w:val="000000" w:themeColor="text1"/>
          <w:sz w:val="24"/>
          <w:szCs w:val="24"/>
          <w14:textFill>
            <w14:solidFill>
              <w14:schemeClr w14:val="tx1"/>
            </w14:solidFill>
          </w14:textFill>
        </w:rPr>
        <w:t>项目由来：</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河南森夫提抓具设备有限公司年产100台抓斗项目</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环境影响报告表</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》由</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深圳鹏环环保工程有限公司编制完成了</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年产100台抓斗项目</w:t>
      </w:r>
      <w:r>
        <w:rPr>
          <w:rFonts w:hint="default" w:ascii="Times New Roman" w:hAnsi="Times New Roman" w:eastAsia="宋体" w:cs="Times New Roman"/>
          <w:b w:val="0"/>
          <w:bCs/>
          <w:i w:val="0"/>
          <w:iCs w:val="0"/>
          <w:color w:val="000000" w:themeColor="text1"/>
          <w:sz w:val="24"/>
          <w:szCs w:val="24"/>
          <w:highlight w:val="none"/>
          <w:lang w:val="en-US" w:eastAsia="zh-CN"/>
          <w14:textFill>
            <w14:solidFill>
              <w14:schemeClr w14:val="tx1"/>
            </w14:solidFill>
          </w14:textFill>
        </w:rPr>
        <w:t>的环境影响报告表，2021年11月20日，获得长垣市生态环境分局批复（长环审</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（2020年）171号)。</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）废水</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14:textFill>
            <w14:solidFill>
              <w14:schemeClr w14:val="tx1"/>
            </w14:solidFill>
          </w14:textFill>
        </w:rPr>
        <w:t>本项目生活污水</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经</w:t>
      </w:r>
      <w:r>
        <w:rPr>
          <w:rFonts w:hint="default" w:ascii="Times New Roman" w:hAnsi="Times New Roman" w:eastAsia="宋体" w:cs="Times New Roman"/>
          <w:b w:val="0"/>
          <w:bCs/>
          <w:color w:val="000000" w:themeColor="text1"/>
          <w:sz w:val="24"/>
          <w:szCs w:val="24"/>
          <w14:textFill>
            <w14:solidFill>
              <w14:schemeClr w14:val="tx1"/>
            </w14:solidFill>
          </w14:textFill>
        </w:rPr>
        <w:t>厂区</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收集池</w:t>
      </w:r>
      <w:r>
        <w:rPr>
          <w:rFonts w:hint="default" w:ascii="Times New Roman" w:hAnsi="Times New Roman" w:eastAsia="宋体" w:cs="Times New Roman"/>
          <w:b w:val="0"/>
          <w:bCs/>
          <w:color w:val="000000" w:themeColor="text1"/>
          <w:sz w:val="24"/>
          <w:szCs w:val="24"/>
          <w14:textFill>
            <w14:solidFill>
              <w14:schemeClr w14:val="tx1"/>
            </w14:solidFill>
          </w14:textFill>
        </w:rPr>
        <w:t>处理后</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w:t>
      </w:r>
      <w:r>
        <w:rPr>
          <w:rFonts w:hint="default" w:ascii="Times New Roman" w:hAnsi="Times New Roman" w:eastAsia="宋体" w:cs="Times New Roman"/>
          <w:b w:val="0"/>
          <w:bCs/>
          <w:color w:val="000000" w:themeColor="text1"/>
          <w:kern w:val="0"/>
          <w:sz w:val="24"/>
          <w:szCs w:val="24"/>
          <w14:textFill>
            <w14:solidFill>
              <w14:schemeClr w14:val="tx1"/>
            </w14:solidFill>
          </w14:textFill>
        </w:rPr>
        <w:t>定期清掏</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，不外排。</w:t>
      </w:r>
    </w:p>
    <w:p>
      <w:pPr>
        <w:keepNext w:val="0"/>
        <w:keepLines w:val="0"/>
        <w:pageBreakBefore w:val="0"/>
        <w:widowControl/>
        <w:numPr>
          <w:ilvl w:val="0"/>
          <w:numId w:val="1"/>
        </w:numPr>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废气</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本项目营运期产生的生产废气</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经过滤棉+UV光催化装置+活性炭吸附装置+15m高排气筒排放</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处理后，可满足《关于全省开展工业企业挥发性有机物专项治理工作中排放建议值的通知》（豫环攻坚办[2017]162号）限值要求、</w:t>
      </w:r>
      <w:r>
        <w:rPr>
          <w:rFonts w:hint="default" w:ascii="Times New Roman" w:hAnsi="Times New Roman" w:eastAsia="宋体" w:cs="Times New Roman"/>
          <w:b w:val="0"/>
          <w:bCs/>
          <w:color w:val="000000" w:themeColor="text1"/>
          <w:sz w:val="24"/>
          <w:szCs w:val="24"/>
          <w14:textFill>
            <w14:solidFill>
              <w14:schemeClr w14:val="tx1"/>
            </w14:solidFill>
          </w14:textFill>
        </w:rPr>
        <w:t>《工业涂装工序挥发性有机物排放标准》（DB41/1951-2020）表1（</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专</w:t>
      </w:r>
      <w:r>
        <w:rPr>
          <w:rFonts w:hint="default" w:ascii="Times New Roman" w:hAnsi="Times New Roman" w:eastAsia="宋体" w:cs="Times New Roman"/>
          <w:b w:val="0"/>
          <w:bCs/>
          <w:color w:val="000000" w:themeColor="text1"/>
          <w:sz w:val="24"/>
          <w:szCs w:val="24"/>
          <w14:textFill>
            <w14:solidFill>
              <w14:schemeClr w14:val="tx1"/>
            </w14:solidFill>
          </w14:textFill>
        </w:rPr>
        <w:t>用设备制造业）</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）噪声</w:t>
      </w:r>
    </w:p>
    <w:p>
      <w:pPr>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color w:val="000000" w:themeColor="text1"/>
          <w:sz w:val="24"/>
          <w:szCs w:val="24"/>
          <w14:textFill>
            <w14:solidFill>
              <w14:schemeClr w14:val="tx1"/>
            </w14:solidFill>
          </w14:textFill>
        </w:rPr>
        <w:t>本项目主要噪声源为</w:t>
      </w:r>
      <w:r>
        <w:rPr>
          <w:rFonts w:hint="default" w:ascii="Times New Roman" w:hAnsi="Times New Roman" w:eastAsia="宋体" w:cs="Times New Roman"/>
          <w:b w:val="0"/>
          <w:bCs/>
          <w:color w:val="000000" w:themeColor="text1"/>
          <w:sz w:val="24"/>
          <w:szCs w:val="24"/>
          <w:lang w:eastAsia="zh-CN"/>
          <w14:textFill>
            <w14:solidFill>
              <w14:schemeClr w14:val="tx1"/>
            </w14:solidFill>
          </w14:textFill>
        </w:rPr>
        <w:t>车床、钻床、压力机</w:t>
      </w:r>
      <w:r>
        <w:rPr>
          <w:rFonts w:hint="default" w:ascii="Times New Roman" w:hAnsi="Times New Roman" w:eastAsia="宋体" w:cs="Times New Roman"/>
          <w:b w:val="0"/>
          <w:bCs/>
          <w:color w:val="000000" w:themeColor="text1"/>
          <w:sz w:val="24"/>
          <w:szCs w:val="24"/>
          <w14:textFill>
            <w14:solidFill>
              <w14:schemeClr w14:val="tx1"/>
            </w14:solidFill>
          </w14:textFill>
        </w:rPr>
        <w:t>等机械设施运行时产生的机械噪</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声，评价建议选用低噪声设备，同时设置基础减震、隔声降噪、吸声消声等措施，经预测可知，厂界噪声贡献值均满足《工业企业厂界环境噪声排放标准》（GB12348-2008）中2类标准要求</w:t>
      </w:r>
      <w:r>
        <w:rPr>
          <w:rFonts w:hint="default" w:ascii="Times New Roman" w:hAnsi="Times New Roman" w:eastAsia="宋体" w:cs="Times New Roman"/>
          <w:b w:val="0"/>
          <w:bCs/>
          <w:color w:val="000000" w:themeColor="text1"/>
          <w:kern w:val="2"/>
          <w:sz w:val="24"/>
          <w:szCs w:val="24"/>
          <w:lang w:val="en-US" w:eastAsia="zh-CN" w:bidi="ar-SA"/>
          <w14:textFill>
            <w14:solidFill>
              <w14:schemeClr w14:val="tx1"/>
            </w14:solidFill>
          </w14:textFill>
        </w:rPr>
        <w:t>。</w:t>
      </w:r>
    </w:p>
    <w:p>
      <w:pPr>
        <w:pStyle w:val="1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（4）固废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14:textFill>
            <w14:solidFill>
              <w14:schemeClr w14:val="tx1"/>
            </w14:solidFill>
          </w14:textFill>
        </w:rPr>
        <w:t>本项目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废边角料</w:t>
      </w:r>
      <w:r>
        <w:rPr>
          <w:rFonts w:hint="default" w:ascii="Times New Roman" w:hAnsi="Times New Roman" w:eastAsia="宋体" w:cs="Times New Roman"/>
          <w:b w:val="0"/>
          <w:bCs/>
          <w:color w:val="000000" w:themeColor="text1"/>
          <w:sz w:val="24"/>
          <w:szCs w:val="24"/>
          <w14:textFill>
            <w14:solidFill>
              <w14:schemeClr w14:val="tx1"/>
            </w14:solidFill>
          </w14:textFill>
        </w:rPr>
        <w:t>收集后外售；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厂区设危废暂存间，废漆桶和废活性炭等暂存后定期交由资质单位处置</w:t>
      </w:r>
      <w:r>
        <w:rPr>
          <w:rFonts w:hint="default" w:ascii="Times New Roman" w:hAnsi="Times New Roman" w:eastAsia="宋体" w:cs="Times New Roman"/>
          <w:b w:val="0"/>
          <w:bCs/>
          <w:color w:val="000000" w:themeColor="text1"/>
          <w:sz w:val="24"/>
          <w:szCs w:val="24"/>
          <w14:textFill>
            <w14:solidFill>
              <w14:schemeClr w14:val="tx1"/>
            </w14:solidFill>
          </w14:textFill>
        </w:rPr>
        <w:t>；生活垃圾</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经收集后由</w:t>
      </w:r>
      <w:r>
        <w:rPr>
          <w:rFonts w:hint="default" w:ascii="Times New Roman" w:hAnsi="Times New Roman" w:eastAsia="宋体" w:cs="Times New Roman"/>
          <w:b w:val="0"/>
          <w:bCs/>
          <w:color w:val="000000" w:themeColor="text1"/>
          <w:sz w:val="24"/>
          <w:szCs w:val="24"/>
          <w14:textFill>
            <w14:solidFill>
              <w14:schemeClr w14:val="tx1"/>
            </w14:solidFill>
          </w14:textFill>
        </w:rPr>
        <w:t>当地环卫部门处置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四、环境保护设施调试效果</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（一）污染物达标排放情况</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根据《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河南森夫提抓具设备有限公司年产100台抓斗项目</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竣工环境保护验收监测报告》，监测期间，</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河南森夫提抓具设备有限公司工况稳定，生产工况符合检测要求</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。监测结果表明：</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废气</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苯、甲苯、二甲苯未检出，</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本项目经处理后</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非甲烷总烃</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的排放浓度在7.24-7.61</w:t>
      </w:r>
      <w:r>
        <w:rPr>
          <w:rFonts w:hint="default" w:ascii="Times New Roman" w:hAnsi="Times New Roman" w:eastAsia="宋体" w:cs="Times New Roman"/>
          <w:b w:val="0"/>
          <w:bCs/>
          <w:color w:val="000000" w:themeColor="text1"/>
          <w:sz w:val="24"/>
          <w:szCs w:val="24"/>
          <w14:textFill>
            <w14:solidFill>
              <w14:schemeClr w14:val="tx1"/>
            </w14:solidFill>
          </w14:textFill>
        </w:rPr>
        <w:t>mg/m</w:t>
      </w:r>
      <w:r>
        <w:rPr>
          <w:rFonts w:hint="default" w:ascii="Times New Roman" w:hAnsi="Times New Roman" w:eastAsia="宋体" w:cs="Times New Roman"/>
          <w:b w:val="0"/>
          <w:bCs/>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b w:val="0"/>
          <w:bCs/>
          <w:color w:val="000000" w:themeColor="text1"/>
          <w:sz w:val="24"/>
          <w:szCs w:val="24"/>
          <w:vertAlign w:val="baseline"/>
          <w:lang w:eastAsia="zh-CN"/>
          <w14:textFill>
            <w14:solidFill>
              <w14:schemeClr w14:val="tx1"/>
            </w14:solidFill>
          </w14:textFill>
        </w:rPr>
        <w:t>之间，</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满足</w:t>
      </w:r>
      <w:r>
        <w:rPr>
          <w:rFonts w:hint="default" w:ascii="Times New Roman" w:hAnsi="Times New Roman" w:eastAsia="宋体" w:cs="Times New Roman"/>
          <w:b w:val="0"/>
          <w:bCs/>
          <w:color w:val="000000" w:themeColor="text1"/>
          <w:sz w:val="24"/>
          <w:szCs w:val="24"/>
          <w:shd w:val="clear" w:color="auto" w:fill="auto"/>
          <w:lang w:eastAsia="zh-CN"/>
          <w14:textFill>
            <w14:solidFill>
              <w14:schemeClr w14:val="tx1"/>
            </w14:solidFill>
          </w14:textFill>
        </w:rPr>
        <w:t>《关于全省开展工业企业挥发性有机物专项治理工作中排放建议值的通知》（豫环攻坚办〔2017〕162号）附件</w:t>
      </w:r>
      <w:r>
        <w:rPr>
          <w:rFonts w:hint="default" w:ascii="Times New Roman" w:hAnsi="Times New Roman" w:eastAsia="宋体" w:cs="Times New Roman"/>
          <w:b w:val="0"/>
          <w:bCs/>
          <w:color w:val="000000" w:themeColor="text1"/>
          <w:sz w:val="24"/>
          <w:szCs w:val="24"/>
          <w:shd w:val="clear" w:color="auto" w:fill="auto"/>
          <w:lang w:val="en-US" w:eastAsia="zh-CN"/>
          <w14:textFill>
            <w14:solidFill>
              <w14:schemeClr w14:val="tx1"/>
            </w14:solidFill>
          </w14:textFill>
        </w:rPr>
        <w:t>2排放限值的要求</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《工业涂装工序挥发性有机物排放标准》DB41/95-2020表1排放限值（非甲烷总烃排放浓度≤50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、苯排放浓度≤1</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、甲苯与二甲苯合计≤20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，非甲烷总烃去除效率不低于70%）</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both"/>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无组织废气中</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无组织苯未检出，无组织甲苯未检出，无组织二甲苯未检出，非甲烷总烃、</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颗粒物排放浓度满足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shd w:val="clear" w:color="auto" w:fill="auto"/>
          <w:lang w:eastAsia="zh-CN"/>
          <w14:textFill>
            <w14:solidFill>
              <w14:schemeClr w14:val="tx1"/>
            </w14:solidFill>
          </w14:textFill>
        </w:rPr>
        <w:t>《关于全省开展工业企业挥发性有机物专项治理工作中排放建议值的通知》（豫环攻坚办〔2017〕162号）附件</w:t>
      </w:r>
      <w:r>
        <w:rPr>
          <w:rFonts w:hint="default" w:ascii="Times New Roman" w:hAnsi="Times New Roman" w:eastAsia="宋体" w:cs="Times New Roman"/>
          <w:b w:val="0"/>
          <w:bCs/>
          <w:color w:val="000000" w:themeColor="text1"/>
          <w:sz w:val="24"/>
          <w:szCs w:val="24"/>
          <w:shd w:val="clear" w:color="auto" w:fill="auto"/>
          <w:lang w:val="en-US" w:eastAsia="zh-CN"/>
          <w14:textFill>
            <w14:solidFill>
              <w14:schemeClr w14:val="tx1"/>
            </w14:solidFill>
          </w14:textFill>
        </w:rPr>
        <w:t>2排放限值的要求</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《工业涂装工序挥发性有机物排放标准》DB41/95-2020表1排放限值（非甲烷总烃排放浓度≤50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、苯排放浓度≤1</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、甲苯与二甲苯合计≤20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，非甲烷总烃去除效率不低于70%）</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w:t>
      </w:r>
    </w:p>
    <w:p>
      <w:pPr>
        <w:pStyle w:val="1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噪声</w:t>
      </w:r>
    </w:p>
    <w:p>
      <w:pPr>
        <w:pStyle w:val="6"/>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本项目厂界昼间噪声在52-57dB（A）间，能够达到《工业企业厂界环境噪声排放标准》（GB12348-2008）2类标准要求。</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（3）固废</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leftChars="0"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14:textFill>
            <w14:solidFill>
              <w14:schemeClr w14:val="tx1"/>
            </w14:solidFill>
          </w14:textFill>
        </w:rPr>
        <w:t>本项目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废边角料</w:t>
      </w:r>
      <w:r>
        <w:rPr>
          <w:rFonts w:hint="default" w:ascii="Times New Roman" w:hAnsi="Times New Roman" w:eastAsia="宋体" w:cs="Times New Roman"/>
          <w:b w:val="0"/>
          <w:bCs/>
          <w:color w:val="000000" w:themeColor="text1"/>
          <w:sz w:val="24"/>
          <w:szCs w:val="24"/>
          <w14:textFill>
            <w14:solidFill>
              <w14:schemeClr w14:val="tx1"/>
            </w14:solidFill>
          </w14:textFill>
        </w:rPr>
        <w:t>收集后外售；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厂区设危废暂存间，废漆桶和废活性炭等暂存后定期交由资质单位处置</w:t>
      </w:r>
      <w:r>
        <w:rPr>
          <w:rFonts w:hint="default" w:ascii="Times New Roman" w:hAnsi="Times New Roman" w:eastAsia="宋体" w:cs="Times New Roman"/>
          <w:b w:val="0"/>
          <w:bCs/>
          <w:color w:val="000000" w:themeColor="text1"/>
          <w:sz w:val="24"/>
          <w:szCs w:val="24"/>
          <w14:textFill>
            <w14:solidFill>
              <w14:schemeClr w14:val="tx1"/>
            </w14:solidFill>
          </w14:textFill>
        </w:rPr>
        <w:t>；生活垃圾</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经收集后由</w:t>
      </w:r>
      <w:r>
        <w:rPr>
          <w:rFonts w:hint="default" w:ascii="Times New Roman" w:hAnsi="Times New Roman" w:eastAsia="宋体" w:cs="Times New Roman"/>
          <w:b w:val="0"/>
          <w:bCs/>
          <w:color w:val="000000" w:themeColor="text1"/>
          <w:sz w:val="24"/>
          <w:szCs w:val="24"/>
          <w14:textFill>
            <w14:solidFill>
              <w14:schemeClr w14:val="tx1"/>
            </w14:solidFill>
          </w14:textFill>
        </w:rPr>
        <w:t>当地环卫部门处置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240" w:firstLineChars="1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（二）环保设施去除效率</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 xml:space="preserve"> </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（1）</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废气</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苯、甲苯、二甲苯未检出，</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本项目经处理后</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非甲烷总烃</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的排放浓度在7.24-7.61</w:t>
      </w:r>
      <w:r>
        <w:rPr>
          <w:rFonts w:hint="default" w:ascii="Times New Roman" w:hAnsi="Times New Roman" w:eastAsia="宋体" w:cs="Times New Roman"/>
          <w:b w:val="0"/>
          <w:bCs/>
          <w:color w:val="000000" w:themeColor="text1"/>
          <w:sz w:val="24"/>
          <w:szCs w:val="24"/>
          <w14:textFill>
            <w14:solidFill>
              <w14:schemeClr w14:val="tx1"/>
            </w14:solidFill>
          </w14:textFill>
        </w:rPr>
        <w:t>mg/m</w:t>
      </w:r>
      <w:r>
        <w:rPr>
          <w:rFonts w:hint="default" w:ascii="Times New Roman" w:hAnsi="Times New Roman" w:eastAsia="宋体" w:cs="Times New Roman"/>
          <w:b w:val="0"/>
          <w:bCs/>
          <w:color w:val="000000" w:themeColor="text1"/>
          <w:sz w:val="24"/>
          <w:szCs w:val="24"/>
          <w:vertAlign w:val="superscript"/>
          <w14:textFill>
            <w14:solidFill>
              <w14:schemeClr w14:val="tx1"/>
            </w14:solidFill>
          </w14:textFill>
        </w:rPr>
        <w:t>3</w:t>
      </w:r>
      <w:r>
        <w:rPr>
          <w:rFonts w:hint="default" w:ascii="Times New Roman" w:hAnsi="Times New Roman" w:eastAsia="宋体" w:cs="Times New Roman"/>
          <w:b w:val="0"/>
          <w:bCs/>
          <w:color w:val="000000" w:themeColor="text1"/>
          <w:sz w:val="24"/>
          <w:szCs w:val="24"/>
          <w:vertAlign w:val="baseline"/>
          <w:lang w:eastAsia="zh-CN"/>
          <w14:textFill>
            <w14:solidFill>
              <w14:schemeClr w14:val="tx1"/>
            </w14:solidFill>
          </w14:textFill>
        </w:rPr>
        <w:t>之间，</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满足</w:t>
      </w:r>
      <w:r>
        <w:rPr>
          <w:rFonts w:hint="default" w:ascii="Times New Roman" w:hAnsi="Times New Roman" w:eastAsia="宋体" w:cs="Times New Roman"/>
          <w:b w:val="0"/>
          <w:bCs/>
          <w:color w:val="000000" w:themeColor="text1"/>
          <w:sz w:val="24"/>
          <w:szCs w:val="24"/>
          <w:shd w:val="clear" w:color="auto" w:fill="auto"/>
          <w:lang w:eastAsia="zh-CN"/>
          <w14:textFill>
            <w14:solidFill>
              <w14:schemeClr w14:val="tx1"/>
            </w14:solidFill>
          </w14:textFill>
        </w:rPr>
        <w:t>《关于全省开展工业企业挥发性有机物专项治理工作中排放建议值的通知》（豫环攻坚办〔2017〕162号）附件</w:t>
      </w:r>
      <w:r>
        <w:rPr>
          <w:rFonts w:hint="default" w:ascii="Times New Roman" w:hAnsi="Times New Roman" w:eastAsia="宋体" w:cs="Times New Roman"/>
          <w:b w:val="0"/>
          <w:bCs/>
          <w:color w:val="000000" w:themeColor="text1"/>
          <w:sz w:val="24"/>
          <w:szCs w:val="24"/>
          <w:shd w:val="clear" w:color="auto" w:fill="auto"/>
          <w:lang w:val="en-US" w:eastAsia="zh-CN"/>
          <w14:textFill>
            <w14:solidFill>
              <w14:schemeClr w14:val="tx1"/>
            </w14:solidFill>
          </w14:textFill>
        </w:rPr>
        <w:t>2排放限值的要求</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《工业涂装工序挥发性有机物排放标准》DB41/95-2020表1排放限值（非甲烷总烃排放浓度≤50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、苯排放浓度≤1</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、甲苯与二甲苯合计≤20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，非甲烷总烃去除效率不低于70%）</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both"/>
        <w:textAlignment w:val="auto"/>
        <w:outlineLvl w:val="9"/>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无组织废气中</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无组织苯未检出，无组织甲苯未检出，无组织二甲苯未检出，非甲烷总烃、</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颗粒物排放浓度满足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shd w:val="clear" w:color="auto" w:fill="auto"/>
          <w:lang w:eastAsia="zh-CN"/>
          <w14:textFill>
            <w14:solidFill>
              <w14:schemeClr w14:val="tx1"/>
            </w14:solidFill>
          </w14:textFill>
        </w:rPr>
        <w:t>《关于全省开展工业企业挥发性有机物专项治理工作中排放建议值的通知》（豫环攻坚办〔2017〕162号）附件</w:t>
      </w:r>
      <w:r>
        <w:rPr>
          <w:rFonts w:hint="default" w:ascii="Times New Roman" w:hAnsi="Times New Roman" w:eastAsia="宋体" w:cs="Times New Roman"/>
          <w:b w:val="0"/>
          <w:bCs/>
          <w:color w:val="000000" w:themeColor="text1"/>
          <w:sz w:val="24"/>
          <w:szCs w:val="24"/>
          <w:shd w:val="clear" w:color="auto" w:fill="auto"/>
          <w:lang w:val="en-US" w:eastAsia="zh-CN"/>
          <w14:textFill>
            <w14:solidFill>
              <w14:schemeClr w14:val="tx1"/>
            </w14:solidFill>
          </w14:textFill>
        </w:rPr>
        <w:t>2排放限值的要求</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《工业涂装工序挥发性有机物排放标准》DB41/95-2020表1排放限值（非甲烷总烃排放浓度≤50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、苯排放浓度≤1</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、甲苯与二甲苯合计≤20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，非甲烷总烃去除效率不低于70%）</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w:t>
      </w:r>
    </w:p>
    <w:p>
      <w:pPr>
        <w:pStyle w:val="13"/>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0" w:beforeLines="0" w:beforeAutospacing="0" w:after="0" w:afterAutospacing="0" w:line="500" w:lineRule="exact"/>
        <w:ind w:right="0" w:rightChars="0"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2</w:t>
      </w: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14:textFill>
            <w14:solidFill>
              <w14:schemeClr w14:val="tx1"/>
            </w14:solidFill>
          </w14:textFill>
        </w:rPr>
        <w:t>噪声</w:t>
      </w:r>
    </w:p>
    <w:p>
      <w:pPr>
        <w:pStyle w:val="6"/>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本项目厂界昼间噪声在52-57dB（A）间，能够达到《工业企业厂界环境噪声排放标准》（GB12348-2008）2类标准要求。</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500" w:lineRule="exact"/>
        <w:ind w:firstLine="480" w:firstLineChars="200"/>
        <w:jc w:val="left"/>
        <w:textAlignment w:val="auto"/>
        <w:outlineLvl w:val="9"/>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（3）固废</w:t>
      </w:r>
    </w:p>
    <w:p>
      <w:pPr>
        <w:pStyle w:val="6"/>
        <w:keepNext w:val="0"/>
        <w:keepLines w:val="0"/>
        <w:pageBreakBefore w:val="0"/>
        <w:widowControl/>
        <w:kinsoku/>
        <w:wordWrap/>
        <w:overflowPunct/>
        <w:topLinePunct w:val="0"/>
        <w:autoSpaceDE/>
        <w:autoSpaceDN/>
        <w:bidi w:val="0"/>
        <w:adjustRightInd w:val="0"/>
        <w:snapToGrid w:val="0"/>
        <w:spacing w:after="0" w:line="500" w:lineRule="exact"/>
        <w:ind w:firstLine="480" w:firstLineChars="200"/>
        <w:textAlignment w:val="auto"/>
        <w:outlineLvl w:val="9"/>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14:textFill>
            <w14:solidFill>
              <w14:schemeClr w14:val="tx1"/>
            </w14:solidFill>
          </w14:textFill>
        </w:rPr>
        <w:t>本项目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废铁屑</w:t>
      </w:r>
      <w:r>
        <w:rPr>
          <w:rFonts w:hint="default" w:ascii="Times New Roman" w:hAnsi="Times New Roman" w:eastAsia="宋体" w:cs="Times New Roman"/>
          <w:b w:val="0"/>
          <w:bCs/>
          <w:color w:val="000000" w:themeColor="text1"/>
          <w:sz w:val="24"/>
          <w:szCs w:val="24"/>
          <w14:textFill>
            <w14:solidFill>
              <w14:schemeClr w14:val="tx1"/>
            </w14:solidFill>
          </w14:textFill>
        </w:rPr>
        <w:t>收集后外售；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厂区设危废暂存间，废机油暂存后定期交由资质单位处置</w:t>
      </w:r>
      <w:r>
        <w:rPr>
          <w:rFonts w:hint="default" w:ascii="Times New Roman" w:hAnsi="Times New Roman" w:eastAsia="宋体" w:cs="Times New Roman"/>
          <w:b w:val="0"/>
          <w:bCs/>
          <w:color w:val="000000" w:themeColor="text1"/>
          <w:sz w:val="24"/>
          <w:szCs w:val="24"/>
          <w14:textFill>
            <w14:solidFill>
              <w14:schemeClr w14:val="tx1"/>
            </w14:solidFill>
          </w14:textFill>
        </w:rPr>
        <w:t>；</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废棉纱与</w:t>
      </w:r>
      <w:r>
        <w:rPr>
          <w:rFonts w:hint="default" w:ascii="Times New Roman" w:hAnsi="Times New Roman" w:eastAsia="宋体" w:cs="Times New Roman"/>
          <w:b w:val="0"/>
          <w:bCs/>
          <w:color w:val="000000" w:themeColor="text1"/>
          <w:sz w:val="24"/>
          <w:szCs w:val="24"/>
          <w14:textFill>
            <w14:solidFill>
              <w14:schemeClr w14:val="tx1"/>
            </w14:solidFill>
          </w14:textFill>
        </w:rPr>
        <w:t>生活垃圾</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经收集后一起由</w:t>
      </w:r>
      <w:r>
        <w:rPr>
          <w:rFonts w:hint="default" w:ascii="Times New Roman" w:hAnsi="Times New Roman" w:eastAsia="宋体" w:cs="Times New Roman"/>
          <w:b w:val="0"/>
          <w:bCs/>
          <w:color w:val="000000" w:themeColor="text1"/>
          <w:sz w:val="24"/>
          <w:szCs w:val="24"/>
          <w14:textFill>
            <w14:solidFill>
              <w14:schemeClr w14:val="tx1"/>
            </w14:solidFill>
          </w14:textFill>
        </w:rPr>
        <w:t>当地环卫部门处置</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Style w:val="13"/>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ind w:right="0" w:rightChars="0"/>
        <w:textAlignment w:val="auto"/>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eastAsia="zh-CN"/>
          <w14:textFill>
            <w14:solidFill>
              <w14:schemeClr w14:val="tx1"/>
            </w14:solidFill>
          </w14:textFill>
        </w:rPr>
        <w:t>五、验收结论</w:t>
      </w:r>
    </w:p>
    <w:p>
      <w:pPr>
        <w:pStyle w:val="4"/>
        <w:pageBreakBefore w:val="0"/>
        <w:widowControl/>
        <w:numPr>
          <w:ilvl w:val="0"/>
          <w:numId w:val="0"/>
        </w:numPr>
        <w:kinsoku/>
        <w:wordWrap/>
        <w:overflowPunct/>
        <w:topLinePunct w:val="0"/>
        <w:autoSpaceDE/>
        <w:autoSpaceDN/>
        <w:bidi w:val="0"/>
        <w:adjustRightInd w:val="0"/>
        <w:snapToGrid w:val="0"/>
        <w:spacing w:before="0" w:beforeLines="0"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1、验收监测期间，该公司生产运行正常，生产负荷满足验收监测工况要求。</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2、验收监测期间，</w:t>
      </w:r>
      <w:r>
        <w:rPr>
          <w:rFonts w:hint="default" w:ascii="Times New Roman" w:hAnsi="Times New Roman" w:eastAsia="宋体" w:cs="Times New Roman"/>
          <w:b w:val="0"/>
          <w:bCs/>
          <w:color w:val="000000" w:themeColor="text1"/>
          <w:kern w:val="2"/>
          <w:sz w:val="24"/>
          <w:szCs w:val="24"/>
          <w:lang w:val="en-US" w:eastAsia="zh-CN"/>
          <w14:textFill>
            <w14:solidFill>
              <w14:schemeClr w14:val="tx1"/>
            </w14:solidFill>
          </w14:textFill>
        </w:rPr>
        <w:t>本项目废气排放浓度满足</w:t>
      </w:r>
      <w:r>
        <w:rPr>
          <w:rFonts w:hint="default" w:ascii="Times New Roman" w:hAnsi="Times New Roman" w:eastAsia="宋体" w:cs="Times New Roman"/>
          <w:b w:val="0"/>
          <w:bCs/>
          <w:color w:val="000000" w:themeColor="text1"/>
          <w:sz w:val="24"/>
          <w:szCs w:val="24"/>
          <w:u w:val="none"/>
          <w14:textFill>
            <w14:solidFill>
              <w14:schemeClr w14:val="tx1"/>
            </w14:solidFill>
          </w14:textFill>
        </w:rPr>
        <w:t>《新乡市生态环境局关于进一步规范工业企业颗粒物排放限值的通知》</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shd w:val="clear" w:color="auto" w:fill="auto"/>
          <w:lang w:eastAsia="zh-CN"/>
          <w14:textFill>
            <w14:solidFill>
              <w14:schemeClr w14:val="tx1"/>
            </w14:solidFill>
          </w14:textFill>
        </w:rPr>
        <w:t>《关于全省开展工业企业挥发性有机物专项治理工作中排放建议值的通知》（豫环攻坚办〔2017〕162号）附件</w:t>
      </w:r>
      <w:r>
        <w:rPr>
          <w:rFonts w:hint="default" w:ascii="Times New Roman" w:hAnsi="Times New Roman" w:eastAsia="宋体" w:cs="Times New Roman"/>
          <w:b w:val="0"/>
          <w:bCs/>
          <w:color w:val="000000" w:themeColor="text1"/>
          <w:sz w:val="24"/>
          <w:szCs w:val="24"/>
          <w:shd w:val="clear" w:color="auto" w:fill="auto"/>
          <w:lang w:val="en-US" w:eastAsia="zh-CN"/>
          <w14:textFill>
            <w14:solidFill>
              <w14:schemeClr w14:val="tx1"/>
            </w14:solidFill>
          </w14:textFill>
        </w:rPr>
        <w:t>2排放限值的要求</w:t>
      </w:r>
      <w:r>
        <w:rPr>
          <w:rFonts w:hint="default" w:ascii="Times New Roman" w:hAnsi="Times New Roman" w:eastAsia="宋体" w:cs="Times New Roman"/>
          <w:b w:val="0"/>
          <w:bCs/>
          <w:color w:val="000000" w:themeColor="text1"/>
          <w:sz w:val="24"/>
          <w:szCs w:val="24"/>
          <w:u w:val="none"/>
          <w:lang w:eastAsia="zh-CN"/>
          <w14:textFill>
            <w14:solidFill>
              <w14:schemeClr w14:val="tx1"/>
            </w14:solidFill>
          </w14:textFill>
        </w:rPr>
        <w:t>、</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《工业涂装工序挥发性有机物排放标准》DB41/95-2020表1排放限值（非甲烷总烃排放浓度≤50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、苯排放浓度≤1</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、甲苯与二甲苯合计≤20</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mg/m</w:t>
      </w:r>
      <w:r>
        <w:rPr>
          <w:rFonts w:hint="default" w:ascii="Times New Roman" w:hAnsi="Times New Roman" w:eastAsia="宋体" w:cs="Times New Roman"/>
          <w:b w:val="0"/>
          <w:bCs/>
          <w:color w:val="000000" w:themeColor="text1"/>
          <w:sz w:val="24"/>
          <w:szCs w:val="24"/>
          <w:highlight w:val="none"/>
          <w:vertAlign w:val="superscript"/>
          <w:lang w:val="en-US" w:eastAsia="zh-CN"/>
          <w14:textFill>
            <w14:solidFill>
              <w14:schemeClr w14:val="tx1"/>
            </w14:solidFill>
          </w14:textFill>
        </w:rPr>
        <w:t>3</w:t>
      </w:r>
      <w:r>
        <w:rPr>
          <w:rFonts w:hint="default" w:ascii="Times New Roman" w:hAnsi="Times New Roman" w:eastAsia="宋体" w:cs="Times New Roman"/>
          <w:b w:val="0"/>
          <w:bCs/>
          <w:color w:val="000000" w:themeColor="text1"/>
          <w:sz w:val="24"/>
          <w:szCs w:val="24"/>
          <w:highlight w:val="none"/>
          <w:vertAlign w:val="baseline"/>
          <w:lang w:val="en-US" w:eastAsia="zh-CN"/>
          <w14:textFill>
            <w14:solidFill>
              <w14:schemeClr w14:val="tx1"/>
            </w14:solidFill>
          </w14:textFill>
        </w:rPr>
        <w:t>，非甲烷总烃去除效率不低于70%）</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3、由监测结果</w:t>
      </w: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可知，</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本项目厂界昼间噪声在52-57dB（A）间，能够达到《工业企业厂界环境噪声排放标准》（GB12348-2008）2类标准要求。</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4、建议及意见</w:t>
      </w:r>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（1）建设单位应认真贯彻执行有关建设项目环境保护管理文件，建立健全各项环保规章制度，严格执行“三同时”制度。</w:t>
      </w:r>
    </w:p>
    <w:p>
      <w:pPr>
        <w:pStyle w:val="7"/>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（2）严格落实环评提出的各种污染物治理措施，将项目污染物对周围环境的影响降至最低。</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kern w:val="0"/>
          <w:sz w:val="24"/>
          <w:szCs w:val="24"/>
          <w:lang w:eastAsia="zh-CN"/>
          <w14:textFill>
            <w14:solidFill>
              <w14:schemeClr w14:val="tx1"/>
            </w14:solidFill>
          </w14:textFill>
        </w:rPr>
      </w:pP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（3）加强环保意识教育，制定环保设施操作规程，建立健全各项环保岗位责任制，确保环保设施正常、稳定运行。</w:t>
      </w:r>
    </w:p>
    <w:p>
      <w:pPr>
        <w:pageBreakBefore w:val="0"/>
        <w:widowControl/>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pPr>
      <w:bookmarkStart w:id="0" w:name="_Toc30656_WPSOffice_Level2"/>
      <w:bookmarkStart w:id="1" w:name="_Toc922_WPSOffice_Level2"/>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5、结论</w:t>
      </w:r>
      <w:bookmarkEnd w:id="0"/>
      <w:bookmarkEnd w:id="1"/>
    </w:p>
    <w:p>
      <w:pPr>
        <w:pageBreakBefore w:val="0"/>
        <w:widowControl/>
        <w:numPr>
          <w:ilvl w:val="0"/>
          <w:numId w:val="0"/>
        </w:numPr>
        <w:kinsoku/>
        <w:wordWrap/>
        <w:overflowPunct/>
        <w:topLinePunct w:val="0"/>
        <w:autoSpaceDE/>
        <w:autoSpaceDN/>
        <w:bidi w:val="0"/>
        <w:adjustRightInd w:val="0"/>
        <w:snapToGrid w:val="0"/>
        <w:spacing w:after="0" w:afterLines="0" w:line="500" w:lineRule="exact"/>
        <w:ind w:firstLine="480" w:firstLineChars="200"/>
        <w:textAlignment w:val="auto"/>
        <w:rPr>
          <w:rFonts w:hint="default" w:ascii="Times New Roman" w:hAnsi="Times New Roman" w:eastAsia="宋体" w:cs="Times New Roman"/>
          <w:b w:val="0"/>
          <w:bCs/>
          <w:color w:val="000000" w:themeColor="text1"/>
          <w:sz w:val="24"/>
          <w:szCs w:val="24"/>
          <w14:textFill>
            <w14:solidFill>
              <w14:schemeClr w14:val="tx1"/>
            </w14:solidFill>
          </w14:textFill>
        </w:rPr>
      </w:pPr>
      <w:r>
        <w:rPr>
          <w:rFonts w:hint="default" w:ascii="Times New Roman" w:hAnsi="Times New Roman" w:eastAsia="宋体" w:cs="Times New Roman"/>
          <w:b w:val="0"/>
          <w:bCs/>
          <w:color w:val="000000" w:themeColor="text1"/>
          <w:sz w:val="24"/>
          <w:szCs w:val="24"/>
          <w:highlight w:val="none"/>
          <w:lang w:val="en-US" w:eastAsia="zh-CN"/>
          <w14:textFill>
            <w14:solidFill>
              <w14:schemeClr w14:val="tx1"/>
            </w14:solidFill>
          </w14:textFill>
        </w:rPr>
        <w:t>本项目环境影响报告表经批准后，项目性质、规模、建设地点、采取的污染防治措施等均未发生重大变动，项目废水、废气、噪声、固废均达到国家排放标准，符合验收要求，符合环评及审批部门审批要求</w:t>
      </w:r>
      <w:r>
        <w:rPr>
          <w:rFonts w:hint="default" w:ascii="Times New Roman" w:hAnsi="Times New Roman" w:eastAsia="宋体" w:cs="Times New Roman"/>
          <w:b w:val="0"/>
          <w:bCs/>
          <w:color w:val="000000" w:themeColor="text1"/>
          <w:sz w:val="24"/>
          <w:szCs w:val="24"/>
          <w:lang w:val="en-US" w:eastAsia="zh-CN"/>
          <w14:textFill>
            <w14:solidFill>
              <w14:schemeClr w14:val="tx1"/>
            </w14:solidFill>
          </w14:textFill>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DD6525"/>
    <w:multiLevelType w:val="singleLevel"/>
    <w:tmpl w:val="E5DD652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1ZThhYzQwNDk5ZDY3ZGZiNjU0MDAwMDk4YzY2YjYifQ=="/>
  </w:docVars>
  <w:rsids>
    <w:rsidRoot w:val="6E864419"/>
    <w:rsid w:val="00412D05"/>
    <w:rsid w:val="04E80857"/>
    <w:rsid w:val="06B96578"/>
    <w:rsid w:val="06F23DF4"/>
    <w:rsid w:val="08E50D61"/>
    <w:rsid w:val="0B02531F"/>
    <w:rsid w:val="0E500EFF"/>
    <w:rsid w:val="127E7284"/>
    <w:rsid w:val="17091CCA"/>
    <w:rsid w:val="17A31444"/>
    <w:rsid w:val="1A4F7C5D"/>
    <w:rsid w:val="1A50477E"/>
    <w:rsid w:val="1B5C73FF"/>
    <w:rsid w:val="1D56307D"/>
    <w:rsid w:val="1FCD4EA9"/>
    <w:rsid w:val="23066841"/>
    <w:rsid w:val="25703F71"/>
    <w:rsid w:val="2EC16EB7"/>
    <w:rsid w:val="30A20FFD"/>
    <w:rsid w:val="31B462FA"/>
    <w:rsid w:val="33C2642B"/>
    <w:rsid w:val="34382DC3"/>
    <w:rsid w:val="354B2476"/>
    <w:rsid w:val="36143299"/>
    <w:rsid w:val="3906462E"/>
    <w:rsid w:val="3CB470AF"/>
    <w:rsid w:val="3F983F30"/>
    <w:rsid w:val="42E06899"/>
    <w:rsid w:val="42F859F0"/>
    <w:rsid w:val="443326A9"/>
    <w:rsid w:val="45101618"/>
    <w:rsid w:val="45463D3A"/>
    <w:rsid w:val="47075F93"/>
    <w:rsid w:val="499F5E0C"/>
    <w:rsid w:val="4A035E3B"/>
    <w:rsid w:val="4AD43A0B"/>
    <w:rsid w:val="4B646DDA"/>
    <w:rsid w:val="5C632E51"/>
    <w:rsid w:val="5C905465"/>
    <w:rsid w:val="5C922157"/>
    <w:rsid w:val="5DA85D6E"/>
    <w:rsid w:val="5E024F8B"/>
    <w:rsid w:val="5ED53584"/>
    <w:rsid w:val="63B6760A"/>
    <w:rsid w:val="641E2BAA"/>
    <w:rsid w:val="6A556F1B"/>
    <w:rsid w:val="6D494C87"/>
    <w:rsid w:val="6DBC5B56"/>
    <w:rsid w:val="6E006FBD"/>
    <w:rsid w:val="6E864419"/>
    <w:rsid w:val="6FEA142D"/>
    <w:rsid w:val="721B140B"/>
    <w:rsid w:val="728A02C5"/>
    <w:rsid w:val="72AF6714"/>
    <w:rsid w:val="759452A0"/>
    <w:rsid w:val="79627D3D"/>
    <w:rsid w:val="7AB95D8B"/>
    <w:rsid w:val="7BDD7F52"/>
    <w:rsid w:val="7BE371AA"/>
    <w:rsid w:val="7C140460"/>
    <w:rsid w:val="7C355B64"/>
    <w:rsid w:val="7CA57E62"/>
    <w:rsid w:val="7D6E6226"/>
    <w:rsid w:val="7DCF6F54"/>
    <w:rsid w:val="7DFC4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afterLines="0"/>
    </w:pPr>
    <w:rPr>
      <w:rFonts w:ascii="Tahoma" w:hAnsi="Tahoma" w:eastAsia="微软雅黑" w:cs="Times New Roman"/>
      <w:sz w:val="22"/>
      <w:szCs w:val="22"/>
      <w:lang w:val="en-US" w:eastAsia="zh-CN" w:bidi="ar-SA"/>
    </w:rPr>
  </w:style>
  <w:style w:type="paragraph" w:styleId="2">
    <w:name w:val="heading 1"/>
    <w:basedOn w:val="1"/>
    <w:next w:val="1"/>
    <w:qFormat/>
    <w:uiPriority w:val="0"/>
    <w:pPr>
      <w:keepNext/>
      <w:keepLines/>
      <w:snapToGrid w:val="0"/>
      <w:spacing w:before="100" w:beforeLines="100" w:beforeAutospacing="0" w:after="30" w:afterLines="30" w:afterAutospacing="0" w:line="360" w:lineRule="auto"/>
      <w:jc w:val="left"/>
      <w:outlineLvl w:val="0"/>
    </w:pPr>
    <w:rPr>
      <w:rFonts w:ascii="Times New Roman" w:hAnsi="Times New Roman"/>
      <w:b/>
      <w:kern w:val="44"/>
      <w:sz w:val="28"/>
    </w:rPr>
  </w:style>
  <w:style w:type="paragraph" w:styleId="3">
    <w:name w:val="heading 3"/>
    <w:basedOn w:val="1"/>
    <w:next w:val="1"/>
    <w:qFormat/>
    <w:uiPriority w:val="0"/>
    <w:pPr>
      <w:keepNext/>
      <w:keepLines/>
      <w:spacing w:beforeLines="0" w:afterLines="0" w:line="360" w:lineRule="auto"/>
      <w:ind w:firstLine="0" w:firstLineChars="0"/>
      <w:outlineLvl w:val="2"/>
    </w:pPr>
    <w:rPr>
      <w:rFonts w:ascii="Times New Roman" w:hAnsi="Times New Roman" w:eastAsia="黑体"/>
      <w:bCs/>
      <w:sz w:val="24"/>
      <w:szCs w:val="32"/>
    </w:rPr>
  </w:style>
  <w:style w:type="paragraph" w:styleId="4">
    <w:name w:val="heading 4"/>
    <w:basedOn w:val="1"/>
    <w:next w:val="1"/>
    <w:unhideWhenUsed/>
    <w:qFormat/>
    <w:uiPriority w:val="0"/>
    <w:pPr>
      <w:keepNext/>
      <w:keepLines/>
      <w:spacing w:before="280" w:beforeLines="0" w:after="290" w:afterLines="0" w:line="374" w:lineRule="auto"/>
      <w:outlineLvl w:val="3"/>
    </w:pPr>
    <w:rPr>
      <w:rFonts w:ascii="Cambria" w:hAnsi="Cambria" w:eastAsia="宋体" w:cs="Times New Roman"/>
      <w:b/>
      <w:bCs/>
      <w:kern w:val="2"/>
      <w:sz w:val="28"/>
      <w:szCs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next w:val="1"/>
    <w:qFormat/>
    <w:uiPriority w:val="0"/>
    <w:rPr>
      <w:kern w:val="2"/>
      <w:sz w:val="28"/>
    </w:rPr>
  </w:style>
  <w:style w:type="paragraph" w:styleId="6">
    <w:name w:val="annotation text"/>
    <w:basedOn w:val="1"/>
    <w:qFormat/>
    <w:uiPriority w:val="0"/>
    <w:pPr>
      <w:jc w:val="left"/>
    </w:pPr>
  </w:style>
  <w:style w:type="paragraph" w:styleId="7">
    <w:name w:val="Body Text"/>
    <w:basedOn w:val="1"/>
    <w:next w:val="8"/>
    <w:qFormat/>
    <w:uiPriority w:val="0"/>
    <w:pPr>
      <w:spacing w:after="120" w:afterLines="0"/>
    </w:pPr>
  </w:style>
  <w:style w:type="paragraph" w:customStyle="1" w:styleId="8">
    <w:name w:val="style4"/>
    <w:basedOn w:val="1"/>
    <w:next w:val="9"/>
    <w:qFormat/>
    <w:uiPriority w:val="0"/>
    <w:pPr>
      <w:widowControl/>
      <w:spacing w:before="280" w:after="280"/>
    </w:pPr>
    <w:rPr>
      <w:rFonts w:ascii="宋体"/>
      <w:sz w:val="18"/>
    </w:rPr>
  </w:style>
  <w:style w:type="paragraph" w:customStyle="1" w:styleId="9">
    <w:name w:val="2"/>
    <w:basedOn w:val="1"/>
    <w:next w:val="1"/>
    <w:qFormat/>
    <w:uiPriority w:val="0"/>
    <w:pPr>
      <w:adjustRightInd/>
      <w:snapToGrid/>
      <w:spacing w:before="50" w:beforeLines="50" w:line="480" w:lineRule="exact"/>
      <w:ind w:firstLine="522" w:firstLineChars="0"/>
    </w:pPr>
    <w:rPr>
      <w:snapToGrid/>
      <w:spacing w:val="4"/>
      <w:kern w:val="2"/>
      <w:szCs w:val="20"/>
    </w:rPr>
  </w:style>
  <w:style w:type="paragraph" w:styleId="10">
    <w:name w:val="Body Text Indent"/>
    <w:basedOn w:val="1"/>
    <w:qFormat/>
    <w:uiPriority w:val="0"/>
    <w:pPr>
      <w:spacing w:line="360" w:lineRule="auto"/>
      <w:ind w:firstLine="480" w:firstLineChars="200"/>
    </w:pPr>
    <w:rPr>
      <w:sz w:val="24"/>
    </w:rPr>
  </w:style>
  <w:style w:type="paragraph" w:styleId="11">
    <w:name w:val="Block Text"/>
    <w:basedOn w:val="1"/>
    <w:qFormat/>
    <w:uiPriority w:val="0"/>
    <w:pPr>
      <w:snapToGrid w:val="0"/>
      <w:spacing w:line="408" w:lineRule="auto"/>
      <w:ind w:left="-113" w:right="-510" w:firstLine="510"/>
    </w:pPr>
    <w:rPr>
      <w:sz w:val="24"/>
      <w:szCs w:val="20"/>
    </w:rPr>
  </w:style>
  <w:style w:type="paragraph" w:styleId="12">
    <w:name w:val="Plain Text"/>
    <w:basedOn w:val="1"/>
    <w:qFormat/>
    <w:uiPriority w:val="0"/>
    <w:rPr>
      <w:rFonts w:ascii="宋体" w:hAnsi="Courier New"/>
      <w:sz w:val="21"/>
    </w:rPr>
  </w:style>
  <w:style w:type="paragraph" w:styleId="13">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styleId="14">
    <w:name w:val="Body Text First Indent 2"/>
    <w:basedOn w:val="1"/>
    <w:next w:val="1"/>
    <w:qFormat/>
    <w:uiPriority w:val="0"/>
    <w:pPr>
      <w:spacing w:after="120"/>
      <w:ind w:left="420" w:leftChars="200" w:firstLine="420"/>
    </w:pPr>
    <w:rPr>
      <w:rFonts w:ascii="Times New Roman" w:hAnsi="Times New Roman" w:eastAsia="宋体"/>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bCs/>
    </w:rPr>
  </w:style>
  <w:style w:type="paragraph" w:customStyle="1" w:styleId="1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0">
    <w:name w:val="1.表头格式"/>
    <w:basedOn w:val="1"/>
    <w:next w:val="21"/>
    <w:qFormat/>
    <w:uiPriority w:val="0"/>
    <w:pPr>
      <w:ind w:firstLine="0" w:firstLineChars="0"/>
      <w:jc w:val="center"/>
    </w:pPr>
    <w:rPr>
      <w:rFonts w:eastAsia="黑体"/>
      <w:szCs w:val="24"/>
    </w:rPr>
  </w:style>
  <w:style w:type="paragraph" w:customStyle="1" w:styleId="21">
    <w:name w:val="1    正文"/>
    <w:basedOn w:val="1"/>
    <w:qFormat/>
    <w:uiPriority w:val="0"/>
  </w:style>
  <w:style w:type="paragraph" w:customStyle="1" w:styleId="22">
    <w:name w:val="1. 表格内容"/>
    <w:basedOn w:val="1"/>
    <w:qFormat/>
    <w:uiPriority w:val="0"/>
    <w:pPr>
      <w:snapToGrid w:val="0"/>
      <w:spacing w:line="240" w:lineRule="auto"/>
      <w:ind w:firstLine="0" w:firstLineChars="0"/>
      <w:jc w:val="center"/>
      <w:textAlignment w:val="baseline"/>
    </w:pPr>
    <w:rPr>
      <w:sz w:val="21"/>
      <w:szCs w:val="21"/>
    </w:rPr>
  </w:style>
  <w:style w:type="paragraph" w:customStyle="1" w:styleId="23">
    <w:name w:val="报告表正文"/>
    <w:basedOn w:val="1"/>
    <w:qFormat/>
    <w:uiPriority w:val="0"/>
    <w:pPr>
      <w:spacing w:line="360" w:lineRule="auto"/>
      <w:ind w:firstLine="200" w:firstLineChars="200"/>
    </w:pPr>
    <w:rPr>
      <w:rFonts w:eastAsia="楷体_GB2312"/>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2854</Words>
  <Characters>3239</Characters>
  <Lines>0</Lines>
  <Paragraphs>0</Paragraphs>
  <TotalTime>1</TotalTime>
  <ScaleCrop>false</ScaleCrop>
  <LinksUpToDate>false</LinksUpToDate>
  <CharactersWithSpaces>3246</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2018-05-27T00:31:00Z</dcterms:created>
  <dc:creator>Administrator</dc:creator>
  <cp:lastModifiedBy>叭叭啦叭叭</cp:lastModifiedBy>
  <dcterms:modified xsi:type="dcterms:W3CDTF">2022-12-09T09:31:19Z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E6E9378CE2EF40BEAFBCF4743D21CE7A</vt:lpwstr>
  </property>
</Properties>
</file>