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231"/>
        </w:tabs>
        <w:rPr>
          <w:rFonts w:hint="default" w:ascii="Times New Roman" w:hAnsi="Times New Roman" w:eastAsia="宋体" w:cs="Times New Roman"/>
          <w:b/>
          <w:color w:val="000000" w:themeColor="text1"/>
          <w:spacing w:val="40"/>
          <w:sz w:val="30"/>
          <w:szCs w:val="30"/>
          <w14:textFill>
            <w14:solidFill>
              <w14:schemeClr w14:val="tx1"/>
            </w14:solidFill>
          </w14:textFill>
        </w:rPr>
      </w:pPr>
      <w:bookmarkStart w:id="0" w:name="_Toc27170"/>
    </w:p>
    <w:p>
      <w:pPr>
        <w:pStyle w:val="12"/>
        <w:ind w:left="480" w:firstLine="480"/>
        <w:rPr>
          <w:rFonts w:hint="default" w:ascii="Times New Roman" w:hAnsi="Times New Roman" w:eastAsia="宋体" w:cs="Times New Roman"/>
          <w:color w:val="000000" w:themeColor="text1"/>
          <w14:textFill>
            <w14:solidFill>
              <w14:schemeClr w14:val="tx1"/>
            </w14:solidFill>
          </w14:textFill>
        </w:rPr>
      </w:pPr>
    </w:p>
    <w:p>
      <w:pPr>
        <w:tabs>
          <w:tab w:val="left" w:pos="6231"/>
        </w:tabs>
        <w:jc w:val="center"/>
        <w:rPr>
          <w:rFonts w:hint="default" w:ascii="Times New Roman" w:hAnsi="Times New Roman" w:eastAsia="宋体" w:cs="Times New Roman"/>
          <w:b/>
          <w:color w:val="000000" w:themeColor="text1"/>
          <w:spacing w:val="40"/>
          <w:sz w:val="60"/>
          <w:szCs w:val="60"/>
          <w14:textFill>
            <w14:solidFill>
              <w14:schemeClr w14:val="tx1"/>
            </w14:solidFill>
          </w14:textFill>
        </w:rPr>
      </w:pPr>
      <w:r>
        <w:rPr>
          <w:rFonts w:hint="default" w:ascii="Times New Roman" w:hAnsi="Times New Roman" w:eastAsia="宋体" w:cs="Times New Roman"/>
          <w:b/>
          <w:color w:val="000000" w:themeColor="text1"/>
          <w:spacing w:val="40"/>
          <w:sz w:val="60"/>
          <w:szCs w:val="60"/>
          <w14:textFill>
            <w14:solidFill>
              <w14:schemeClr w14:val="tx1"/>
            </w14:solidFill>
          </w14:textFill>
        </w:rPr>
        <w:t>建设项目竣工环境保护</w:t>
      </w:r>
    </w:p>
    <w:p>
      <w:pPr>
        <w:tabs>
          <w:tab w:val="left" w:pos="6231"/>
        </w:tabs>
        <w:jc w:val="center"/>
        <w:rPr>
          <w:rFonts w:hint="default" w:ascii="Times New Roman" w:hAnsi="Times New Roman" w:eastAsia="宋体" w:cs="Times New Roman"/>
          <w:b/>
          <w:color w:val="000000" w:themeColor="text1"/>
          <w:spacing w:val="40"/>
          <w:sz w:val="60"/>
          <w:szCs w:val="60"/>
          <w14:textFill>
            <w14:solidFill>
              <w14:schemeClr w14:val="tx1"/>
            </w14:solidFill>
          </w14:textFill>
        </w:rPr>
      </w:pPr>
      <w:r>
        <w:rPr>
          <w:rFonts w:hint="default" w:ascii="Times New Roman" w:hAnsi="Times New Roman" w:eastAsia="宋体" w:cs="Times New Roman"/>
          <w:b/>
          <w:color w:val="000000" w:themeColor="text1"/>
          <w:spacing w:val="40"/>
          <w:sz w:val="60"/>
          <w:szCs w:val="60"/>
          <w14:textFill>
            <w14:solidFill>
              <w14:schemeClr w14:val="tx1"/>
            </w14:solidFill>
          </w14:textFill>
        </w:rPr>
        <w:t>验收</w:t>
      </w:r>
      <w:r>
        <w:rPr>
          <w:rFonts w:hint="default" w:ascii="Times New Roman" w:hAnsi="Times New Roman" w:eastAsia="宋体" w:cs="Times New Roman"/>
          <w:b/>
          <w:color w:val="000000" w:themeColor="text1"/>
          <w:spacing w:val="40"/>
          <w:sz w:val="60"/>
          <w:szCs w:val="60"/>
          <w:lang w:eastAsia="zh-CN"/>
          <w14:textFill>
            <w14:solidFill>
              <w14:schemeClr w14:val="tx1"/>
            </w14:solidFill>
          </w14:textFill>
        </w:rPr>
        <w:t>调查</w:t>
      </w:r>
      <w:r>
        <w:rPr>
          <w:rFonts w:hint="default" w:ascii="Times New Roman" w:hAnsi="Times New Roman" w:eastAsia="宋体" w:cs="Times New Roman"/>
          <w:b/>
          <w:color w:val="000000" w:themeColor="text1"/>
          <w:spacing w:val="40"/>
          <w:sz w:val="60"/>
          <w:szCs w:val="60"/>
          <w14:textFill>
            <w14:solidFill>
              <w14:schemeClr w14:val="tx1"/>
            </w14:solidFill>
          </w14:textFill>
        </w:rPr>
        <w:t>表</w:t>
      </w:r>
    </w:p>
    <w:p>
      <w:pPr>
        <w:spacing w:beforeLines="100" w:afterLines="100" w:line="0" w:lineRule="atLeast"/>
        <w:jc w:val="center"/>
        <w:rPr>
          <w:rFonts w:hint="default" w:ascii="Times New Roman" w:hAnsi="Times New Roman" w:eastAsia="宋体" w:cs="Times New Roman"/>
          <w:color w:val="000000" w:themeColor="text1"/>
          <w:sz w:val="30"/>
          <w14:textFill>
            <w14:solidFill>
              <w14:schemeClr w14:val="tx1"/>
            </w14:solidFill>
          </w14:textFill>
        </w:rPr>
      </w:pPr>
      <w:r>
        <w:rPr>
          <w:rFonts w:hint="default" w:ascii="Times New Roman" w:hAnsi="Times New Roman" w:eastAsia="宋体" w:cs="Times New Roman"/>
          <w:color w:val="000000" w:themeColor="text1"/>
          <w:sz w:val="30"/>
          <w:lang w:eastAsia="zh-CN"/>
          <w14:textFill>
            <w14:solidFill>
              <w14:schemeClr w14:val="tx1"/>
            </w14:solidFill>
          </w14:textFill>
        </w:rPr>
        <w:t>昱坤</w:t>
      </w:r>
      <w:r>
        <w:rPr>
          <w:rFonts w:hint="default" w:ascii="Times New Roman" w:hAnsi="Times New Roman" w:eastAsia="宋体" w:cs="Times New Roman"/>
          <w:color w:val="000000" w:themeColor="text1"/>
          <w:sz w:val="30"/>
          <w14:textFill>
            <w14:solidFill>
              <w14:schemeClr w14:val="tx1"/>
            </w14:solidFill>
          </w14:textFill>
        </w:rPr>
        <w:t>验收字【20</w:t>
      </w:r>
      <w:r>
        <w:rPr>
          <w:rFonts w:hint="default" w:ascii="Times New Roman" w:hAnsi="Times New Roman" w:eastAsia="宋体" w:cs="Times New Roman"/>
          <w:color w:val="000000" w:themeColor="text1"/>
          <w:sz w:val="30"/>
          <w:lang w:val="en-US" w:eastAsia="zh-CN"/>
          <w14:textFill>
            <w14:solidFill>
              <w14:schemeClr w14:val="tx1"/>
            </w14:solidFill>
          </w14:textFill>
        </w:rPr>
        <w:t>22</w:t>
      </w:r>
      <w:r>
        <w:rPr>
          <w:rFonts w:hint="default" w:ascii="Times New Roman" w:hAnsi="Times New Roman" w:eastAsia="宋体" w:cs="Times New Roman"/>
          <w:color w:val="000000" w:themeColor="text1"/>
          <w:sz w:val="30"/>
          <w14:textFill>
            <w14:solidFill>
              <w14:schemeClr w14:val="tx1"/>
            </w14:solidFill>
          </w14:textFill>
        </w:rPr>
        <w:t>】第</w:t>
      </w:r>
      <w:r>
        <w:rPr>
          <w:rFonts w:hint="eastAsia" w:ascii="Times New Roman" w:hAnsi="Times New Roman" w:cs="Times New Roman"/>
          <w:color w:val="000000" w:themeColor="text1"/>
          <w:sz w:val="30"/>
          <w:lang w:val="en-US" w:eastAsia="zh-CN"/>
          <w14:textFill>
            <w14:solidFill>
              <w14:schemeClr w14:val="tx1"/>
            </w14:solidFill>
          </w14:textFill>
        </w:rPr>
        <w:t>107</w:t>
      </w:r>
      <w:r>
        <w:rPr>
          <w:rFonts w:hint="default" w:ascii="Times New Roman" w:hAnsi="Times New Roman" w:eastAsia="宋体" w:cs="Times New Roman"/>
          <w:color w:val="000000" w:themeColor="text1"/>
          <w:sz w:val="30"/>
          <w14:textFill>
            <w14:solidFill>
              <w14:schemeClr w14:val="tx1"/>
            </w14:solidFill>
          </w14:textFill>
        </w:rPr>
        <w:t>号</w:t>
      </w:r>
    </w:p>
    <w:p>
      <w:pPr>
        <w:jc w:val="center"/>
        <w:rPr>
          <w:rFonts w:hint="default" w:ascii="Times New Roman" w:hAnsi="Times New Roman" w:eastAsia="宋体" w:cs="Times New Roman"/>
          <w:color w:val="000000" w:themeColor="text1"/>
          <w:spacing w:val="40"/>
          <w:sz w:val="32"/>
          <w:szCs w:val="32"/>
          <w14:textFill>
            <w14:solidFill>
              <w14:schemeClr w14:val="tx1"/>
            </w14:solidFill>
          </w14:textFill>
        </w:rPr>
      </w:pPr>
    </w:p>
    <w:p>
      <w:pPr>
        <w:pStyle w:val="12"/>
        <w:ind w:left="0" w:leftChars="0" w:firstLine="0" w:firstLineChars="0"/>
        <w:rPr>
          <w:rFonts w:hint="default" w:ascii="Times New Roman" w:hAnsi="Times New Roman" w:eastAsia="宋体" w:cs="Times New Roman"/>
          <w:color w:val="000000" w:themeColor="text1"/>
          <w:spacing w:val="40"/>
          <w:sz w:val="32"/>
          <w:szCs w:val="32"/>
          <w14:textFill>
            <w14:solidFill>
              <w14:schemeClr w14:val="tx1"/>
            </w14:solidFill>
          </w14:textFill>
        </w:rPr>
      </w:pPr>
    </w:p>
    <w:p>
      <w:pPr>
        <w:pStyle w:val="12"/>
        <w:ind w:left="0" w:leftChars="0" w:firstLine="0" w:firstLineChars="0"/>
        <w:rPr>
          <w:rFonts w:hint="default" w:ascii="Times New Roman" w:hAnsi="Times New Roman" w:eastAsia="宋体" w:cs="Times New Roman"/>
          <w:color w:val="000000" w:themeColor="text1"/>
          <w:spacing w:val="40"/>
          <w:sz w:val="32"/>
          <w:szCs w:val="32"/>
          <w14:textFill>
            <w14:solidFill>
              <w14:schemeClr w14:val="tx1"/>
            </w14:solidFill>
          </w14:textFill>
        </w:rPr>
      </w:pPr>
    </w:p>
    <w:tbl>
      <w:tblPr>
        <w:tblStyle w:val="31"/>
        <w:tblpPr w:leftFromText="180" w:rightFromText="180" w:vertAnchor="text" w:horzAnchor="page" w:tblpXSpec="center" w:tblpY="558"/>
        <w:tblOverlap w:val="never"/>
        <w:tblW w:w="8310" w:type="dxa"/>
        <w:jc w:val="center"/>
        <w:tblLayout w:type="fixed"/>
        <w:tblCellMar>
          <w:top w:w="0" w:type="dxa"/>
          <w:left w:w="108" w:type="dxa"/>
          <w:bottom w:w="0" w:type="dxa"/>
          <w:right w:w="108" w:type="dxa"/>
        </w:tblCellMar>
      </w:tblPr>
      <w:tblGrid>
        <w:gridCol w:w="1666"/>
        <w:gridCol w:w="6644"/>
      </w:tblGrid>
      <w:tr>
        <w:tblPrEx>
          <w:tblCellMar>
            <w:top w:w="0" w:type="dxa"/>
            <w:left w:w="108" w:type="dxa"/>
            <w:bottom w:w="0" w:type="dxa"/>
            <w:right w:w="108" w:type="dxa"/>
          </w:tblCellMar>
        </w:tblPrEx>
        <w:trPr>
          <w:trHeight w:val="579" w:hRule="atLeast"/>
          <w:jc w:val="center"/>
        </w:trPr>
        <w:tc>
          <w:tcPr>
            <w:tcW w:w="1666" w:type="dxa"/>
            <w:vAlign w:val="center"/>
          </w:tcPr>
          <w:p>
            <w:pPr>
              <w:rPr>
                <w:rFonts w:hint="default" w:ascii="Times New Roman" w:hAnsi="Times New Roman" w:eastAsia="宋体" w:cs="Times New Roman"/>
                <w:b/>
                <w:bCs/>
                <w:color w:val="000000" w:themeColor="text1"/>
                <w:sz w:val="32"/>
                <w:szCs w:val="32"/>
                <w14:textFill>
                  <w14:solidFill>
                    <w14:schemeClr w14:val="tx1"/>
                  </w14:solidFill>
                </w14:textFill>
              </w:rPr>
            </w:pPr>
            <w:r>
              <w:rPr>
                <w:rFonts w:hint="default" w:ascii="Times New Roman" w:hAnsi="Times New Roman" w:eastAsia="宋体" w:cs="Times New Roman"/>
                <w:b/>
                <w:bCs/>
                <w:color w:val="000000" w:themeColor="text1"/>
                <w:sz w:val="32"/>
                <w:szCs w:val="32"/>
                <w14:textFill>
                  <w14:solidFill>
                    <w14:schemeClr w14:val="tx1"/>
                  </w14:solidFill>
                </w14:textFill>
              </w:rPr>
              <w:t xml:space="preserve">项目名称： </w:t>
            </w:r>
          </w:p>
        </w:tc>
        <w:tc>
          <w:tcPr>
            <w:tcW w:w="6644" w:type="dxa"/>
            <w:tcBorders>
              <w:bottom w:val="single" w:color="auto" w:sz="4" w:space="0"/>
            </w:tcBorders>
            <w:vAlign w:val="center"/>
          </w:tcPr>
          <w:p>
            <w:pPr>
              <w:jc w:val="center"/>
              <w:rPr>
                <w:rFonts w:hint="eastAsia" w:ascii="Times New Roman" w:hAnsi="Times New Roman" w:cs="Times New Roman"/>
                <w:b/>
                <w:bCs/>
                <w:color w:val="000000" w:themeColor="text1"/>
                <w:sz w:val="32"/>
                <w:szCs w:val="32"/>
                <w:lang w:val="en-US" w:eastAsia="zh-CN"/>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巴楚县阿拉格尔18村防洪点修建防洪堤坝</w:t>
            </w:r>
          </w:p>
          <w:p>
            <w:pPr>
              <w:jc w:val="cente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项目</w:t>
            </w:r>
          </w:p>
        </w:tc>
      </w:tr>
      <w:tr>
        <w:tblPrEx>
          <w:tblCellMar>
            <w:top w:w="0" w:type="dxa"/>
            <w:left w:w="108" w:type="dxa"/>
            <w:bottom w:w="0" w:type="dxa"/>
            <w:right w:w="108" w:type="dxa"/>
          </w:tblCellMar>
        </w:tblPrEx>
        <w:trPr>
          <w:trHeight w:val="828" w:hRule="atLeast"/>
          <w:jc w:val="center"/>
        </w:trPr>
        <w:tc>
          <w:tcPr>
            <w:tcW w:w="1666" w:type="dxa"/>
            <w:vAlign w:val="center"/>
          </w:tcPr>
          <w:p>
            <w:pPr>
              <w:rPr>
                <w:rFonts w:hint="default" w:ascii="Times New Roman" w:hAnsi="Times New Roman" w:eastAsia="宋体" w:cs="Times New Roman"/>
                <w:b/>
                <w:bCs/>
                <w:color w:val="000000" w:themeColor="text1"/>
                <w:sz w:val="72"/>
                <w:szCs w:val="72"/>
                <w14:textFill>
                  <w14:solidFill>
                    <w14:schemeClr w14:val="tx1"/>
                  </w14:solidFill>
                </w14:textFill>
              </w:rPr>
            </w:pPr>
            <w:r>
              <w:rPr>
                <w:rFonts w:hint="default" w:ascii="Times New Roman" w:hAnsi="Times New Roman" w:eastAsia="宋体" w:cs="Times New Roman"/>
                <w:b/>
                <w:bCs/>
                <w:color w:val="000000" w:themeColor="text1"/>
                <w:sz w:val="32"/>
                <w:szCs w:val="32"/>
                <w14:textFill>
                  <w14:solidFill>
                    <w14:schemeClr w14:val="tx1"/>
                  </w14:solidFill>
                </w14:textFill>
              </w:rPr>
              <w:t>建设单位：</w:t>
            </w:r>
          </w:p>
        </w:tc>
        <w:tc>
          <w:tcPr>
            <w:tcW w:w="6644" w:type="dxa"/>
            <w:tcBorders>
              <w:top w:val="single" w:color="auto" w:sz="4" w:space="0"/>
              <w:bottom w:val="single" w:color="auto" w:sz="4" w:space="0"/>
            </w:tcBorders>
            <w:vAlign w:val="center"/>
          </w:tcPr>
          <w:p>
            <w:pPr>
              <w:jc w:val="center"/>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t>巴楚县水利管理站</w:t>
            </w:r>
          </w:p>
        </w:tc>
      </w:tr>
    </w:tbl>
    <w:p>
      <w:pPr>
        <w:rPr>
          <w:rFonts w:hint="default" w:ascii="Times New Roman" w:hAnsi="Times New Roman" w:eastAsia="宋体" w:cs="Times New Roman"/>
          <w:color w:val="000000" w:themeColor="text1"/>
          <w:spacing w:val="40"/>
          <w:sz w:val="32"/>
          <w:szCs w:val="32"/>
          <w14:textFill>
            <w14:solidFill>
              <w14:schemeClr w14:val="tx1"/>
            </w14:solidFill>
          </w14:textFill>
        </w:rPr>
      </w:pPr>
    </w:p>
    <w:p>
      <w:pPr>
        <w:rPr>
          <w:rFonts w:hint="default" w:ascii="Times New Roman" w:hAnsi="Times New Roman" w:eastAsia="宋体" w:cs="Times New Roman"/>
          <w:color w:val="000000" w:themeColor="text1"/>
          <w14:textFill>
            <w14:solidFill>
              <w14:schemeClr w14:val="tx1"/>
            </w14:solidFill>
          </w14:textFill>
        </w:rPr>
      </w:pPr>
    </w:p>
    <w:p>
      <w:pPr>
        <w:pStyle w:val="36"/>
        <w:rPr>
          <w:rFonts w:hint="default" w:ascii="Times New Roman" w:hAnsi="Times New Roman" w:eastAsia="宋体" w:cs="Times New Roman"/>
          <w:color w:val="000000" w:themeColor="text1"/>
          <w14:textFill>
            <w14:solidFill>
              <w14:schemeClr w14:val="tx1"/>
            </w14:solidFill>
          </w14:textFill>
        </w:rPr>
      </w:pPr>
      <w:r>
        <w:rPr>
          <w:rFonts w:hint="eastAsia" w:eastAsiaTheme="minorEastAsia"/>
          <w:lang w:eastAsia="zh-CN"/>
        </w:rPr>
        <w:drawing>
          <wp:anchor distT="0" distB="0" distL="114300" distR="114300" simplePos="0" relativeHeight="251659264" behindDoc="1" locked="0" layoutInCell="1" allowOverlap="1">
            <wp:simplePos x="0" y="0"/>
            <wp:positionH relativeFrom="column">
              <wp:posOffset>1840230</wp:posOffset>
            </wp:positionH>
            <wp:positionV relativeFrom="paragraph">
              <wp:posOffset>164465</wp:posOffset>
            </wp:positionV>
            <wp:extent cx="1753235" cy="1727835"/>
            <wp:effectExtent l="0" t="0" r="14605" b="9525"/>
            <wp:wrapNone/>
            <wp:docPr id="9" name="图片 9" descr="b3f1d5a4ec55857d71335e15806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b3f1d5a4ec55857d71335e158060787"/>
                    <pic:cNvPicPr>
                      <a:picLocks noChangeAspect="1"/>
                    </pic:cNvPicPr>
                  </pic:nvPicPr>
                  <pic:blipFill>
                    <a:blip r:embed="rId16"/>
                    <a:srcRect l="20021" t="36219" r="59185" b="49903"/>
                    <a:stretch>
                      <a:fillRect/>
                    </a:stretch>
                  </pic:blipFill>
                  <pic:spPr>
                    <a:xfrm>
                      <a:off x="0" y="0"/>
                      <a:ext cx="1753235" cy="1727835"/>
                    </a:xfrm>
                    <a:prstGeom prst="rect">
                      <a:avLst/>
                    </a:prstGeom>
                  </pic:spPr>
                </pic:pic>
              </a:graphicData>
            </a:graphic>
          </wp:anchor>
        </w:drawing>
      </w:r>
    </w:p>
    <w:p>
      <w:pPr>
        <w:pStyle w:val="12"/>
        <w:ind w:left="0" w:leftChars="0" w:firstLine="0" w:firstLineChars="0"/>
        <w:rPr>
          <w:rFonts w:hint="default" w:ascii="Times New Roman" w:hAnsi="Times New Roman" w:eastAsia="宋体" w:cs="Times New Roman"/>
          <w:color w:val="000000" w:themeColor="text1"/>
          <w14:textFill>
            <w14:solidFill>
              <w14:schemeClr w14:val="tx1"/>
            </w14:solidFill>
          </w14:textFill>
        </w:rPr>
      </w:pPr>
    </w:p>
    <w:p>
      <w:pPr>
        <w:jc w:val="center"/>
        <w:rPr>
          <w:rFonts w:hint="default" w:ascii="Times New Roman" w:hAnsi="Times New Roman" w:eastAsia="宋体" w:cs="Times New Roman"/>
          <w:color w:val="000000" w:themeColor="text1"/>
          <w:spacing w:val="40"/>
          <w:sz w:val="32"/>
          <w:szCs w:val="32"/>
          <w14:textFill>
            <w14:solidFill>
              <w14:schemeClr w14:val="tx1"/>
            </w14:solidFill>
          </w14:textFill>
        </w:rPr>
      </w:pPr>
      <w:r>
        <w:rPr>
          <w:rFonts w:hint="default" w:ascii="Times New Roman" w:hAnsi="Times New Roman" w:eastAsia="宋体" w:cs="Times New Roman"/>
          <w:b/>
          <w:bCs/>
          <w:color w:val="000000" w:themeColor="text1"/>
          <w:sz w:val="32"/>
          <w:szCs w:val="32"/>
          <w14:textFill>
            <w14:solidFill>
              <w14:schemeClr w14:val="tx1"/>
            </w14:solidFill>
          </w14:textFill>
        </w:rPr>
        <w:t>新疆</w:t>
      </w:r>
      <w:r>
        <w:rPr>
          <w:rFonts w:hint="default" w:ascii="Times New Roman" w:hAnsi="Times New Roman" w:eastAsia="宋体" w:cs="Times New Roman"/>
          <w:b/>
          <w:bCs/>
          <w:color w:val="000000" w:themeColor="text1"/>
          <w:sz w:val="32"/>
          <w:szCs w:val="32"/>
          <w:lang w:eastAsia="zh-CN"/>
          <w14:textFill>
            <w14:solidFill>
              <w14:schemeClr w14:val="tx1"/>
            </w14:solidFill>
          </w14:textFill>
        </w:rPr>
        <w:t>昱坤环保科技</w:t>
      </w:r>
      <w:r>
        <w:rPr>
          <w:rFonts w:hint="default" w:ascii="Times New Roman" w:hAnsi="Times New Roman" w:eastAsia="宋体" w:cs="Times New Roman"/>
          <w:b/>
          <w:bCs/>
          <w:color w:val="000000" w:themeColor="text1"/>
          <w:sz w:val="32"/>
          <w:szCs w:val="32"/>
          <w14:textFill>
            <w14:solidFill>
              <w14:schemeClr w14:val="tx1"/>
            </w14:solidFill>
          </w14:textFill>
        </w:rPr>
        <w:t>有限公司</w:t>
      </w:r>
    </w:p>
    <w:p>
      <w:pPr>
        <w:jc w:val="center"/>
        <w:rPr>
          <w:rFonts w:hint="default" w:ascii="Times New Roman" w:hAnsi="Times New Roman" w:eastAsia="宋体" w:cs="Times New Roman"/>
          <w:color w:val="000000" w:themeColor="text1"/>
          <w14:textFill>
            <w14:solidFill>
              <w14:schemeClr w14:val="tx1"/>
            </w14:solidFill>
          </w14:textFill>
        </w:rPr>
        <w:sectPr>
          <w:headerReference r:id="rId5" w:type="default"/>
          <w:footerReference r:id="rId6" w:type="default"/>
          <w:pgSz w:w="11906" w:h="16838"/>
          <w:pgMar w:top="1440" w:right="1803" w:bottom="1440" w:left="1803" w:header="850" w:footer="992" w:gutter="0"/>
          <w:pgBorders>
            <w:top w:val="none" w:sz="0" w:space="0"/>
            <w:left w:val="none" w:sz="0" w:space="0"/>
            <w:bottom w:val="none" w:sz="0" w:space="0"/>
            <w:right w:val="none" w:sz="0" w:space="0"/>
          </w:pgBorders>
          <w:pgNumType w:start="1"/>
          <w:cols w:space="720" w:num="1"/>
          <w:docGrid w:type="lines" w:linePitch="332" w:charSpace="0"/>
        </w:sectPr>
      </w:pPr>
      <w:r>
        <w:rPr>
          <w:rFonts w:hint="default" w:ascii="Times New Roman" w:hAnsi="Times New Roman" w:eastAsia="宋体" w:cs="Times New Roman"/>
          <w:color w:val="000000" w:themeColor="text1"/>
          <w:spacing w:val="40"/>
          <w:sz w:val="32"/>
          <w:szCs w:val="32"/>
          <w14:textFill>
            <w14:solidFill>
              <w14:schemeClr w14:val="tx1"/>
            </w14:solidFill>
          </w14:textFill>
        </w:rPr>
        <w:t>20</w:t>
      </w:r>
      <w:r>
        <w:rPr>
          <w:rFonts w:hint="default" w:ascii="Times New Roman" w:hAnsi="Times New Roman" w:eastAsia="宋体" w:cs="Times New Roman"/>
          <w:color w:val="000000" w:themeColor="text1"/>
          <w:spacing w:val="40"/>
          <w:sz w:val="32"/>
          <w:szCs w:val="32"/>
          <w:lang w:val="en-US" w:eastAsia="zh-CN"/>
          <w14:textFill>
            <w14:solidFill>
              <w14:schemeClr w14:val="tx1"/>
            </w14:solidFill>
          </w14:textFill>
        </w:rPr>
        <w:t>22</w:t>
      </w:r>
      <w:r>
        <w:rPr>
          <w:rFonts w:hint="default" w:ascii="Times New Roman" w:hAnsi="Times New Roman" w:eastAsia="宋体" w:cs="Times New Roman"/>
          <w:color w:val="000000" w:themeColor="text1"/>
          <w:spacing w:val="40"/>
          <w:sz w:val="32"/>
          <w:szCs w:val="32"/>
          <w14:textFill>
            <w14:solidFill>
              <w14:schemeClr w14:val="tx1"/>
            </w14:solidFill>
          </w14:textFill>
        </w:rPr>
        <w:t>年</w:t>
      </w:r>
      <w:r>
        <w:rPr>
          <w:rFonts w:hint="default" w:ascii="Times New Roman" w:hAnsi="Times New Roman" w:eastAsia="宋体" w:cs="Times New Roman"/>
          <w:color w:val="000000" w:themeColor="text1"/>
          <w:spacing w:val="40"/>
          <w:sz w:val="32"/>
          <w:szCs w:val="32"/>
          <w:lang w:val="en-US" w:eastAsia="zh-CN"/>
          <w14:textFill>
            <w14:solidFill>
              <w14:schemeClr w14:val="tx1"/>
            </w14:solidFill>
          </w14:textFill>
        </w:rPr>
        <w:t>1</w:t>
      </w:r>
      <w:r>
        <w:rPr>
          <w:rFonts w:hint="eastAsia" w:ascii="Times New Roman" w:hAnsi="Times New Roman" w:eastAsia="宋体" w:cs="Times New Roman"/>
          <w:color w:val="000000" w:themeColor="text1"/>
          <w:spacing w:val="40"/>
          <w:sz w:val="32"/>
          <w:szCs w:val="32"/>
          <w:lang w:val="en-US" w:eastAsia="zh-CN"/>
          <w14:textFill>
            <w14:solidFill>
              <w14:schemeClr w14:val="tx1"/>
            </w14:solidFill>
          </w14:textFill>
        </w:rPr>
        <w:t>1</w:t>
      </w:r>
      <w:r>
        <w:rPr>
          <w:rFonts w:hint="default" w:ascii="Times New Roman" w:hAnsi="Times New Roman" w:eastAsia="宋体" w:cs="Times New Roman"/>
          <w:color w:val="000000" w:themeColor="text1"/>
          <w:spacing w:val="40"/>
          <w:sz w:val="32"/>
          <w:szCs w:val="32"/>
          <w14:textFill>
            <w14:solidFill>
              <w14:schemeClr w14:val="tx1"/>
            </w14:solidFill>
          </w14:textFill>
        </w:rPr>
        <w:t>月</w:t>
      </w:r>
    </w:p>
    <w:p>
      <w:pPr>
        <w:spacing w:line="600" w:lineRule="auto"/>
        <w:rPr>
          <w:rFonts w:hint="default" w:ascii="Times New Roman" w:hAnsi="Times New Roman" w:eastAsia="宋体" w:cs="Times New Roman"/>
          <w:b/>
          <w:color w:val="000000" w:themeColor="text1"/>
          <w:sz w:val="30"/>
          <w:szCs w:val="30"/>
          <w:lang w:val="en-US" w:eastAsia="zh-CN"/>
          <w14:textFill>
            <w14:solidFill>
              <w14:schemeClr w14:val="tx1"/>
            </w14:solidFill>
          </w14:textFill>
        </w:rPr>
      </w:pPr>
      <w:r>
        <w:rPr>
          <w:rFonts w:hint="default" w:ascii="Times New Roman" w:hAnsi="Times New Roman" w:eastAsia="宋体" w:cs="Times New Roman"/>
          <w:b/>
          <w:color w:val="000000" w:themeColor="text1"/>
          <w:sz w:val="30"/>
          <w:szCs w:val="30"/>
          <w14:textFill>
            <w14:solidFill>
              <w14:schemeClr w14:val="tx1"/>
            </w14:solidFill>
          </w14:textFill>
        </w:rPr>
        <w:t>建设单位法人代表：</w:t>
      </w:r>
      <w:r>
        <w:rPr>
          <w:rFonts w:hint="eastAsia" w:ascii="Times New Roman" w:hAnsi="Times New Roman" w:eastAsia="宋体" w:cs="Times New Roman"/>
          <w:b/>
          <w:color w:val="000000" w:themeColor="text1"/>
          <w:sz w:val="30"/>
          <w:szCs w:val="30"/>
          <w:lang w:val="en-US" w:eastAsia="zh-CN"/>
          <w14:textFill>
            <w14:solidFill>
              <w14:schemeClr w14:val="tx1"/>
            </w14:solidFill>
          </w14:textFill>
        </w:rPr>
        <w:t>艾尼</w:t>
      </w:r>
      <w:r>
        <w:rPr>
          <w:rFonts w:hint="eastAsia" w:ascii="仿宋" w:hAnsi="仿宋" w:eastAsia="仿宋" w:cs="仿宋"/>
          <w:b/>
          <w:color w:val="000000" w:themeColor="text1"/>
          <w:sz w:val="30"/>
          <w:szCs w:val="30"/>
          <w:lang w:val="en-US" w:eastAsia="zh-CN"/>
          <w14:textFill>
            <w14:solidFill>
              <w14:schemeClr w14:val="tx1"/>
            </w14:solidFill>
          </w14:textFill>
        </w:rPr>
        <w:t>·</w:t>
      </w:r>
      <w:r>
        <w:rPr>
          <w:rFonts w:hint="eastAsia" w:ascii="Times New Roman" w:hAnsi="Times New Roman" w:eastAsia="宋体" w:cs="Times New Roman"/>
          <w:b/>
          <w:color w:val="000000" w:themeColor="text1"/>
          <w:sz w:val="30"/>
          <w:szCs w:val="30"/>
          <w:lang w:val="en-US" w:eastAsia="zh-CN"/>
          <w14:textFill>
            <w14:solidFill>
              <w14:schemeClr w14:val="tx1"/>
            </w14:solidFill>
          </w14:textFill>
        </w:rPr>
        <w:t>吐尔洪</w:t>
      </w:r>
    </w:p>
    <w:p>
      <w:pPr>
        <w:spacing w:line="600" w:lineRule="auto"/>
        <w:rPr>
          <w:rFonts w:hint="default" w:ascii="Times New Roman" w:hAnsi="Times New Roman" w:eastAsia="宋体" w:cs="Times New Roman"/>
          <w:b/>
          <w:color w:val="000000" w:themeColor="text1"/>
          <w:sz w:val="30"/>
          <w:szCs w:val="30"/>
          <w:lang w:eastAsia="zh-CN"/>
          <w14:textFill>
            <w14:solidFill>
              <w14:schemeClr w14:val="tx1"/>
            </w14:solidFill>
          </w14:textFill>
        </w:rPr>
      </w:pPr>
      <w:r>
        <w:rPr>
          <w:rFonts w:hint="default" w:ascii="Times New Roman" w:hAnsi="Times New Roman" w:eastAsia="宋体" w:cs="Times New Roman"/>
          <w:b/>
          <w:color w:val="000000" w:themeColor="text1"/>
          <w:sz w:val="30"/>
          <w:szCs w:val="30"/>
          <w14:textFill>
            <w14:solidFill>
              <w14:schemeClr w14:val="tx1"/>
            </w14:solidFill>
          </w14:textFill>
        </w:rPr>
        <w:t>编制单位法人代表：</w:t>
      </w:r>
      <w:r>
        <w:rPr>
          <w:rFonts w:hint="default" w:ascii="Times New Roman" w:hAnsi="Times New Roman" w:eastAsia="宋体" w:cs="Times New Roman"/>
          <w:b/>
          <w:color w:val="000000" w:themeColor="text1"/>
          <w:sz w:val="30"/>
          <w:szCs w:val="30"/>
          <w:lang w:eastAsia="zh-CN"/>
          <w14:textFill>
            <w14:solidFill>
              <w14:schemeClr w14:val="tx1"/>
            </w14:solidFill>
          </w14:textFill>
        </w:rPr>
        <w:t>马宝花</w:t>
      </w:r>
    </w:p>
    <w:p>
      <w:pPr>
        <w:spacing w:line="600" w:lineRule="auto"/>
        <w:rPr>
          <w:rFonts w:hint="default" w:ascii="Times New Roman" w:hAnsi="Times New Roman" w:eastAsia="宋体" w:cs="Times New Roman"/>
          <w:b/>
          <w:color w:val="000000" w:themeColor="text1"/>
          <w:sz w:val="30"/>
          <w:szCs w:val="30"/>
          <w:lang w:eastAsia="zh-CN"/>
          <w14:textFill>
            <w14:solidFill>
              <w14:schemeClr w14:val="tx1"/>
            </w14:solidFill>
          </w14:textFill>
        </w:rPr>
      </w:pPr>
      <w:r>
        <w:rPr>
          <w:rFonts w:hint="default" w:ascii="Times New Roman" w:hAnsi="Times New Roman" w:eastAsia="宋体" w:cs="Times New Roman"/>
          <w:b/>
          <w:color w:val="000000" w:themeColor="text1"/>
          <w:sz w:val="30"/>
          <w:szCs w:val="30"/>
          <w14:textFill>
            <w14:solidFill>
              <w14:schemeClr w14:val="tx1"/>
            </w14:solidFill>
          </w14:textFill>
        </w:rPr>
        <w:t xml:space="preserve">项 </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0"/>
          <w:szCs w:val="30"/>
          <w14:textFill>
            <w14:solidFill>
              <w14:schemeClr w14:val="tx1"/>
            </w14:solidFill>
          </w14:textFill>
        </w:rPr>
        <w:t xml:space="preserve">目 </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0"/>
          <w:szCs w:val="30"/>
          <w14:textFill>
            <w14:solidFill>
              <w14:schemeClr w14:val="tx1"/>
            </w14:solidFill>
          </w14:textFill>
        </w:rPr>
        <w:t>负 责 人：李秋云</w:t>
      </w:r>
    </w:p>
    <w:p>
      <w:pPr>
        <w:spacing w:line="600" w:lineRule="auto"/>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30"/>
          <w:szCs w:val="30"/>
          <w14:textFill>
            <w14:solidFill>
              <w14:schemeClr w14:val="tx1"/>
            </w14:solidFill>
          </w14:textFill>
        </w:rPr>
        <w:t xml:space="preserve">报 </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0"/>
          <w:szCs w:val="30"/>
          <w14:textFill>
            <w14:solidFill>
              <w14:schemeClr w14:val="tx1"/>
            </w14:solidFill>
          </w14:textFill>
        </w:rPr>
        <w:t xml:space="preserve">告 </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0"/>
          <w:szCs w:val="30"/>
          <w14:textFill>
            <w14:solidFill>
              <w14:schemeClr w14:val="tx1"/>
            </w14:solidFill>
          </w14:textFill>
        </w:rPr>
        <w:t>编 写 人：李秋云</w:t>
      </w:r>
      <w:r>
        <w:rPr>
          <w:rFonts w:hint="default" w:ascii="Times New Roman" w:hAnsi="Times New Roman" w:eastAsia="宋体" w:cs="Times New Roman"/>
          <w:b/>
          <w:color w:val="000000" w:themeColor="text1"/>
          <w:sz w:val="28"/>
          <w:szCs w:val="28"/>
          <w14:textFill>
            <w14:solidFill>
              <w14:schemeClr w14:val="tx1"/>
            </w14:solidFill>
          </w14:textFill>
        </w:rPr>
        <w:t>（验监证字第2018-JCJS-40173009号）</w:t>
      </w: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tabs>
          <w:tab w:val="left" w:pos="885"/>
        </w:tabs>
        <w:ind w:left="0" w:leftChars="0" w:firstLine="0" w:firstLineChars="0"/>
        <w:rPr>
          <w:rFonts w:hint="default" w:ascii="Times New Roman" w:hAnsi="Times New Roman" w:eastAsia="宋体" w:cs="Times New Roman"/>
          <w:color w:val="000000" w:themeColor="text1"/>
          <w:sz w:val="30"/>
          <w:szCs w:val="30"/>
          <w:lang w:eastAsia="zh-CN"/>
          <w14:textFill>
            <w14:solidFill>
              <w14:schemeClr w14:val="tx1"/>
            </w14:solidFill>
          </w14:textFill>
        </w:rPr>
      </w:pPr>
    </w:p>
    <w:p>
      <w:pPr>
        <w:pStyle w:val="12"/>
        <w:tabs>
          <w:tab w:val="left" w:pos="885"/>
        </w:tabs>
        <w:ind w:left="0" w:leftChars="0" w:firstLine="0" w:firstLineChars="0"/>
        <w:rPr>
          <w:rFonts w:hint="default" w:ascii="Times New Roman" w:hAnsi="Times New Roman" w:eastAsia="宋体" w:cs="Times New Roman"/>
          <w:color w:val="000000" w:themeColor="text1"/>
          <w:sz w:val="30"/>
          <w:szCs w:val="30"/>
          <w:lang w:eastAsia="zh-CN"/>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r>
        <w:rPr>
          <w:rFonts w:hint="eastAsia" w:eastAsiaTheme="minorEastAsia"/>
          <w:lang w:eastAsia="zh-CN"/>
        </w:rPr>
        <w:drawing>
          <wp:anchor distT="0" distB="0" distL="114300" distR="114300" simplePos="0" relativeHeight="251661312" behindDoc="1" locked="0" layoutInCell="1" allowOverlap="1">
            <wp:simplePos x="0" y="0"/>
            <wp:positionH relativeFrom="column">
              <wp:posOffset>2858135</wp:posOffset>
            </wp:positionH>
            <wp:positionV relativeFrom="paragraph">
              <wp:posOffset>364490</wp:posOffset>
            </wp:positionV>
            <wp:extent cx="1753235" cy="1727835"/>
            <wp:effectExtent l="0" t="0" r="14605" b="9525"/>
            <wp:wrapNone/>
            <wp:docPr id="15" name="图片 15" descr="b3f1d5a4ec55857d71335e15806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b3f1d5a4ec55857d71335e158060787"/>
                    <pic:cNvPicPr>
                      <a:picLocks noChangeAspect="1"/>
                    </pic:cNvPicPr>
                  </pic:nvPicPr>
                  <pic:blipFill>
                    <a:blip r:embed="rId16"/>
                    <a:srcRect l="20021" t="36219" r="59185" b="49903"/>
                    <a:stretch>
                      <a:fillRect/>
                    </a:stretch>
                  </pic:blipFill>
                  <pic:spPr>
                    <a:xfrm>
                      <a:off x="0" y="0"/>
                      <a:ext cx="1753235" cy="1727835"/>
                    </a:xfrm>
                    <a:prstGeom prst="rect">
                      <a:avLst/>
                    </a:prstGeom>
                  </pic:spPr>
                </pic:pic>
              </a:graphicData>
            </a:graphic>
          </wp:anchor>
        </w:drawing>
      </w:r>
    </w:p>
    <w:tbl>
      <w:tblPr>
        <w:tblStyle w:val="32"/>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8"/>
        <w:gridCol w:w="4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jc w:val="both"/>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建设单位：（盖章）</w:t>
            </w:r>
          </w:p>
          <w:p>
            <w:pPr>
              <w:spacing w:line="480" w:lineRule="auto"/>
              <w:jc w:val="both"/>
              <w:rPr>
                <w:rFonts w:hint="default" w:ascii="Times New Roman" w:hAnsi="Times New Roman" w:eastAsia="宋体" w:cs="Times New Roman"/>
                <w:color w:val="000000" w:themeColor="text1"/>
                <w:szCs w:val="24"/>
                <w:lang w:eastAsia="zh-CN"/>
                <w14:textFill>
                  <w14:solidFill>
                    <w14:schemeClr w14:val="tx1"/>
                  </w14:solidFill>
                </w14:textFill>
              </w:rPr>
            </w:pPr>
            <w:r>
              <w:rPr>
                <w:rFonts w:hint="default" w:ascii="Times New Roman" w:hAnsi="Times New Roman" w:eastAsia="宋体" w:cs="Times New Roman"/>
                <w:color w:val="000000" w:themeColor="text1"/>
                <w:szCs w:val="24"/>
                <w:lang w:val="en-US" w:eastAsia="zh-CN"/>
                <w14:textFill>
                  <w14:solidFill>
                    <w14:schemeClr w14:val="tx1"/>
                  </w14:solidFill>
                </w14:textFill>
              </w:rPr>
              <w:t>巴楚县水利管理站</w:t>
            </w:r>
          </w:p>
        </w:tc>
        <w:tc>
          <w:tcPr>
            <w:tcW w:w="4518" w:type="dxa"/>
          </w:tcPr>
          <w:p>
            <w:pPr>
              <w:spacing w:line="480" w:lineRule="auto"/>
              <w:jc w:val="both"/>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编制单位：（盖章）</w:t>
            </w:r>
          </w:p>
          <w:p>
            <w:pPr>
              <w:spacing w:line="480" w:lineRule="auto"/>
              <w:jc w:val="both"/>
              <w:rPr>
                <w:rFonts w:hint="default" w:ascii="Times New Roman" w:hAnsi="Times New Roman" w:eastAsia="宋体" w:cs="Times New Roman"/>
                <w:color w:val="000000" w:themeColor="text1"/>
                <w:szCs w:val="24"/>
                <w:lang w:eastAsia="zh-CN"/>
                <w14:textFill>
                  <w14:solidFill>
                    <w14:schemeClr w14:val="tx1"/>
                  </w14:solidFill>
                </w14:textFill>
              </w:rPr>
            </w:pPr>
            <w:r>
              <w:rPr>
                <w:rFonts w:hint="default" w:ascii="Times New Roman" w:hAnsi="Times New Roman" w:eastAsia="宋体" w:cs="Times New Roman"/>
                <w:color w:val="000000" w:themeColor="text1"/>
                <w:szCs w:val="24"/>
                <w:lang w:eastAsia="zh-CN"/>
                <w14:textFill>
                  <w14:solidFill>
                    <w14:schemeClr w14:val="tx1"/>
                  </w14:solidFill>
                </w14:textFill>
              </w:rPr>
              <w:t>新疆昱坤环保科技有限公司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jc w:val="both"/>
              <w:rPr>
                <w:rFonts w:hint="default" w:ascii="Times New Roman" w:hAnsi="Times New Roman" w:eastAsia="宋体" w:cs="Times New Roman"/>
                <w:color w:val="000000" w:themeColor="text1"/>
                <w:szCs w:val="24"/>
                <w:lang w:eastAsia="zh-CN"/>
                <w14:textFill>
                  <w14:solidFill>
                    <w14:schemeClr w14:val="tx1"/>
                  </w14:solidFill>
                </w14:textFill>
              </w:rPr>
            </w:pPr>
            <w:r>
              <w:rPr>
                <w:rFonts w:hint="default" w:ascii="Times New Roman" w:hAnsi="Times New Roman" w:eastAsia="宋体" w:cs="Times New Roman"/>
                <w:color w:val="000000" w:themeColor="text1"/>
                <w:szCs w:val="24"/>
                <w:lang w:eastAsia="zh-CN"/>
                <w14:textFill>
                  <w14:solidFill>
                    <w14:schemeClr w14:val="tx1"/>
                  </w14:solidFill>
                </w14:textFill>
              </w:rPr>
              <w:t>联系人</w:t>
            </w:r>
            <w:r>
              <w:rPr>
                <w:rFonts w:hint="default" w:ascii="Times New Roman" w:hAnsi="Times New Roman" w:eastAsia="宋体" w:cs="Times New Roman"/>
                <w:color w:val="000000" w:themeColor="text1"/>
                <w:szCs w:val="24"/>
                <w14:textFill>
                  <w14:solidFill>
                    <w14:schemeClr w14:val="tx1"/>
                  </w14:solidFill>
                </w14:textFill>
              </w:rPr>
              <w:t>：冉江玉</w:t>
            </w:r>
          </w:p>
        </w:tc>
        <w:tc>
          <w:tcPr>
            <w:tcW w:w="4518" w:type="dxa"/>
          </w:tcPr>
          <w:p>
            <w:pPr>
              <w:spacing w:line="480" w:lineRule="auto"/>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电话：</w:t>
            </w:r>
            <w:r>
              <w:rPr>
                <w:rFonts w:hint="default" w:ascii="Times New Roman" w:hAnsi="Times New Roman" w:eastAsia="宋体" w:cs="Times New Roman"/>
                <w:color w:val="000000" w:themeColor="text1"/>
                <w:szCs w:val="24"/>
                <w:lang w:val="en-US" w:eastAsia="zh-CN"/>
                <w14:textFill>
                  <w14:solidFill>
                    <w14:schemeClr w14:val="tx1"/>
                  </w14:solidFill>
                </w14:textFill>
              </w:rPr>
              <w:t>0998-2553933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lang w:eastAsia="zh-CN"/>
                <w14:textFill>
                  <w14:solidFill>
                    <w14:schemeClr w14:val="tx1"/>
                  </w14:solidFill>
                </w14:textFill>
              </w:rPr>
              <w:t>电话</w:t>
            </w:r>
            <w:r>
              <w:rPr>
                <w:rFonts w:hint="default" w:ascii="Times New Roman" w:hAnsi="Times New Roman" w:eastAsia="宋体" w:cs="Times New Roman"/>
                <w:color w:val="000000" w:themeColor="text1"/>
                <w:szCs w:val="24"/>
                <w14:textFill>
                  <w14:solidFill>
                    <w14:schemeClr w14:val="tx1"/>
                  </w14:solidFill>
                </w14:textFill>
              </w:rPr>
              <w:t>：</w:t>
            </w:r>
            <w:r>
              <w:rPr>
                <w:rFonts w:hint="default" w:ascii="Times New Roman" w:hAnsi="Times New Roman" w:eastAsia="宋体" w:cs="Times New Roman"/>
                <w:color w:val="000000" w:themeColor="text1"/>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Cs w:val="24"/>
                <w14:textFill>
                  <w14:solidFill>
                    <w14:schemeClr w14:val="tx1"/>
                  </w14:solidFill>
                </w14:textFill>
              </w:rPr>
              <w:t>13289986802</w:t>
            </w:r>
          </w:p>
        </w:tc>
        <w:tc>
          <w:tcPr>
            <w:tcW w:w="4518" w:type="dxa"/>
          </w:tcPr>
          <w:p>
            <w:pPr>
              <w:spacing w:line="480" w:lineRule="auto"/>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传真：</w:t>
            </w:r>
            <w:r>
              <w:rPr>
                <w:rFonts w:hint="default" w:ascii="Times New Roman" w:hAnsi="Times New Roman" w:eastAsia="宋体" w:cs="Times New Roman"/>
                <w:color w:val="000000" w:themeColor="text1"/>
                <w:szCs w:val="24"/>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jc w:val="both"/>
              <w:rPr>
                <w:rFonts w:hint="default" w:ascii="Times New Roman" w:hAnsi="Times New Roman" w:eastAsia="宋体" w:cs="Times New Roman"/>
                <w:color w:val="000000" w:themeColor="text1"/>
                <w:szCs w:val="24"/>
                <w:lang w:val="en-US"/>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邮编：</w:t>
            </w:r>
            <w:r>
              <w:rPr>
                <w:rFonts w:hint="default" w:ascii="Times New Roman" w:hAnsi="Times New Roman" w:eastAsia="宋体" w:cs="Times New Roman"/>
                <w:color w:val="000000" w:themeColor="text1"/>
                <w:szCs w:val="24"/>
                <w:lang w:val="en-US" w:eastAsia="zh-CN"/>
                <w14:textFill>
                  <w14:solidFill>
                    <w14:schemeClr w14:val="tx1"/>
                  </w14:solidFill>
                </w14:textFill>
              </w:rPr>
              <w:t>8453800</w:t>
            </w:r>
          </w:p>
        </w:tc>
        <w:tc>
          <w:tcPr>
            <w:tcW w:w="4518" w:type="dxa"/>
          </w:tcPr>
          <w:p>
            <w:pPr>
              <w:spacing w:line="480" w:lineRule="auto"/>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邮编：</w:t>
            </w:r>
            <w:r>
              <w:rPr>
                <w:rFonts w:hint="default" w:ascii="Times New Roman" w:hAnsi="Times New Roman" w:eastAsia="宋体" w:cs="Times New Roman"/>
                <w:color w:val="000000" w:themeColor="text1"/>
                <w:szCs w:val="24"/>
                <w:lang w:val="en-US" w:eastAsia="zh-CN"/>
                <w14:textFill>
                  <w14:solidFill>
                    <w14:schemeClr w14:val="tx1"/>
                  </w14:solidFill>
                </w14:textFill>
              </w:rPr>
              <w:t>844000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ind w:left="600" w:hanging="600" w:hangingChars="250"/>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地址：巴楚县</w:t>
            </w:r>
            <w:r>
              <w:rPr>
                <w:rFonts w:hint="eastAsia" w:ascii="Times New Roman" w:hAnsi="Times New Roman" w:eastAsia="宋体" w:cs="Times New Roman"/>
                <w:color w:val="000000" w:themeColor="text1"/>
                <w:szCs w:val="24"/>
                <w:lang w:val="en-US" w:eastAsia="zh-CN"/>
                <w14:textFill>
                  <w14:solidFill>
                    <w14:schemeClr w14:val="tx1"/>
                  </w14:solidFill>
                </w14:textFill>
              </w:rPr>
              <w:t>迎宾路人力资源大厦3楼</w:t>
            </w:r>
          </w:p>
        </w:tc>
        <w:tc>
          <w:tcPr>
            <w:tcW w:w="4518" w:type="dxa"/>
          </w:tcPr>
          <w:p>
            <w:pPr>
              <w:spacing w:line="480" w:lineRule="auto"/>
              <w:jc w:val="both"/>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地址：新疆喀什地区喀什市中亚南亚工业园区中亚三路138号标准厂房C区展厅</w:t>
            </w:r>
          </w:p>
        </w:tc>
      </w:tr>
      <w:bookmarkEnd w:id="0"/>
    </w:tbl>
    <w:p>
      <w:pPr>
        <w:rPr>
          <w:rFonts w:hint="default" w:ascii="Times New Roman" w:hAnsi="Times New Roman" w:eastAsia="宋体" w:cs="Times New Roman"/>
          <w:b/>
          <w:bCs/>
          <w:color w:val="000000" w:themeColor="text1"/>
          <w:sz w:val="44"/>
          <w:szCs w:val="44"/>
          <w14:textFill>
            <w14:solidFill>
              <w14:schemeClr w14:val="tx1"/>
            </w14:solidFill>
          </w14:textFill>
        </w:rPr>
      </w:pPr>
      <w:r>
        <w:rPr>
          <w:rFonts w:hint="default" w:ascii="Times New Roman" w:hAnsi="Times New Roman" w:eastAsia="宋体" w:cs="Times New Roman"/>
          <w:b/>
          <w:bCs/>
          <w:color w:val="000000" w:themeColor="text1"/>
          <w:sz w:val="44"/>
          <w:szCs w:val="44"/>
          <w14:textFill>
            <w14:solidFill>
              <w14:schemeClr w14:val="tx1"/>
            </w14:solidFill>
          </w14:textFill>
        </w:rPr>
        <w:br w:type="page"/>
      </w:r>
    </w:p>
    <w:p>
      <w:pPr>
        <w:pStyle w:val="21"/>
        <w:tabs>
          <w:tab w:val="right" w:leader="dot" w:pos="8306"/>
        </w:tabs>
        <w:jc w:val="center"/>
        <w:rPr>
          <w:rFonts w:hint="default" w:ascii="Times New Roman" w:hAnsi="Times New Roman" w:eastAsia="宋体" w:cs="Times New Roman"/>
          <w:color w:val="000000" w:themeColor="text1"/>
          <w:sz w:val="32"/>
          <w:szCs w:val="32"/>
          <w14:textFill>
            <w14:solidFill>
              <w14:schemeClr w14:val="tx1"/>
            </w14:solidFill>
          </w14:textFill>
        </w:rPr>
      </w:pPr>
      <w:r>
        <w:rPr>
          <w:rFonts w:hint="default" w:ascii="Times New Roman" w:hAnsi="Times New Roman" w:eastAsia="宋体" w:cs="Times New Roman"/>
          <w:b/>
          <w:bCs/>
          <w:color w:val="000000" w:themeColor="text1"/>
          <w:sz w:val="32"/>
          <w:szCs w:val="32"/>
          <w14:textFill>
            <w14:solidFill>
              <w14:schemeClr w14:val="tx1"/>
            </w14:solidFill>
          </w14:textFill>
        </w:rPr>
        <w:t>目  录</w:t>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TOC \o "1-3" \h \u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_Toc31539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前  言</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_Toc31539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_Toc24050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表1  项目总体情况</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_Toc24050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_Toc13950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表2  调查范围、因子、目标、重点</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_Toc13950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7</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_Toc8082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表3  验收执行标准</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_Toc8082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_Toc24277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表4  工程概况及工艺流程</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_Toc24277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11</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_Toc1671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4.1主要工程内容及规模</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_Toc1671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12</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_Toc22195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4.2工作制度及劳动定员</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_Toc22195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_Toc26968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4.3主要原辅材料用量</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_Toc26968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_Toc23831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4.4公用工程</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_Toc23831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_Toc8003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4.5工程占地及平面布置</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_Toc8003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_Toc24374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14:textFill>
            <w14:solidFill>
              <w14:schemeClr w14:val="tx1"/>
            </w14:solidFill>
          </w14:textFill>
        </w:rPr>
        <w:t>项目变更情况</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_Toc24374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14</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_Toc12261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7</w:t>
      </w:r>
      <w:r>
        <w:rPr>
          <w:rFonts w:hint="default" w:ascii="Times New Roman" w:hAnsi="Times New Roman" w:eastAsia="宋体" w:cs="Times New Roman"/>
          <w:color w:val="000000" w:themeColor="text1"/>
          <w:sz w:val="28"/>
          <w:szCs w:val="28"/>
          <w14:textFill>
            <w14:solidFill>
              <w14:schemeClr w14:val="tx1"/>
            </w14:solidFill>
          </w14:textFill>
        </w:rPr>
        <w:t>实际工程量及工程建设变化情况，说明工程变化原因</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_Toc12261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15</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_Toc24692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8</w:t>
      </w:r>
      <w:r>
        <w:rPr>
          <w:rFonts w:hint="default" w:ascii="Times New Roman" w:hAnsi="Times New Roman" w:eastAsia="宋体" w:cs="Times New Roman"/>
          <w:color w:val="000000" w:themeColor="text1"/>
          <w:sz w:val="28"/>
          <w:szCs w:val="28"/>
          <w14:textFill>
            <w14:solidFill>
              <w14:schemeClr w14:val="tx1"/>
            </w14:solidFill>
          </w14:textFill>
        </w:rPr>
        <w:t>生产工艺流程（附流程图）</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_Toc24692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15</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_Toc10856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工程环境保护投资明细</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_Toc10856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_Toc12119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项目施工期污染物排放分析及环境保护措施</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_Toc12119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_Toc22296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w:t>
      </w:r>
      <w:r>
        <w:rPr>
          <w:rFonts w:hint="default" w:ascii="Times New Roman" w:hAnsi="Times New Roman" w:eastAsia="宋体" w:cs="Times New Roman"/>
          <w:color w:val="000000" w:themeColor="text1"/>
          <w:sz w:val="28"/>
          <w:szCs w:val="28"/>
          <w14:textFill>
            <w14:solidFill>
              <w14:schemeClr w14:val="tx1"/>
            </w14:solidFill>
          </w14:textFill>
        </w:rPr>
        <w:t>项目运营期污染物排放分析及环境保护措施</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_Toc22296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18</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_Toc24408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表5  环评结论、意见及环评批复的要求</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_Toc24408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_Toc7807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5.1</w:t>
      </w:r>
      <w:r>
        <w:rPr>
          <w:rFonts w:hint="default" w:ascii="Times New Roman" w:hAnsi="Times New Roman" w:eastAsia="宋体" w:cs="Times New Roman"/>
          <w:color w:val="000000" w:themeColor="text1"/>
          <w:sz w:val="28"/>
          <w:szCs w:val="28"/>
          <w:lang w:eastAsia="zh-CN"/>
          <w14:textFill>
            <w14:solidFill>
              <w14:schemeClr w14:val="tx1"/>
            </w14:solidFill>
          </w14:textFill>
        </w:rPr>
        <w:t>环评结论</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_Toc7807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_Toc5636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5.2环评</w:t>
      </w:r>
      <w:r>
        <w:rPr>
          <w:rFonts w:hint="default" w:ascii="Times New Roman" w:hAnsi="Times New Roman" w:eastAsia="宋体" w:cs="Times New Roman"/>
          <w:color w:val="000000" w:themeColor="text1"/>
          <w:sz w:val="28"/>
          <w:szCs w:val="28"/>
          <w:lang w:eastAsia="zh-CN"/>
          <w14:textFill>
            <w14:solidFill>
              <w14:schemeClr w14:val="tx1"/>
            </w14:solidFill>
          </w14:textFill>
        </w:rPr>
        <w:t>批复结论</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_Toc5636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_Toc6777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表6  环境保护措施执行情况</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_Toc6777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29</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_Toc28224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表7 环境影响调查</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_Toc28224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32</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_Toc10468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表8  环境质量及污染源监测</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_Toc10468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40</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_Toc21720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表9  环境管理状况及监测计划</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_Toc21720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41</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_Toc30925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表10  调查结论与建议</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_Toc30925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_Toc21125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10.1</w:t>
      </w:r>
      <w:r>
        <w:rPr>
          <w:rFonts w:hint="default" w:ascii="Times New Roman" w:hAnsi="Times New Roman" w:eastAsia="宋体" w:cs="Times New Roman"/>
          <w:color w:val="000000" w:themeColor="text1"/>
          <w:sz w:val="28"/>
          <w:szCs w:val="28"/>
          <w:lang w:eastAsia="zh-CN"/>
          <w14:textFill>
            <w14:solidFill>
              <w14:schemeClr w14:val="tx1"/>
            </w14:solidFill>
          </w14:textFill>
        </w:rPr>
        <w:t>施工期调查</w:t>
      </w:r>
      <w:r>
        <w:rPr>
          <w:rFonts w:hint="default" w:ascii="Times New Roman" w:hAnsi="Times New Roman" w:eastAsia="宋体" w:cs="Times New Roman"/>
          <w:color w:val="000000" w:themeColor="text1"/>
          <w:sz w:val="28"/>
          <w:szCs w:val="28"/>
          <w14:textFill>
            <w14:solidFill>
              <w14:schemeClr w14:val="tx1"/>
            </w14:solidFill>
          </w14:textFill>
        </w:rPr>
        <w:t>结论</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_Toc21125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_Toc20294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运营期调查</w:t>
      </w:r>
      <w:r>
        <w:rPr>
          <w:rFonts w:hint="default" w:ascii="Times New Roman" w:hAnsi="Times New Roman" w:eastAsia="宋体" w:cs="Times New Roman"/>
          <w:color w:val="000000" w:themeColor="text1"/>
          <w:sz w:val="28"/>
          <w:szCs w:val="28"/>
          <w14:textFill>
            <w14:solidFill>
              <w14:schemeClr w14:val="tx1"/>
            </w14:solidFill>
          </w14:textFill>
        </w:rPr>
        <w:t>结论</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_Toc20294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45</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_Toc27441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10.3主要污染物总量控制</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_Toc27441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_Toc4374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10.4综合结论</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_Toc4374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47</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10.5</w:t>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_Toc25063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建议</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_Toc25063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47</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keepNext/>
        <w:keepLines/>
        <w:adjustRightInd w:val="0"/>
        <w:snapToGrid w:val="0"/>
        <w:spacing w:beforeLines="100" w:afterLines="100" w:line="240" w:lineRule="auto"/>
        <w:outlineLvl w:val="0"/>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end"/>
      </w:r>
      <w:bookmarkStart w:id="1" w:name="_Toc21579"/>
      <w:bookmarkStart w:id="2" w:name="_Toc11928"/>
      <w:r>
        <w:rPr>
          <w:rFonts w:hint="default" w:ascii="Times New Roman" w:hAnsi="Times New Roman" w:eastAsia="宋体" w:cs="Times New Roman"/>
          <w:b/>
          <w:color w:val="000000" w:themeColor="text1"/>
          <w:sz w:val="28"/>
          <w:szCs w:val="28"/>
          <w14:textFill>
            <w14:solidFill>
              <w14:schemeClr w14:val="tx1"/>
            </w14:solidFill>
          </w14:textFill>
        </w:rPr>
        <w:t>附件：</w:t>
      </w:r>
      <w:bookmarkEnd w:id="1"/>
      <w:bookmarkEnd w:id="2"/>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bookmarkStart w:id="3" w:name="_Toc2559"/>
      <w:bookmarkStart w:id="4" w:name="_Toc4497"/>
      <w:r>
        <w:rPr>
          <w:rFonts w:hint="default" w:ascii="Times New Roman" w:hAnsi="Times New Roman" w:eastAsia="宋体" w:cs="Times New Roman"/>
          <w:color w:val="000000" w:themeColor="text1"/>
          <w:sz w:val="28"/>
          <w:szCs w:val="28"/>
          <w14:textFill>
            <w14:solidFill>
              <w14:schemeClr w14:val="tx1"/>
            </w14:solidFill>
          </w14:textFill>
        </w:rPr>
        <w:t>附件1：环评批复</w:t>
      </w:r>
      <w:bookmarkEnd w:id="3"/>
      <w:bookmarkEnd w:id="4"/>
    </w:p>
    <w:p>
      <w:pPr>
        <w:ind w:firstLine="560" w:firstLineChars="200"/>
        <w:rPr>
          <w:rFonts w:hint="eastAsia" w:ascii="Times New Roman" w:hAnsi="Times New Roman" w:cs="Times New Roman"/>
          <w:b w:val="0"/>
          <w:color w:val="000000" w:themeColor="text1"/>
          <w:kern w:val="2"/>
          <w:sz w:val="28"/>
          <w:szCs w:val="28"/>
          <w:lang w:val="en-US" w:eastAsia="zh-CN" w:bidi="ar-SA"/>
          <w14:textFill>
            <w14:solidFill>
              <w14:schemeClr w14:val="tx1"/>
            </w14:solidFill>
          </w14:textFill>
        </w:rPr>
      </w:pPr>
      <w:r>
        <w:rPr>
          <w:rFonts w:hint="eastAsia" w:ascii="Times New Roman" w:hAnsi="Times New Roman" w:cs="Times New Roman"/>
          <w:b w:val="0"/>
          <w:color w:val="000000" w:themeColor="text1"/>
          <w:kern w:val="2"/>
          <w:sz w:val="28"/>
          <w:szCs w:val="28"/>
          <w:lang w:val="en-US" w:eastAsia="zh-CN" w:bidi="ar-SA"/>
          <w14:textFill>
            <w14:solidFill>
              <w14:schemeClr w14:val="tx1"/>
            </w14:solidFill>
          </w14:textFill>
        </w:rPr>
        <w:t>现场照片</w:t>
      </w:r>
    </w:p>
    <w:p>
      <w:pPr>
        <w:ind w:firstLine="560" w:firstLineChars="200"/>
        <w:rPr>
          <w:rFonts w:hint="eastAsia"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验收意见</w:t>
      </w:r>
    </w:p>
    <w:p>
      <w:pPr>
        <w:ind w:firstLine="560" w:firstLineChars="200"/>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公示信息</w:t>
      </w: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sectPr>
          <w:footerReference r:id="rId9" w:type="first"/>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upperRoman" w:start="1"/>
          <w:cols w:space="720" w:num="1"/>
          <w:docGrid w:type="lines" w:linePitch="312" w:charSpace="0"/>
        </w:sectPr>
      </w:pPr>
    </w:p>
    <w:p>
      <w:pPr>
        <w:pStyle w:val="3"/>
        <w:rPr>
          <w:rFonts w:hint="default" w:ascii="Times New Roman" w:hAnsi="Times New Roman" w:eastAsia="宋体" w:cs="Times New Roman"/>
          <w:color w:val="000000" w:themeColor="text1"/>
          <w:sz w:val="32"/>
          <w:szCs w:val="32"/>
          <w14:textFill>
            <w14:solidFill>
              <w14:schemeClr w14:val="tx1"/>
            </w14:solidFill>
          </w14:textFill>
        </w:rPr>
      </w:pPr>
      <w:bookmarkStart w:id="5" w:name="_Toc4362"/>
      <w:bookmarkStart w:id="6" w:name="_Toc5949"/>
      <w:bookmarkStart w:id="7" w:name="_Toc14187"/>
      <w:bookmarkStart w:id="8" w:name="_Toc31539"/>
      <w:bookmarkStart w:id="9" w:name="_Toc30281"/>
      <w:r>
        <w:rPr>
          <w:rFonts w:hint="default" w:ascii="Times New Roman" w:hAnsi="Times New Roman" w:eastAsia="宋体" w:cs="Times New Roman"/>
          <w:color w:val="000000" w:themeColor="text1"/>
          <w:sz w:val="32"/>
          <w:szCs w:val="32"/>
          <w14:textFill>
            <w14:solidFill>
              <w14:schemeClr w14:val="tx1"/>
            </w14:solidFill>
          </w14:textFill>
        </w:rPr>
        <w:t>前  言</w:t>
      </w:r>
      <w:bookmarkEnd w:id="5"/>
      <w:bookmarkEnd w:id="6"/>
      <w:bookmarkEnd w:id="7"/>
      <w:bookmarkEnd w:id="8"/>
      <w:bookmarkEnd w:id="9"/>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bookmarkStart w:id="10" w:name="_Toc31375"/>
      <w:bookmarkStart w:id="11" w:name="_Toc4562"/>
      <w:r>
        <w:rPr>
          <w:rFonts w:hint="default" w:ascii="Times New Roman" w:hAnsi="Times New Roman" w:eastAsia="宋体" w:cs="Times New Roman"/>
          <w:color w:val="000000" w:themeColor="text1"/>
          <w:sz w:val="28"/>
          <w:szCs w:val="28"/>
          <w:lang w:eastAsia="zh-CN"/>
          <w14:textFill>
            <w14:solidFill>
              <w14:schemeClr w14:val="tx1"/>
            </w14:solidFill>
          </w14:textFill>
        </w:rPr>
        <w:t>巴楚县水利管理站于</w:t>
      </w:r>
      <w:r>
        <w:rPr>
          <w:rFonts w:hint="eastAsia" w:ascii="Times New Roman" w:hAnsi="Times New Roman" w:cs="Times New Roman"/>
          <w:color w:val="000000" w:themeColor="text1"/>
          <w:sz w:val="28"/>
          <w:szCs w:val="28"/>
          <w:lang w:eastAsia="zh-CN"/>
          <w14:textFill>
            <w14:solidFill>
              <w14:schemeClr w14:val="tx1"/>
            </w14:solidFill>
          </w14:textFill>
        </w:rPr>
        <w:t>2019年2月</w:t>
      </w:r>
      <w:r>
        <w:rPr>
          <w:rFonts w:hint="default" w:ascii="Times New Roman" w:hAnsi="Times New Roman" w:eastAsia="宋体" w:cs="Times New Roman"/>
          <w:color w:val="000000" w:themeColor="text1"/>
          <w:sz w:val="28"/>
          <w:szCs w:val="28"/>
          <w:lang w:eastAsia="zh-CN"/>
          <w14:textFill>
            <w14:solidFill>
              <w14:schemeClr w14:val="tx1"/>
            </w14:solidFill>
          </w14:textFill>
        </w:rPr>
        <w:t>委托</w:t>
      </w:r>
      <w:r>
        <w:rPr>
          <w:rFonts w:hint="eastAsia" w:ascii="Times New Roman" w:hAnsi="Times New Roman" w:cs="Times New Roman"/>
          <w:color w:val="000000" w:themeColor="text1"/>
          <w:sz w:val="28"/>
          <w:szCs w:val="28"/>
          <w:lang w:eastAsia="zh-CN"/>
          <w14:textFill>
            <w14:solidFill>
              <w14:schemeClr w14:val="tx1"/>
            </w14:solidFill>
          </w14:textFill>
        </w:rPr>
        <w:t>新疆奥邦科技有限公司</w:t>
      </w:r>
      <w:r>
        <w:rPr>
          <w:rFonts w:hint="default" w:ascii="Times New Roman" w:hAnsi="Times New Roman" w:eastAsia="宋体" w:cs="Times New Roman"/>
          <w:color w:val="000000" w:themeColor="text1"/>
          <w:sz w:val="28"/>
          <w:szCs w:val="28"/>
          <w14:textFill>
            <w14:solidFill>
              <w14:schemeClr w14:val="tx1"/>
            </w14:solidFill>
          </w14:textFill>
        </w:rPr>
        <w:t>编制了《</w:t>
      </w: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w:t>
      </w:r>
      <w:r>
        <w:rPr>
          <w:rFonts w:hint="eastAsia" w:ascii="Times New Roman" w:hAnsi="Times New Roman" w:cs="Times New Roman"/>
          <w:color w:val="000000" w:themeColor="text1"/>
          <w:sz w:val="28"/>
          <w:szCs w:val="28"/>
          <w:lang w:eastAsia="zh-CN"/>
          <w14:textFill>
            <w14:solidFill>
              <w14:schemeClr w14:val="tx1"/>
            </w14:solidFill>
          </w14:textFill>
        </w:rPr>
        <w:t>2019年4月24日</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喀什地区生态环境局</w:t>
      </w:r>
      <w:r>
        <w:rPr>
          <w:rFonts w:hint="default" w:ascii="Times New Roman" w:hAnsi="Times New Roman" w:eastAsia="宋体" w:cs="Times New Roman"/>
          <w:color w:val="000000" w:themeColor="text1"/>
          <w:sz w:val="28"/>
          <w:szCs w:val="28"/>
          <w14:textFill>
            <w14:solidFill>
              <w14:schemeClr w14:val="tx1"/>
            </w14:solidFill>
          </w14:textFill>
        </w:rPr>
        <w:t>以</w:t>
      </w:r>
      <w:r>
        <w:rPr>
          <w:rFonts w:hint="eastAsia" w:ascii="Times New Roman" w:hAnsi="Times New Roman" w:cs="Times New Roman"/>
          <w:color w:val="000000" w:themeColor="text1"/>
          <w:sz w:val="28"/>
          <w:szCs w:val="28"/>
          <w:lang w:eastAsia="zh-CN"/>
          <w14:textFill>
            <w14:solidFill>
              <w14:schemeClr w14:val="tx1"/>
            </w14:solidFill>
          </w14:textFill>
        </w:rPr>
        <w:t>喀地环评字[2019]88号</w:t>
      </w:r>
      <w:r>
        <w:rPr>
          <w:rFonts w:hint="default" w:ascii="Times New Roman" w:hAnsi="Times New Roman" w:eastAsia="宋体" w:cs="Times New Roman"/>
          <w:color w:val="000000" w:themeColor="text1"/>
          <w:sz w:val="28"/>
          <w:szCs w:val="28"/>
          <w14:textFill>
            <w14:solidFill>
              <w14:schemeClr w14:val="tx1"/>
            </w14:solidFill>
          </w14:textFill>
        </w:rPr>
        <w:t>下发了《</w:t>
      </w:r>
      <w:r>
        <w:rPr>
          <w:rFonts w:hint="default" w:ascii="Times New Roman" w:hAnsi="Times New Roman" w:eastAsia="宋体" w:cs="Times New Roman"/>
          <w:color w:val="000000" w:themeColor="text1"/>
          <w:sz w:val="28"/>
          <w:szCs w:val="28"/>
          <w:lang w:eastAsia="zh-CN"/>
          <w14:textFill>
            <w14:solidFill>
              <w14:schemeClr w14:val="tx1"/>
            </w14:solidFill>
          </w14:textFill>
        </w:rPr>
        <w:t>关于</w:t>
      </w: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lang w:eastAsia="zh-CN"/>
          <w14:textFill>
            <w14:solidFill>
              <w14:schemeClr w14:val="tx1"/>
            </w14:solidFill>
          </w14:textFill>
        </w:rPr>
        <w:t>环境影响报告表的批复</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，同意了本项目的建设</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17"/>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验收范围为建设长度约1.5km防洪堤坝。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根据《建设项目环境保护条例》（国务院令第682号，2017年）和《建设项目竣工环境保护验收暂行办法》（国家环保总局第4号令，2017年）的要求，</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巴楚县水利管理站</w:t>
      </w:r>
      <w:r>
        <w:rPr>
          <w:rFonts w:hint="default" w:ascii="Times New Roman" w:hAnsi="Times New Roman" w:eastAsia="宋体" w:cs="Times New Roman"/>
          <w:color w:val="000000" w:themeColor="text1"/>
          <w:sz w:val="28"/>
          <w:szCs w:val="28"/>
          <w14:textFill>
            <w14:solidFill>
              <w14:schemeClr w14:val="tx1"/>
            </w14:solidFill>
          </w14:textFill>
        </w:rPr>
        <w:t>于</w:t>
      </w:r>
      <w:r>
        <w:rPr>
          <w:rFonts w:hint="default" w:ascii="Times New Roman" w:hAnsi="Times New Roman" w:eastAsia="宋体" w:cs="Times New Roman"/>
          <w:color w:val="000000" w:themeColor="text1"/>
          <w:sz w:val="28"/>
          <w:szCs w:val="28"/>
          <w:lang w:eastAsia="zh-CN"/>
          <w14:textFill>
            <w14:solidFill>
              <w14:schemeClr w14:val="tx1"/>
            </w14:solidFill>
          </w14:textFill>
        </w:rPr>
        <w:t>2022年</w:t>
      </w:r>
      <w:r>
        <w:rPr>
          <w:rFonts w:hint="eastAsia" w:ascii="Times New Roman" w:hAnsi="Times New Roman"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lang w:eastAsia="zh-CN"/>
          <w14:textFill>
            <w14:solidFill>
              <w14:schemeClr w14:val="tx1"/>
            </w14:solidFill>
          </w14:textFill>
        </w:rPr>
        <w:t>月</w:t>
      </w:r>
      <w:r>
        <w:rPr>
          <w:rFonts w:hint="default" w:ascii="Times New Roman" w:hAnsi="Times New Roman" w:eastAsia="宋体" w:cs="Times New Roman"/>
          <w:color w:val="000000" w:themeColor="text1"/>
          <w:sz w:val="28"/>
          <w:szCs w:val="28"/>
          <w14:textFill>
            <w14:solidFill>
              <w14:schemeClr w14:val="tx1"/>
            </w14:solidFill>
          </w14:textFill>
        </w:rPr>
        <w:t>委托我公司（</w:t>
      </w:r>
      <w:r>
        <w:rPr>
          <w:rFonts w:hint="default" w:ascii="Times New Roman" w:hAnsi="Times New Roman" w:eastAsia="宋体" w:cs="Times New Roman"/>
          <w:color w:val="000000" w:themeColor="text1"/>
          <w:sz w:val="28"/>
          <w:szCs w:val="28"/>
          <w:lang w:eastAsia="zh-CN"/>
          <w14:textFill>
            <w14:solidFill>
              <w14:schemeClr w14:val="tx1"/>
            </w14:solidFill>
          </w14:textFill>
        </w:rPr>
        <w:t>新疆昱坤环保科技有限公司</w:t>
      </w:r>
      <w:r>
        <w:rPr>
          <w:rFonts w:hint="default" w:ascii="Times New Roman" w:hAnsi="Times New Roman" w:eastAsia="宋体" w:cs="Times New Roman"/>
          <w:color w:val="000000" w:themeColor="text1"/>
          <w:sz w:val="28"/>
          <w:szCs w:val="28"/>
          <w14:textFill>
            <w14:solidFill>
              <w14:schemeClr w14:val="tx1"/>
            </w14:solidFill>
          </w14:textFill>
        </w:rPr>
        <w:t>）承担本项目</w:t>
      </w:r>
      <w:r>
        <w:rPr>
          <w:rFonts w:hint="eastAsia" w:ascii="Times New Roman" w:hAnsi="Times New Roman" w:eastAsia="宋体" w:cs="Times New Roman"/>
          <w:color w:val="000000" w:themeColor="text1"/>
          <w:sz w:val="28"/>
          <w:szCs w:val="28"/>
          <w:lang w:eastAsia="zh-CN"/>
          <w14:textFill>
            <w14:solidFill>
              <w14:schemeClr w14:val="tx1"/>
            </w14:solidFill>
          </w14:textFill>
        </w:rPr>
        <w:t>“</w:t>
      </w: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r>
        <w:rPr>
          <w:rFonts w:hint="eastAsia"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竣工环境保护验收调查工作。我公司于20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22</w:t>
      </w:r>
      <w:r>
        <w:rPr>
          <w:rFonts w:hint="default" w:ascii="Times New Roman" w:hAnsi="Times New Roman" w:eastAsia="宋体" w:cs="Times New Roman"/>
          <w:color w:val="000000" w:themeColor="text1"/>
          <w:sz w:val="28"/>
          <w:szCs w:val="28"/>
          <w14:textFill>
            <w14:solidFill>
              <w14:schemeClr w14:val="tx1"/>
            </w14:solidFill>
          </w14:textFill>
        </w:rPr>
        <w:t>年</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月对该项目进行了现场勘察，查阅了相关资料，结合环评报告及环评批复意见的要求，对建设单位的各项环境保护措施和环境管理情况进行</w:t>
      </w:r>
      <w:r>
        <w:rPr>
          <w:rFonts w:hint="default" w:ascii="Times New Roman" w:hAnsi="Times New Roman" w:eastAsia="宋体" w:cs="Times New Roman"/>
          <w:color w:val="000000" w:themeColor="text1"/>
          <w:sz w:val="28"/>
          <w:szCs w:val="28"/>
          <w:lang w:eastAsia="zh-CN"/>
          <w14:textFill>
            <w14:solidFill>
              <w14:schemeClr w14:val="tx1"/>
            </w14:solidFill>
          </w14:textFill>
        </w:rPr>
        <w:t>了核查</w:t>
      </w:r>
      <w:r>
        <w:rPr>
          <w:rFonts w:hint="default" w:ascii="Times New Roman" w:hAnsi="Times New Roman" w:eastAsia="宋体" w:cs="Times New Roman"/>
          <w:color w:val="000000" w:themeColor="text1"/>
          <w:sz w:val="28"/>
          <w:szCs w:val="28"/>
          <w14:textFill>
            <w14:solidFill>
              <w14:schemeClr w14:val="tx1"/>
            </w14:solidFill>
          </w14:textFill>
        </w:rPr>
        <w:t>，在此基础上编制了《</w:t>
      </w: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lang w:eastAsia="zh-CN"/>
          <w14:textFill>
            <w14:solidFill>
              <w14:schemeClr w14:val="tx1"/>
            </w14:solidFill>
          </w14:textFill>
        </w:rPr>
        <w:t>竣工环境保护验收调查表</w:t>
      </w:r>
      <w:r>
        <w:rPr>
          <w:rFonts w:hint="default" w:ascii="Times New Roman" w:hAnsi="Times New Roman" w:eastAsia="宋体" w:cs="Times New Roman"/>
          <w:color w:val="000000" w:themeColor="text1"/>
          <w:sz w:val="28"/>
          <w:szCs w:val="28"/>
          <w14:textFill>
            <w14:solidFill>
              <w14:schemeClr w14:val="tx1"/>
            </w14:solidFill>
          </w14:textFill>
        </w:rPr>
        <w:t>》。</w:t>
      </w:r>
    </w:p>
    <w:p>
      <w:pP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12" w:name="_Toc24050"/>
      <w:r>
        <w:rPr>
          <w:rFonts w:hint="default" w:ascii="Times New Roman" w:hAnsi="Times New Roman" w:eastAsia="宋体" w:cs="Times New Roman"/>
          <w:color w:val="000000" w:themeColor="text1"/>
          <w14:textFill>
            <w14:solidFill>
              <w14:schemeClr w14:val="tx1"/>
            </w14:solidFill>
          </w14:textFill>
        </w:rPr>
        <w:t>表1  项目总体情况</w:t>
      </w:r>
      <w:bookmarkEnd w:id="10"/>
      <w:bookmarkEnd w:id="11"/>
      <w:bookmarkEnd w:id="12"/>
    </w:p>
    <w:tbl>
      <w:tblPr>
        <w:tblStyle w:val="31"/>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8"/>
        <w:gridCol w:w="1403"/>
        <w:gridCol w:w="502"/>
        <w:gridCol w:w="376"/>
        <w:gridCol w:w="269"/>
        <w:gridCol w:w="188"/>
        <w:gridCol w:w="369"/>
        <w:gridCol w:w="630"/>
        <w:gridCol w:w="92"/>
        <w:gridCol w:w="410"/>
        <w:gridCol w:w="650"/>
        <w:gridCol w:w="331"/>
        <w:gridCol w:w="457"/>
        <w:gridCol w:w="332"/>
        <w:gridCol w:w="6"/>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项目名称</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建设单位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巴楚县水利管理站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法人代表</w:t>
            </w:r>
          </w:p>
        </w:tc>
        <w:tc>
          <w:tcPr>
            <w:tcW w:w="2550" w:type="dxa"/>
            <w:gridSpan w:val="4"/>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艾尼</w:t>
            </w:r>
            <w:r>
              <w:rPr>
                <w:rFonts w:hint="eastAsia" w:ascii="仿宋" w:hAnsi="仿宋" w:eastAsia="仿宋" w:cs="仿宋"/>
                <w:color w:val="000000" w:themeColor="text1"/>
                <w:sz w:val="28"/>
                <w:szCs w:val="28"/>
                <w:lang w:val="en-US" w:eastAsia="zh-CN"/>
                <w14:textFill>
                  <w14:solidFill>
                    <w14:schemeClr w14:val="tx1"/>
                  </w14:solidFill>
                </w14:textFill>
              </w:rPr>
              <w:t>·</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吐尔洪</w:t>
            </w:r>
          </w:p>
        </w:tc>
        <w:tc>
          <w:tcPr>
            <w:tcW w:w="1279" w:type="dxa"/>
            <w:gridSpan w:val="4"/>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联系人</w:t>
            </w:r>
          </w:p>
        </w:tc>
        <w:tc>
          <w:tcPr>
            <w:tcW w:w="3682" w:type="dxa"/>
            <w:gridSpan w:val="7"/>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冉江玉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通信地址</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巴楚县水利管理站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联系电话</w:t>
            </w:r>
          </w:p>
        </w:tc>
        <w:tc>
          <w:tcPr>
            <w:tcW w:w="2550" w:type="dxa"/>
            <w:gridSpan w:val="4"/>
            <w:vAlign w:val="center"/>
          </w:tcPr>
          <w:p>
            <w:pPr>
              <w:ind w:firstLine="280" w:firstLineChars="1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13289986802</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 xml:space="preserve"> </w:t>
            </w:r>
          </w:p>
        </w:tc>
        <w:tc>
          <w:tcPr>
            <w:tcW w:w="1187"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传真</w:t>
            </w:r>
          </w:p>
        </w:tc>
        <w:tc>
          <w:tcPr>
            <w:tcW w:w="1152"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788" w:type="dxa"/>
            <w:gridSpan w:val="2"/>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邮编</w:t>
            </w:r>
          </w:p>
        </w:tc>
        <w:tc>
          <w:tcPr>
            <w:tcW w:w="1834" w:type="dxa"/>
            <w:gridSpan w:val="3"/>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843800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建设地点</w:t>
            </w:r>
          </w:p>
        </w:tc>
        <w:tc>
          <w:tcPr>
            <w:tcW w:w="7511" w:type="dxa"/>
            <w:gridSpan w:val="15"/>
            <w:vAlign w:val="center"/>
          </w:tcPr>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巴楚县阿拉格尔乡18村</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距巴楚县城92km。</w:t>
            </w:r>
          </w:p>
          <w:p>
            <w:pPr>
              <w:keepNext w:val="0"/>
              <w:keepLines/>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本次</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防洪坝的</w:t>
            </w:r>
            <w:r>
              <w:rPr>
                <w:rFonts w:hint="default" w:ascii="Times New Roman" w:hAnsi="Times New Roman" w:eastAsia="宋体" w:cs="Times New Roman"/>
                <w:color w:val="000000" w:themeColor="text1"/>
                <w:sz w:val="28"/>
                <w:szCs w:val="28"/>
                <w14:textFill>
                  <w14:solidFill>
                    <w14:schemeClr w14:val="tx1"/>
                  </w14:solidFill>
                </w14:textFill>
              </w:rPr>
              <w:t>起点坐标为: 北纬39°15'</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47.13</w:t>
            </w:r>
            <w:r>
              <w:rPr>
                <w:rFonts w:hint="default" w:ascii="Times New Roman" w:hAnsi="Times New Roman" w:eastAsia="宋体" w:cs="Times New Roman"/>
                <w:color w:val="000000" w:themeColor="text1"/>
                <w:sz w:val="28"/>
                <w:szCs w:val="28"/>
                <w14:textFill>
                  <w14:solidFill>
                    <w14:schemeClr w14:val="tx1"/>
                  </w14:solidFill>
                </w14:textFill>
              </w:rPr>
              <w:t>"、东经77°50'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35.22</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终点坐标为：北纬39°16'0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6.58</w:t>
            </w:r>
            <w:r>
              <w:rPr>
                <w:rFonts w:hint="default" w:ascii="Times New Roman" w:hAnsi="Times New Roman" w:eastAsia="宋体" w:cs="Times New Roman"/>
                <w:color w:val="000000" w:themeColor="text1"/>
                <w:sz w:val="28"/>
                <w:szCs w:val="28"/>
                <w14:textFill>
                  <w14:solidFill>
                    <w14:schemeClr w14:val="tx1"/>
                  </w14:solidFill>
                </w14:textFill>
              </w:rPr>
              <w:t>"、东经77°51'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32.43</w:t>
            </w: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建设项目性质</w:t>
            </w:r>
          </w:p>
        </w:tc>
        <w:tc>
          <w:tcPr>
            <w:tcW w:w="2281" w:type="dxa"/>
            <w:gridSpan w:val="3"/>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新建</w:t>
            </w:r>
            <w:r>
              <w:rPr>
                <w:rFonts w:hint="default" w:ascii="Times New Roman" w:hAnsi="Times New Roman" w:eastAsia="宋体" w:cs="Times New Roman"/>
                <w:color w:val="000000" w:themeColor="text1"/>
                <w:sz w:val="28"/>
                <w:szCs w:val="28"/>
                <w:lang w:eastAsia="zh-CN"/>
                <w14:textFill>
                  <w14:solidFill>
                    <w14:schemeClr w14:val="tx1"/>
                  </w14:solidFill>
                </w14:textFill>
              </w:rPr>
              <w:sym w:font="Wingdings 2" w:char="0052"/>
            </w:r>
          </w:p>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改扩建</w:t>
            </w:r>
            <w:r>
              <w:rPr>
                <w:rFonts w:hint="default" w:ascii="Times New Roman" w:hAnsi="Times New Roman" w:eastAsia="宋体" w:cs="Times New Roman"/>
                <w:color w:val="000000" w:themeColor="text1"/>
                <w:sz w:val="28"/>
                <w:szCs w:val="28"/>
                <w:lang w:eastAsia="zh-CN"/>
                <w14:textFill>
                  <w14:solidFill>
                    <w14:schemeClr w14:val="tx1"/>
                  </w14:solidFill>
                </w14:textFill>
              </w:rPr>
              <w:sym w:font="Wingdings 2" w:char="00A3"/>
            </w:r>
          </w:p>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技改</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1548" w:type="dxa"/>
            <w:gridSpan w:val="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行业类别</w:t>
            </w:r>
          </w:p>
        </w:tc>
        <w:tc>
          <w:tcPr>
            <w:tcW w:w="3682" w:type="dxa"/>
            <w:gridSpan w:val="7"/>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河湖治理及防洪设施工程建筑E4822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环境影响报告表名称</w:t>
            </w:r>
          </w:p>
        </w:tc>
        <w:tc>
          <w:tcPr>
            <w:tcW w:w="7511" w:type="dxa"/>
            <w:gridSpan w:val="1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环境影响评价单位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新疆奥邦科技有限公司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初步设计单位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环境影响评价审批部门</w:t>
            </w:r>
          </w:p>
        </w:tc>
        <w:tc>
          <w:tcPr>
            <w:tcW w:w="1905" w:type="dxa"/>
            <w:gridSpan w:val="2"/>
            <w:vAlign w:val="center"/>
          </w:tcPr>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喀什地区生态环境局</w:t>
            </w:r>
          </w:p>
        </w:tc>
        <w:tc>
          <w:tcPr>
            <w:tcW w:w="833"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文号</w:t>
            </w:r>
          </w:p>
        </w:tc>
        <w:tc>
          <w:tcPr>
            <w:tcW w:w="2482"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喀地环评字[2019]88号</w:t>
            </w:r>
          </w:p>
        </w:tc>
        <w:tc>
          <w:tcPr>
            <w:tcW w:w="795"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时间</w:t>
            </w:r>
          </w:p>
        </w:tc>
        <w:tc>
          <w:tcPr>
            <w:tcW w:w="1496"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w:t>
            </w:r>
            <w:r>
              <w:rPr>
                <w:rFonts w:hint="eastAsia" w:ascii="Times New Roman" w:hAnsi="Times New Roman" w:cs="Times New Roman"/>
                <w:color w:val="000000" w:themeColor="text1"/>
                <w:sz w:val="28"/>
                <w:szCs w:val="28"/>
                <w:lang w:val="en-US" w:eastAsia="zh-CN"/>
                <w14:textFill>
                  <w14:solidFill>
                    <w14:schemeClr w14:val="tx1"/>
                  </w14:solidFill>
                </w14:textFill>
              </w:rPr>
              <w:t>19.4.25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初步设计审批部门</w:t>
            </w:r>
          </w:p>
        </w:tc>
        <w:tc>
          <w:tcPr>
            <w:tcW w:w="1905" w:type="dxa"/>
            <w:gridSpan w:val="2"/>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833"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文号</w:t>
            </w:r>
          </w:p>
        </w:tc>
        <w:tc>
          <w:tcPr>
            <w:tcW w:w="2482" w:type="dxa"/>
            <w:gridSpan w:val="6"/>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795"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时间</w:t>
            </w:r>
          </w:p>
        </w:tc>
        <w:tc>
          <w:tcPr>
            <w:tcW w:w="14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环境保护设施设计单位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环境保护设施施工单位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环境保护验收监测单位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新疆昱坤环保科技有限公司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投资总概算（万元）</w:t>
            </w:r>
          </w:p>
        </w:tc>
        <w:tc>
          <w:tcPr>
            <w:tcW w:w="1403"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2758.63</w:t>
            </w:r>
          </w:p>
        </w:tc>
        <w:tc>
          <w:tcPr>
            <w:tcW w:w="1704" w:type="dxa"/>
            <w:gridSpan w:val="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环保投资（万元）</w:t>
            </w:r>
          </w:p>
        </w:tc>
        <w:tc>
          <w:tcPr>
            <w:tcW w:w="1132" w:type="dxa"/>
            <w:gridSpan w:val="3"/>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21.5</w:t>
            </w:r>
          </w:p>
        </w:tc>
        <w:tc>
          <w:tcPr>
            <w:tcW w:w="1770" w:type="dxa"/>
            <w:gridSpan w:val="4"/>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环保投资占总投资比例</w:t>
            </w:r>
          </w:p>
        </w:tc>
        <w:tc>
          <w:tcPr>
            <w:tcW w:w="1502" w:type="dxa"/>
            <w:gridSpan w:val="2"/>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0.78</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实际总投资（万元）</w:t>
            </w:r>
          </w:p>
        </w:tc>
        <w:tc>
          <w:tcPr>
            <w:tcW w:w="1403"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2650</w:t>
            </w:r>
          </w:p>
        </w:tc>
        <w:tc>
          <w:tcPr>
            <w:tcW w:w="1704" w:type="dxa"/>
            <w:gridSpan w:val="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环保投资（万元）</w:t>
            </w:r>
          </w:p>
        </w:tc>
        <w:tc>
          <w:tcPr>
            <w:tcW w:w="1132" w:type="dxa"/>
            <w:gridSpan w:val="3"/>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20.0</w:t>
            </w:r>
          </w:p>
        </w:tc>
        <w:tc>
          <w:tcPr>
            <w:tcW w:w="1770" w:type="dxa"/>
            <w:gridSpan w:val="4"/>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环保投资占总投资比例</w:t>
            </w:r>
          </w:p>
        </w:tc>
        <w:tc>
          <w:tcPr>
            <w:tcW w:w="1502" w:type="dxa"/>
            <w:gridSpan w:val="2"/>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设计建设规模</w:t>
            </w:r>
          </w:p>
        </w:tc>
        <w:tc>
          <w:tcPr>
            <w:tcW w:w="4239" w:type="dxa"/>
            <w:gridSpan w:val="9"/>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防洪堤坝</w:t>
            </w:r>
            <w:r>
              <w:rPr>
                <w:rFonts w:hint="eastAsia" w:ascii="Times New Roman" w:hAnsi="Times New Roman" w:cs="Times New Roman"/>
                <w:color w:val="000000" w:themeColor="text1"/>
                <w:sz w:val="28"/>
                <w:szCs w:val="28"/>
                <w:lang w:val="en-US" w:eastAsia="zh-CN"/>
                <w14:textFill>
                  <w14:solidFill>
                    <w14:schemeClr w14:val="tx1"/>
                  </w14:solidFill>
                </w14:textFill>
              </w:rPr>
              <w:t>1.5km</w:t>
            </w:r>
          </w:p>
        </w:tc>
        <w:tc>
          <w:tcPr>
            <w:tcW w:w="1770" w:type="dxa"/>
            <w:gridSpan w:val="4"/>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建设项目开工日期</w:t>
            </w:r>
          </w:p>
        </w:tc>
        <w:tc>
          <w:tcPr>
            <w:tcW w:w="1502" w:type="dxa"/>
            <w:gridSpan w:val="2"/>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2019.5.16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实际建设规模</w:t>
            </w:r>
          </w:p>
        </w:tc>
        <w:tc>
          <w:tcPr>
            <w:tcW w:w="4239" w:type="dxa"/>
            <w:gridSpan w:val="9"/>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本工程共完成修建防洪堤坝</w:t>
            </w:r>
            <w:r>
              <w:rPr>
                <w:rFonts w:hint="eastAsia" w:ascii="Times New Roman" w:hAnsi="Times New Roman" w:cs="Times New Roman"/>
                <w:color w:val="000000" w:themeColor="text1"/>
                <w:sz w:val="28"/>
                <w:szCs w:val="28"/>
                <w:lang w:val="en-US" w:eastAsia="zh-CN"/>
                <w14:textFill>
                  <w14:solidFill>
                    <w14:schemeClr w14:val="tx1"/>
                  </w14:solidFill>
                </w14:textFill>
              </w:rPr>
              <w:t>1.5km</w:t>
            </w:r>
          </w:p>
        </w:tc>
        <w:tc>
          <w:tcPr>
            <w:tcW w:w="1770" w:type="dxa"/>
            <w:gridSpan w:val="4"/>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投入试运行日期</w:t>
            </w:r>
          </w:p>
        </w:tc>
        <w:tc>
          <w:tcPr>
            <w:tcW w:w="1502" w:type="dxa"/>
            <w:gridSpan w:val="2"/>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2019</w:t>
            </w:r>
            <w:r>
              <w:rPr>
                <w:rFonts w:hint="eastAsia" w:ascii="Times New Roman" w:hAnsi="Times New Roman" w:cs="Times New Roman"/>
                <w:color w:val="000000" w:themeColor="text1"/>
                <w:sz w:val="28"/>
                <w:szCs w:val="28"/>
                <w:lang w:val="en-US" w:eastAsia="zh-CN"/>
                <w14:textFill>
                  <w14:solidFill>
                    <w14:schemeClr w14:val="tx1"/>
                  </w14:solidFill>
                </w14:textFill>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4" w:hRule="atLeast"/>
          <w:jc w:val="center"/>
        </w:trPr>
        <w:tc>
          <w:tcPr>
            <w:tcW w:w="2568" w:type="dxa"/>
            <w:vAlign w:val="center"/>
          </w:tcPr>
          <w:p>
            <w:pPr>
              <w:ind w:firstLine="280" w:firstLineChars="1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项目建设过程简述（项目立项-试运行）</w:t>
            </w:r>
          </w:p>
        </w:tc>
        <w:tc>
          <w:tcPr>
            <w:tcW w:w="7511" w:type="dxa"/>
            <w:gridSpan w:val="15"/>
            <w:vAlign w:val="center"/>
          </w:tcPr>
          <w:p>
            <w:pPr>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14:textFill>
                  <w14:solidFill>
                    <w14:schemeClr w14:val="tx1"/>
                  </w14:solidFill>
                </w14:textFill>
              </w:rPr>
              <w:t>建设内容：</w:t>
            </w:r>
          </w:p>
          <w:p>
            <w:pPr>
              <w:ind w:firstLine="560" w:firstLineChars="200"/>
              <w:jc w:val="left"/>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本工程共完成修建防洪堤坝1500米</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其中</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 xml:space="preserve">土方开挖129357.13 </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土方填筑111910.69</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、土工布铺设69202.77</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、砂砾石垫层12146.57</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格宾石笼装填18863.34</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、雷诺护垫12434.13</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、土方回填103381.96</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、四面六边透水框架（10*10*100cm）856.8</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。堤顶道路修建1500米，其中路沿石安装1500米、堤顶土工布铺设1500</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、堤顶砂砾石垫层8001.84</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w:t>
            </w:r>
          </w:p>
          <w:p>
            <w:pPr>
              <w:jc w:val="left"/>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14:textFill>
                  <w14:solidFill>
                    <w14:schemeClr w14:val="tx1"/>
                  </w14:solidFill>
                </w14:textFill>
              </w:rPr>
              <w:t>项目进展：</w:t>
            </w:r>
          </w:p>
          <w:p>
            <w:pPr>
              <w:pStyle w:val="37"/>
              <w:ind w:firstLine="480"/>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w:t>
            </w:r>
            <w:r>
              <w:rPr>
                <w:rFonts w:hint="eastAsia" w:cs="Times New Roman"/>
                <w:color w:val="000000" w:themeColor="text1"/>
                <w:sz w:val="28"/>
                <w:szCs w:val="28"/>
                <w:lang w:eastAsia="zh-CN"/>
                <w14:textFill>
                  <w14:solidFill>
                    <w14:schemeClr w14:val="tx1"/>
                  </w14:solidFill>
                </w14:textFill>
              </w:rPr>
              <w:t>2019年2月</w:t>
            </w:r>
            <w:r>
              <w:rPr>
                <w:rFonts w:hint="default" w:ascii="Times New Roman" w:hAnsi="Times New Roman" w:eastAsia="宋体" w:cs="Times New Roman"/>
                <w:color w:val="000000" w:themeColor="text1"/>
                <w:sz w:val="28"/>
                <w:szCs w:val="28"/>
                <w14:textFill>
                  <w14:solidFill>
                    <w14:schemeClr w14:val="tx1"/>
                  </w14:solidFill>
                </w14:textFill>
              </w:rPr>
              <w:t>由</w:t>
            </w:r>
            <w:r>
              <w:rPr>
                <w:rFonts w:hint="eastAsia" w:cs="Times New Roman"/>
                <w:color w:val="000000" w:themeColor="text1"/>
                <w:sz w:val="28"/>
                <w:szCs w:val="28"/>
                <w:lang w:eastAsia="zh-CN"/>
                <w14:textFill>
                  <w14:solidFill>
                    <w14:schemeClr w14:val="tx1"/>
                  </w14:solidFill>
                </w14:textFill>
              </w:rPr>
              <w:t>新疆奥邦科技有限公司</w:t>
            </w:r>
            <w:r>
              <w:rPr>
                <w:rFonts w:hint="default" w:ascii="Times New Roman" w:hAnsi="Times New Roman" w:eastAsia="宋体" w:cs="Times New Roman"/>
                <w:color w:val="000000" w:themeColor="text1"/>
                <w:sz w:val="28"/>
                <w:szCs w:val="28"/>
                <w:lang w:eastAsia="zh-CN"/>
                <w14:textFill>
                  <w14:solidFill>
                    <w14:schemeClr w14:val="tx1"/>
                  </w14:solidFill>
                </w14:textFill>
              </w:rPr>
              <w:t>编制</w:t>
            </w:r>
            <w:r>
              <w:rPr>
                <w:rFonts w:hint="default" w:ascii="Times New Roman" w:hAnsi="Times New Roman" w:eastAsia="宋体" w:cs="Times New Roman"/>
                <w:color w:val="000000" w:themeColor="text1"/>
                <w:sz w:val="28"/>
                <w:szCs w:val="28"/>
                <w14:textFill>
                  <w14:solidFill>
                    <w14:schemeClr w14:val="tx1"/>
                  </w14:solidFill>
                </w14:textFill>
              </w:rPr>
              <w:t>了《</w:t>
            </w:r>
            <w:r>
              <w:rPr>
                <w:rFonts w:hint="eastAsia"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w:t>
            </w:r>
            <w:r>
              <w:rPr>
                <w:rFonts w:hint="eastAsia" w:cs="Times New Roman"/>
                <w:color w:val="000000" w:themeColor="text1"/>
                <w:sz w:val="28"/>
                <w:szCs w:val="28"/>
                <w:lang w:val="en-US" w:eastAsia="zh-CN"/>
                <w14:textFill>
                  <w14:solidFill>
                    <w14:schemeClr w14:val="tx1"/>
                  </w14:solidFill>
                </w14:textFill>
              </w:rPr>
              <w:t>；</w:t>
            </w:r>
          </w:p>
          <w:p>
            <w:pPr>
              <w:pStyle w:val="37"/>
              <w:ind w:firstLine="48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w:t>
            </w:r>
            <w:r>
              <w:rPr>
                <w:rFonts w:hint="eastAsia" w:cs="Times New Roman"/>
                <w:color w:val="000000" w:themeColor="text1"/>
                <w:sz w:val="28"/>
                <w:szCs w:val="28"/>
                <w:lang w:eastAsia="zh-CN"/>
                <w14:textFill>
                  <w14:solidFill>
                    <w14:schemeClr w14:val="tx1"/>
                  </w14:solidFill>
                </w14:textFill>
              </w:rPr>
              <w:t>2019年4月24日</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喀什地区生态环境局</w:t>
            </w:r>
            <w:r>
              <w:rPr>
                <w:rFonts w:hint="default" w:ascii="Times New Roman" w:hAnsi="Times New Roman" w:eastAsia="宋体" w:cs="Times New Roman"/>
                <w:color w:val="000000" w:themeColor="text1"/>
                <w:sz w:val="28"/>
                <w:szCs w:val="28"/>
                <w14:textFill>
                  <w14:solidFill>
                    <w14:schemeClr w14:val="tx1"/>
                  </w14:solidFill>
                </w14:textFill>
              </w:rPr>
              <w:t>以</w:t>
            </w:r>
            <w:r>
              <w:rPr>
                <w:rFonts w:hint="eastAsia" w:cs="Times New Roman"/>
                <w:color w:val="000000" w:themeColor="text1"/>
                <w:sz w:val="28"/>
                <w:szCs w:val="28"/>
                <w:lang w:eastAsia="zh-CN"/>
                <w14:textFill>
                  <w14:solidFill>
                    <w14:schemeClr w14:val="tx1"/>
                  </w14:solidFill>
                </w14:textFill>
              </w:rPr>
              <w:t>喀地环评字[2019]88号</w:t>
            </w:r>
            <w:r>
              <w:rPr>
                <w:rFonts w:hint="default" w:ascii="Times New Roman" w:hAnsi="Times New Roman" w:eastAsia="宋体" w:cs="Times New Roman"/>
                <w:color w:val="000000" w:themeColor="text1"/>
                <w:sz w:val="28"/>
                <w:szCs w:val="28"/>
                <w:lang w:eastAsia="zh-CN"/>
                <w14:textFill>
                  <w14:solidFill>
                    <w14:schemeClr w14:val="tx1"/>
                  </w14:solidFill>
                </w14:textFill>
              </w:rPr>
              <w:t>下发了</w:t>
            </w:r>
            <w:r>
              <w:rPr>
                <w:rFonts w:hint="default" w:ascii="Times New Roman" w:hAnsi="Times New Roman" w:eastAsia="宋体" w:cs="Times New Roman"/>
                <w:color w:val="000000" w:themeColor="text1"/>
                <w:sz w:val="28"/>
                <w:szCs w:val="28"/>
                <w14:textFill>
                  <w14:solidFill>
                    <w14:schemeClr w14:val="tx1"/>
                  </w14:solidFill>
                </w14:textFill>
              </w:rPr>
              <w:t>《关于</w:t>
            </w:r>
            <w:r>
              <w:rPr>
                <w:rFonts w:hint="eastAsia"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环境影响报告表的批复》</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对本项目进行了审批</w:t>
            </w:r>
            <w:r>
              <w:rPr>
                <w:rFonts w:hint="eastAsia" w:cs="Times New Roman"/>
                <w:color w:val="000000" w:themeColor="text1"/>
                <w:sz w:val="28"/>
                <w:szCs w:val="28"/>
                <w:lang w:eastAsia="zh-CN"/>
                <w14:textFill>
                  <w14:solidFill>
                    <w14:schemeClr w14:val="tx1"/>
                  </w14:solidFill>
                </w14:textFill>
              </w:rPr>
              <w:t>；</w:t>
            </w:r>
          </w:p>
          <w:p>
            <w:pPr>
              <w:pStyle w:val="37"/>
              <w:ind w:firstLine="48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3、</w:t>
            </w:r>
            <w:r>
              <w:rPr>
                <w:rFonts w:hint="default" w:ascii="Times New Roman" w:hAnsi="Times New Roman" w:eastAsia="宋体" w:cs="Times New Roman"/>
                <w:color w:val="000000" w:themeColor="text1"/>
                <w:sz w:val="28"/>
                <w:szCs w:val="28"/>
                <w:lang w:eastAsia="zh-CN"/>
                <w14:textFill>
                  <w14:solidFill>
                    <w14:schemeClr w14:val="tx1"/>
                  </w14:solidFill>
                </w14:textFill>
              </w:rPr>
              <w:t>本项目</w:t>
            </w:r>
            <w:r>
              <w:rPr>
                <w:rFonts w:hint="default" w:ascii="Times New Roman" w:hAnsi="Times New Roman" w:eastAsia="宋体" w:cs="Times New Roman"/>
                <w:color w:val="000000" w:themeColor="text1"/>
                <w:sz w:val="28"/>
                <w:szCs w:val="28"/>
                <w14:textFill>
                  <w14:solidFill>
                    <w14:schemeClr w14:val="tx1"/>
                  </w14:solidFill>
                </w14:textFill>
              </w:rPr>
              <w:t>于</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w:t>
            </w:r>
            <w:r>
              <w:rPr>
                <w:rFonts w:hint="eastAsia"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eastAsia="zh-CN"/>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5月20日</w:t>
            </w:r>
            <w:r>
              <w:rPr>
                <w:rFonts w:hint="default" w:ascii="Times New Roman" w:hAnsi="Times New Roman" w:eastAsia="宋体" w:cs="Times New Roman"/>
                <w:color w:val="000000" w:themeColor="text1"/>
                <w:sz w:val="28"/>
                <w:szCs w:val="28"/>
                <w14:textFill>
                  <w14:solidFill>
                    <w14:schemeClr w14:val="tx1"/>
                  </w14:solidFill>
                </w14:textFill>
              </w:rPr>
              <w:t>开工建设，</w:t>
            </w:r>
            <w:r>
              <w:rPr>
                <w:rFonts w:hint="eastAsia" w:cs="Times New Roman"/>
                <w:color w:val="000000" w:themeColor="text1"/>
                <w:sz w:val="28"/>
                <w:szCs w:val="28"/>
                <w:lang w:eastAsia="zh-CN"/>
                <w14:textFill>
                  <w14:solidFill>
                    <w14:schemeClr w14:val="tx1"/>
                  </w14:solidFill>
                </w14:textFill>
              </w:rPr>
              <w:t>2019年12月24日</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竣工，</w:t>
            </w:r>
            <w:r>
              <w:rPr>
                <w:rFonts w:hint="default" w:ascii="Times New Roman" w:hAnsi="Times New Roman" w:eastAsia="宋体" w:cs="Times New Roman"/>
                <w:color w:val="000000" w:themeColor="text1"/>
                <w:sz w:val="28"/>
                <w:szCs w:val="28"/>
                <w14:textFill>
                  <w14:solidFill>
                    <w14:schemeClr w14:val="tx1"/>
                  </w14:solidFill>
                </w14:textFill>
              </w:rPr>
              <w:t>投入</w:t>
            </w:r>
            <w:r>
              <w:rPr>
                <w:rFonts w:hint="default" w:ascii="Times New Roman" w:hAnsi="Times New Roman" w:eastAsia="宋体" w:cs="Times New Roman"/>
                <w:color w:val="000000" w:themeColor="text1"/>
                <w:sz w:val="28"/>
                <w:szCs w:val="28"/>
                <w:lang w:eastAsia="zh-CN"/>
                <w14:textFill>
                  <w14:solidFill>
                    <w14:schemeClr w14:val="tx1"/>
                  </w14:solidFill>
                </w14:textFill>
              </w:rPr>
              <w:t>试</w:t>
            </w:r>
            <w:r>
              <w:rPr>
                <w:rFonts w:hint="default" w:ascii="Times New Roman" w:hAnsi="Times New Roman" w:eastAsia="宋体" w:cs="Times New Roman"/>
                <w:color w:val="000000" w:themeColor="text1"/>
                <w:sz w:val="28"/>
                <w:szCs w:val="28"/>
                <w14:textFill>
                  <w14:solidFill>
                    <w14:schemeClr w14:val="tx1"/>
                  </w14:solidFill>
                </w14:textFill>
              </w:rPr>
              <w:t>运行</w:t>
            </w:r>
            <w:r>
              <w:rPr>
                <w:rFonts w:hint="eastAsia" w:cs="Times New Roman"/>
                <w:color w:val="000000" w:themeColor="text1"/>
                <w:sz w:val="28"/>
                <w:szCs w:val="28"/>
                <w:lang w:eastAsia="zh-CN"/>
                <w14:textFill>
                  <w14:solidFill>
                    <w14:schemeClr w14:val="tx1"/>
                  </w14:solidFill>
                </w14:textFill>
              </w:rPr>
              <w:t>；</w:t>
            </w:r>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22</w:t>
            </w:r>
            <w:r>
              <w:rPr>
                <w:rFonts w:hint="default" w:ascii="Times New Roman" w:hAnsi="Times New Roman" w:eastAsia="宋体" w:cs="Times New Roman"/>
                <w:color w:val="000000" w:themeColor="text1"/>
                <w:sz w:val="28"/>
                <w:szCs w:val="28"/>
                <w14:textFill>
                  <w14:solidFill>
                    <w14:schemeClr w14:val="tx1"/>
                  </w14:solidFill>
                </w14:textFill>
              </w:rPr>
              <w:t>年</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月，</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巴楚县水利管理站</w:t>
            </w:r>
            <w:r>
              <w:rPr>
                <w:rFonts w:hint="default" w:ascii="Times New Roman" w:hAnsi="Times New Roman" w:eastAsia="宋体" w:cs="Times New Roman"/>
                <w:color w:val="000000" w:themeColor="text1"/>
                <w:sz w:val="28"/>
                <w:szCs w:val="28"/>
                <w14:textFill>
                  <w14:solidFill>
                    <w14:schemeClr w14:val="tx1"/>
                  </w14:solidFill>
                </w14:textFill>
              </w:rPr>
              <w:t>委托</w:t>
            </w:r>
            <w:r>
              <w:rPr>
                <w:rFonts w:hint="default" w:ascii="Times New Roman" w:hAnsi="Times New Roman" w:eastAsia="宋体" w:cs="Times New Roman"/>
                <w:color w:val="000000" w:themeColor="text1"/>
                <w:sz w:val="28"/>
                <w:szCs w:val="28"/>
                <w:lang w:eastAsia="zh-CN"/>
                <w14:textFill>
                  <w14:solidFill>
                    <w14:schemeClr w14:val="tx1"/>
                  </w14:solidFill>
                </w14:textFill>
              </w:rPr>
              <w:t>新疆昱坤环保科技有限公司</w:t>
            </w:r>
            <w:r>
              <w:rPr>
                <w:rFonts w:hint="default" w:ascii="Times New Roman" w:hAnsi="Times New Roman" w:eastAsia="宋体" w:cs="Times New Roman"/>
                <w:color w:val="000000" w:themeColor="text1"/>
                <w:sz w:val="28"/>
                <w:szCs w:val="28"/>
                <w14:textFill>
                  <w14:solidFill>
                    <w14:schemeClr w14:val="tx1"/>
                  </w14:solidFill>
                </w14:textFill>
              </w:rPr>
              <w:t>进行该项目的竣工环境保护验收工作。</w:t>
            </w:r>
          </w:p>
          <w:p>
            <w:pPr>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14:textFill>
                  <w14:solidFill>
                    <w14:schemeClr w14:val="tx1"/>
                  </w14:solidFill>
                </w14:textFill>
              </w:rPr>
              <w:t>调查依据：</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（1）《中华人民共和国环境保护法》（2014年4月24</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修订，2015年1月1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（2）《中华人民共和国环境影响评价法》（2016年7月2修订，2016年9月1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（3）《中华人民共和国大气污染防治法》（2015年8月29</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修订，2016年1月1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实施）</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（4）《中华人民共和国水污染防治法》（2017年修订，2018年1月1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（5）《中华人民共和国噪声污染防治法》（2021年12月24日通过，自2022年6月5日起施行）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（6）《中华人民共和国固体废弃物污染环境防治法》（2005年4月1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起实施，20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w:t>
            </w:r>
            <w:r>
              <w:rPr>
                <w:rFonts w:hint="default" w:ascii="Times New Roman" w:hAnsi="Times New Roman" w:eastAsia="宋体" w:cs="Times New Roman"/>
                <w:color w:val="000000" w:themeColor="text1"/>
                <w:sz w:val="28"/>
                <w:szCs w:val="28"/>
                <w14:textFill>
                  <w14:solidFill>
                    <w14:schemeClr w14:val="tx1"/>
                  </w14:solidFill>
                </w14:textFill>
              </w:rPr>
              <w:t>年</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4</w:t>
            </w:r>
            <w:r>
              <w:rPr>
                <w:rFonts w:hint="default" w:ascii="Times New Roman" w:hAnsi="Times New Roman" w:eastAsia="宋体" w:cs="Times New Roman"/>
                <w:color w:val="000000" w:themeColor="text1"/>
                <w:sz w:val="28"/>
                <w:szCs w:val="28"/>
                <w14:textFill>
                  <w14:solidFill>
                    <w14:schemeClr w14:val="tx1"/>
                  </w14:solidFill>
                </w14:textFill>
              </w:rPr>
              <w:t>月</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29</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修订）</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（7）《建设项目环境保护管理条例》（2017年10月1日施行，国务院令第682号）</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（8）《建设项目环境影响评价分类管理名录》（2017年9月1日，2018年4月生态环境部令第1号修改）</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（9）《国务院关于加强环境保护重点工作的意见》（国发〔2011〕35号文）</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（10）《国务院关于印发大气污染防治行动计划的通知》（国发〔2013〕37号）</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（11）《清洁生产促进法》（2012年7月1日施行）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（12）《产业结构调整指导目录（2011年本，2013年修订）》</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（13）《新疆维吾尔自治区环境保护条例》（2017年1月1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 xml:space="preserve">（14）《建设项目竣工环境保护验收管理办法》（国家环境保护总局第13号） </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（15）《建设项目竣工环境保护验收技术规范  生态影响类》（HJ/T394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2007）</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14:textFill>
                  <w14:solidFill>
                    <w14:schemeClr w14:val="tx1"/>
                  </w14:solidFill>
                </w14:textFill>
              </w:rPr>
              <w:t>）《建设项目竣工环境保护验收技术规范 水利水电》（HJ464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2009）</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eastAsia" w:ascii="Times New Roman" w:hAnsi="Times New Roman" w:cs="Times New Roman"/>
                <w:color w:val="000000" w:themeColor="text1"/>
                <w:sz w:val="28"/>
                <w:szCs w:val="28"/>
                <w:lang w:val="en-US" w:eastAsia="zh-CN"/>
                <w14:textFill>
                  <w14:solidFill>
                    <w14:schemeClr w14:val="tx1"/>
                  </w14:solidFill>
                </w14:textFill>
              </w:rPr>
              <w:t>17</w:t>
            </w: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）《巴楚县阿拉格尔18村防洪点修建防洪堤坝项目单位工程验收</w:t>
            </w:r>
            <w:r>
              <w:rPr>
                <w:rFonts w:hint="eastAsia" w:ascii="Times New Roman" w:hAnsi="Times New Roman" w:cs="Times New Roman"/>
                <w:color w:val="000000" w:themeColor="text1"/>
                <w:sz w:val="28"/>
                <w:szCs w:val="28"/>
                <w:lang w:val="en-US" w:eastAsia="zh-CN"/>
                <w14:textFill>
                  <w14:solidFill>
                    <w14:schemeClr w14:val="tx1"/>
                  </w14:solidFill>
                </w14:textFill>
              </w:rPr>
              <w:t>鉴定书</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bl>
    <w:p>
      <w:pPr>
        <w:rPr>
          <w:rFonts w:hint="default" w:ascii="Times New Roman" w:hAnsi="Times New Roman" w:eastAsia="宋体" w:cs="Times New Roman"/>
          <w:color w:val="000000" w:themeColor="text1"/>
          <w:sz w:val="28"/>
          <w:szCs w:val="28"/>
          <w14:textFill>
            <w14:solidFill>
              <w14:schemeClr w14:val="tx1"/>
            </w14:solidFill>
          </w14:textFill>
        </w:rPr>
      </w:pPr>
      <w:bookmarkStart w:id="13" w:name="_Toc30342"/>
      <w:bookmarkStart w:id="14" w:name="_Toc13950"/>
      <w:bookmarkStart w:id="15" w:name="_Toc31056"/>
      <w:r>
        <w:rPr>
          <w:rFonts w:hint="default" w:ascii="Times New Roman" w:hAnsi="Times New Roman" w:eastAsia="宋体" w:cs="Times New Roman"/>
          <w:color w:val="000000" w:themeColor="text1"/>
          <w:sz w:val="28"/>
          <w:szCs w:val="28"/>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表2  调查范围、因子、目标、重点</w:t>
      </w:r>
      <w:bookmarkEnd w:id="13"/>
      <w:bookmarkEnd w:id="14"/>
      <w:bookmarkEnd w:id="15"/>
    </w:p>
    <w:tbl>
      <w:tblPr>
        <w:tblStyle w:val="31"/>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9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4" w:hRule="atLeast"/>
          <w:jc w:val="center"/>
        </w:trPr>
        <w:tc>
          <w:tcPr>
            <w:tcW w:w="6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查</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围</w:t>
            </w:r>
          </w:p>
        </w:tc>
        <w:tc>
          <w:tcPr>
            <w:tcW w:w="9144" w:type="dxa"/>
            <w:vAlign w:val="center"/>
          </w:tcPr>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根据《建设项目竣工环境保护验收技术规范 水利水电》（HJ464—2009）， 本次验收调查范围与《</w:t>
            </w: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lang w:eastAsia="zh-CN"/>
                <w14:textFill>
                  <w14:solidFill>
                    <w14:schemeClr w14:val="tx1"/>
                  </w14:solidFill>
                </w14:textFill>
              </w:rPr>
              <w:t>环境影响报告表</w:t>
            </w:r>
            <w:r>
              <w:rPr>
                <w:rFonts w:hint="default" w:ascii="Times New Roman" w:hAnsi="Times New Roman" w:eastAsia="宋体" w:cs="Times New Roman"/>
                <w:color w:val="000000" w:themeColor="text1"/>
                <w:sz w:val="28"/>
                <w:szCs w:val="28"/>
                <w14:textFill>
                  <w14:solidFill>
                    <w14:schemeClr w14:val="tx1"/>
                  </w14:solidFill>
                </w14:textFill>
              </w:rPr>
              <w:t>》中建设评价范围一致</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1、水环境：</w:t>
            </w:r>
            <w:r>
              <w:rPr>
                <w:rFonts w:hint="default" w:ascii="Times New Roman" w:hAnsi="Times New Roman" w:eastAsia="宋体" w:cs="Times New Roman"/>
                <w:color w:val="000000" w:themeColor="text1"/>
                <w:sz w:val="28"/>
                <w:szCs w:val="28"/>
                <w:lang w:eastAsia="zh-CN"/>
                <w14:textFill>
                  <w14:solidFill>
                    <w14:schemeClr w14:val="tx1"/>
                  </w14:solidFill>
                </w14:textFill>
              </w:rPr>
              <w:t>项目所涉及的地表水体</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2、声环境：</w:t>
            </w:r>
            <w:r>
              <w:rPr>
                <w:rFonts w:hint="eastAsia" w:ascii="Times New Roman" w:hAnsi="Times New Roman" w:cs="Times New Roman"/>
                <w:color w:val="000000" w:themeColor="text1"/>
                <w:sz w:val="28"/>
                <w:szCs w:val="28"/>
                <w:lang w:eastAsia="zh-CN"/>
                <w14:textFill>
                  <w14:solidFill>
                    <w14:schemeClr w14:val="tx1"/>
                  </w14:solidFill>
                </w14:textFill>
              </w:rPr>
              <w:t>防洪堤坝</w:t>
            </w:r>
            <w:r>
              <w:rPr>
                <w:rFonts w:hint="eastAsia" w:ascii="Times New Roman" w:hAnsi="Times New Roman" w:cs="Times New Roman"/>
                <w:color w:val="000000" w:themeColor="text1"/>
                <w:sz w:val="28"/>
                <w:szCs w:val="28"/>
                <w:lang w:val="en-US" w:eastAsia="zh-CN"/>
                <w14:textFill>
                  <w14:solidFill>
                    <w14:schemeClr w14:val="tx1"/>
                  </w14:solidFill>
                </w14:textFill>
              </w:rPr>
              <w:t>四周</w:t>
            </w:r>
            <w:r>
              <w:rPr>
                <w:rFonts w:hint="default" w:ascii="Times New Roman" w:hAnsi="Times New Roman" w:eastAsia="宋体" w:cs="Times New Roman"/>
                <w:color w:val="000000" w:themeColor="text1"/>
                <w:sz w:val="28"/>
                <w:szCs w:val="28"/>
                <w:lang w:eastAsia="zh-CN"/>
                <w14:textFill>
                  <w14:solidFill>
                    <w14:schemeClr w14:val="tx1"/>
                  </w14:solidFill>
                </w14:textFill>
              </w:rPr>
              <w:t>各外延 200m（施工期）</w:t>
            </w:r>
            <w:r>
              <w:rPr>
                <w:rFonts w:hint="eastAsia" w:ascii="Times New Roman" w:hAnsi="Times New Roman" w:cs="Times New Roman"/>
                <w:color w:val="000000" w:themeColor="text1"/>
                <w:sz w:val="28"/>
                <w:szCs w:val="28"/>
                <w:lang w:eastAsia="zh-CN"/>
                <w14:textFill>
                  <w14:solidFill>
                    <w14:schemeClr w14:val="tx1"/>
                  </w14:solidFill>
                </w14:textFill>
              </w:rPr>
              <w:t>；</w:t>
            </w:r>
          </w:p>
          <w:p>
            <w:pPr>
              <w:pStyle w:val="4"/>
              <w:ind w:firstLine="560" w:firstLineChars="200"/>
              <w:rPr>
                <w:rFonts w:hint="eastAsia" w:ascii="Times New Roman" w:hAnsi="Times New Roman" w:eastAsia="宋体" w:cs="Times New Roman"/>
                <w:b w:val="0"/>
                <w:color w:val="000000" w:themeColor="text1"/>
                <w:sz w:val="28"/>
                <w:szCs w:val="28"/>
                <w:lang w:eastAsia="zh-CN"/>
                <w14:textFill>
                  <w14:solidFill>
                    <w14:schemeClr w14:val="tx1"/>
                  </w14:solidFill>
                </w14:textFill>
              </w:rPr>
            </w:pPr>
            <w:bookmarkStart w:id="16" w:name="_Toc21745"/>
            <w:bookmarkStart w:id="17" w:name="_Toc13594"/>
            <w:r>
              <w:rPr>
                <w:rFonts w:hint="default" w:ascii="Times New Roman" w:hAnsi="Times New Roman" w:eastAsia="宋体" w:cs="Times New Roman"/>
                <w:b w:val="0"/>
                <w:color w:val="000000" w:themeColor="text1"/>
                <w:sz w:val="28"/>
                <w:szCs w:val="28"/>
                <w14:textFill>
                  <w14:solidFill>
                    <w14:schemeClr w14:val="tx1"/>
                  </w14:solidFill>
                </w14:textFill>
              </w:rPr>
              <w:t>3、大气环境：</w:t>
            </w:r>
            <w:r>
              <w:rPr>
                <w:rFonts w:hint="default" w:ascii="Times New Roman" w:hAnsi="Times New Roman" w:eastAsia="宋体" w:cs="Times New Roman"/>
                <w:b w:val="0"/>
                <w:color w:val="000000" w:themeColor="text1"/>
                <w:sz w:val="28"/>
                <w:szCs w:val="28"/>
                <w:lang w:eastAsia="zh-CN"/>
                <w14:textFill>
                  <w14:solidFill>
                    <w14:schemeClr w14:val="tx1"/>
                  </w14:solidFill>
                </w14:textFill>
              </w:rPr>
              <w:t>防洪堤坝</w:t>
            </w:r>
            <w:r>
              <w:rPr>
                <w:rFonts w:hint="default" w:ascii="Times New Roman" w:hAnsi="Times New Roman" w:eastAsia="宋体" w:cs="Times New Roman"/>
                <w:b w:val="0"/>
                <w:color w:val="000000" w:themeColor="text1"/>
                <w:sz w:val="28"/>
                <w:szCs w:val="28"/>
                <w:lang w:val="en-US" w:eastAsia="zh-CN"/>
                <w14:textFill>
                  <w14:solidFill>
                    <w14:schemeClr w14:val="tx1"/>
                  </w14:solidFill>
                </w14:textFill>
              </w:rPr>
              <w:t>四周</w:t>
            </w:r>
            <w:r>
              <w:rPr>
                <w:rFonts w:hint="default" w:ascii="Times New Roman" w:hAnsi="Times New Roman" w:eastAsia="宋体" w:cs="Times New Roman"/>
                <w:b w:val="0"/>
                <w:color w:val="000000" w:themeColor="text1"/>
                <w:sz w:val="28"/>
                <w:szCs w:val="28"/>
                <w:lang w:eastAsia="zh-CN"/>
                <w14:textFill>
                  <w14:solidFill>
                    <w14:schemeClr w14:val="tx1"/>
                  </w14:solidFill>
                </w14:textFill>
              </w:rPr>
              <w:t>各外延 200m（施工期）</w:t>
            </w:r>
            <w:bookmarkEnd w:id="16"/>
            <w:bookmarkEnd w:id="17"/>
            <w:r>
              <w:rPr>
                <w:rFonts w:hint="eastAsia" w:ascii="Times New Roman" w:hAnsi="Times New Roman" w:cs="Times New Roman"/>
                <w:b w:val="0"/>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4、生态环境：</w:t>
            </w:r>
            <w:r>
              <w:rPr>
                <w:rFonts w:hint="eastAsia" w:ascii="Times New Roman" w:hAnsi="Times New Roman" w:cs="Times New Roman"/>
                <w:color w:val="000000" w:themeColor="text1"/>
                <w:sz w:val="28"/>
                <w:szCs w:val="28"/>
                <w:lang w:eastAsia="zh-CN"/>
                <w14:textFill>
                  <w14:solidFill>
                    <w14:schemeClr w14:val="tx1"/>
                  </w14:solidFill>
                </w14:textFill>
              </w:rPr>
              <w:t>防洪堤坝</w:t>
            </w:r>
            <w:r>
              <w:rPr>
                <w:rFonts w:hint="default" w:ascii="Times New Roman" w:hAnsi="Times New Roman" w:eastAsia="宋体" w:cs="Times New Roman"/>
                <w:color w:val="000000" w:themeColor="text1"/>
                <w:sz w:val="28"/>
                <w:szCs w:val="28"/>
                <w:lang w:eastAsia="zh-CN"/>
                <w14:textFill>
                  <w14:solidFill>
                    <w14:schemeClr w14:val="tx1"/>
                  </w14:solidFill>
                </w14:textFill>
              </w:rPr>
              <w:t>、运输道路各外延200m</w:t>
            </w: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1" w:hRule="atLeast"/>
          <w:jc w:val="center"/>
        </w:trPr>
        <w:tc>
          <w:tcPr>
            <w:tcW w:w="6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查</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因</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子</w:t>
            </w:r>
          </w:p>
        </w:tc>
        <w:tc>
          <w:tcPr>
            <w:tcW w:w="9144" w:type="dxa"/>
            <w:vAlign w:val="center"/>
          </w:tcPr>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根据项目环境影响报告书及审批意见，本项目为灌区</w:t>
            </w:r>
            <w:r>
              <w:rPr>
                <w:rFonts w:hint="eastAsia" w:ascii="Times New Roman" w:hAnsi="Times New Roman" w:cs="Times New Roman"/>
                <w:color w:val="000000" w:themeColor="text1"/>
                <w:sz w:val="28"/>
                <w:szCs w:val="28"/>
                <w:lang w:val="en-US" w:eastAsia="zh-CN"/>
                <w14:textFill>
                  <w14:solidFill>
                    <w14:schemeClr w14:val="tx1"/>
                  </w14:solidFill>
                </w14:textFill>
              </w:rPr>
              <w:t>防洪坝建设</w:t>
            </w:r>
            <w:r>
              <w:rPr>
                <w:rFonts w:hint="default" w:ascii="Times New Roman" w:hAnsi="Times New Roman" w:eastAsia="宋体" w:cs="Times New Roman"/>
                <w:color w:val="000000" w:themeColor="text1"/>
                <w:sz w:val="28"/>
                <w:szCs w:val="28"/>
                <w14:textFill>
                  <w14:solidFill>
                    <w14:schemeClr w14:val="tx1"/>
                  </w14:solidFill>
                </w14:textFill>
              </w:rPr>
              <w:t>改造项目，对环境影响主要在施工期，运营期</w:t>
            </w:r>
            <w:r>
              <w:rPr>
                <w:rFonts w:hint="eastAsia" w:ascii="Times New Roman" w:hAnsi="Times New Roman" w:cs="Times New Roman"/>
                <w:color w:val="000000" w:themeColor="text1"/>
                <w:sz w:val="28"/>
                <w:szCs w:val="28"/>
                <w:lang w:val="en-US" w:eastAsia="zh-CN"/>
                <w14:textFill>
                  <w14:solidFill>
                    <w14:schemeClr w14:val="tx1"/>
                  </w14:solidFill>
                </w14:textFill>
              </w:rPr>
              <w:t>防洪</w:t>
            </w:r>
            <w:r>
              <w:rPr>
                <w:rFonts w:hint="default" w:ascii="Times New Roman" w:hAnsi="Times New Roman" w:eastAsia="宋体" w:cs="Times New Roman"/>
                <w:color w:val="000000" w:themeColor="text1"/>
                <w:sz w:val="28"/>
                <w:szCs w:val="28"/>
                <w14:textFill>
                  <w14:solidFill>
                    <w14:schemeClr w14:val="tx1"/>
                  </w14:solidFill>
                </w14:textFill>
              </w:rPr>
              <w:t>，对环境无影响。结合本项目的特点，确定本次调查因子如下</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numPr>
                <w:ilvl w:val="0"/>
                <w:numId w:val="1"/>
              </w:num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生态环境：调查项目建设过程中的植被破坏及恢复情况、工程土地占 用实际情况、水土保持工程</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1"/>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声环境：调查项目施工期设备噪声对环境和敏感目标的影响</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 xml:space="preserve"> </w:t>
            </w:r>
          </w:p>
          <w:p>
            <w:pPr>
              <w:numPr>
                <w:ilvl w:val="0"/>
                <w:numId w:val="1"/>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大气环境：调查施工期工程建设活动产生的废气对环境和敏感目标的 影响及采取的防治措施和防治效果</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1"/>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水环境：调查施工期该区域内废水产生量、处理措施及排放去向</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0"/>
              </w:num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（5）固体废物：调查施工期产生的建筑垃圾和渣土量、处理措施及去向</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其他：环境管理等。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4" w:hRule="atLeast"/>
          <w:jc w:val="center"/>
        </w:trPr>
        <w:tc>
          <w:tcPr>
            <w:tcW w:w="6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敏</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感</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目</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标</w:t>
            </w:r>
          </w:p>
        </w:tc>
        <w:tc>
          <w:tcPr>
            <w:tcW w:w="914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根据现场调查，项目区位于巴楚县</w:t>
            </w:r>
            <w:r>
              <w:rPr>
                <w:rFonts w:hint="default" w:ascii="Times New Roman" w:hAnsi="Times New Roman" w:eastAsia="宋体" w:cs="Times New Roman"/>
                <w:color w:val="000000" w:themeColor="text1"/>
                <w:sz w:val="28"/>
                <w:szCs w:val="28"/>
                <w:lang w:eastAsia="zh-CN"/>
                <w14:textFill>
                  <w14:solidFill>
                    <w14:schemeClr w14:val="tx1"/>
                  </w14:solidFill>
                </w14:textFill>
              </w:rPr>
              <w:t>阿拉格尔乡</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18村</w:t>
            </w:r>
            <w:r>
              <w:rPr>
                <w:rFonts w:hint="default" w:ascii="Times New Roman" w:hAnsi="Times New Roman" w:eastAsia="宋体" w:cs="Times New Roman"/>
                <w:color w:val="000000" w:themeColor="text1"/>
                <w:sz w:val="28"/>
                <w:szCs w:val="28"/>
                <w14:textFill>
                  <w14:solidFill>
                    <w14:schemeClr w14:val="tx1"/>
                  </w14:solidFill>
                </w14:textFill>
              </w:rPr>
              <w:t>，项目周边5km范围内及周边无自然保护区、风景名胜区和水源保护区等环境敏感目标，无文物保护单位，也未发现有国家重点保护的野生动植物。</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表</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2-1</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    环境保护目标汇总表</w:t>
            </w:r>
          </w:p>
          <w:tbl>
            <w:tblPr>
              <w:tblStyle w:val="31"/>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275"/>
              <w:gridCol w:w="796"/>
              <w:gridCol w:w="1166"/>
              <w:gridCol w:w="1652"/>
              <w:gridCol w:w="1212"/>
              <w:gridCol w:w="191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5" w:type="dxa"/>
                  <w:noWrap w:val="0"/>
                  <w:vAlign w:val="center"/>
                </w:tcPr>
                <w:p>
                  <w:pPr>
                    <w:jc w:val="center"/>
                    <w:rPr>
                      <w:rFonts w:hint="eastAsia"/>
                      <w:color w:val="auto"/>
                    </w:rPr>
                  </w:pPr>
                </w:p>
              </w:tc>
              <w:tc>
                <w:tcPr>
                  <w:tcW w:w="1275" w:type="dxa"/>
                  <w:noWrap w:val="0"/>
                  <w:vAlign w:val="center"/>
                </w:tcPr>
                <w:p>
                  <w:pPr>
                    <w:jc w:val="center"/>
                    <w:rPr>
                      <w:rFonts w:hint="eastAsia"/>
                      <w:color w:val="auto"/>
                    </w:rPr>
                  </w:pPr>
                  <w:r>
                    <w:rPr>
                      <w:rFonts w:hint="eastAsia"/>
                      <w:color w:val="auto"/>
                    </w:rPr>
                    <w:t>环境敏感点</w:t>
                  </w:r>
                </w:p>
              </w:tc>
              <w:tc>
                <w:tcPr>
                  <w:tcW w:w="796" w:type="dxa"/>
                  <w:noWrap w:val="0"/>
                  <w:vAlign w:val="center"/>
                </w:tcPr>
                <w:p>
                  <w:pPr>
                    <w:jc w:val="center"/>
                    <w:rPr>
                      <w:rFonts w:hint="eastAsia"/>
                      <w:color w:val="auto"/>
                    </w:rPr>
                  </w:pPr>
                  <w:r>
                    <w:rPr>
                      <w:rFonts w:hint="eastAsia"/>
                      <w:color w:val="auto"/>
                    </w:rPr>
                    <w:t>影响人数</w:t>
                  </w:r>
                </w:p>
              </w:tc>
              <w:tc>
                <w:tcPr>
                  <w:tcW w:w="1166" w:type="dxa"/>
                  <w:noWrap w:val="0"/>
                  <w:vAlign w:val="center"/>
                </w:tcPr>
                <w:p>
                  <w:pPr>
                    <w:jc w:val="center"/>
                    <w:rPr>
                      <w:color w:val="auto"/>
                    </w:rPr>
                  </w:pPr>
                  <w:r>
                    <w:rPr>
                      <w:rFonts w:hint="eastAsia"/>
                      <w:color w:val="auto"/>
                    </w:rPr>
                    <w:t>与项目区距离</w:t>
                  </w:r>
                </w:p>
              </w:tc>
              <w:tc>
                <w:tcPr>
                  <w:tcW w:w="1652" w:type="dxa"/>
                  <w:noWrap w:val="0"/>
                  <w:vAlign w:val="center"/>
                </w:tcPr>
                <w:p>
                  <w:pPr>
                    <w:jc w:val="center"/>
                    <w:rPr>
                      <w:rFonts w:hint="eastAsia"/>
                      <w:color w:val="auto"/>
                    </w:rPr>
                  </w:pPr>
                  <w:r>
                    <w:rPr>
                      <w:rFonts w:hint="eastAsia"/>
                      <w:color w:val="auto"/>
                    </w:rPr>
                    <w:t>与项目的位置关系</w:t>
                  </w:r>
                </w:p>
              </w:tc>
              <w:tc>
                <w:tcPr>
                  <w:tcW w:w="1212" w:type="dxa"/>
                  <w:noWrap w:val="0"/>
                  <w:vAlign w:val="center"/>
                </w:tcPr>
                <w:p>
                  <w:pPr>
                    <w:jc w:val="center"/>
                    <w:rPr>
                      <w:rFonts w:hint="eastAsia"/>
                      <w:color w:val="auto"/>
                    </w:rPr>
                  </w:pPr>
                  <w:r>
                    <w:rPr>
                      <w:rFonts w:hint="eastAsia"/>
                      <w:color w:val="auto"/>
                    </w:rPr>
                    <w:t>服务功能</w:t>
                  </w:r>
                </w:p>
              </w:tc>
              <w:tc>
                <w:tcPr>
                  <w:tcW w:w="1918" w:type="dxa"/>
                  <w:noWrap w:val="0"/>
                  <w:vAlign w:val="center"/>
                </w:tcPr>
                <w:p>
                  <w:pPr>
                    <w:jc w:val="center"/>
                    <w:rPr>
                      <w:rFonts w:hint="eastAsia"/>
                      <w:color w:val="auto"/>
                    </w:rPr>
                  </w:pPr>
                  <w:r>
                    <w:rPr>
                      <w:rFonts w:hint="eastAsia"/>
                      <w:color w:val="auto"/>
                    </w:rPr>
                    <w:t>保护要求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5" w:type="dxa"/>
                  <w:vMerge w:val="restart"/>
                  <w:noWrap w:val="0"/>
                  <w:vAlign w:val="center"/>
                </w:tcPr>
                <w:p>
                  <w:pPr>
                    <w:jc w:val="center"/>
                    <w:rPr>
                      <w:rFonts w:hint="eastAsia"/>
                      <w:color w:val="auto"/>
                    </w:rPr>
                  </w:pPr>
                  <w:r>
                    <w:rPr>
                      <w:rFonts w:hint="eastAsia"/>
                      <w:color w:val="auto"/>
                    </w:rPr>
                    <w:t>项目区</w:t>
                  </w:r>
                </w:p>
              </w:tc>
              <w:tc>
                <w:tcPr>
                  <w:tcW w:w="1275" w:type="dxa"/>
                  <w:noWrap w:val="0"/>
                  <w:vAlign w:val="center"/>
                </w:tcPr>
                <w:p>
                  <w:pPr>
                    <w:keepNext/>
                    <w:keepLines/>
                    <w:jc w:val="center"/>
                    <w:rPr>
                      <w:rFonts w:hint="eastAsia"/>
                      <w:color w:val="auto"/>
                    </w:rPr>
                  </w:pPr>
                  <w:r>
                    <w:rPr>
                      <w:rFonts w:hint="eastAsia" w:hAnsi="宋体"/>
                      <w:bCs/>
                      <w:color w:val="auto"/>
                      <w:szCs w:val="21"/>
                      <w:lang w:val="en-US" w:eastAsia="zh-CN"/>
                    </w:rPr>
                    <w:t>叶尓羌河</w:t>
                  </w:r>
                </w:p>
              </w:tc>
              <w:tc>
                <w:tcPr>
                  <w:tcW w:w="796" w:type="dxa"/>
                  <w:noWrap w:val="0"/>
                  <w:vAlign w:val="center"/>
                </w:tcPr>
                <w:p>
                  <w:pPr>
                    <w:keepNext/>
                    <w:keepLines/>
                    <w:jc w:val="center"/>
                    <w:rPr>
                      <w:rFonts w:hint="eastAsia"/>
                      <w:color w:val="auto"/>
                    </w:rPr>
                  </w:pPr>
                  <w:r>
                    <w:rPr>
                      <w:rFonts w:hint="eastAsia"/>
                      <w:color w:val="auto"/>
                    </w:rPr>
                    <w:t>/</w:t>
                  </w:r>
                </w:p>
              </w:tc>
              <w:tc>
                <w:tcPr>
                  <w:tcW w:w="1166" w:type="dxa"/>
                  <w:noWrap w:val="0"/>
                  <w:vAlign w:val="center"/>
                </w:tcPr>
                <w:p>
                  <w:pPr>
                    <w:jc w:val="center"/>
                    <w:rPr>
                      <w:rFonts w:hint="eastAsia"/>
                      <w:color w:val="auto"/>
                    </w:rPr>
                  </w:pPr>
                  <w:r>
                    <w:rPr>
                      <w:rFonts w:hint="eastAsia"/>
                      <w:color w:val="auto"/>
                    </w:rPr>
                    <w:t>5~</w:t>
                  </w:r>
                  <w:r>
                    <w:rPr>
                      <w:rFonts w:hint="eastAsia"/>
                      <w:color w:val="auto"/>
                      <w:lang w:val="en-US" w:eastAsia="zh-CN"/>
                    </w:rPr>
                    <w:t>15</w:t>
                  </w:r>
                  <w:r>
                    <w:rPr>
                      <w:rFonts w:hint="eastAsia"/>
                      <w:color w:val="auto"/>
                    </w:rPr>
                    <w:t>m</w:t>
                  </w:r>
                </w:p>
              </w:tc>
              <w:tc>
                <w:tcPr>
                  <w:tcW w:w="1652" w:type="dxa"/>
                  <w:noWrap w:val="0"/>
                  <w:vAlign w:val="center"/>
                </w:tcPr>
                <w:p>
                  <w:pPr>
                    <w:jc w:val="center"/>
                    <w:rPr>
                      <w:rFonts w:hint="eastAsia"/>
                      <w:color w:val="auto"/>
                    </w:rPr>
                  </w:pPr>
                  <w:r>
                    <w:rPr>
                      <w:rFonts w:hint="eastAsia"/>
                      <w:color w:val="auto"/>
                    </w:rPr>
                    <w:t>项目区</w:t>
                  </w:r>
                </w:p>
              </w:tc>
              <w:tc>
                <w:tcPr>
                  <w:tcW w:w="1212" w:type="dxa"/>
                  <w:noWrap w:val="0"/>
                  <w:vAlign w:val="center"/>
                </w:tcPr>
                <w:p>
                  <w:pPr>
                    <w:jc w:val="center"/>
                    <w:rPr>
                      <w:rFonts w:hint="eastAsia" w:eastAsia="宋体"/>
                      <w:color w:val="auto"/>
                      <w:lang w:eastAsia="zh-CN"/>
                    </w:rPr>
                  </w:pPr>
                  <w:r>
                    <w:rPr>
                      <w:rFonts w:hint="eastAsia"/>
                      <w:color w:val="auto"/>
                      <w:lang w:val="en-US" w:eastAsia="zh-CN"/>
                    </w:rPr>
                    <w:t>灌溉</w:t>
                  </w:r>
                </w:p>
              </w:tc>
              <w:tc>
                <w:tcPr>
                  <w:tcW w:w="1918" w:type="dxa"/>
                  <w:noWrap w:val="0"/>
                  <w:vAlign w:val="center"/>
                </w:tcPr>
                <w:p>
                  <w:pPr>
                    <w:jc w:val="center"/>
                    <w:rPr>
                      <w:rFonts w:hint="eastAsia"/>
                      <w:color w:val="auto"/>
                    </w:rPr>
                  </w:pPr>
                  <w:r>
                    <w:rPr>
                      <w:rFonts w:hint="eastAsia"/>
                      <w:color w:val="auto"/>
                      <w:szCs w:val="21"/>
                    </w:rPr>
                    <w:t>《地表水环境质量标准》(GB3838-2002)中的Ⅲ类标准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5" w:type="dxa"/>
                  <w:vMerge w:val="continue"/>
                  <w:noWrap w:val="0"/>
                  <w:vAlign w:val="center"/>
                </w:tcPr>
                <w:p>
                  <w:pPr>
                    <w:jc w:val="center"/>
                    <w:rPr>
                      <w:rFonts w:hint="eastAsia"/>
                      <w:color w:val="auto"/>
                    </w:rPr>
                  </w:pPr>
                </w:p>
              </w:tc>
              <w:tc>
                <w:tcPr>
                  <w:tcW w:w="1275" w:type="dxa"/>
                  <w:noWrap w:val="0"/>
                  <w:vAlign w:val="center"/>
                </w:tcPr>
                <w:p>
                  <w:pPr>
                    <w:jc w:val="center"/>
                    <w:rPr>
                      <w:rFonts w:hint="eastAsia"/>
                      <w:color w:val="auto"/>
                    </w:rPr>
                  </w:pPr>
                  <w:r>
                    <w:rPr>
                      <w:rFonts w:hint="eastAsia"/>
                      <w:color w:val="auto"/>
                    </w:rPr>
                    <w:t>生态环境</w:t>
                  </w:r>
                </w:p>
              </w:tc>
              <w:tc>
                <w:tcPr>
                  <w:tcW w:w="796" w:type="dxa"/>
                  <w:noWrap w:val="0"/>
                  <w:vAlign w:val="center"/>
                </w:tcPr>
                <w:p>
                  <w:pPr>
                    <w:jc w:val="center"/>
                    <w:rPr>
                      <w:rFonts w:hint="eastAsia"/>
                      <w:color w:val="auto"/>
                    </w:rPr>
                  </w:pPr>
                  <w:r>
                    <w:rPr>
                      <w:rFonts w:hint="eastAsia"/>
                      <w:color w:val="auto"/>
                    </w:rPr>
                    <w:t>/</w:t>
                  </w:r>
                </w:p>
              </w:tc>
              <w:tc>
                <w:tcPr>
                  <w:tcW w:w="1166" w:type="dxa"/>
                  <w:noWrap w:val="0"/>
                  <w:vAlign w:val="center"/>
                </w:tcPr>
                <w:p>
                  <w:pPr>
                    <w:jc w:val="center"/>
                    <w:rPr>
                      <w:color w:val="auto"/>
                    </w:rPr>
                  </w:pPr>
                  <w:r>
                    <w:rPr>
                      <w:rFonts w:hint="eastAsia"/>
                      <w:color w:val="auto"/>
                    </w:rPr>
                    <w:t>5~</w:t>
                  </w:r>
                  <w:r>
                    <w:rPr>
                      <w:rFonts w:hint="eastAsia"/>
                      <w:color w:val="auto"/>
                      <w:lang w:val="en-US" w:eastAsia="zh-CN"/>
                    </w:rPr>
                    <w:t>15</w:t>
                  </w:r>
                  <w:r>
                    <w:rPr>
                      <w:rFonts w:hint="eastAsia"/>
                      <w:color w:val="auto"/>
                    </w:rPr>
                    <w:t>m</w:t>
                  </w:r>
                </w:p>
              </w:tc>
              <w:tc>
                <w:tcPr>
                  <w:tcW w:w="1652" w:type="dxa"/>
                  <w:noWrap w:val="0"/>
                  <w:vAlign w:val="center"/>
                </w:tcPr>
                <w:p>
                  <w:pPr>
                    <w:jc w:val="center"/>
                    <w:rPr>
                      <w:rFonts w:hint="eastAsia"/>
                      <w:color w:val="auto"/>
                    </w:rPr>
                  </w:pPr>
                  <w:r>
                    <w:rPr>
                      <w:rFonts w:hint="eastAsia"/>
                      <w:color w:val="auto"/>
                    </w:rPr>
                    <w:t>项目区及周边</w:t>
                  </w:r>
                </w:p>
              </w:tc>
              <w:tc>
                <w:tcPr>
                  <w:tcW w:w="1212" w:type="dxa"/>
                  <w:noWrap w:val="0"/>
                  <w:vAlign w:val="center"/>
                </w:tcPr>
                <w:p>
                  <w:pPr>
                    <w:jc w:val="center"/>
                    <w:rPr>
                      <w:rFonts w:hint="eastAsia"/>
                      <w:color w:val="auto"/>
                    </w:rPr>
                  </w:pPr>
                  <w:r>
                    <w:rPr>
                      <w:rFonts w:hint="eastAsia"/>
                      <w:color w:val="auto"/>
                      <w:lang w:eastAsia="zh-CN"/>
                    </w:rPr>
                    <w:t>荒地或河滩地</w:t>
                  </w:r>
                </w:p>
              </w:tc>
              <w:tc>
                <w:tcPr>
                  <w:tcW w:w="1918" w:type="dxa"/>
                  <w:vMerge w:val="restart"/>
                  <w:noWrap w:val="0"/>
                  <w:vAlign w:val="center"/>
                </w:tcPr>
                <w:p>
                  <w:pPr>
                    <w:jc w:val="center"/>
                    <w:rPr>
                      <w:rFonts w:hint="eastAsia"/>
                      <w:color w:val="auto"/>
                    </w:rPr>
                  </w:pPr>
                  <w:r>
                    <w:rPr>
                      <w:rFonts w:hint="eastAsia"/>
                      <w:color w:val="auto"/>
                    </w:rPr>
                    <w:t>施工期和运营期</w:t>
                  </w:r>
                  <w:r>
                    <w:rPr>
                      <w:rFonts w:hint="eastAsia"/>
                      <w:color w:val="auto"/>
                      <w:szCs w:val="21"/>
                    </w:rPr>
                    <w:t>对景观质量、异度性没有大的改变，土壤执行《土壤侵蚀强度分级标准表》（SL190-96）</w:t>
                  </w:r>
                  <w:r>
                    <w:rPr>
                      <w:rFonts w:hint="eastAsia" w:ascii="宋体" w:hAnsi="宋体"/>
                      <w:color w:val="auto"/>
                      <w:szCs w:val="21"/>
                    </w:rPr>
                    <w:t>Ⅰ</w:t>
                  </w:r>
                  <w:r>
                    <w:rPr>
                      <w:rFonts w:hint="eastAsia"/>
                      <w:color w:val="auto"/>
                      <w:szCs w:val="21"/>
                    </w:rPr>
                    <w:t>、</w:t>
                  </w:r>
                  <w:r>
                    <w:rPr>
                      <w:rFonts w:hint="eastAsia" w:ascii="宋体" w:hAnsi="宋体"/>
                      <w:color w:val="auto"/>
                      <w:szCs w:val="21"/>
                    </w:rPr>
                    <w:t>Ⅱ类标准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5" w:type="dxa"/>
                  <w:vMerge w:val="continue"/>
                  <w:noWrap w:val="0"/>
                  <w:vAlign w:val="center"/>
                </w:tcPr>
                <w:p>
                  <w:pPr>
                    <w:jc w:val="center"/>
                    <w:rPr>
                      <w:rFonts w:hint="eastAsia"/>
                      <w:color w:val="auto"/>
                    </w:rPr>
                  </w:pPr>
                </w:p>
              </w:tc>
              <w:tc>
                <w:tcPr>
                  <w:tcW w:w="1275" w:type="dxa"/>
                  <w:noWrap w:val="0"/>
                  <w:vAlign w:val="center"/>
                </w:tcPr>
                <w:p>
                  <w:pPr>
                    <w:jc w:val="center"/>
                    <w:rPr>
                      <w:rFonts w:hint="eastAsia"/>
                      <w:color w:val="auto"/>
                    </w:rPr>
                  </w:pPr>
                  <w:r>
                    <w:rPr>
                      <w:rFonts w:hint="eastAsia"/>
                      <w:color w:val="auto"/>
                    </w:rPr>
                    <w:t>土壤</w:t>
                  </w:r>
                </w:p>
              </w:tc>
              <w:tc>
                <w:tcPr>
                  <w:tcW w:w="796" w:type="dxa"/>
                  <w:noWrap w:val="0"/>
                  <w:vAlign w:val="center"/>
                </w:tcPr>
                <w:p>
                  <w:pPr>
                    <w:jc w:val="center"/>
                    <w:rPr>
                      <w:rFonts w:hint="eastAsia"/>
                      <w:color w:val="auto"/>
                    </w:rPr>
                  </w:pPr>
                </w:p>
              </w:tc>
              <w:tc>
                <w:tcPr>
                  <w:tcW w:w="1166" w:type="dxa"/>
                  <w:noWrap w:val="0"/>
                  <w:vAlign w:val="center"/>
                </w:tcPr>
                <w:p>
                  <w:pPr>
                    <w:jc w:val="center"/>
                    <w:rPr>
                      <w:rFonts w:hint="eastAsia"/>
                      <w:color w:val="auto"/>
                    </w:rPr>
                  </w:pPr>
                  <w:r>
                    <w:rPr>
                      <w:rFonts w:hint="eastAsia"/>
                      <w:color w:val="auto"/>
                    </w:rPr>
                    <w:t>5~</w:t>
                  </w:r>
                  <w:r>
                    <w:rPr>
                      <w:rFonts w:hint="eastAsia"/>
                      <w:color w:val="auto"/>
                      <w:lang w:val="en-US" w:eastAsia="zh-CN"/>
                    </w:rPr>
                    <w:t>50</w:t>
                  </w:r>
                  <w:r>
                    <w:rPr>
                      <w:rFonts w:hint="eastAsia"/>
                      <w:color w:val="auto"/>
                    </w:rPr>
                    <w:t>m</w:t>
                  </w:r>
                </w:p>
              </w:tc>
              <w:tc>
                <w:tcPr>
                  <w:tcW w:w="1652" w:type="dxa"/>
                  <w:noWrap w:val="0"/>
                  <w:vAlign w:val="center"/>
                </w:tcPr>
                <w:p>
                  <w:pPr>
                    <w:jc w:val="center"/>
                    <w:rPr>
                      <w:rFonts w:hint="eastAsia"/>
                      <w:color w:val="auto"/>
                    </w:rPr>
                  </w:pPr>
                  <w:r>
                    <w:rPr>
                      <w:rFonts w:hint="eastAsia"/>
                      <w:color w:val="auto"/>
                    </w:rPr>
                    <w:t>项目区及周边</w:t>
                  </w:r>
                </w:p>
              </w:tc>
              <w:tc>
                <w:tcPr>
                  <w:tcW w:w="1212" w:type="dxa"/>
                  <w:noWrap w:val="0"/>
                  <w:vAlign w:val="center"/>
                </w:tcPr>
                <w:p>
                  <w:pPr>
                    <w:jc w:val="center"/>
                    <w:rPr>
                      <w:rFonts w:hint="eastAsia"/>
                      <w:color w:val="auto"/>
                    </w:rPr>
                  </w:pPr>
                  <w:r>
                    <w:rPr>
                      <w:rFonts w:hint="eastAsia"/>
                      <w:color w:val="auto"/>
                      <w:lang w:val="en-US" w:eastAsia="zh-CN"/>
                    </w:rPr>
                    <w:t>耕地</w:t>
                  </w:r>
                </w:p>
              </w:tc>
              <w:tc>
                <w:tcPr>
                  <w:tcW w:w="1918" w:type="dxa"/>
                  <w:vMerge w:val="continue"/>
                  <w:noWrap w:val="0"/>
                  <w:vAlign w:val="center"/>
                </w:tcPr>
                <w:p>
                  <w:pPr>
                    <w:jc w:val="center"/>
                    <w:rPr>
                      <w:rFonts w:hint="eastAsia"/>
                      <w:color w:val="auto"/>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935" w:type="dxa"/>
                  <w:vMerge w:val="continue"/>
                  <w:noWrap w:val="0"/>
                  <w:vAlign w:val="center"/>
                </w:tcPr>
                <w:p>
                  <w:pPr>
                    <w:jc w:val="center"/>
                    <w:rPr>
                      <w:rFonts w:hint="eastAsia"/>
                      <w:color w:val="auto"/>
                    </w:rPr>
                  </w:pPr>
                </w:p>
              </w:tc>
              <w:tc>
                <w:tcPr>
                  <w:tcW w:w="1275" w:type="dxa"/>
                  <w:noWrap w:val="0"/>
                  <w:vAlign w:val="center"/>
                </w:tcPr>
                <w:p>
                  <w:pPr>
                    <w:jc w:val="center"/>
                    <w:rPr>
                      <w:rFonts w:hint="eastAsia"/>
                      <w:color w:val="auto"/>
                    </w:rPr>
                  </w:pPr>
                  <w:r>
                    <w:rPr>
                      <w:rFonts w:hint="eastAsia"/>
                      <w:color w:val="auto"/>
                    </w:rPr>
                    <w:t>植被</w:t>
                  </w:r>
                </w:p>
              </w:tc>
              <w:tc>
                <w:tcPr>
                  <w:tcW w:w="796" w:type="dxa"/>
                  <w:noWrap w:val="0"/>
                  <w:vAlign w:val="center"/>
                </w:tcPr>
                <w:p>
                  <w:pPr>
                    <w:jc w:val="center"/>
                    <w:rPr>
                      <w:rFonts w:hint="eastAsia"/>
                      <w:color w:val="auto"/>
                    </w:rPr>
                  </w:pPr>
                  <w:r>
                    <w:rPr>
                      <w:rFonts w:hint="eastAsia"/>
                      <w:color w:val="auto"/>
                    </w:rPr>
                    <w:t>/</w:t>
                  </w:r>
                </w:p>
              </w:tc>
              <w:tc>
                <w:tcPr>
                  <w:tcW w:w="1166" w:type="dxa"/>
                  <w:noWrap w:val="0"/>
                  <w:vAlign w:val="center"/>
                </w:tcPr>
                <w:p>
                  <w:pPr>
                    <w:jc w:val="center"/>
                    <w:rPr>
                      <w:color w:val="auto"/>
                    </w:rPr>
                  </w:pPr>
                  <w:r>
                    <w:rPr>
                      <w:rFonts w:hint="eastAsia"/>
                      <w:color w:val="auto"/>
                    </w:rPr>
                    <w:t>5~</w:t>
                  </w:r>
                  <w:r>
                    <w:rPr>
                      <w:rFonts w:hint="eastAsia"/>
                      <w:color w:val="auto"/>
                      <w:lang w:val="en-US" w:eastAsia="zh-CN"/>
                    </w:rPr>
                    <w:t>50</w:t>
                  </w:r>
                  <w:r>
                    <w:rPr>
                      <w:rFonts w:hint="eastAsia"/>
                      <w:color w:val="auto"/>
                    </w:rPr>
                    <w:t>m</w:t>
                  </w:r>
                </w:p>
              </w:tc>
              <w:tc>
                <w:tcPr>
                  <w:tcW w:w="1652" w:type="dxa"/>
                  <w:noWrap w:val="0"/>
                  <w:vAlign w:val="center"/>
                </w:tcPr>
                <w:p>
                  <w:pPr>
                    <w:jc w:val="center"/>
                    <w:rPr>
                      <w:rFonts w:hint="eastAsia"/>
                      <w:color w:val="auto"/>
                    </w:rPr>
                  </w:pPr>
                  <w:r>
                    <w:rPr>
                      <w:rFonts w:hint="eastAsia"/>
                      <w:color w:val="auto"/>
                    </w:rPr>
                    <w:t>项目区及周边</w:t>
                  </w:r>
                </w:p>
              </w:tc>
              <w:tc>
                <w:tcPr>
                  <w:tcW w:w="1212" w:type="dxa"/>
                  <w:noWrap w:val="0"/>
                  <w:vAlign w:val="center"/>
                </w:tcPr>
                <w:p>
                  <w:pPr>
                    <w:jc w:val="center"/>
                    <w:rPr>
                      <w:rFonts w:hint="default"/>
                      <w:color w:val="auto"/>
                      <w:lang w:val="en-US"/>
                    </w:rPr>
                  </w:pPr>
                  <w:r>
                    <w:rPr>
                      <w:rFonts w:hint="eastAsia"/>
                      <w:color w:val="auto"/>
                      <w:lang w:val="en-US" w:eastAsia="zh-CN"/>
                    </w:rPr>
                    <w:t>耕地庄稼</w:t>
                  </w:r>
                </w:p>
              </w:tc>
              <w:tc>
                <w:tcPr>
                  <w:tcW w:w="1918" w:type="dxa"/>
                  <w:vMerge w:val="continue"/>
                  <w:noWrap w:val="0"/>
                  <w:vAlign w:val="center"/>
                </w:tcPr>
                <w:p>
                  <w:pPr>
                    <w:jc w:val="center"/>
                    <w:rPr>
                      <w:rFonts w:hint="eastAsia"/>
                      <w:color w:val="auto"/>
                    </w:rPr>
                  </w:pPr>
                </w:p>
              </w:tc>
            </w:tr>
          </w:tbl>
          <w:p>
            <w:pP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6" w:hRule="atLeast"/>
          <w:jc w:val="center"/>
        </w:trPr>
        <w:tc>
          <w:tcPr>
            <w:tcW w:w="6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查</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重</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点</w:t>
            </w:r>
          </w:p>
        </w:tc>
        <w:tc>
          <w:tcPr>
            <w:tcW w:w="9144" w:type="dxa"/>
            <w:vAlign w:val="center"/>
          </w:tcPr>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根据工程环境影响特点，确定本次调查的重点如下：</w:t>
            </w:r>
          </w:p>
          <w:p>
            <w:pPr>
              <w:numPr>
                <w:ilvl w:val="0"/>
                <w:numId w:val="2"/>
              </w:num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工程调查：调查工程实际建设内容与环评阶段是否发生重大变更，实际工程内容变更造成环境影响变化情况</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2"/>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项目区环境保护措施影响调查：调查项目环评文件及审批文件中提出的各项污染防治措施依托可行性及效果，对项目施工期废气、废水、噪声、固废的产生和排放情况及采取的防治措施的效果进行调查</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2"/>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生态环境保护措施及影响调查：项目对环境敏感点及项目区生态环境 的影响程度及已经采取的生态保护与恢复措施的效果进行调查</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 xml:space="preserve"> </w:t>
            </w:r>
          </w:p>
          <w:p>
            <w:pPr>
              <w:numPr>
                <w:ilvl w:val="0"/>
                <w:numId w:val="2"/>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规章制度执行情况和环境影响评价制度执行情况调查：建设单位在项目执行相关环保制度情况、污染治理设施运行情况、环保管理制度落实情况。核实环境影响评价文件及环境影响审批文件中提出的环境保护措施落实情况及其效果</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0"/>
              </w:num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（5）工程环境保护投资落实情况调查。</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bl>
    <w:p>
      <w:pPr>
        <w:rPr>
          <w:rFonts w:hint="default" w:ascii="Times New Roman" w:hAnsi="Times New Roman" w:eastAsia="宋体" w:cs="Times New Roman"/>
          <w:color w:val="000000" w:themeColor="text1"/>
          <w14:textFill>
            <w14:solidFill>
              <w14:schemeClr w14:val="tx1"/>
            </w14:solidFill>
          </w14:textFill>
        </w:rPr>
      </w:pPr>
      <w:bookmarkStart w:id="18" w:name="_Toc23308"/>
      <w:bookmarkStart w:id="19" w:name="_Toc8082"/>
      <w:bookmarkStart w:id="20" w:name="_Toc5968"/>
      <w:r>
        <w:rPr>
          <w:rFonts w:hint="default" w:ascii="Times New Roman" w:hAnsi="Times New Roman" w:eastAsia="宋体" w:cs="Times New Roman"/>
          <w:color w:val="000000" w:themeColor="text1"/>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表3  验收执行标准</w:t>
      </w:r>
      <w:bookmarkEnd w:id="18"/>
      <w:bookmarkEnd w:id="19"/>
      <w:bookmarkEnd w:id="20"/>
    </w:p>
    <w:tbl>
      <w:tblPr>
        <w:tblStyle w:val="31"/>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9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9" w:hRule="atLeast"/>
          <w:jc w:val="center"/>
        </w:trPr>
        <w:tc>
          <w:tcPr>
            <w:tcW w:w="704"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质</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量</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标</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准</w:t>
            </w:r>
          </w:p>
        </w:tc>
        <w:tc>
          <w:tcPr>
            <w:tcW w:w="9077" w:type="dxa"/>
            <w:vAlign w:val="center"/>
          </w:tcPr>
          <w:p>
            <w:pPr>
              <w:jc w:val="left"/>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《环境空气质量标准》（GB3095—</w:t>
            </w:r>
            <w:r>
              <w:rPr>
                <w:rFonts w:hint="eastAsia" w:ascii="Times New Roman" w:hAnsi="Times New Roman" w:eastAsia="宋体" w:cs="Times New Roman"/>
                <w:color w:val="000000" w:themeColor="text1"/>
                <w:sz w:val="28"/>
                <w:szCs w:val="28"/>
                <w14:textFill>
                  <w14:solidFill>
                    <w14:schemeClr w14:val="tx1"/>
                  </w14:solidFill>
                </w14:textFill>
              </w:rPr>
              <w:t>2012</w:t>
            </w:r>
            <w:r>
              <w:rPr>
                <w:rFonts w:hint="default" w:ascii="Times New Roman" w:hAnsi="Times New Roman" w:eastAsia="宋体" w:cs="Times New Roman"/>
                <w:color w:val="000000" w:themeColor="text1"/>
                <w:sz w:val="28"/>
                <w:szCs w:val="28"/>
                <w14:textFill>
                  <w14:solidFill>
                    <w14:schemeClr w14:val="tx1"/>
                  </w14:solidFill>
                </w14:textFill>
              </w:rPr>
              <w:t>）中二级标准；</w:t>
            </w:r>
          </w:p>
          <w:p>
            <w:pPr>
              <w:jc w:val="left"/>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《地表水环境质量标准》(GB3838-2002)中的Ⅲ类标准</w:t>
            </w:r>
            <w:r>
              <w:rPr>
                <w:rFonts w:hint="eastAsia" w:ascii="Times New Roman" w:hAnsi="Times New Roman" w:eastAsia="宋体" w:cs="Times New Roman"/>
                <w:color w:val="000000" w:themeColor="text1"/>
                <w:sz w:val="28"/>
                <w:szCs w:val="28"/>
                <w:lang w:eastAsia="zh-CN"/>
                <w14:textFill>
                  <w14:solidFill>
                    <w14:schemeClr w14:val="tx1"/>
                  </w14:solidFill>
                </w14:textFill>
              </w:rPr>
              <w:t>；</w:t>
            </w:r>
          </w:p>
          <w:p>
            <w:pPr>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《声环境质量标准》（GB3096—2008）中</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类标准</w:t>
            </w:r>
            <w:r>
              <w:rPr>
                <w:rFonts w:hint="eastAsia"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7" w:hRule="atLeast"/>
          <w:jc w:val="center"/>
        </w:trPr>
        <w:tc>
          <w:tcPr>
            <w:tcW w:w="704"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污</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染</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物</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排</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放</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标</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准</w:t>
            </w:r>
          </w:p>
        </w:tc>
        <w:tc>
          <w:tcPr>
            <w:tcW w:w="9077" w:type="dxa"/>
            <w:vAlign w:val="center"/>
          </w:tcPr>
          <w:p>
            <w:pPr>
              <w:jc w:val="left"/>
              <w:rPr>
                <w:rFonts w:hint="eastAsia"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《大气污染物综合排放标准》(GB16297—1996)中二级标准；</w:t>
            </w:r>
          </w:p>
          <w:p>
            <w:pPr>
              <w:jc w:val="left"/>
              <w:rPr>
                <w:rFonts w:hint="eastAsia"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《污水综合排放标准》（GB8978—1996）；</w:t>
            </w:r>
          </w:p>
          <w:p>
            <w:pPr>
              <w:jc w:val="left"/>
              <w:rPr>
                <w:rFonts w:hint="eastAsia"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《建筑施工场界环境噪声排放标准》（</w:t>
            </w:r>
            <w:r>
              <w:rPr>
                <w:rFonts w:hint="default" w:ascii="Times New Roman" w:hAnsi="Times New Roman" w:eastAsia="宋体" w:cs="Times New Roman"/>
                <w:color w:val="000000" w:themeColor="text1"/>
                <w:sz w:val="28"/>
                <w:szCs w:val="28"/>
                <w14:textFill>
                  <w14:solidFill>
                    <w14:schemeClr w14:val="tx1"/>
                  </w14:solidFill>
                </w14:textFill>
              </w:rPr>
              <w:t>GB12523</w:t>
            </w:r>
            <w:r>
              <w:rPr>
                <w:rFonts w:hint="eastAsia"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2011</w:t>
            </w:r>
            <w:r>
              <w:rPr>
                <w:rFonts w:hint="eastAsia" w:ascii="Times New Roman" w:hAnsi="Times New Roman" w:eastAsia="宋体" w:cs="Times New Roman"/>
                <w:color w:val="000000" w:themeColor="text1"/>
                <w:sz w:val="28"/>
                <w:szCs w:val="28"/>
                <w14:textFill>
                  <w14:solidFill>
                    <w14:schemeClr w14:val="tx1"/>
                  </w14:solidFill>
                </w14:textFill>
              </w:rPr>
              <w:t xml:space="preserve">）； </w:t>
            </w:r>
          </w:p>
          <w:p>
            <w:pPr>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《一般工业固体废物贮存、处置场污染控制标准》（GB18599—2001）。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4" w:hRule="atLeast"/>
          <w:jc w:val="center"/>
        </w:trPr>
        <w:tc>
          <w:tcPr>
            <w:tcW w:w="704"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总</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量</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控</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制</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标</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准</w:t>
            </w:r>
          </w:p>
        </w:tc>
        <w:tc>
          <w:tcPr>
            <w:tcW w:w="9077" w:type="dxa"/>
            <w:vAlign w:val="center"/>
          </w:tcPr>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本项目为</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防洪堤</w:t>
            </w:r>
            <w:r>
              <w:rPr>
                <w:rFonts w:hint="eastAsia" w:ascii="Times New Roman" w:hAnsi="Times New Roman" w:cs="Times New Roman"/>
                <w:color w:val="000000" w:themeColor="text1"/>
                <w:sz w:val="28"/>
                <w:szCs w:val="28"/>
                <w:lang w:val="en-US" w:eastAsia="zh-CN"/>
                <w14:textFill>
                  <w14:solidFill>
                    <w14:schemeClr w14:val="tx1"/>
                  </w14:solidFill>
                </w14:textFill>
              </w:rPr>
              <w:t>建设</w:t>
            </w:r>
            <w:r>
              <w:rPr>
                <w:rFonts w:hint="default" w:ascii="Times New Roman" w:hAnsi="Times New Roman" w:eastAsia="宋体" w:cs="Times New Roman"/>
                <w:color w:val="000000" w:themeColor="text1"/>
                <w:sz w:val="28"/>
                <w:szCs w:val="28"/>
                <w:lang w:eastAsia="zh-CN"/>
                <w14:textFill>
                  <w14:solidFill>
                    <w14:schemeClr w14:val="tx1"/>
                  </w14:solidFill>
                </w14:textFill>
              </w:rPr>
              <w:t>项目，属典型生态影响类项目，不设总量控制指标。</w:t>
            </w:r>
          </w:p>
        </w:tc>
      </w:tr>
    </w:tbl>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21" w:name="_Toc10198"/>
      <w:bookmarkStart w:id="22" w:name="_Toc1452"/>
      <w:bookmarkStart w:id="23" w:name="_Toc24277"/>
      <w:r>
        <w:rPr>
          <w:rFonts w:hint="default" w:ascii="Times New Roman" w:hAnsi="Times New Roman" w:eastAsia="宋体" w:cs="Times New Roman"/>
          <w:color w:val="000000" w:themeColor="text1"/>
          <w14:textFill>
            <w14:solidFill>
              <w14:schemeClr w14:val="tx1"/>
            </w14:solidFill>
          </w14:textFill>
        </w:rPr>
        <w:t>表4  工程概况及工艺流程</w:t>
      </w:r>
      <w:bookmarkEnd w:id="21"/>
      <w:bookmarkEnd w:id="22"/>
      <w:bookmarkEnd w:id="23"/>
    </w:p>
    <w:tbl>
      <w:tblPr>
        <w:tblStyle w:val="31"/>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9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01"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项目名称</w:t>
            </w:r>
          </w:p>
        </w:tc>
        <w:tc>
          <w:tcPr>
            <w:tcW w:w="9094"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9" w:hRule="atLeast"/>
          <w:jc w:val="center"/>
        </w:trPr>
        <w:tc>
          <w:tcPr>
            <w:tcW w:w="801"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项目地理位置</w:t>
            </w:r>
          </w:p>
        </w:tc>
        <w:tc>
          <w:tcPr>
            <w:tcW w:w="9094" w:type="dxa"/>
            <w:vAlign w:val="center"/>
          </w:tcPr>
          <w:p>
            <w:pPr>
              <w:ind w:firstLine="560" w:firstLineChars="200"/>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本项目位于巴楚县阿拉格尔乡18村。距巴楚县城92km。本次防洪坝的起点坐标为: 北纬39°15'47.13"、东经77°50'35.22"；终点坐标为：北纬39°16'06.58"、东经77°51'32.43"。</w:t>
            </w:r>
          </w:p>
          <w:p>
            <w:pPr>
              <w:ind w:firstLine="560"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根据现场勘查，河道两侧均为耕地，不存在居民区。</w:t>
            </w:r>
          </w:p>
          <w:p>
            <w:pPr>
              <w:spacing w:line="240" w:lineRule="auto"/>
              <w:jc w:val="center"/>
              <w:rPr>
                <w:rFonts w:hint="default" w:ascii="Times New Roman" w:hAnsi="Times New Roman" w:eastAsia="宋体" w:cs="Times New Roman"/>
                <w:b/>
                <w:bCs/>
                <w:color w:val="000000" w:themeColor="text1"/>
                <w:highlight w:val="none"/>
                <w:lang w:eastAsia="zh-CN"/>
                <w14:textFill>
                  <w14:solidFill>
                    <w14:schemeClr w14:val="tx1"/>
                  </w14:solidFill>
                </w14:textFill>
              </w:rPr>
            </w:pPr>
          </w:p>
          <w:p>
            <w:pPr>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p>
            <w:pPr>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4" w:hRule="atLeast"/>
          <w:jc w:val="center"/>
        </w:trPr>
        <w:tc>
          <w:tcPr>
            <w:tcW w:w="9895" w:type="dxa"/>
            <w:gridSpan w:val="2"/>
          </w:tcPr>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24" w:name="_Toc6369"/>
            <w:bookmarkStart w:id="25" w:name="_Toc1671"/>
            <w:bookmarkStart w:id="26" w:name="_Toc16102"/>
            <w:r>
              <w:rPr>
                <w:rFonts w:hint="default" w:ascii="Times New Roman" w:hAnsi="Times New Roman" w:eastAsia="宋体" w:cs="Times New Roman"/>
                <w:color w:val="000000" w:themeColor="text1"/>
                <w:sz w:val="28"/>
                <w:szCs w:val="28"/>
                <w14:textFill>
                  <w14:solidFill>
                    <w14:schemeClr w14:val="tx1"/>
                  </w14:solidFill>
                </w14:textFill>
              </w:rPr>
              <w:t>4.1主要工程内容及规模</w:t>
            </w:r>
            <w:bookmarkEnd w:id="24"/>
            <w:bookmarkEnd w:id="25"/>
            <w:bookmarkEnd w:id="26"/>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1、主要工程</w:t>
            </w:r>
          </w:p>
          <w:p>
            <w:pPr>
              <w:topLinePunct/>
              <w:adjustRightInd w:val="0"/>
              <w:snapToGrid w:val="0"/>
              <w:spacing w:line="360" w:lineRule="auto"/>
              <w:ind w:firstLine="560" w:firstLineChars="200"/>
              <w:textAlignment w:val="baseline"/>
              <w:rPr>
                <w:rFonts w:hint="default" w:ascii="Times New Roman" w:hAnsi="Times New Roman" w:eastAsia="宋体" w:cs="Times New Roman"/>
                <w:snapToGrid w:val="0"/>
                <w:color w:val="000000" w:themeColor="text1"/>
                <w:kern w:val="0"/>
                <w:sz w:val="28"/>
                <w:szCs w:val="28"/>
                <w:lang w:val="en-US" w:eastAsia="zh-CN"/>
                <w14:textFill>
                  <w14:solidFill>
                    <w14:schemeClr w14:val="tx1"/>
                  </w14:solidFill>
                </w14:textFill>
              </w:rPr>
            </w:pPr>
            <w:bookmarkStart w:id="27" w:name="_Toc4847"/>
            <w:bookmarkStart w:id="28" w:name="_Toc18236"/>
            <w:r>
              <w:rPr>
                <w:rFonts w:hint="default" w:ascii="Times New Roman" w:hAnsi="Times New Roman" w:eastAsia="宋体" w:cs="Times New Roman"/>
                <w:snapToGrid w:val="0"/>
                <w:color w:val="000000" w:themeColor="text1"/>
                <w:kern w:val="0"/>
                <w:sz w:val="28"/>
                <w:szCs w:val="28"/>
                <w:lang w:val="en-US" w:eastAsia="zh-CN"/>
                <w14:textFill>
                  <w14:solidFill>
                    <w14:schemeClr w14:val="tx1"/>
                  </w14:solidFill>
                </w14:textFill>
              </w:rPr>
              <w:t xml:space="preserve">  建设长度约1.5km防洪堤坝。采用梯形断面，本次项目不涉及河道疏浚工程，建成后主要保护对象为巴楚县阿拉格尔乡翁阔坦村居民（下游7公里）和河道的农田。</w:t>
            </w:r>
          </w:p>
          <w:p>
            <w:pPr>
              <w:topLinePunct/>
              <w:adjustRightInd w:val="0"/>
              <w:snapToGrid w:val="0"/>
              <w:spacing w:line="360" w:lineRule="auto"/>
              <w:ind w:firstLine="560" w:firstLineChars="200"/>
              <w:textAlignment w:val="baseline"/>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snapToGrid w:val="0"/>
                <w:color w:val="000000" w:themeColor="text1"/>
                <w:kern w:val="0"/>
                <w:sz w:val="28"/>
                <w:szCs w:val="28"/>
                <w14:textFill>
                  <w14:solidFill>
                    <w14:schemeClr w14:val="tx1"/>
                  </w14:solidFill>
                </w14:textFill>
              </w:rPr>
              <w:t>工程划分见下表：</w:t>
            </w:r>
          </w:p>
          <w:p>
            <w:pPr>
              <w:jc w:val="center"/>
              <w:rPr>
                <w:rStyle w:val="35"/>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表2    项目内容组成表</w:t>
            </w:r>
          </w:p>
          <w:tbl>
            <w:tblPr>
              <w:tblStyle w:val="31"/>
              <w:tblW w:w="5029"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061"/>
              <w:gridCol w:w="3346"/>
              <w:gridCol w:w="3334"/>
              <w:gridCol w:w="119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22" w:hRule="atLeast"/>
                <w:jc w:val="center"/>
              </w:trPr>
              <w:tc>
                <w:tcPr>
                  <w:tcW w:w="411"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类别</w:t>
                  </w:r>
                </w:p>
              </w:tc>
              <w:tc>
                <w:tcPr>
                  <w:tcW w:w="544"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名称</w:t>
                  </w:r>
                </w:p>
              </w:tc>
              <w:tc>
                <w:tcPr>
                  <w:tcW w:w="1718" w:type="pct"/>
                  <w:noWrap w:val="0"/>
                  <w:vAlign w:val="center"/>
                </w:tcPr>
                <w:p>
                  <w:pPr>
                    <w:jc w:val="center"/>
                    <w:rPr>
                      <w:rFonts w:hint="default"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环评设计</w:t>
                  </w:r>
                  <w:r>
                    <w:rPr>
                      <w:rFonts w:hint="default" w:ascii="Times New Roman" w:hAnsi="Times New Roman" w:eastAsia="宋体" w:cs="Times New Roman"/>
                      <w:b/>
                      <w:bCs/>
                      <w:color w:val="000000" w:themeColor="text1"/>
                      <w:sz w:val="21"/>
                      <w:szCs w:val="21"/>
                      <w14:textFill>
                        <w14:solidFill>
                          <w14:schemeClr w14:val="tx1"/>
                        </w14:solidFill>
                      </w14:textFill>
                    </w:rPr>
                    <w:t>建设内容</w:t>
                  </w:r>
                </w:p>
              </w:tc>
              <w:tc>
                <w:tcPr>
                  <w:tcW w:w="1712"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实际建设内容</w:t>
                  </w:r>
                </w:p>
              </w:tc>
              <w:tc>
                <w:tcPr>
                  <w:tcW w:w="612"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11"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主体</w:t>
                  </w:r>
                </w:p>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工程</w:t>
                  </w: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防洪堤</w:t>
                  </w:r>
                </w:p>
              </w:tc>
              <w:tc>
                <w:tcPr>
                  <w:tcW w:w="1718"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ascii="宋体" w:hAnsi="宋体" w:eastAsia="宋体"/>
                      <w:color w:val="auto"/>
                      <w:kern w:val="2"/>
                      <w:sz w:val="24"/>
                      <w:szCs w:val="24"/>
                      <w:lang w:val="en-US" w:eastAsia="zh-CN" w:bidi="ar-SA"/>
                    </w:rPr>
                    <w:t>长度约</w:t>
                  </w:r>
                  <w:r>
                    <w:rPr>
                      <w:rFonts w:hint="eastAsia" w:ascii="宋体" w:hAnsi="宋体"/>
                      <w:color w:val="auto"/>
                      <w:kern w:val="2"/>
                      <w:sz w:val="24"/>
                      <w:szCs w:val="24"/>
                      <w:lang w:val="en-US" w:eastAsia="zh-CN" w:bidi="ar-SA"/>
                    </w:rPr>
                    <w:t>1</w:t>
                  </w:r>
                  <w:r>
                    <w:rPr>
                      <w:rFonts w:hint="eastAsia" w:ascii="宋体" w:hAnsi="宋体" w:eastAsia="宋体"/>
                      <w:color w:val="auto"/>
                      <w:kern w:val="2"/>
                      <w:sz w:val="24"/>
                      <w:szCs w:val="24"/>
                      <w:lang w:val="en-US" w:eastAsia="zh-CN" w:bidi="ar-SA"/>
                    </w:rPr>
                    <w:t>.</w:t>
                  </w:r>
                  <w:r>
                    <w:rPr>
                      <w:rFonts w:hint="eastAsia" w:ascii="宋体" w:hAnsi="宋体"/>
                      <w:color w:val="auto"/>
                      <w:kern w:val="2"/>
                      <w:sz w:val="24"/>
                      <w:szCs w:val="24"/>
                      <w:lang w:val="en-US" w:eastAsia="zh-CN" w:bidi="ar-SA"/>
                    </w:rPr>
                    <w:t>5</w:t>
                  </w:r>
                  <w:r>
                    <w:rPr>
                      <w:rFonts w:hint="eastAsia" w:ascii="宋体" w:hAnsi="宋体" w:eastAsia="宋体"/>
                      <w:color w:val="auto"/>
                      <w:kern w:val="2"/>
                      <w:sz w:val="24"/>
                      <w:szCs w:val="24"/>
                      <w:lang w:val="en-US" w:eastAsia="zh-CN" w:bidi="ar-SA"/>
                    </w:rPr>
                    <w:t>km防洪堤坝</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olor w:val="auto"/>
                      <w:kern w:val="2"/>
                      <w:sz w:val="24"/>
                      <w:szCs w:val="24"/>
                      <w:lang w:val="en-US" w:eastAsia="zh-CN" w:bidi="ar-SA"/>
                    </w:rPr>
                    <w:t>长度约</w:t>
                  </w:r>
                  <w:r>
                    <w:rPr>
                      <w:rFonts w:hint="eastAsia" w:ascii="宋体" w:hAnsi="宋体"/>
                      <w:color w:val="auto"/>
                      <w:kern w:val="2"/>
                      <w:sz w:val="24"/>
                      <w:szCs w:val="24"/>
                      <w:lang w:val="en-US" w:eastAsia="zh-CN" w:bidi="ar-SA"/>
                    </w:rPr>
                    <w:t>1</w:t>
                  </w:r>
                  <w:r>
                    <w:rPr>
                      <w:rFonts w:hint="eastAsia" w:ascii="宋体" w:hAnsi="宋体" w:eastAsia="宋体"/>
                      <w:color w:val="auto"/>
                      <w:kern w:val="2"/>
                      <w:sz w:val="24"/>
                      <w:szCs w:val="24"/>
                      <w:lang w:val="en-US" w:eastAsia="zh-CN" w:bidi="ar-SA"/>
                    </w:rPr>
                    <w:t>.</w:t>
                  </w:r>
                  <w:r>
                    <w:rPr>
                      <w:rFonts w:hint="eastAsia" w:ascii="宋体" w:hAnsi="宋体"/>
                      <w:color w:val="auto"/>
                      <w:kern w:val="2"/>
                      <w:sz w:val="24"/>
                      <w:szCs w:val="24"/>
                      <w:lang w:val="en-US" w:eastAsia="zh-CN" w:bidi="ar-SA"/>
                    </w:rPr>
                    <w:t>5</w:t>
                  </w:r>
                  <w:r>
                    <w:rPr>
                      <w:rFonts w:hint="eastAsia" w:ascii="宋体" w:hAnsi="宋体" w:eastAsia="宋体"/>
                      <w:color w:val="auto"/>
                      <w:kern w:val="2"/>
                      <w:sz w:val="24"/>
                      <w:szCs w:val="24"/>
                      <w:lang w:val="en-US" w:eastAsia="zh-CN" w:bidi="ar-SA"/>
                    </w:rPr>
                    <w:t>km防洪堤坝</w:t>
                  </w:r>
                </w:p>
              </w:tc>
              <w:tc>
                <w:tcPr>
                  <w:tcW w:w="612"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411"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排水</w:t>
                  </w:r>
                </w:p>
              </w:tc>
              <w:tc>
                <w:tcPr>
                  <w:tcW w:w="1718"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生产废水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沉淀池收集后，用于施工区以及施工便道的洒水降尘</w:t>
                  </w:r>
                  <w:r>
                    <w:rPr>
                      <w:rFonts w:hint="default" w:ascii="Times New Roman" w:hAnsi="Times New Roman" w:cs="Times New Roman"/>
                      <w:color w:val="000000" w:themeColor="text1"/>
                      <w:sz w:val="21"/>
                      <w:szCs w:val="21"/>
                      <w:lang w:val="en-US" w:eastAsia="zh-CN"/>
                      <w14:textFill>
                        <w14:solidFill>
                          <w14:schemeClr w14:val="tx1"/>
                        </w14:solidFill>
                      </w14:textFill>
                    </w:rPr>
                    <w:t>；生活废水由移动式的环保厕所收集后，待环保型厕所的集粪坑收满后运至巴楚县污水处理厂进行处理。</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生产废水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沉淀池收集后，用于施工区以及施工便道的洒水降尘</w:t>
                  </w:r>
                  <w:r>
                    <w:rPr>
                      <w:rFonts w:hint="default" w:ascii="Times New Roman" w:hAnsi="Times New Roman" w:cs="Times New Roman"/>
                      <w:color w:val="000000" w:themeColor="text1"/>
                      <w:sz w:val="21"/>
                      <w:szCs w:val="21"/>
                      <w:lang w:val="en-US" w:eastAsia="zh-CN"/>
                      <w14:textFill>
                        <w14:solidFill>
                          <w14:schemeClr w14:val="tx1"/>
                        </w14:solidFill>
                      </w14:textFill>
                    </w:rPr>
                    <w:t>；生活废水由移动式的环保厕所收集后，待环保型厕所的集粪坑收满后运至巴楚县污水处理厂进行处理。</w:t>
                  </w:r>
                </w:p>
              </w:tc>
              <w:tc>
                <w:tcPr>
                  <w:tcW w:w="612"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411" w:type="pct"/>
                  <w:vMerge w:val="restar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环保</w:t>
                  </w:r>
                </w:p>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工程</w:t>
                  </w: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大气环境</w:t>
                  </w:r>
                </w:p>
              </w:tc>
              <w:tc>
                <w:tcPr>
                  <w:tcW w:w="1718"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制定必要的防治措施</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制定必要的防治措施</w:t>
                  </w:r>
                </w:p>
              </w:tc>
              <w:tc>
                <w:tcPr>
                  <w:tcW w:w="612"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411" w:type="pct"/>
                  <w:vMerge w:val="continue"/>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水环境</w:t>
                  </w:r>
                </w:p>
              </w:tc>
              <w:tc>
                <w:tcPr>
                  <w:tcW w:w="1718" w:type="pct"/>
                  <w:noWrap w:val="0"/>
                  <w:vAlign w:val="center"/>
                </w:tcPr>
                <w:p>
                  <w:pPr>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生产废水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沉淀池收集后，用于施工区以及施工便道的洒水降尘</w:t>
                  </w:r>
                  <w:r>
                    <w:rPr>
                      <w:rFonts w:hint="default" w:ascii="Times New Roman" w:hAnsi="Times New Roman" w:cs="Times New Roman"/>
                      <w:color w:val="000000" w:themeColor="text1"/>
                      <w:sz w:val="21"/>
                      <w:szCs w:val="21"/>
                      <w:lang w:val="en-US" w:eastAsia="zh-CN"/>
                      <w14:textFill>
                        <w14:solidFill>
                          <w14:schemeClr w14:val="tx1"/>
                        </w14:solidFill>
                      </w14:textFill>
                    </w:rPr>
                    <w:t>；生活废水由移动式的环保厕所收集后，待环保型厕所的集粪坑收满后运至巴楚县污水处理厂进行处理。</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生产废水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沉淀池收集后，用于施工区以及施工便道的洒水降尘</w:t>
                  </w:r>
                  <w:r>
                    <w:rPr>
                      <w:rFonts w:hint="default" w:ascii="Times New Roman" w:hAnsi="Times New Roman" w:cs="Times New Roman"/>
                      <w:color w:val="000000" w:themeColor="text1"/>
                      <w:sz w:val="21"/>
                      <w:szCs w:val="21"/>
                      <w:lang w:val="en-US" w:eastAsia="zh-CN"/>
                      <w14:textFill>
                        <w14:solidFill>
                          <w14:schemeClr w14:val="tx1"/>
                        </w14:solidFill>
                      </w14:textFill>
                    </w:rPr>
                    <w:t>；生活废水由移动式的环保厕所收集后，待环保型厕所的集粪坑收满后运至巴楚县污水处理厂进行处理。</w:t>
                  </w:r>
                </w:p>
              </w:tc>
              <w:tc>
                <w:tcPr>
                  <w:tcW w:w="612"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411"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544"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固废</w:t>
                  </w:r>
                </w:p>
              </w:tc>
              <w:tc>
                <w:tcPr>
                  <w:tcW w:w="1718"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施工过程中产生的弃方用于土坑回填，建筑垃圾及时拉运至指定建筑垃圾填埋场处理。产生的生活垃圾定期运至当地生活垃圾填埋产进行处理</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施工过程中产生的弃方用于土坑回填，建筑垃圾及时拉运至指定建筑垃圾填埋场处理。产生的生活垃圾定期运至当地生活垃圾填埋产进行处理</w:t>
                  </w:r>
                </w:p>
              </w:tc>
              <w:tc>
                <w:tcPr>
                  <w:tcW w:w="612"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r>
          </w:tbl>
          <w:p>
            <w:pPr>
              <w:numPr>
                <w:ilvl w:val="0"/>
                <w:numId w:val="0"/>
              </w:numPr>
              <w:spacing w:beforeLines="5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建设规模</w:t>
            </w:r>
          </w:p>
          <w:p>
            <w:pPr>
              <w:jc w:val="center"/>
              <w:rPr>
                <w:rFonts w:hint="default" w:ascii="Times New Roman" w:hAnsi="Times New Roman" w:cs="Times New Roman"/>
              </w:rPr>
            </w:pPr>
            <w:r>
              <w:rPr>
                <w:rFonts w:hint="default" w:ascii="Times New Roman" w:hAnsi="Times New Roman" w:eastAsia="宋体" w:cs="Times New Roman"/>
                <w:b/>
                <w:color w:val="000000" w:themeColor="text1"/>
                <w:szCs w:val="21"/>
                <w14:textFill>
                  <w14:solidFill>
                    <w14:schemeClr w14:val="tx1"/>
                  </w14:solidFill>
                </w14:textFill>
              </w:rPr>
              <w:t>表</w:t>
            </w:r>
            <w:r>
              <w:rPr>
                <w:rFonts w:hint="default" w:ascii="Times New Roman" w:hAnsi="Times New Roman" w:cs="Times New Roman"/>
                <w:b/>
                <w:color w:val="000000" w:themeColor="text1"/>
                <w:szCs w:val="21"/>
                <w:lang w:val="en-US" w:eastAsia="zh-CN"/>
                <w14:textFill>
                  <w14:solidFill>
                    <w14:schemeClr w14:val="tx1"/>
                  </w14:solidFill>
                </w14:textFill>
              </w:rPr>
              <w:t>5</w:t>
            </w:r>
            <w:r>
              <w:rPr>
                <w:rFonts w:hint="default" w:ascii="Times New Roman" w:hAnsi="Times New Roman" w:eastAsia="宋体" w:cs="Times New Roman"/>
                <w:b/>
                <w:color w:val="000000" w:themeColor="text1"/>
                <w:szCs w:val="21"/>
                <w14:textFill>
                  <w14:solidFill>
                    <w14:schemeClr w14:val="tx1"/>
                  </w14:solidFill>
                </w14:textFill>
              </w:rPr>
              <w:t xml:space="preserve">  </w:t>
            </w:r>
            <w:r>
              <w:rPr>
                <w:rFonts w:hint="default" w:ascii="Times New Roman" w:hAnsi="Times New Roman" w:cs="Times New Roman"/>
                <w:b/>
                <w:color w:val="000000" w:themeColor="text1"/>
                <w:szCs w:val="21"/>
                <w:lang w:val="en-US" w:eastAsia="zh-CN"/>
                <w14:textFill>
                  <w14:solidFill>
                    <w14:schemeClr w14:val="tx1"/>
                  </w14:solidFill>
                </w14:textFill>
              </w:rPr>
              <w:t>建设规模一览表</w:t>
            </w:r>
            <w:r>
              <w:rPr>
                <w:rFonts w:hint="default" w:ascii="Times New Roman" w:hAnsi="Times New Roman" w:eastAsia="宋体" w:cs="Times New Roman"/>
                <w:b/>
                <w:color w:val="000000" w:themeColor="text1"/>
                <w:szCs w:val="21"/>
                <w14:textFill>
                  <w14:solidFill>
                    <w14:schemeClr w14:val="tx1"/>
                  </w14:solidFill>
                </w14:textFill>
              </w:rPr>
              <w:t xml:space="preserve"> </w:t>
            </w:r>
          </w:p>
          <w:tbl>
            <w:tblPr>
              <w:tblStyle w:val="31"/>
              <w:tblW w:w="477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44"/>
              <w:gridCol w:w="3928"/>
              <w:gridCol w:w="3494"/>
              <w:gridCol w:w="88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22" w:hRule="atLeast"/>
                <w:jc w:val="center"/>
              </w:trPr>
              <w:tc>
                <w:tcPr>
                  <w:tcW w:w="510"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类别</w:t>
                  </w:r>
                </w:p>
              </w:tc>
              <w:tc>
                <w:tcPr>
                  <w:tcW w:w="2124" w:type="pct"/>
                  <w:noWrap w:val="0"/>
                  <w:vAlign w:val="center"/>
                </w:tcPr>
                <w:p>
                  <w:pPr>
                    <w:jc w:val="center"/>
                    <w:rPr>
                      <w:rFonts w:hint="default"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环评设计</w:t>
                  </w:r>
                  <w:r>
                    <w:rPr>
                      <w:rFonts w:hint="default" w:ascii="Times New Roman" w:hAnsi="Times New Roman" w:eastAsia="宋体" w:cs="Times New Roman"/>
                      <w:b/>
                      <w:bCs/>
                      <w:color w:val="000000" w:themeColor="text1"/>
                      <w:sz w:val="21"/>
                      <w:szCs w:val="21"/>
                      <w14:textFill>
                        <w14:solidFill>
                          <w14:schemeClr w14:val="tx1"/>
                        </w14:solidFill>
                      </w14:textFill>
                    </w:rPr>
                    <w:t>建设内容</w:t>
                  </w:r>
                </w:p>
              </w:tc>
              <w:tc>
                <w:tcPr>
                  <w:tcW w:w="1889"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实际建设内容</w:t>
                  </w:r>
                </w:p>
              </w:tc>
              <w:tc>
                <w:tcPr>
                  <w:tcW w:w="476"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10"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主体</w:t>
                  </w:r>
                </w:p>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工程</w:t>
                  </w:r>
                </w:p>
              </w:tc>
              <w:tc>
                <w:tcPr>
                  <w:tcW w:w="212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长度约1.5km防洪堤坝</w:t>
                  </w:r>
                </w:p>
              </w:tc>
              <w:tc>
                <w:tcPr>
                  <w:tcW w:w="1889"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长度约1.5km防洪堤坝</w:t>
                  </w:r>
                </w:p>
              </w:tc>
              <w:tc>
                <w:tcPr>
                  <w:tcW w:w="476" w:type="pct"/>
                  <w:noWrap w:val="0"/>
                  <w:vAlign w:val="center"/>
                </w:tcPr>
                <w:p>
                  <w:pPr>
                    <w:keepNext w:val="0"/>
                    <w:keepLines w:val="0"/>
                    <w:widowControl/>
                    <w:suppressLineNumbers w:val="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一致</w:t>
                  </w:r>
                </w:p>
              </w:tc>
            </w:tr>
          </w:tbl>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29" w:name="_Toc22195"/>
            <w:r>
              <w:rPr>
                <w:rFonts w:hint="default" w:ascii="Times New Roman" w:hAnsi="Times New Roman" w:eastAsia="宋体" w:cs="Times New Roman"/>
                <w:color w:val="000000" w:themeColor="text1"/>
                <w:sz w:val="28"/>
                <w:szCs w:val="28"/>
                <w14:textFill>
                  <w14:solidFill>
                    <w14:schemeClr w14:val="tx1"/>
                  </w14:solidFill>
                </w14:textFill>
              </w:rPr>
              <w:t>4.2工作制度及劳动定员</w:t>
            </w:r>
            <w:bookmarkEnd w:id="27"/>
            <w:bookmarkEnd w:id="28"/>
            <w:bookmarkEnd w:id="29"/>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本项目运营期不配套职工</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30" w:name="_Toc26968"/>
            <w:bookmarkStart w:id="31" w:name="_Toc753"/>
            <w:bookmarkStart w:id="32" w:name="_Toc3928"/>
            <w:r>
              <w:rPr>
                <w:rFonts w:hint="default" w:ascii="Times New Roman" w:hAnsi="Times New Roman" w:eastAsia="宋体" w:cs="Times New Roman"/>
                <w:color w:val="000000" w:themeColor="text1"/>
                <w:sz w:val="28"/>
                <w:szCs w:val="28"/>
                <w14:textFill>
                  <w14:solidFill>
                    <w14:schemeClr w14:val="tx1"/>
                  </w14:solidFill>
                </w14:textFill>
              </w:rPr>
              <w:t>4.3主要原辅材料用量</w:t>
            </w:r>
            <w:bookmarkEnd w:id="30"/>
            <w:bookmarkEnd w:id="31"/>
            <w:bookmarkEnd w:id="32"/>
          </w:p>
          <w:p>
            <w:pPr>
              <w:pStyle w:val="2"/>
              <w:ind w:firstLine="560" w:firstLineChars="200"/>
              <w:rPr>
                <w:rFonts w:hint="default" w:ascii="Times New Roman" w:hAnsi="Times New Roman" w:eastAsia="宋体" w:cs="Times New Roman"/>
                <w:b w:val="0"/>
                <w:color w:val="000000" w:themeColor="text1"/>
                <w:kern w:val="2"/>
                <w:sz w:val="28"/>
                <w:szCs w:val="28"/>
                <w:lang w:val="en-US" w:eastAsia="zh-CN" w:bidi="ar-SA"/>
                <w14:textFill>
                  <w14:solidFill>
                    <w14:schemeClr w14:val="tx1"/>
                  </w14:solidFill>
                </w14:textFill>
              </w:rPr>
            </w:pPr>
            <w:bookmarkStart w:id="33" w:name="_Toc27868"/>
            <w:bookmarkStart w:id="34" w:name="_Toc30367"/>
            <w:bookmarkStart w:id="35" w:name="_Toc23831"/>
            <w:r>
              <w:rPr>
                <w:rFonts w:hint="default" w:ascii="Times New Roman" w:hAnsi="Times New Roman" w:eastAsia="宋体" w:cs="Times New Roman"/>
                <w:b w:val="0"/>
                <w:color w:val="000000" w:themeColor="text1"/>
                <w:kern w:val="2"/>
                <w:sz w:val="28"/>
                <w:szCs w:val="28"/>
                <w:lang w:val="en-US" w:eastAsia="zh-CN" w:bidi="ar-SA"/>
                <w14:textFill>
                  <w14:solidFill>
                    <w14:schemeClr w14:val="tx1"/>
                  </w14:solidFill>
                </w14:textFill>
              </w:rPr>
              <w:t>①渠道填筑砂石料从河道取材，河道的砂石属于水利局所有；</w:t>
            </w:r>
          </w:p>
          <w:p>
            <w:pPr>
              <w:pStyle w:val="2"/>
              <w:ind w:firstLine="560" w:firstLineChars="200"/>
              <w:rPr>
                <w:rFonts w:hint="default" w:ascii="Times New Roman" w:hAnsi="Times New Roman" w:eastAsia="宋体" w:cs="Times New Roman"/>
                <w:b w:val="0"/>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2"/>
                <w:sz w:val="28"/>
                <w:szCs w:val="28"/>
                <w:lang w:val="en-US" w:eastAsia="zh-CN" w:bidi="ar-SA"/>
                <w14:textFill>
                  <w14:solidFill>
                    <w14:schemeClr w14:val="tx1"/>
                  </w14:solidFill>
                </w14:textFill>
              </w:rPr>
              <w:t>②工程所需的砼用粗骨料，细骨料均可由巴楚县三岔口砂石料场运（该砂石料厂手续合法，从该砂石料厂购买），平均运距145km。</w:t>
            </w:r>
          </w:p>
          <w:p>
            <w:pPr>
              <w:pStyle w:val="2"/>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4.4公用工程</w:t>
            </w:r>
            <w:bookmarkEnd w:id="33"/>
            <w:bookmarkEnd w:id="34"/>
            <w:bookmarkEnd w:id="35"/>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（1）施工用水</w:t>
            </w:r>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生活用水从附近的居民点获取。</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项目租用当地居民 ，不在施工区设置生活区，生活污水较</w:t>
            </w:r>
            <w:r>
              <w:rPr>
                <w:rFonts w:hint="default" w:ascii="Times New Roman" w:hAnsi="Times New Roman" w:eastAsia="宋体" w:cs="Times New Roman"/>
                <w:color w:val="000000" w:themeColor="text1"/>
                <w:sz w:val="28"/>
                <w:szCs w:val="28"/>
                <w14:textFill>
                  <w14:solidFill>
                    <w14:schemeClr w14:val="tx1"/>
                  </w14:solidFill>
                </w14:textFill>
              </w:rPr>
              <w:t>为分散的、不连续排放。</w:t>
            </w:r>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（2）施工用电</w:t>
            </w:r>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本次施工用电部分采用电网供电，部分渠段需采用自备电源，自备电采用60kw移动式柴油发电机施工电源。</w:t>
            </w:r>
          </w:p>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36" w:name="_Toc8003"/>
            <w:bookmarkStart w:id="37" w:name="_Toc6437"/>
            <w:bookmarkStart w:id="38" w:name="_Toc17401"/>
            <w:r>
              <w:rPr>
                <w:rFonts w:hint="default" w:ascii="Times New Roman" w:hAnsi="Times New Roman" w:eastAsia="宋体" w:cs="Times New Roman"/>
                <w:color w:val="000000" w:themeColor="text1"/>
                <w:sz w:val="28"/>
                <w:szCs w:val="28"/>
                <w14:textFill>
                  <w14:solidFill>
                    <w14:schemeClr w14:val="tx1"/>
                  </w14:solidFill>
                </w14:textFill>
              </w:rPr>
              <w:t>4.5工程占地</w:t>
            </w:r>
            <w:bookmarkEnd w:id="36"/>
            <w:bookmarkEnd w:id="37"/>
            <w:bookmarkEnd w:id="38"/>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本项目不存在工程淹没问题。</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本工程占地范围包括工程永久占地和施工临时占地，工程永久占地包括建筑物本身占地和管理范围占地，施工临时占地包括临时生产生活区、料场和临时道路等。施工过程中及后期，对于临时占地应采取措施，尽可能使地表的植被得以恢复。施工占地面积详见</w:t>
            </w: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下表</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w:t>
            </w:r>
          </w:p>
          <w:p>
            <w:pPr>
              <w:pStyle w:val="63"/>
              <w:rPr>
                <w:rFonts w:hint="default" w:ascii="Times New Roman" w:hAnsi="Times New Roman" w:cs="Times New Roman"/>
              </w:rPr>
            </w:pPr>
            <w:r>
              <w:rPr>
                <w:rFonts w:hint="default" w:ascii="Times New Roman" w:hAnsi="Times New Roman" w:eastAsia="宋体" w:cs="Times New Roman"/>
                <w:b/>
                <w:color w:val="000000" w:themeColor="text1"/>
                <w:kern w:val="2"/>
                <w:sz w:val="24"/>
                <w:szCs w:val="21"/>
                <w:lang w:val="en-US" w:eastAsia="zh-CN" w:bidi="ar-SA"/>
                <w14:textFill>
                  <w14:solidFill>
                    <w14:schemeClr w14:val="tx1"/>
                  </w14:solidFill>
                </w14:textFill>
              </w:rPr>
              <w:t>表</w:t>
            </w:r>
            <w:r>
              <w:rPr>
                <w:rFonts w:hint="eastAsia" w:ascii="Times New Roman" w:hAnsi="Times New Roman" w:eastAsia="宋体" w:cs="Times New Roman"/>
                <w:b/>
                <w:color w:val="000000" w:themeColor="text1"/>
                <w:kern w:val="2"/>
                <w:sz w:val="24"/>
                <w:szCs w:val="21"/>
                <w:lang w:val="en-US" w:eastAsia="zh-CN" w:bidi="ar-SA"/>
                <w14:textFill>
                  <w14:solidFill>
                    <w14:schemeClr w14:val="tx1"/>
                  </w14:solidFill>
                </w14:textFill>
              </w:rPr>
              <w:t>4.5</w:t>
            </w:r>
            <w:r>
              <w:rPr>
                <w:rFonts w:hint="default" w:ascii="Times New Roman" w:hAnsi="Times New Roman" w:eastAsia="宋体" w:cs="Times New Roman"/>
                <w:b/>
                <w:color w:val="000000" w:themeColor="text1"/>
                <w:kern w:val="2"/>
                <w:sz w:val="24"/>
                <w:szCs w:val="21"/>
                <w:lang w:val="en-US" w:eastAsia="zh-CN" w:bidi="ar-SA"/>
                <w14:textFill>
                  <w14:solidFill>
                    <w14:schemeClr w14:val="tx1"/>
                  </w14:solidFill>
                </w14:textFill>
              </w:rPr>
              <w:t xml:space="preserve">     施工占地面积表 </w:t>
            </w:r>
            <w:r>
              <w:rPr>
                <w:rFonts w:hint="default" w:ascii="Times New Roman" w:hAnsi="Times New Roman" w:eastAsia="宋体" w:cs="Times New Roman"/>
              </w:rPr>
              <w:t xml:space="preserve">  </w:t>
            </w:r>
            <w:r>
              <w:rPr>
                <w:rFonts w:hint="default" w:ascii="Times New Roman" w:hAnsi="Times New Roman" w:cs="Times New Roman"/>
              </w:rPr>
              <w:t xml:space="preserve">                    </w:t>
            </w:r>
          </w:p>
          <w:tbl>
            <w:tblPr>
              <w:tblStyle w:val="31"/>
              <w:tblW w:w="0" w:type="auto"/>
              <w:jc w:val="center"/>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Layout w:type="fixed"/>
              <w:tblCellMar>
                <w:top w:w="0" w:type="dxa"/>
                <w:left w:w="0" w:type="dxa"/>
                <w:bottom w:w="0" w:type="dxa"/>
                <w:right w:w="0" w:type="dxa"/>
              </w:tblCellMar>
            </w:tblPr>
            <w:tblGrid>
              <w:gridCol w:w="872"/>
              <w:gridCol w:w="2992"/>
              <w:gridCol w:w="2126"/>
              <w:gridCol w:w="3070"/>
            </w:tblGrid>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799" w:hRule="atLeast"/>
                <w:jc w:val="center"/>
              </w:trPr>
              <w:tc>
                <w:tcPr>
                  <w:tcW w:w="872" w:type="dxa"/>
                  <w:tcBorders>
                    <w:tl2br w:val="nil"/>
                    <w:tr2bl w:val="nil"/>
                  </w:tcBorders>
                  <w:noWrap w:val="0"/>
                  <w:vAlign w:val="center"/>
                </w:tcPr>
                <w:p>
                  <w:pPr>
                    <w:pStyle w:val="48"/>
                    <w:ind w:right="141"/>
                    <w:jc w:val="center"/>
                    <w:rPr>
                      <w:rFonts w:hint="default" w:ascii="Times New Roman" w:hAnsi="Times New Roman" w:eastAsia="宋体" w:cs="Times New Roman"/>
                      <w:color w:val="auto"/>
                      <w:sz w:val="21"/>
                      <w:szCs w:val="21"/>
                    </w:rPr>
                  </w:pPr>
                  <w:bookmarkStart w:id="39" w:name="_Toc24374"/>
                  <w:r>
                    <w:rPr>
                      <w:rFonts w:hint="default" w:ascii="Times New Roman" w:hAnsi="Times New Roman" w:eastAsia="宋体" w:cs="Times New Roman"/>
                      <w:color w:val="auto"/>
                      <w:sz w:val="21"/>
                      <w:szCs w:val="21"/>
                    </w:rPr>
                    <w:t>序号</w:t>
                  </w:r>
                </w:p>
              </w:tc>
              <w:tc>
                <w:tcPr>
                  <w:tcW w:w="2992" w:type="dxa"/>
                  <w:tcBorders>
                    <w:tl2br w:val="nil"/>
                    <w:tr2bl w:val="nil"/>
                  </w:tcBorders>
                  <w:noWrap w:val="0"/>
                  <w:vAlign w:val="center"/>
                </w:tcPr>
                <w:p>
                  <w:pPr>
                    <w:pStyle w:val="48"/>
                    <w:ind w:right="1211"/>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分区</w:t>
                  </w:r>
                </w:p>
              </w:tc>
              <w:tc>
                <w:tcPr>
                  <w:tcW w:w="2126" w:type="dxa"/>
                  <w:tcBorders>
                    <w:tl2br w:val="nil"/>
                    <w:tr2bl w:val="nil"/>
                  </w:tcBorders>
                  <w:noWrap w:val="0"/>
                  <w:vAlign w:val="center"/>
                </w:tcPr>
                <w:p>
                  <w:pPr>
                    <w:pStyle w:val="48"/>
                    <w:spacing w:before="38"/>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面积（h</w:t>
                  </w:r>
                  <w:r>
                    <w:rPr>
                      <w:rFonts w:hint="eastAsia"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vertAlign w:val="baseline"/>
                    </w:rPr>
                    <w:t>）</w:t>
                  </w:r>
                </w:p>
              </w:tc>
              <w:tc>
                <w:tcPr>
                  <w:tcW w:w="3070" w:type="dxa"/>
                  <w:tcBorders>
                    <w:tl2br w:val="nil"/>
                    <w:tr2bl w:val="nil"/>
                  </w:tcBorders>
                  <w:noWrap w:val="0"/>
                  <w:vAlign w:val="center"/>
                </w:tcPr>
                <w:p>
                  <w:pPr>
                    <w:pStyle w:val="48"/>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占地类型</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801" w:hRule="atLeast"/>
                <w:jc w:val="center"/>
              </w:trPr>
              <w:tc>
                <w:tcPr>
                  <w:tcW w:w="872" w:type="dxa"/>
                  <w:tcBorders>
                    <w:tl2br w:val="nil"/>
                    <w:tr2bl w:val="nil"/>
                  </w:tcBorders>
                  <w:noWrap w:val="0"/>
                  <w:vAlign w:val="center"/>
                </w:tcPr>
                <w:p>
                  <w:pPr>
                    <w:pStyle w:val="48"/>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主体工程及管理范围区</w:t>
                  </w:r>
                </w:p>
              </w:tc>
              <w:tc>
                <w:tcPr>
                  <w:tcW w:w="2126" w:type="dxa"/>
                  <w:tcBorders>
                    <w:tl2br w:val="nil"/>
                    <w:tr2bl w:val="nil"/>
                  </w:tcBorders>
                  <w:noWrap w:val="0"/>
                  <w:vAlign w:val="center"/>
                </w:tcPr>
                <w:p>
                  <w:pPr>
                    <w:pStyle w:val="48"/>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10.10</w:t>
                  </w:r>
                </w:p>
              </w:tc>
              <w:tc>
                <w:tcPr>
                  <w:tcW w:w="3070" w:type="dxa"/>
                  <w:tcBorders>
                    <w:tl2br w:val="nil"/>
                    <w:tr2bl w:val="nil"/>
                  </w:tcBorders>
                  <w:noWrap w:val="0"/>
                  <w:vAlign w:val="center"/>
                </w:tcPr>
                <w:p>
                  <w:pPr>
                    <w:pStyle w:val="48"/>
                    <w:spacing w:before="38"/>
                    <w:ind w:right="97"/>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水域及水利设施用地（内陆滩涂</w:t>
                  </w:r>
                  <w:r>
                    <w:rPr>
                      <w:rFonts w:hint="default" w:ascii="Times New Roman" w:hAnsi="Times New Roman" w:eastAsia="宋体" w:cs="Times New Roman"/>
                      <w:color w:val="auto"/>
                      <w:spacing w:val="-120"/>
                      <w:sz w:val="21"/>
                      <w:szCs w:val="21"/>
                    </w:rPr>
                    <w:t>）</w:t>
                  </w:r>
                  <w:r>
                    <w:rPr>
                      <w:rFonts w:hint="default" w:ascii="Times New Roman" w:hAnsi="Times New Roman" w:eastAsia="宋体" w:cs="Times New Roman"/>
                      <w:color w:val="auto"/>
                      <w:sz w:val="21"/>
                      <w:szCs w:val="21"/>
                    </w:rPr>
                    <w:t>、耕地、裸地</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400" w:hRule="atLeast"/>
                <w:jc w:val="center"/>
              </w:trPr>
              <w:tc>
                <w:tcPr>
                  <w:tcW w:w="872" w:type="dxa"/>
                  <w:tcBorders>
                    <w:tl2br w:val="nil"/>
                    <w:tr2bl w:val="nil"/>
                  </w:tcBorders>
                  <w:noWrap w:val="0"/>
                  <w:vAlign w:val="center"/>
                </w:tcPr>
                <w:p>
                  <w:pPr>
                    <w:pStyle w:val="48"/>
                    <w:spacing w:before="95"/>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后期备料场</w:t>
                  </w:r>
                </w:p>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（临时堆料场（块石））</w:t>
                  </w:r>
                </w:p>
              </w:tc>
              <w:tc>
                <w:tcPr>
                  <w:tcW w:w="2126" w:type="dxa"/>
                  <w:tcBorders>
                    <w:tl2br w:val="nil"/>
                    <w:tr2bl w:val="nil"/>
                  </w:tcBorders>
                  <w:noWrap w:val="0"/>
                  <w:vAlign w:val="center"/>
                </w:tcPr>
                <w:p>
                  <w:pPr>
                    <w:pStyle w:val="48"/>
                    <w:spacing w:before="95"/>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1.20</w:t>
                  </w:r>
                </w:p>
              </w:tc>
              <w:tc>
                <w:tcPr>
                  <w:tcW w:w="3070" w:type="dxa"/>
                  <w:vMerge w:val="restart"/>
                  <w:tcBorders>
                    <w:tl2br w:val="nil"/>
                    <w:tr2bl w:val="nil"/>
                  </w:tcBorders>
                  <w:noWrap w:val="0"/>
                  <w:vAlign w:val="center"/>
                </w:tcPr>
                <w:p>
                  <w:pPr>
                    <w:pStyle w:val="48"/>
                    <w:spacing w:before="159" w:line="307" w:lineRule="auto"/>
                    <w:ind w:right="115"/>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水域及水利设施用地（内陆滩涂）</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3" w:hRule="atLeast"/>
                <w:jc w:val="center"/>
              </w:trPr>
              <w:tc>
                <w:tcPr>
                  <w:tcW w:w="872"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弃渣场</w:t>
                  </w:r>
                </w:p>
              </w:tc>
              <w:tc>
                <w:tcPr>
                  <w:tcW w:w="2126" w:type="dxa"/>
                  <w:tcBorders>
                    <w:tl2br w:val="nil"/>
                    <w:tr2bl w:val="nil"/>
                  </w:tcBorders>
                  <w:noWrap w:val="0"/>
                  <w:vAlign w:val="center"/>
                </w:tcPr>
                <w:p>
                  <w:pPr>
                    <w:pStyle w:val="48"/>
                    <w:spacing w:before="176"/>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6" w:hRule="atLeast"/>
                <w:jc w:val="center"/>
              </w:trPr>
              <w:tc>
                <w:tcPr>
                  <w:tcW w:w="872" w:type="dxa"/>
                  <w:tcBorders>
                    <w:tl2br w:val="nil"/>
                    <w:tr2bl w:val="nil"/>
                  </w:tcBorders>
                  <w:noWrap w:val="0"/>
                  <w:vAlign w:val="center"/>
                </w:tcPr>
                <w:p>
                  <w:pPr>
                    <w:pStyle w:val="48"/>
                    <w:spacing w:before="179"/>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临时道路区</w:t>
                  </w:r>
                </w:p>
              </w:tc>
              <w:tc>
                <w:tcPr>
                  <w:tcW w:w="2126"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0.45</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3" w:hRule="atLeast"/>
                <w:jc w:val="center"/>
              </w:trPr>
              <w:tc>
                <w:tcPr>
                  <w:tcW w:w="872"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临时堆料区（填筑土料）</w:t>
                  </w:r>
                </w:p>
              </w:tc>
              <w:tc>
                <w:tcPr>
                  <w:tcW w:w="2126"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6" w:hRule="atLeast"/>
                <w:jc w:val="center"/>
              </w:trPr>
              <w:tc>
                <w:tcPr>
                  <w:tcW w:w="872" w:type="dxa"/>
                  <w:tcBorders>
                    <w:tl2br w:val="nil"/>
                    <w:tr2bl w:val="nil"/>
                  </w:tcBorders>
                  <w:noWrap w:val="0"/>
                  <w:vAlign w:val="center"/>
                </w:tcPr>
                <w:p>
                  <w:pPr>
                    <w:pStyle w:val="48"/>
                    <w:spacing w:before="179"/>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临时围堰区</w:t>
                  </w:r>
                </w:p>
              </w:tc>
              <w:tc>
                <w:tcPr>
                  <w:tcW w:w="2126"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1.11</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3" w:hRule="atLeast"/>
                <w:jc w:val="center"/>
              </w:trPr>
              <w:tc>
                <w:tcPr>
                  <w:tcW w:w="872"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河道整治（填筑土料场区）</w:t>
                  </w:r>
                </w:p>
              </w:tc>
              <w:tc>
                <w:tcPr>
                  <w:tcW w:w="2126"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17" w:hRule="atLeast"/>
                <w:jc w:val="center"/>
              </w:trPr>
              <w:tc>
                <w:tcPr>
                  <w:tcW w:w="872" w:type="dxa"/>
                  <w:tcBorders>
                    <w:tl2br w:val="nil"/>
                    <w:tr2bl w:val="nil"/>
                  </w:tcBorders>
                  <w:noWrap w:val="0"/>
                  <w:vAlign w:val="center"/>
                </w:tcPr>
                <w:p>
                  <w:pPr>
                    <w:pStyle w:val="48"/>
                    <w:spacing w:before="155"/>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8</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临时生产区</w:t>
                  </w:r>
                </w:p>
              </w:tc>
              <w:tc>
                <w:tcPr>
                  <w:tcW w:w="2126" w:type="dxa"/>
                  <w:tcBorders>
                    <w:tl2br w:val="nil"/>
                    <w:tr2bl w:val="nil"/>
                  </w:tcBorders>
                  <w:noWrap w:val="0"/>
                  <w:vAlign w:val="center"/>
                </w:tcPr>
                <w:p>
                  <w:pPr>
                    <w:pStyle w:val="48"/>
                    <w:spacing w:before="155"/>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0.1</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400" w:hRule="atLeast"/>
                <w:jc w:val="center"/>
              </w:trPr>
              <w:tc>
                <w:tcPr>
                  <w:tcW w:w="872" w:type="dxa"/>
                  <w:tcBorders>
                    <w:tl2br w:val="nil"/>
                    <w:tr2bl w:val="nil"/>
                  </w:tcBorders>
                  <w:noWrap w:val="0"/>
                  <w:vAlign w:val="center"/>
                </w:tcPr>
                <w:p>
                  <w:pPr>
                    <w:pStyle w:val="48"/>
                    <w:spacing w:before="95"/>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9</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总计</w:t>
                  </w:r>
                </w:p>
              </w:tc>
              <w:tc>
                <w:tcPr>
                  <w:tcW w:w="2126" w:type="dxa"/>
                  <w:tcBorders>
                    <w:tl2br w:val="nil"/>
                    <w:tr2bl w:val="nil"/>
                  </w:tcBorders>
                  <w:noWrap w:val="0"/>
                  <w:vAlign w:val="center"/>
                </w:tcPr>
                <w:p>
                  <w:pPr>
                    <w:pStyle w:val="48"/>
                    <w:spacing w:before="95"/>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27.46</w:t>
                  </w:r>
                </w:p>
              </w:tc>
              <w:tc>
                <w:tcPr>
                  <w:tcW w:w="3070" w:type="dxa"/>
                  <w:tcBorders>
                    <w:tl2br w:val="nil"/>
                    <w:tr2bl w:val="nil"/>
                  </w:tcBorders>
                  <w:noWrap w:val="0"/>
                  <w:vAlign w:val="center"/>
                </w:tcPr>
                <w:p>
                  <w:pPr>
                    <w:pStyle w:val="48"/>
                    <w:jc w:val="center"/>
                    <w:rPr>
                      <w:rFonts w:hint="default" w:ascii="Times New Roman" w:hAnsi="Times New Roman" w:eastAsia="宋体" w:cs="Times New Roman"/>
                      <w:color w:val="auto"/>
                      <w:sz w:val="21"/>
                      <w:szCs w:val="21"/>
                    </w:rPr>
                  </w:pPr>
                </w:p>
              </w:tc>
            </w:tr>
          </w:tbl>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14:textFill>
                  <w14:solidFill>
                    <w14:schemeClr w14:val="tx1"/>
                  </w14:solidFill>
                </w14:textFill>
              </w:rPr>
              <w:t>项目变更情况</w:t>
            </w:r>
            <w:bookmarkEnd w:id="39"/>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项目建设地点、性质、规模、防止污染的措施等与环评报告表及批复内容基本一致，未发生重大变动。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27" w:hRule="atLeast"/>
          <w:jc w:val="center"/>
        </w:trPr>
        <w:tc>
          <w:tcPr>
            <w:tcW w:w="9895" w:type="dxa"/>
            <w:gridSpan w:val="2"/>
          </w:tcPr>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40" w:name="_Toc12261"/>
            <w:bookmarkStart w:id="41" w:name="_Toc30714"/>
            <w:bookmarkStart w:id="42" w:name="_Toc8944"/>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7</w:t>
            </w:r>
            <w:r>
              <w:rPr>
                <w:rFonts w:hint="default" w:ascii="Times New Roman" w:hAnsi="Times New Roman" w:eastAsia="宋体" w:cs="Times New Roman"/>
                <w:color w:val="000000" w:themeColor="text1"/>
                <w:sz w:val="28"/>
                <w:szCs w:val="28"/>
                <w14:textFill>
                  <w14:solidFill>
                    <w14:schemeClr w14:val="tx1"/>
                  </w14:solidFill>
                </w14:textFill>
              </w:rPr>
              <w:t>实际工程量及工程建设变化情况，说明工程变化原因</w:t>
            </w:r>
            <w:bookmarkEnd w:id="40"/>
            <w:bookmarkEnd w:id="41"/>
            <w:bookmarkEnd w:id="42"/>
          </w:p>
          <w:p>
            <w:pPr>
              <w:jc w:val="center"/>
              <w:rPr>
                <w:rFonts w:hint="default" w:ascii="Times New Roman" w:hAnsi="Times New Roman" w:cs="Times New Roman"/>
              </w:rPr>
            </w:pPr>
            <w:r>
              <w:rPr>
                <w:rFonts w:hint="default" w:ascii="Times New Roman" w:hAnsi="Times New Roman" w:eastAsia="宋体" w:cs="Times New Roman"/>
                <w:b/>
                <w:color w:val="000000" w:themeColor="text1"/>
                <w:szCs w:val="21"/>
                <w14:textFill>
                  <w14:solidFill>
                    <w14:schemeClr w14:val="tx1"/>
                  </w14:solidFill>
                </w14:textFill>
              </w:rPr>
              <w:t>表</w:t>
            </w:r>
            <w:r>
              <w:rPr>
                <w:rFonts w:hint="default" w:ascii="Times New Roman" w:hAnsi="Times New Roman" w:cs="Times New Roman"/>
                <w:b/>
                <w:color w:val="000000" w:themeColor="text1"/>
                <w:szCs w:val="21"/>
                <w:lang w:val="en-US" w:eastAsia="zh-CN"/>
                <w14:textFill>
                  <w14:solidFill>
                    <w14:schemeClr w14:val="tx1"/>
                  </w14:solidFill>
                </w14:textFill>
              </w:rPr>
              <w:t>6</w:t>
            </w:r>
            <w:r>
              <w:rPr>
                <w:rFonts w:hint="default" w:ascii="Times New Roman" w:hAnsi="Times New Roman" w:eastAsia="宋体" w:cs="Times New Roman"/>
                <w:b/>
                <w:color w:val="000000" w:themeColor="text1"/>
                <w:szCs w:val="21"/>
                <w14:textFill>
                  <w14:solidFill>
                    <w14:schemeClr w14:val="tx1"/>
                  </w14:solidFill>
                </w14:textFill>
              </w:rPr>
              <w:t xml:space="preserve">  </w:t>
            </w:r>
            <w:r>
              <w:rPr>
                <w:rFonts w:hint="default" w:ascii="Times New Roman" w:hAnsi="Times New Roman" w:cs="Times New Roman"/>
                <w:b/>
                <w:color w:val="000000" w:themeColor="text1"/>
                <w:szCs w:val="21"/>
                <w:lang w:val="en-US" w:eastAsia="zh-CN"/>
                <w14:textFill>
                  <w14:solidFill>
                    <w14:schemeClr w14:val="tx1"/>
                  </w14:solidFill>
                </w14:textFill>
              </w:rPr>
              <w:t>工程建设变化一览表</w:t>
            </w:r>
            <w:r>
              <w:rPr>
                <w:rFonts w:hint="default" w:ascii="Times New Roman" w:hAnsi="Times New Roman" w:eastAsia="宋体" w:cs="Times New Roman"/>
                <w:b/>
                <w:color w:val="000000" w:themeColor="text1"/>
                <w:szCs w:val="21"/>
                <w14:textFill>
                  <w14:solidFill>
                    <w14:schemeClr w14:val="tx1"/>
                  </w14:solidFill>
                </w14:textFill>
              </w:rPr>
              <w:t xml:space="preserve"> </w:t>
            </w:r>
          </w:p>
          <w:tbl>
            <w:tblPr>
              <w:tblStyle w:val="31"/>
              <w:tblW w:w="499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51"/>
              <w:gridCol w:w="1547"/>
              <w:gridCol w:w="2298"/>
              <w:gridCol w:w="2760"/>
              <w:gridCol w:w="160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22" w:hRule="atLeast"/>
                <w:jc w:val="center"/>
              </w:trPr>
              <w:tc>
                <w:tcPr>
                  <w:tcW w:w="751"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bookmarkStart w:id="43" w:name="_Toc2077"/>
                  <w:bookmarkStart w:id="44" w:name="_Toc555"/>
                  <w:bookmarkStart w:id="45" w:name="_Toc24692"/>
                  <w:r>
                    <w:rPr>
                      <w:rFonts w:hint="default" w:ascii="Times New Roman" w:hAnsi="Times New Roman" w:eastAsia="宋体" w:cs="Times New Roman"/>
                      <w:b/>
                      <w:bCs/>
                      <w:color w:val="000000" w:themeColor="text1"/>
                      <w:sz w:val="21"/>
                      <w:szCs w:val="21"/>
                      <w14:textFill>
                        <w14:solidFill>
                          <w14:schemeClr w14:val="tx1"/>
                        </w14:solidFill>
                      </w14:textFill>
                    </w:rPr>
                    <w:t>类别</w:t>
                  </w:r>
                </w:p>
              </w:tc>
              <w:tc>
                <w:tcPr>
                  <w:tcW w:w="800"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名称</w:t>
                  </w:r>
                </w:p>
              </w:tc>
              <w:tc>
                <w:tcPr>
                  <w:tcW w:w="1189" w:type="pct"/>
                  <w:noWrap w:val="0"/>
                  <w:vAlign w:val="center"/>
                </w:tcPr>
                <w:p>
                  <w:pPr>
                    <w:jc w:val="center"/>
                    <w:rPr>
                      <w:rFonts w:hint="default"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环评设计</w:t>
                  </w:r>
                  <w:r>
                    <w:rPr>
                      <w:rFonts w:hint="default" w:ascii="Times New Roman" w:hAnsi="Times New Roman" w:eastAsia="宋体" w:cs="Times New Roman"/>
                      <w:b/>
                      <w:bCs/>
                      <w:color w:val="000000" w:themeColor="text1"/>
                      <w:sz w:val="21"/>
                      <w:szCs w:val="21"/>
                      <w14:textFill>
                        <w14:solidFill>
                          <w14:schemeClr w14:val="tx1"/>
                        </w14:solidFill>
                      </w14:textFill>
                    </w:rPr>
                    <w:t>建设内容</w:t>
                  </w:r>
                </w:p>
              </w:tc>
              <w:tc>
                <w:tcPr>
                  <w:tcW w:w="1428"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实际建设内容</w:t>
                  </w:r>
                </w:p>
              </w:tc>
              <w:tc>
                <w:tcPr>
                  <w:tcW w:w="830"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751"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主体工程</w:t>
                  </w:r>
                </w:p>
              </w:tc>
              <w:tc>
                <w:tcPr>
                  <w:tcW w:w="800"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防洪堤坝</w:t>
                  </w:r>
                </w:p>
              </w:tc>
              <w:tc>
                <w:tcPr>
                  <w:tcW w:w="1189"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1.5km</w:t>
                  </w:r>
                </w:p>
              </w:tc>
              <w:tc>
                <w:tcPr>
                  <w:tcW w:w="1428"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1.5km</w:t>
                  </w:r>
                </w:p>
              </w:tc>
              <w:tc>
                <w:tcPr>
                  <w:tcW w:w="830"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无变化</w:t>
                  </w:r>
                </w:p>
              </w:tc>
            </w:tr>
          </w:tbl>
          <w:p>
            <w:pPr>
              <w:pStyle w:val="2"/>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8</w:t>
            </w:r>
            <w:r>
              <w:rPr>
                <w:rFonts w:hint="default" w:ascii="Times New Roman" w:hAnsi="Times New Roman" w:eastAsia="宋体" w:cs="Times New Roman"/>
                <w:color w:val="000000" w:themeColor="text1"/>
                <w:sz w:val="28"/>
                <w:szCs w:val="28"/>
                <w14:textFill>
                  <w14:solidFill>
                    <w14:schemeClr w14:val="tx1"/>
                  </w14:solidFill>
                </w14:textFill>
              </w:rPr>
              <w:t>生产工艺流程（附流程图）</w:t>
            </w:r>
            <w:bookmarkEnd w:id="43"/>
            <w:bookmarkEnd w:id="44"/>
            <w:bookmarkEnd w:id="45"/>
          </w:p>
          <w:p>
            <w:pPr>
              <w:numPr>
                <w:ilvl w:val="0"/>
                <w:numId w:val="0"/>
              </w:numPr>
              <w:tabs>
                <w:tab w:val="left" w:pos="700"/>
              </w:tabs>
              <w:spacing w:line="360" w:lineRule="auto"/>
              <w:jc w:val="left"/>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eastAsia="zh-CN"/>
              </w:rPr>
              <w:t>1.防洪堤</w:t>
            </w:r>
            <w:r>
              <w:rPr>
                <w:rFonts w:hint="default" w:ascii="Times New Roman" w:hAnsi="Times New Roman" w:cs="Times New Roman"/>
                <w:b/>
                <w:bCs/>
                <w:color w:val="auto"/>
                <w:sz w:val="28"/>
                <w:szCs w:val="28"/>
              </w:rPr>
              <w:t>施工工艺流程</w:t>
            </w:r>
          </w:p>
          <w:p>
            <w:pPr>
              <w:tabs>
                <w:tab w:val="left" w:pos="700"/>
              </w:tabs>
              <w:jc w:val="center"/>
              <w:rPr>
                <w:rFonts w:hint="default" w:ascii="Times New Roman" w:hAnsi="Times New Roman" w:eastAsia="黑体" w:cs="Times New Roman"/>
                <w:color w:val="auto"/>
                <w:sz w:val="24"/>
                <w:lang w:eastAsia="zh-CN"/>
              </w:rPr>
            </w:pPr>
            <w:r>
              <w:rPr>
                <w:rFonts w:hint="default" w:ascii="Times New Roman" w:hAnsi="Times New Roman" w:cs="Times New Roman"/>
              </w:rPr>
              <w:drawing>
                <wp:inline distT="0" distB="0" distL="114300" distR="114300">
                  <wp:extent cx="5707380" cy="2293620"/>
                  <wp:effectExtent l="0" t="0" r="7620" b="762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17"/>
                          <a:stretch>
                            <a:fillRect/>
                          </a:stretch>
                        </pic:blipFill>
                        <pic:spPr>
                          <a:xfrm>
                            <a:off x="0" y="0"/>
                            <a:ext cx="5707380" cy="2293620"/>
                          </a:xfrm>
                          <a:prstGeom prst="rect">
                            <a:avLst/>
                          </a:prstGeom>
                          <a:noFill/>
                          <a:ln>
                            <a:noFill/>
                          </a:ln>
                        </pic:spPr>
                      </pic:pic>
                    </a:graphicData>
                  </a:graphic>
                </wp:inline>
              </w:drawing>
            </w:r>
            <w:r>
              <w:rPr>
                <w:rFonts w:hint="default" w:ascii="Times New Roman" w:hAnsi="Times New Roman" w:eastAsia="黑体" w:cs="Times New Roman"/>
                <w:color w:val="auto"/>
                <w:sz w:val="24"/>
              </w:rPr>
              <w:t xml:space="preserve">    </w:t>
            </w:r>
          </w:p>
          <w:p>
            <w:pPr>
              <w:tabs>
                <w:tab w:val="left" w:pos="700"/>
              </w:tabs>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图4-</w:t>
            </w:r>
            <w:r>
              <w:rPr>
                <w:rFonts w:hint="default" w:ascii="Times New Roman" w:hAnsi="Times New Roman" w:eastAsia="宋体" w:cs="Times New Roman"/>
                <w:color w:val="auto"/>
                <w:sz w:val="24"/>
                <w:lang w:val="en-US" w:eastAsia="zh-CN"/>
              </w:rPr>
              <w:t>1</w:t>
            </w:r>
            <w:r>
              <w:rPr>
                <w:rFonts w:hint="default" w:ascii="Times New Roman" w:hAnsi="Times New Roman" w:eastAsia="宋体" w:cs="Times New Roman"/>
                <w:color w:val="auto"/>
                <w:sz w:val="24"/>
              </w:rPr>
              <w:t xml:space="preserve"> </w:t>
            </w:r>
            <w:r>
              <w:rPr>
                <w:rFonts w:hint="default" w:ascii="Times New Roman" w:hAnsi="Times New Roman" w:eastAsia="宋体" w:cs="Times New Roman"/>
                <w:color w:val="auto"/>
                <w:sz w:val="24"/>
                <w:lang w:val="en-US" w:eastAsia="zh-CN"/>
              </w:rPr>
              <w:t>防洪堤</w:t>
            </w:r>
            <w:r>
              <w:rPr>
                <w:rFonts w:hint="default" w:ascii="Times New Roman" w:hAnsi="Times New Roman" w:eastAsia="宋体" w:cs="Times New Roman"/>
                <w:color w:val="auto"/>
                <w:sz w:val="24"/>
              </w:rPr>
              <w:t>施工工艺及排污节点图</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工艺流程简述：</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1.堤基清理</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用推土机将堤线范围内地面表土、杂草、垃圾、废渣土方推运至一起，采用挖掘机装，并由自卸汽车运输至工作面外。</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2.基础开挖</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 xml:space="preserve"> 基础砂卵石开挖采用挖掘机挖装，推土机辅助施工，自卸汽车运输，部分用于堤后回填。</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3.石方开挖</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 xml:space="preserve"> 石方开挖料可作为堤后回填料。</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4.砼浇筑</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骨料采用就地开采方式获得，并运至砼搅拌场施工点，0.40</w:t>
            </w:r>
            <w:r>
              <w:rPr>
                <w:rFonts w:hint="default"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砼拌和机拌制砼，胶轮车运输至作业区，底部砼采用直接入仓，上部距离地面较高部分采用5t自卸汽车配合带吊车卧罐入仓。组合钢模成型，2.2kw插入式或者附着式振捣密实。砼的粗细骨料必须质地坚硬、清洁、级配良好。配合比应满足设计要求。砼浇筑完毕后应重视养护工作。</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5.堤脚回填</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采用大块石进行回填，回填采用1.0</w:t>
            </w:r>
            <w:r>
              <w:rPr>
                <w:rFonts w:hint="default"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反铲装5t自卸汽车运输至工作面，直接回填。</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6.堤顶栏杆等附属设施</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 xml:space="preserve"> 待其他工程完成后进行栏杆及堤后排水沟设施的完善。</w:t>
            </w:r>
          </w:p>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46" w:name="_Toc15513"/>
            <w:bookmarkStart w:id="47" w:name="_Toc2734"/>
            <w:bookmarkStart w:id="48" w:name="_Toc10856"/>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工程环境保护投资明细</w:t>
            </w:r>
            <w:bookmarkEnd w:id="46"/>
            <w:bookmarkEnd w:id="47"/>
            <w:bookmarkEnd w:id="48"/>
          </w:p>
          <w:p>
            <w:pPr>
              <w:pStyle w:val="37"/>
              <w:ind w:firstLine="480"/>
              <w:rPr>
                <w:rFonts w:hint="default" w:ascii="Times New Roman" w:hAnsi="Times New Roman" w:cs="Times New Roman"/>
                <w:color w:val="FF0000"/>
                <w:sz w:val="28"/>
                <w:szCs w:val="28"/>
                <w:lang w:val="en-US" w:eastAsia="zh-CN"/>
              </w:rPr>
            </w:pPr>
            <w:r>
              <w:rPr>
                <w:rFonts w:hint="default" w:ascii="Times New Roman" w:hAnsi="Times New Roman" w:eastAsia="宋体" w:cs="Times New Roman"/>
                <w:color w:val="000000" w:themeColor="text1"/>
                <w:sz w:val="28"/>
                <w:szCs w:val="28"/>
                <w14:textFill>
                  <w14:solidFill>
                    <w14:schemeClr w14:val="tx1"/>
                  </w14:solidFill>
                </w14:textFill>
              </w:rPr>
              <w:t>本项目设计总投资</w:t>
            </w:r>
            <w:r>
              <w:rPr>
                <w:rFonts w:hint="default" w:ascii="Times New Roman" w:hAnsi="Times New Roman" w:eastAsia="宋体" w:cs="Times New Roman"/>
                <w:color w:val="000000" w:themeColor="text1"/>
                <w:sz w:val="28"/>
                <w:szCs w:val="28"/>
                <w:lang w:eastAsia="zh-CN"/>
                <w14:textFill>
                  <w14:solidFill>
                    <w14:schemeClr w14:val="tx1"/>
                  </w14:solidFill>
                </w14:textFill>
              </w:rPr>
              <w:t>2758.63</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万元</w:t>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FF0000"/>
                <w:sz w:val="28"/>
                <w:szCs w:val="28"/>
              </w:rPr>
              <w:t>经调查，项目实际总</w:t>
            </w:r>
            <w:r>
              <w:rPr>
                <w:rFonts w:hint="default" w:ascii="Times New Roman" w:hAnsi="Times New Roman" w:cs="Times New Roman"/>
                <w:color w:val="FF0000"/>
                <w:sz w:val="28"/>
                <w:szCs w:val="28"/>
                <w:lang w:val="en-US" w:eastAsia="zh-CN"/>
              </w:rPr>
              <w:t>投资</w:t>
            </w:r>
            <w:r>
              <w:rPr>
                <w:rFonts w:hint="eastAsia" w:cs="Times New Roman"/>
                <w:color w:val="FF0000"/>
                <w:sz w:val="28"/>
                <w:szCs w:val="28"/>
                <w:lang w:val="en-US" w:eastAsia="zh-CN"/>
              </w:rPr>
              <w:t>2650</w:t>
            </w:r>
            <w:r>
              <w:rPr>
                <w:rFonts w:hint="default" w:ascii="Times New Roman" w:hAnsi="Times New Roman" w:cs="Times New Roman"/>
                <w:color w:val="FF0000"/>
                <w:sz w:val="28"/>
                <w:szCs w:val="28"/>
                <w:lang w:val="en-US" w:eastAsia="zh-CN"/>
              </w:rPr>
              <w:t>万元，实际环保投资</w:t>
            </w:r>
            <w:r>
              <w:rPr>
                <w:rFonts w:hint="eastAsia" w:cs="Times New Roman"/>
                <w:color w:val="FF0000"/>
                <w:sz w:val="28"/>
                <w:szCs w:val="28"/>
                <w:lang w:val="en-US" w:eastAsia="zh-CN"/>
              </w:rPr>
              <w:t>20</w:t>
            </w:r>
            <w:r>
              <w:rPr>
                <w:rFonts w:hint="default" w:ascii="Times New Roman" w:hAnsi="Times New Roman" w:cs="Times New Roman"/>
                <w:color w:val="FF0000"/>
                <w:sz w:val="28"/>
                <w:szCs w:val="28"/>
                <w:lang w:val="en-US" w:eastAsia="zh-CN"/>
              </w:rPr>
              <w:t>万元，实际环保投资占总投资的比例0.</w:t>
            </w:r>
            <w:r>
              <w:rPr>
                <w:rFonts w:hint="eastAsia" w:cs="Times New Roman"/>
                <w:color w:val="FF0000"/>
                <w:sz w:val="28"/>
                <w:szCs w:val="28"/>
                <w:lang w:val="en-US" w:eastAsia="zh-CN"/>
              </w:rPr>
              <w:t>75</w:t>
            </w:r>
            <w:r>
              <w:rPr>
                <w:rFonts w:hint="default" w:ascii="Times New Roman" w:hAnsi="Times New Roman" w:cs="Times New Roman"/>
                <w:color w:val="FF0000"/>
                <w:sz w:val="28"/>
                <w:szCs w:val="28"/>
                <w:lang w:val="en-US" w:eastAsia="zh-CN"/>
              </w:rPr>
              <w:t>%。</w:t>
            </w:r>
          </w:p>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49" w:name="_Toc23326"/>
            <w:bookmarkStart w:id="50" w:name="_Toc956"/>
            <w:bookmarkStart w:id="51" w:name="_Toc12119"/>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项目施工期污染物排放分析及环境保护措施</w:t>
            </w:r>
            <w:bookmarkEnd w:id="49"/>
            <w:bookmarkEnd w:id="50"/>
            <w:bookmarkEnd w:id="51"/>
          </w:p>
          <w:p>
            <w:pPr>
              <w:pStyle w:val="37"/>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项目于</w:t>
            </w:r>
            <w:r>
              <w:rPr>
                <w:rFonts w:hint="default" w:ascii="Times New Roman" w:hAnsi="Times New Roman" w:eastAsia="宋体" w:cs="Times New Roman"/>
                <w:color w:val="000000" w:themeColor="text1"/>
                <w:sz w:val="28"/>
                <w:szCs w:val="28"/>
                <w:lang w:eastAsia="zh-CN"/>
                <w14:textFill>
                  <w14:solidFill>
                    <w14:schemeClr w14:val="tx1"/>
                  </w14:solidFill>
                </w14:textFill>
              </w:rPr>
              <w:t>20</w:t>
            </w:r>
            <w:r>
              <w:rPr>
                <w:rFonts w:hint="default" w:ascii="Times New Roman" w:hAnsi="Times New Roman"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eastAsia="zh-CN"/>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5月20日</w:t>
            </w:r>
            <w:r>
              <w:rPr>
                <w:rFonts w:hint="default" w:ascii="Times New Roman" w:hAnsi="Times New Roman" w:eastAsia="宋体" w:cs="Times New Roman"/>
                <w:color w:val="000000" w:themeColor="text1"/>
                <w:sz w:val="28"/>
                <w:szCs w:val="28"/>
                <w14:textFill>
                  <w14:solidFill>
                    <w14:schemeClr w14:val="tx1"/>
                  </w14:solidFill>
                </w14:textFill>
              </w:rPr>
              <w:t>开始施工建设，</w:t>
            </w:r>
            <w:r>
              <w:rPr>
                <w:rFonts w:hint="eastAsia" w:cs="Times New Roman"/>
                <w:color w:val="000000" w:themeColor="text1"/>
                <w:sz w:val="28"/>
                <w:szCs w:val="28"/>
                <w:lang w:eastAsia="zh-CN"/>
                <w14:textFill>
                  <w14:solidFill>
                    <w14:schemeClr w14:val="tx1"/>
                  </w14:solidFill>
                </w14:textFill>
              </w:rPr>
              <w:t>2019年12月24日</w:t>
            </w:r>
            <w:r>
              <w:rPr>
                <w:rFonts w:hint="default" w:ascii="Times New Roman" w:hAnsi="Times New Roman" w:cs="Times New Roman"/>
                <w:color w:val="000000" w:themeColor="text1"/>
                <w:sz w:val="28"/>
                <w:szCs w:val="28"/>
                <w:lang w:val="en-US" w:eastAsia="zh-CN"/>
                <w14:textFill>
                  <w14:solidFill>
                    <w14:schemeClr w14:val="tx1"/>
                  </w14:solidFill>
                </w14:textFill>
              </w:rPr>
              <w:t>竣工，</w:t>
            </w:r>
            <w:r>
              <w:rPr>
                <w:rFonts w:hint="eastAsia" w:cs="Times New Roman"/>
                <w:color w:val="000000" w:themeColor="text1"/>
                <w:sz w:val="28"/>
                <w:szCs w:val="28"/>
                <w:lang w:val="en-US" w:eastAsia="zh-CN"/>
                <w14:textFill>
                  <w14:solidFill>
                    <w14:schemeClr w14:val="tx1"/>
                  </w14:solidFill>
                </w14:textFill>
              </w:rPr>
              <w:t>并</w:t>
            </w:r>
            <w:r>
              <w:rPr>
                <w:rFonts w:hint="default" w:ascii="Times New Roman" w:hAnsi="Times New Roman" w:eastAsia="宋体" w:cs="Times New Roman"/>
                <w:color w:val="000000" w:themeColor="text1"/>
                <w:sz w:val="28"/>
                <w:szCs w:val="28"/>
                <w14:textFill>
                  <w14:solidFill>
                    <w14:schemeClr w14:val="tx1"/>
                  </w14:solidFill>
                </w14:textFill>
              </w:rPr>
              <w:t>投入</w:t>
            </w:r>
            <w:r>
              <w:rPr>
                <w:rFonts w:hint="default" w:ascii="Times New Roman" w:hAnsi="Times New Roman" w:eastAsia="宋体" w:cs="Times New Roman"/>
                <w:color w:val="000000" w:themeColor="text1"/>
                <w:sz w:val="28"/>
                <w:szCs w:val="28"/>
                <w:lang w:eastAsia="zh-CN"/>
                <w14:textFill>
                  <w14:solidFill>
                    <w14:schemeClr w14:val="tx1"/>
                  </w14:solidFill>
                </w14:textFill>
              </w:rPr>
              <w:t>使用。</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.1大气环境影响分析及环保措施</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施工期的废气来源主要有：施工机械燃油废气、施工作业区开挖、填筑以及建筑材料装卸运输等产生的粉尘和汽车行驶过程中产生的尾气、扬尘等。以上污染源基本属于流动性与间歇性污染源，且施工结束后消失。</w:t>
            </w:r>
          </w:p>
          <w:p>
            <w:pPr>
              <w:spacing w:line="360" w:lineRule="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eastAsia="zh-CN"/>
              </w:rPr>
              <w:t>（</w:t>
            </w:r>
            <w:r>
              <w:rPr>
                <w:rFonts w:hint="default" w:ascii="Times New Roman" w:hAnsi="Times New Roman" w:cs="Times New Roman"/>
                <w:b/>
                <w:bCs/>
                <w:color w:val="auto"/>
                <w:sz w:val="28"/>
                <w:szCs w:val="28"/>
                <w:lang w:val="en-US" w:eastAsia="zh-CN"/>
              </w:rPr>
              <w:t>1</w:t>
            </w:r>
            <w:r>
              <w:rPr>
                <w:rFonts w:hint="default" w:ascii="Times New Roman" w:hAnsi="Times New Roman" w:cs="Times New Roman"/>
                <w:b/>
                <w:bCs/>
                <w:color w:val="auto"/>
                <w:sz w:val="28"/>
                <w:szCs w:val="28"/>
                <w:lang w:eastAsia="zh-CN"/>
              </w:rPr>
              <w:t>）</w:t>
            </w:r>
            <w:r>
              <w:rPr>
                <w:rFonts w:hint="default" w:ascii="Times New Roman" w:hAnsi="Times New Roman" w:cs="Times New Roman"/>
                <w:b/>
                <w:bCs/>
                <w:color w:val="auto"/>
                <w:sz w:val="28"/>
                <w:szCs w:val="28"/>
              </w:rPr>
              <w:t>油料燃烧废气</w:t>
            </w:r>
          </w:p>
          <w:p>
            <w:pPr>
              <w:spacing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施工机械的废气基本是以点源形式排放，而运输车辆的废气是沿交通路线沿程排放，流动性较大。</w:t>
            </w:r>
          </w:p>
          <w:p>
            <w:pPr>
              <w:pStyle w:val="6"/>
              <w:spacing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项目施工期需要动用一定数量的施工车辆和运输车辆，但项目施工所增加的车辆数量较少，因而尾气排放量有限且污染源多为流动的无组织排放，排放源较为分散。另外，受自然条件的影响，工程区空气环境本底现状优良，具有较大的环境容量，工程施工区场地开阔，空气流通性好，排放废气中的各项污染物能够很快扩散，不会引起局部大气环境质量的恶化。加之废气排放的不连续性和工程施工期较短，排放的废气对区域的环境空气质量及附近居民影响很小。</w:t>
            </w:r>
          </w:p>
          <w:p>
            <w:pPr>
              <w:pStyle w:val="6"/>
              <w:spacing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因此，施工期机械废气及车辆尾气对环境的影响是短暂且有限的。</w:t>
            </w:r>
          </w:p>
          <w:p>
            <w:pPr>
              <w:pStyle w:val="6"/>
              <w:spacing w:line="360" w:lineRule="auto"/>
              <w:ind w:firstLine="0"/>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1.2施工扬尘</w:t>
            </w:r>
          </w:p>
          <w:p>
            <w:pPr>
              <w:snapToGrid w:val="0"/>
              <w:spacing w:before="156" w:beforeLines="50"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施工扬尘是影响施工区附近环境空气的主要污染物，其来源于各种无组织排放源。其中包括：土方的挖掘扬尘及现场堆放扬尘；建筑材料（水泥、砂砾料等）的现场搬运及堆放扬尘；施工垃圾的清理及堆放扬尘；车辆运输造成的现场道路扬尘等。由于本工程沿线道路大都为砂砾石路面，车辆运行极易产生扬尘。</w:t>
            </w:r>
          </w:p>
          <w:p>
            <w:pPr>
              <w:snapToGrid w:val="0"/>
              <w:spacing w:before="156" w:beforeLines="50" w:line="360" w:lineRule="auto"/>
              <w:ind w:firstLine="560" w:firstLineChars="200"/>
              <w:rPr>
                <w:rFonts w:hint="default" w:ascii="Times New Roman" w:hAnsi="Times New Roman" w:cs="Times New Roman"/>
                <w:color w:val="auto"/>
                <w:sz w:val="28"/>
                <w:szCs w:val="28"/>
                <w:lang w:eastAsia="zh-CN"/>
              </w:rPr>
            </w:pPr>
            <w:r>
              <w:rPr>
                <w:rFonts w:hint="default" w:ascii="Times New Roman" w:hAnsi="Times New Roman" w:cs="Times New Roman"/>
                <w:color w:val="auto"/>
                <w:sz w:val="28"/>
                <w:szCs w:val="28"/>
              </w:rPr>
              <w:t>每天洒水4～5次，可使扬尘减少</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因此，</w:t>
            </w:r>
            <w:r>
              <w:rPr>
                <w:rFonts w:hint="default" w:ascii="Times New Roman" w:hAnsi="Times New Roman" w:cs="Times New Roman"/>
                <w:color w:val="auto"/>
                <w:sz w:val="28"/>
                <w:szCs w:val="28"/>
                <w:lang w:val="en-US" w:eastAsia="zh-CN"/>
              </w:rPr>
              <w:t>施工期采取</w:t>
            </w:r>
            <w:r>
              <w:rPr>
                <w:rFonts w:hint="default" w:ascii="Times New Roman" w:hAnsi="Times New Roman" w:cs="Times New Roman"/>
                <w:color w:val="auto"/>
                <w:sz w:val="28"/>
                <w:szCs w:val="28"/>
              </w:rPr>
              <w:t>限速行驶及保持路面清洁，同时适当洒水减少汽车扬尘</w:t>
            </w:r>
            <w:r>
              <w:rPr>
                <w:rFonts w:hint="default" w:ascii="Times New Roman" w:hAnsi="Times New Roman" w:cs="Times New Roman"/>
                <w:color w:val="auto"/>
                <w:sz w:val="28"/>
                <w:szCs w:val="28"/>
                <w:lang w:eastAsia="zh-CN"/>
              </w:rPr>
              <w:t>。</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.2水环境影响分析及环保措施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（1）施工废水</w:t>
            </w:r>
          </w:p>
          <w:p>
            <w:pPr>
              <w:spacing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施工期生产废水主要来自</w:t>
            </w:r>
            <w:r>
              <w:rPr>
                <w:rFonts w:hint="default" w:ascii="Times New Roman" w:hAnsi="Times New Roman" w:cs="Times New Roman"/>
                <w:color w:val="auto"/>
                <w:kern w:val="0"/>
                <w:sz w:val="28"/>
                <w:szCs w:val="28"/>
              </w:rPr>
              <w:t>混凝土拌合系统</w:t>
            </w:r>
            <w:r>
              <w:rPr>
                <w:rFonts w:hint="default" w:ascii="Times New Roman" w:hAnsi="Times New Roman" w:cs="Times New Roman"/>
                <w:color w:val="auto"/>
                <w:sz w:val="28"/>
                <w:szCs w:val="28"/>
              </w:rPr>
              <w:t>废水过程中产生的含泥污水</w:t>
            </w:r>
            <w:r>
              <w:rPr>
                <w:rFonts w:hint="default" w:ascii="Times New Roman" w:hAnsi="Times New Roman" w:cs="Times New Roman"/>
                <w:color w:val="auto"/>
                <w:kern w:val="0"/>
                <w:sz w:val="28"/>
                <w:szCs w:val="28"/>
              </w:rPr>
              <w:t>，另外，</w:t>
            </w:r>
            <w:r>
              <w:rPr>
                <w:rFonts w:hint="default" w:ascii="Times New Roman" w:hAnsi="Times New Roman" w:cs="Times New Roman"/>
                <w:color w:val="auto"/>
                <w:spacing w:val="-6"/>
                <w:sz w:val="28"/>
                <w:szCs w:val="28"/>
              </w:rPr>
              <w:t>施工机械的保养及清洗，也会产生一部分含油废水。</w:t>
            </w:r>
          </w:p>
          <w:p>
            <w:pPr>
              <w:spacing w:line="360" w:lineRule="auto"/>
              <w:ind w:firstLine="560" w:firstLineChars="200"/>
              <w:rPr>
                <w:rFonts w:hint="default" w:ascii="Times New Roman" w:hAnsi="Times New Roman" w:eastAsia="宋体" w:cs="Times New Roman"/>
                <w:bCs/>
                <w:color w:val="auto"/>
                <w:sz w:val="28"/>
                <w:szCs w:val="28"/>
                <w:lang w:val="en-US" w:eastAsia="zh-CN"/>
              </w:rPr>
            </w:pPr>
            <w:r>
              <w:rPr>
                <w:rFonts w:hint="default" w:ascii="Times New Roman" w:hAnsi="Times New Roman" w:cs="Times New Roman"/>
                <w:bCs/>
                <w:color w:val="auto"/>
                <w:sz w:val="28"/>
                <w:szCs w:val="28"/>
              </w:rPr>
              <w:t>（1）</w:t>
            </w:r>
            <w:r>
              <w:rPr>
                <w:rFonts w:hint="default" w:ascii="Times New Roman" w:hAnsi="Times New Roman" w:cs="Times New Roman"/>
                <w:bCs/>
                <w:color w:val="auto"/>
                <w:sz w:val="28"/>
                <w:szCs w:val="28"/>
                <w:lang w:val="en-US" w:eastAsia="zh-CN"/>
              </w:rPr>
              <w:t>预制构件养护水</w:t>
            </w:r>
          </w:p>
          <w:p>
            <w:pPr>
              <w:spacing w:line="520" w:lineRule="exact"/>
              <w:ind w:firstLine="560" w:firstLineChars="200"/>
              <w:rPr>
                <w:rFonts w:hint="default" w:ascii="Times New Roman" w:hAnsi="Times New Roman" w:cs="Times New Roman"/>
                <w:color w:val="auto"/>
                <w:sz w:val="28"/>
                <w:szCs w:val="28"/>
                <w:lang w:val="en-US" w:eastAsia="zh-CN"/>
              </w:rPr>
            </w:pPr>
            <w:r>
              <w:rPr>
                <w:rFonts w:hint="default" w:ascii="Times New Roman" w:hAnsi="Times New Roman" w:cs="Times New Roman"/>
                <w:color w:val="auto"/>
                <w:sz w:val="28"/>
                <w:szCs w:val="28"/>
                <w:lang w:val="en-US" w:eastAsia="zh-CN"/>
              </w:rPr>
              <w:t>本项目均购买预制构件，不在项目区内进行搅拌，仅预制构件在项目区内养护时会产生一定量的养护废水。</w:t>
            </w:r>
          </w:p>
          <w:p>
            <w:pPr>
              <w:spacing w:line="520" w:lineRule="exact"/>
              <w:ind w:firstLine="560" w:firstLineChars="200"/>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w:t>
            </w:r>
            <w:r>
              <w:rPr>
                <w:rFonts w:hint="default" w:ascii="Times New Roman" w:hAnsi="Times New Roman" w:cs="Times New Roman"/>
                <w:bCs/>
                <w:color w:val="auto"/>
                <w:sz w:val="28"/>
                <w:szCs w:val="28"/>
                <w:lang w:val="en-US" w:eastAsia="zh-CN"/>
              </w:rPr>
              <w:t>2</w:t>
            </w:r>
            <w:r>
              <w:rPr>
                <w:rFonts w:hint="default" w:ascii="Times New Roman" w:hAnsi="Times New Roman" w:cs="Times New Roman"/>
                <w:bCs/>
                <w:color w:val="auto"/>
                <w:sz w:val="28"/>
                <w:szCs w:val="28"/>
              </w:rPr>
              <w:t>）施工机械保养、清洗废水</w:t>
            </w:r>
          </w:p>
          <w:p>
            <w:pPr>
              <w:spacing w:line="520" w:lineRule="exact"/>
              <w:ind w:firstLine="560" w:firstLineChars="200"/>
              <w:rPr>
                <w:rFonts w:hint="default" w:ascii="Times New Roman" w:hAnsi="Times New Roman" w:cs="Times New Roman"/>
                <w:color w:val="auto"/>
                <w:sz w:val="28"/>
                <w:szCs w:val="28"/>
                <w:lang w:eastAsia="zh-CN"/>
              </w:rPr>
            </w:pPr>
            <w:r>
              <w:rPr>
                <w:rFonts w:hint="default" w:ascii="Times New Roman" w:hAnsi="Times New Roman" w:cs="Times New Roman"/>
                <w:color w:val="auto"/>
                <w:sz w:val="28"/>
                <w:szCs w:val="28"/>
              </w:rPr>
              <w:t>施工机械在保养、清洗过程中将产生一定量的废水</w:t>
            </w:r>
            <w:r>
              <w:rPr>
                <w:rFonts w:hint="default" w:ascii="Times New Roman" w:hAnsi="Times New Roman" w:cs="Times New Roman"/>
                <w:color w:val="auto"/>
                <w:sz w:val="28"/>
                <w:szCs w:val="28"/>
                <w:lang w:eastAsia="zh-CN"/>
              </w:rPr>
              <w:t>。</w:t>
            </w:r>
          </w:p>
          <w:p>
            <w:pPr>
              <w:spacing w:line="520" w:lineRule="exact"/>
              <w:ind w:firstLine="560" w:firstLineChars="200"/>
              <w:rPr>
                <w:rFonts w:hint="default" w:ascii="Times New Roman" w:hAnsi="Times New Roman" w:eastAsia="宋体" w:cs="Times New Roman"/>
                <w:color w:val="auto"/>
                <w:sz w:val="28"/>
                <w:szCs w:val="28"/>
                <w:lang w:val="en-US" w:eastAsia="zh-CN"/>
              </w:rPr>
            </w:pPr>
            <w:r>
              <w:rPr>
                <w:rFonts w:hint="default" w:ascii="Times New Roman" w:hAnsi="Times New Roman" w:cs="Times New Roman"/>
                <w:color w:val="auto"/>
                <w:sz w:val="28"/>
                <w:szCs w:val="28"/>
                <w:lang w:val="en-US" w:eastAsia="zh-CN"/>
              </w:rPr>
              <w:t>本项目产生的施工废水经配套的沉淀池收集后，用于施工区以及施工便道的洒水降尘，不随意外排。</w:t>
            </w:r>
          </w:p>
          <w:p>
            <w:pPr>
              <w:spacing w:line="360" w:lineRule="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2.2生活污水</w:t>
            </w:r>
          </w:p>
          <w:p>
            <w:pPr>
              <w:spacing w:line="360" w:lineRule="auto"/>
              <w:ind w:firstLine="560" w:firstLineChars="200"/>
              <w:rPr>
                <w:rFonts w:hint="default" w:ascii="Times New Roman" w:hAnsi="Times New Roman" w:eastAsia="宋体" w:cs="Times New Roman"/>
                <w:color w:val="auto"/>
                <w:sz w:val="28"/>
                <w:szCs w:val="28"/>
                <w:lang w:val="en-US" w:eastAsia="zh-CN"/>
              </w:rPr>
            </w:pPr>
            <w:r>
              <w:rPr>
                <w:rFonts w:hint="default" w:ascii="Times New Roman" w:hAnsi="Times New Roman" w:cs="Times New Roman"/>
                <w:color w:val="auto"/>
                <w:sz w:val="28"/>
                <w:szCs w:val="28"/>
                <w:lang w:val="en-US" w:eastAsia="zh-CN"/>
              </w:rPr>
              <w:t>项目租用当地居民，不在施工区设置生活区，生活污水较</w:t>
            </w:r>
            <w:r>
              <w:rPr>
                <w:rFonts w:hint="default" w:ascii="Times New Roman" w:hAnsi="Times New Roman" w:cs="Times New Roman"/>
                <w:color w:val="auto"/>
                <w:sz w:val="28"/>
                <w:szCs w:val="28"/>
              </w:rPr>
              <w:t>为分散的、不连续排放。</w:t>
            </w:r>
            <w:r>
              <w:rPr>
                <w:rFonts w:hint="default" w:ascii="Times New Roman" w:hAnsi="Times New Roman" w:cs="Times New Roman"/>
                <w:color w:val="auto"/>
                <w:sz w:val="28"/>
                <w:szCs w:val="28"/>
                <w:lang w:val="en-US" w:eastAsia="zh-CN"/>
              </w:rPr>
              <w:t>由于不在施工区附近设置生活区，但仍会产生少量的生活废水，排水经移动式的环保厕所收集后，待环保型厕所的集粪坑收满后运至巴楚县污水处理厂进行处理。</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.3噪声环境影响分析及环保措施</w:t>
            </w:r>
          </w:p>
          <w:p>
            <w:pPr>
              <w:pStyle w:val="37"/>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w:t>
            </w:r>
            <w:r>
              <w:rPr>
                <w:rFonts w:hint="default" w:ascii="Times New Roman" w:hAnsi="Times New Roman" w:eastAsia="宋体" w:cs="Times New Roman"/>
                <w:color w:val="000000" w:themeColor="text1"/>
                <w:sz w:val="28"/>
                <w:szCs w:val="28"/>
                <w:lang w:eastAsia="zh-CN"/>
                <w14:textFill>
                  <w14:solidFill>
                    <w14:schemeClr w14:val="tx1"/>
                  </w14:solidFill>
                </w14:textFill>
              </w:rPr>
              <w:t>施工</w:t>
            </w:r>
            <w:r>
              <w:rPr>
                <w:rFonts w:hint="default" w:ascii="Times New Roman" w:hAnsi="Times New Roman" w:eastAsia="宋体" w:cs="Times New Roman"/>
                <w:color w:val="000000" w:themeColor="text1"/>
                <w:sz w:val="28"/>
                <w:szCs w:val="28"/>
                <w14:textFill>
                  <w14:solidFill>
                    <w14:schemeClr w14:val="tx1"/>
                  </w14:solidFill>
                </w14:textFill>
              </w:rPr>
              <w:t>期间噪声主要为</w:t>
            </w:r>
            <w:r>
              <w:rPr>
                <w:rFonts w:hint="default" w:ascii="Times New Roman" w:hAnsi="Times New Roman" w:eastAsia="宋体" w:cs="Times New Roman"/>
                <w:color w:val="000000" w:themeColor="text1"/>
                <w:sz w:val="28"/>
                <w:szCs w:val="28"/>
                <w:lang w:eastAsia="zh-CN"/>
                <w14:textFill>
                  <w14:solidFill>
                    <w14:schemeClr w14:val="tx1"/>
                  </w14:solidFill>
                </w14:textFill>
              </w:rPr>
              <w:t>项目</w:t>
            </w:r>
            <w:r>
              <w:rPr>
                <w:rFonts w:hint="default" w:ascii="Times New Roman" w:hAnsi="Times New Roman" w:eastAsia="宋体" w:cs="Times New Roman"/>
                <w:color w:val="000000" w:themeColor="text1"/>
                <w:sz w:val="28"/>
                <w:szCs w:val="28"/>
                <w14:textFill>
                  <w14:solidFill>
                    <w14:schemeClr w14:val="tx1"/>
                  </w14:solidFill>
                </w14:textFill>
              </w:rPr>
              <w:t>区内各机械设备运行中产生的机械噪声，通过选用低噪声设备、合理安排设备位置、加强设备维护保养、合理安排施工车辆进出场地的行驶时间，加强车辆管理等措施</w:t>
            </w:r>
            <w:r>
              <w:rPr>
                <w:rFonts w:hint="default" w:ascii="Times New Roman" w:hAnsi="Times New Roman" w:eastAsia="宋体" w:cs="Times New Roman"/>
                <w:color w:val="000000" w:themeColor="text1"/>
                <w:sz w:val="28"/>
                <w:szCs w:val="28"/>
                <w:lang w:eastAsia="zh-CN"/>
                <w14:textFill>
                  <w14:solidFill>
                    <w14:schemeClr w14:val="tx1"/>
                  </w14:solidFill>
                </w14:textFill>
              </w:rPr>
              <w:t>降噪</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37"/>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本项目施工沿线</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为耕地，最近居民距离河道约5公里</w:t>
            </w:r>
            <w:r>
              <w:rPr>
                <w:rFonts w:hint="default" w:ascii="Times New Roman" w:hAnsi="Times New Roman" w:eastAsia="宋体" w:cs="Times New Roman"/>
                <w:color w:val="000000" w:themeColor="text1"/>
                <w:sz w:val="28"/>
                <w:szCs w:val="28"/>
                <w14:textFill>
                  <w14:solidFill>
                    <w14:schemeClr w14:val="tx1"/>
                  </w14:solidFill>
                </w14:textFill>
              </w:rPr>
              <w:t>，因此，工程</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施工对当地的声环境影响较小</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.4固体废弃物影响分析及环保措施</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施工过程中产生的弃方用于土坑回填，</w:t>
            </w:r>
            <w:r>
              <w:rPr>
                <w:rFonts w:hint="default" w:ascii="Times New Roman" w:hAnsi="Times New Roman" w:eastAsia="宋体" w:cs="Times New Roman"/>
                <w:color w:val="000000" w:themeColor="text1"/>
                <w:sz w:val="28"/>
                <w:szCs w:val="28"/>
                <w:lang w:eastAsia="zh-CN"/>
                <w14:textFill>
                  <w14:solidFill>
                    <w14:schemeClr w14:val="tx1"/>
                  </w14:solidFill>
                </w14:textFill>
              </w:rPr>
              <w:t>建筑垃圾及时拉运至指定建筑垃圾填埋场处理。</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产生的生活垃圾定期运至当地生活垃圾填埋产进行处理</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5</w:t>
            </w:r>
            <w:r>
              <w:rPr>
                <w:rFonts w:hint="default" w:ascii="Times New Roman" w:hAnsi="Times New Roman" w:eastAsia="宋体" w:cs="Times New Roman"/>
                <w:color w:val="000000" w:themeColor="text1"/>
                <w:sz w:val="28"/>
                <w:szCs w:val="28"/>
                <w:lang w:eastAsia="zh-CN"/>
                <w14:textFill>
                  <w14:solidFill>
                    <w14:schemeClr w14:val="tx1"/>
                  </w14:solidFill>
                </w14:textFill>
              </w:rPr>
              <w:t>生态环境</w:t>
            </w:r>
            <w:r>
              <w:rPr>
                <w:rFonts w:hint="default" w:ascii="Times New Roman" w:hAnsi="Times New Roman" w:eastAsia="宋体" w:cs="Times New Roman"/>
                <w:color w:val="000000" w:themeColor="text1"/>
                <w:sz w:val="28"/>
                <w:szCs w:val="28"/>
                <w14:textFill>
                  <w14:solidFill>
                    <w14:schemeClr w14:val="tx1"/>
                  </w14:solidFill>
                </w14:textFill>
              </w:rPr>
              <w:t>影响分析及环保措施</w:t>
            </w:r>
          </w:p>
          <w:p>
            <w:pPr>
              <w:spacing w:line="520" w:lineRule="exact"/>
              <w:rPr>
                <w:rFonts w:hint="default" w:ascii="Times New Roman" w:hAnsi="Times New Roman" w:cs="Times New Roman"/>
                <w:b w:val="0"/>
                <w:bCs/>
                <w:color w:val="auto"/>
                <w:sz w:val="28"/>
                <w:szCs w:val="28"/>
              </w:rPr>
            </w:pPr>
            <w:bookmarkStart w:id="52" w:name="_Toc22296"/>
            <w:bookmarkStart w:id="53" w:name="_Toc2371"/>
            <w:bookmarkStart w:id="54" w:name="_Toc21390"/>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1</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 xml:space="preserve"> 区域完整性和稳定性分析</w:t>
            </w:r>
          </w:p>
          <w:p>
            <w:pPr>
              <w:spacing w:line="520" w:lineRule="exact"/>
              <w:ind w:firstLine="560" w:firstLineChars="20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，项目的施工是采用分段施工的方式进行且工程量较少</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对项目区域完整性的影响微乎其微，并将随施工结束而消失。项目的施工虽占用管线周边天然植被，工程建成后通过植物措施使区域植被覆盖率有所提高，改变区域景观，使区域稳定性加强。</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2</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对生物生境的影响</w:t>
            </w:r>
          </w:p>
          <w:p>
            <w:pPr>
              <w:spacing w:line="520" w:lineRule="exact"/>
              <w:ind w:firstLine="560" w:firstLineChars="20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，项目区内植被稀疏，主要为自然植被和人工植被。人工植被主要种植葡萄、杏、</w:t>
            </w:r>
            <w:r>
              <w:rPr>
                <w:rFonts w:hint="default" w:ascii="Times New Roman" w:hAnsi="Times New Roman" w:cs="Times New Roman"/>
                <w:b w:val="0"/>
                <w:bCs/>
                <w:color w:val="auto"/>
                <w:sz w:val="28"/>
                <w:szCs w:val="28"/>
                <w:lang w:val="en-US" w:eastAsia="zh-CN"/>
              </w:rPr>
              <w:t>核桃</w:t>
            </w:r>
            <w:r>
              <w:rPr>
                <w:rFonts w:hint="default" w:ascii="Times New Roman" w:hAnsi="Times New Roman" w:cs="Times New Roman"/>
                <w:b w:val="0"/>
                <w:bCs/>
                <w:color w:val="auto"/>
                <w:sz w:val="28"/>
                <w:szCs w:val="28"/>
              </w:rPr>
              <w:t>等经济林，</w:t>
            </w:r>
            <w:r>
              <w:rPr>
                <w:rFonts w:hint="default" w:ascii="Times New Roman" w:hAnsi="Times New Roman" w:cs="Times New Roman"/>
                <w:b w:val="0"/>
                <w:bCs/>
                <w:color w:val="auto"/>
                <w:sz w:val="28"/>
                <w:szCs w:val="28"/>
                <w:lang w:val="en-US" w:eastAsia="zh-CN"/>
              </w:rPr>
              <w:t>河道</w:t>
            </w:r>
            <w:r>
              <w:rPr>
                <w:rFonts w:hint="default" w:ascii="Times New Roman" w:hAnsi="Times New Roman" w:cs="Times New Roman"/>
                <w:b w:val="0"/>
                <w:bCs/>
                <w:color w:val="auto"/>
                <w:sz w:val="28"/>
                <w:szCs w:val="28"/>
              </w:rPr>
              <w:t>两侧种植有新疆杨、胡杨等乔木；灌区周边自然植被主要为草甸植被，以骆驼刺、苦豆子、甘草、苜蓿等为主。项目区的植被覆盖率约10%。</w:t>
            </w:r>
            <w:r>
              <w:rPr>
                <w:rFonts w:hint="default" w:ascii="Times New Roman" w:hAnsi="Times New Roman" w:cs="Times New Roman"/>
                <w:b w:val="0"/>
                <w:bCs/>
                <w:color w:val="auto"/>
                <w:kern w:val="28"/>
                <w:sz w:val="28"/>
                <w:szCs w:val="28"/>
              </w:rPr>
              <w:t>主要动物包括两栖类蟾蜍；鸟类中有麻雀、猫头鹰、啄木鸟等；兽类有黄鼠、沙黄鼠、草兔等。施工期</w:t>
            </w:r>
            <w:r>
              <w:rPr>
                <w:rFonts w:hint="default" w:ascii="Times New Roman" w:hAnsi="Times New Roman" w:cs="Times New Roman"/>
                <w:b w:val="0"/>
                <w:bCs/>
                <w:color w:val="auto"/>
                <w:sz w:val="28"/>
                <w:szCs w:val="28"/>
              </w:rPr>
              <w:t>对生境的影响主要来自施工占地和施工机械设备产生的噪声，会造成生物联通受到阻碍</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隔断，动物会出现暂时性的迁移，活动范围减少，但这种影响是短暂的，随着施工结束，开挖土方的及时回填并通过植物措施的实施，植被的覆盖度得到恢复；且由于这些鸟类、爬行类、啮齿类动物是广布种，对于人类活动适应性强，因施工噪声的影响将消失，植被得到恢复，动物将重新回到项目区活动，因此对生物的生境影响</w:t>
            </w:r>
            <w:r>
              <w:rPr>
                <w:rFonts w:hint="default" w:ascii="Times New Roman" w:hAnsi="Times New Roman" w:cs="Times New Roman"/>
                <w:b w:val="0"/>
                <w:bCs/>
                <w:color w:val="auto"/>
                <w:sz w:val="28"/>
                <w:szCs w:val="28"/>
                <w:lang w:val="en-US" w:eastAsia="zh-CN"/>
              </w:rPr>
              <w:t>较小</w:t>
            </w:r>
            <w:r>
              <w:rPr>
                <w:rFonts w:hint="default" w:ascii="Times New Roman" w:hAnsi="Times New Roman" w:cs="Times New Roman"/>
                <w:b w:val="0"/>
                <w:bCs/>
                <w:color w:val="auto"/>
                <w:sz w:val="28"/>
                <w:szCs w:val="28"/>
              </w:rPr>
              <w:t>。</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3</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土地利用格局的影响</w:t>
            </w:r>
          </w:p>
          <w:p>
            <w:pPr>
              <w:spacing w:line="520" w:lineRule="exact"/>
              <w:ind w:firstLine="560" w:firstLineChars="20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auto"/>
                <w:sz w:val="28"/>
                <w:szCs w:val="28"/>
                <w:lang w:val="en-US" w:eastAsia="zh-CN"/>
              </w:rPr>
              <w:t>工</w:t>
            </w:r>
            <w:r>
              <w:rPr>
                <w:rFonts w:hint="default" w:ascii="Times New Roman" w:hAnsi="Times New Roman" w:cs="Times New Roman"/>
                <w:b w:val="0"/>
                <w:bCs/>
                <w:color w:val="auto"/>
                <w:sz w:val="28"/>
                <w:szCs w:val="28"/>
              </w:rPr>
              <w:t>程占地总</w:t>
            </w:r>
            <w:r>
              <w:rPr>
                <w:rFonts w:hint="default" w:ascii="Times New Roman" w:hAnsi="Times New Roman" w:cs="Times New Roman"/>
                <w:b w:val="0"/>
                <w:bCs/>
                <w:color w:val="000000" w:themeColor="text1"/>
                <w:sz w:val="28"/>
                <w:szCs w:val="28"/>
                <w14:textFill>
                  <w14:solidFill>
                    <w14:schemeClr w14:val="tx1"/>
                  </w14:solidFill>
                </w14:textFill>
              </w:rPr>
              <w:t>面积</w:t>
            </w:r>
            <w:r>
              <w:rPr>
                <w:rFonts w:hint="eastAsia" w:ascii="Times New Roman" w:hAnsi="Times New Roman" w:cs="Times New Roman"/>
                <w:b w:val="0"/>
                <w:bCs/>
                <w:color w:val="000000" w:themeColor="text1"/>
                <w:sz w:val="28"/>
                <w:szCs w:val="28"/>
                <w:lang w:val="en-US" w:eastAsia="zh-CN"/>
                <w14:textFill>
                  <w14:solidFill>
                    <w14:schemeClr w14:val="tx1"/>
                  </w14:solidFill>
                </w14:textFill>
              </w:rPr>
              <w:t>27.46万㎡</w:t>
            </w:r>
            <w:r>
              <w:rPr>
                <w:rFonts w:hint="default" w:ascii="Times New Roman" w:hAnsi="Times New Roman" w:cs="Times New Roman"/>
                <w:b w:val="0"/>
                <w:bCs/>
                <w:color w:val="000000" w:themeColor="text1"/>
                <w:sz w:val="28"/>
                <w:szCs w:val="28"/>
                <w14:textFill>
                  <w14:solidFill>
                    <w14:schemeClr w14:val="tx1"/>
                  </w14:solidFill>
                </w14:textFill>
              </w:rPr>
              <w:t>，主要为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。本项目的永久占地主要为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河道</w:t>
            </w:r>
            <w:r>
              <w:rPr>
                <w:rFonts w:hint="default" w:ascii="Times New Roman" w:hAnsi="Times New Roman" w:cs="Times New Roman"/>
                <w:b w:val="0"/>
                <w:bCs/>
                <w:color w:val="000000" w:themeColor="text1"/>
                <w:sz w:val="28"/>
                <w:szCs w:val="28"/>
                <w14:textFill>
                  <w14:solidFill>
                    <w14:schemeClr w14:val="tx1"/>
                  </w14:solidFill>
                </w14:textFill>
              </w:rPr>
              <w:t>的占地</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工程结束后，临时占地均恢复原有功能，土地利用类型</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未</w:t>
            </w:r>
            <w:r>
              <w:rPr>
                <w:rFonts w:hint="default" w:ascii="Times New Roman" w:hAnsi="Times New Roman" w:cs="Times New Roman"/>
                <w:b w:val="0"/>
                <w:bCs/>
                <w:color w:val="000000" w:themeColor="text1"/>
                <w:sz w:val="28"/>
                <w:szCs w:val="28"/>
                <w14:textFill>
                  <w14:solidFill>
                    <w14:schemeClr w14:val="tx1"/>
                  </w14:solidFill>
                </w14:textFill>
              </w:rPr>
              <w:t>发生改变。</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4</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土地资源的影响</w:t>
            </w:r>
          </w:p>
          <w:p>
            <w:pPr>
              <w:spacing w:line="520" w:lineRule="exact"/>
              <w:ind w:firstLine="48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工工</w:t>
            </w:r>
            <w:r>
              <w:rPr>
                <w:rFonts w:hint="default" w:ascii="Times New Roman" w:hAnsi="Times New Roman" w:cs="Times New Roman"/>
                <w:b w:val="0"/>
                <w:bCs/>
                <w:color w:val="000000" w:themeColor="text1"/>
                <w:sz w:val="28"/>
                <w:szCs w:val="28"/>
                <w14:textFill>
                  <w14:solidFill>
                    <w14:schemeClr w14:val="tx1"/>
                  </w14:solidFill>
                </w14:textFill>
              </w:rPr>
              <w:t>程占地总面积</w:t>
            </w:r>
            <w:r>
              <w:rPr>
                <w:rFonts w:hint="eastAsia" w:ascii="Times New Roman" w:hAnsi="Times New Roman" w:cs="Times New Roman"/>
                <w:b w:val="0"/>
                <w:bCs/>
                <w:color w:val="000000" w:themeColor="text1"/>
                <w:sz w:val="28"/>
                <w:szCs w:val="28"/>
                <w:lang w:val="en-US" w:eastAsia="zh-CN"/>
                <w14:textFill>
                  <w14:solidFill>
                    <w14:schemeClr w14:val="tx1"/>
                  </w14:solidFill>
                </w14:textFill>
              </w:rPr>
              <w:t>27.46万㎡</w:t>
            </w:r>
            <w:r>
              <w:rPr>
                <w:rFonts w:hint="default" w:ascii="Times New Roman" w:hAnsi="Times New Roman" w:cs="Times New Roman"/>
                <w:b w:val="0"/>
                <w:bCs/>
                <w:color w:val="000000" w:themeColor="text1"/>
                <w:sz w:val="28"/>
                <w:szCs w:val="28"/>
                <w14:textFill>
                  <w14:solidFill>
                    <w14:schemeClr w14:val="tx1"/>
                  </w14:solidFill>
                </w14:textFill>
              </w:rPr>
              <w:t>，主要为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000000" w:themeColor="text1"/>
                <w:sz w:val="28"/>
                <w:szCs w:val="28"/>
                <w14:textFill>
                  <w14:solidFill>
                    <w14:schemeClr w14:val="tx1"/>
                  </w14:solidFill>
                </w14:textFill>
              </w:rPr>
              <w:t>本工程对土地资源的影响表现为临</w:t>
            </w:r>
            <w:r>
              <w:rPr>
                <w:rFonts w:hint="default" w:ascii="Times New Roman" w:hAnsi="Times New Roman" w:cs="Times New Roman"/>
                <w:b w:val="0"/>
                <w:bCs/>
                <w:color w:val="auto"/>
                <w:sz w:val="28"/>
                <w:szCs w:val="28"/>
              </w:rPr>
              <w:t>时占地的影响和永久占地的影响两个方面。</w:t>
            </w:r>
          </w:p>
          <w:p>
            <w:pPr>
              <w:spacing w:line="520" w:lineRule="exact"/>
              <w:ind w:firstLine="48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rPr>
              <w:t>临时占地包括</w:t>
            </w:r>
            <w:r>
              <w:rPr>
                <w:rFonts w:hint="default" w:ascii="Times New Roman" w:hAnsi="Times New Roman" w:cs="Times New Roman"/>
                <w:b w:val="0"/>
                <w:bCs/>
                <w:color w:val="auto"/>
                <w:sz w:val="28"/>
                <w:szCs w:val="28"/>
                <w:lang w:val="en-US" w:eastAsia="zh-CN"/>
              </w:rPr>
              <w:t>道路、料场、弃渣场等</w:t>
            </w:r>
            <w:r>
              <w:rPr>
                <w:rFonts w:hint="default" w:ascii="Times New Roman" w:hAnsi="Times New Roman" w:cs="Times New Roman"/>
                <w:b w:val="0"/>
                <w:bCs/>
                <w:color w:val="auto"/>
                <w:sz w:val="28"/>
                <w:szCs w:val="28"/>
              </w:rPr>
              <w:t>，主要为</w:t>
            </w:r>
            <w:r>
              <w:rPr>
                <w:rFonts w:hint="default" w:ascii="Times New Roman" w:hAnsi="Times New Roman" w:cs="Times New Roman"/>
                <w:b w:val="0"/>
                <w:bCs/>
                <w:color w:val="auto"/>
                <w:sz w:val="28"/>
                <w:szCs w:val="28"/>
                <w:lang w:val="en-US" w:eastAsia="zh-CN"/>
              </w:rPr>
              <w:t>荒地或河滩地</w:t>
            </w:r>
            <w:r>
              <w:rPr>
                <w:rFonts w:hint="default" w:ascii="Times New Roman" w:hAnsi="Times New Roman" w:cs="Times New Roman"/>
                <w:b w:val="0"/>
                <w:bCs/>
                <w:color w:val="auto"/>
                <w:sz w:val="28"/>
                <w:szCs w:val="28"/>
              </w:rPr>
              <w:t>。</w:t>
            </w:r>
            <w:r>
              <w:rPr>
                <w:rFonts w:hint="default" w:ascii="Times New Roman" w:hAnsi="Times New Roman" w:cs="Times New Roman"/>
                <w:b w:val="0"/>
                <w:bCs/>
                <w:color w:val="auto"/>
                <w:sz w:val="28"/>
                <w:szCs w:val="28"/>
                <w:lang w:val="en-US" w:eastAsia="zh-CN"/>
              </w:rPr>
              <w:t>施工时仅对地表植被进行一定程度的影响，不影响农作物，对当地的农作物影响较小。</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项目区开发后，</w:t>
            </w:r>
            <w:r>
              <w:rPr>
                <w:rFonts w:hint="default" w:ascii="Times New Roman" w:hAnsi="Times New Roman" w:cs="Times New Roman"/>
                <w:b w:val="0"/>
                <w:bCs/>
                <w:color w:val="auto"/>
                <w:sz w:val="28"/>
                <w:szCs w:val="28"/>
                <w:lang w:val="en-US" w:eastAsia="zh-CN"/>
              </w:rPr>
              <w:t>加强了</w:t>
            </w:r>
            <w:r>
              <w:rPr>
                <w:rFonts w:hint="eastAsia" w:ascii="Times New Roman" w:hAnsi="Times New Roman" w:cs="Times New Roman"/>
                <w:b w:val="0"/>
                <w:bCs/>
                <w:color w:val="auto"/>
                <w:sz w:val="28"/>
                <w:szCs w:val="28"/>
                <w:lang w:val="en-US" w:eastAsia="zh-CN"/>
              </w:rPr>
              <w:t>防洪坝</w:t>
            </w:r>
            <w:r>
              <w:rPr>
                <w:rFonts w:hint="default" w:ascii="Times New Roman" w:hAnsi="Times New Roman" w:cs="Times New Roman"/>
                <w:b w:val="0"/>
                <w:bCs/>
                <w:color w:val="auto"/>
                <w:sz w:val="28"/>
                <w:szCs w:val="28"/>
                <w:lang w:val="en-US" w:eastAsia="zh-CN"/>
              </w:rPr>
              <w:t>的防渗，能够节省大量的农灌水</w:t>
            </w:r>
            <w:r>
              <w:rPr>
                <w:rFonts w:hint="default" w:ascii="Times New Roman" w:hAnsi="Times New Roman" w:cs="Times New Roman"/>
                <w:b w:val="0"/>
                <w:bCs/>
                <w:color w:val="auto"/>
                <w:sz w:val="28"/>
                <w:szCs w:val="28"/>
              </w:rPr>
              <w:t>。</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5</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占地对土壤的影响</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工程建设的渠道开挖和车辆行驶造成对地表的碾压破坏，造成一定的土壤植被损失，对小范围的生态环境有一定的影响，在工程施工结束后，采取水土保持措施，减少对周边环境的影响。</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6</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对植被的影响</w:t>
            </w:r>
          </w:p>
          <w:p>
            <w:pPr>
              <w:spacing w:line="520" w:lineRule="exact"/>
              <w:ind w:firstLine="560" w:firstLineChars="200"/>
              <w:jc w:val="left"/>
              <w:rPr>
                <w:rFonts w:hint="default" w:ascii="Times New Roman" w:hAnsi="Times New Roman" w:eastAsia="宋体" w:cs="Times New Roman"/>
                <w:b w:val="0"/>
                <w:bCs/>
                <w:color w:val="auto"/>
                <w:sz w:val="28"/>
                <w:szCs w:val="28"/>
                <w:lang w:val="en-US" w:eastAsia="zh-CN"/>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，项目区内植被稀疏，主要为自然植被。周边自然植被主要为草甸植被，以骆驼刺、苦豆子、甘草、苜蓿等为主。本工程对植被的影响表现为临时占地的影响。</w:t>
            </w:r>
            <w:r>
              <w:rPr>
                <w:rFonts w:hint="default" w:ascii="Times New Roman" w:hAnsi="Times New Roman" w:cs="Times New Roman"/>
                <w:b w:val="0"/>
                <w:bCs/>
                <w:color w:val="auto"/>
                <w:sz w:val="28"/>
                <w:szCs w:val="28"/>
                <w:lang w:val="en-US" w:eastAsia="zh-CN"/>
              </w:rPr>
              <w:t>永久占地为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lang w:val="en-US" w:eastAsia="zh-CN"/>
              </w:rPr>
              <w:t>。</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临时占地内的植被影响主要是占地的开挖和机械设备及料场的压占，此影响具有暂时性，随施工结束而终止，自然植被在施工结束后，周围植物可侵入，开始恢复演替过程。在施工结束后，通过对临时占地内的植被进行恢复，撒播草籽，种植当地优势乔、灌、草等，因临时占地造成的植被破坏将及时恢复。</w:t>
            </w:r>
          </w:p>
          <w:p>
            <w:pPr>
              <w:spacing w:line="360" w:lineRule="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7</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对水生生物的影响</w:t>
            </w:r>
          </w:p>
          <w:p>
            <w:pPr>
              <w:spacing w:line="360" w:lineRule="auto"/>
              <w:ind w:firstLine="560" w:firstLineChars="200"/>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本工程属于</w:t>
            </w:r>
            <w:r>
              <w:rPr>
                <w:rFonts w:hint="default" w:ascii="Times New Roman" w:hAnsi="Times New Roman" w:cs="Times New Roman"/>
                <w:b w:val="0"/>
                <w:bCs/>
                <w:sz w:val="28"/>
                <w:szCs w:val="28"/>
                <w:lang w:val="en-US" w:eastAsia="zh-CN"/>
              </w:rPr>
              <w:t>防洪堤建设项目，不会对河道的水质产生影响</w:t>
            </w:r>
            <w:r>
              <w:rPr>
                <w:rFonts w:hint="default" w:ascii="Times New Roman" w:hAnsi="Times New Roman" w:cs="Times New Roman"/>
                <w:b w:val="0"/>
                <w:bCs/>
                <w:sz w:val="28"/>
                <w:szCs w:val="28"/>
              </w:rPr>
              <w:t>，因此本工程施工过程中未对水生生态造成破坏。</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8</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对陆生生物的影响</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w:t>
            </w:r>
            <w:r>
              <w:rPr>
                <w:rFonts w:hint="eastAsia" w:ascii="Times New Roman" w:hAnsi="Times New Roman" w:cs="Times New Roman"/>
                <w:b w:val="0"/>
                <w:bCs/>
                <w:color w:val="auto"/>
                <w:sz w:val="28"/>
                <w:szCs w:val="28"/>
                <w:lang w:val="en-US" w:eastAsia="zh-CN"/>
              </w:rPr>
              <w:t>一</w:t>
            </w:r>
            <w:r>
              <w:rPr>
                <w:rFonts w:hint="default" w:ascii="Times New Roman" w:hAnsi="Times New Roman" w:cs="Times New Roman"/>
                <w:b w:val="0"/>
                <w:bCs/>
                <w:color w:val="auto"/>
                <w:sz w:val="28"/>
                <w:szCs w:val="28"/>
              </w:rPr>
              <w:t>）施工期间，施工占地周围设置一定的作业范围，施工车辆、人员必须在作业带内活动，严禁随意扩大扰动范围；同时教育施工人员保护区域植物资源。</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w:t>
            </w:r>
            <w:r>
              <w:rPr>
                <w:rFonts w:hint="eastAsia" w:ascii="Times New Roman" w:hAnsi="Times New Roman" w:cs="Times New Roman"/>
                <w:b w:val="0"/>
                <w:bCs/>
                <w:color w:val="auto"/>
                <w:sz w:val="28"/>
                <w:szCs w:val="28"/>
                <w:lang w:val="en-US" w:eastAsia="zh-CN"/>
              </w:rPr>
              <w:t>二</w:t>
            </w:r>
            <w:r>
              <w:rPr>
                <w:rFonts w:hint="default" w:ascii="Times New Roman" w:hAnsi="Times New Roman" w:cs="Times New Roman"/>
                <w:b w:val="0"/>
                <w:bCs/>
                <w:color w:val="auto"/>
                <w:sz w:val="28"/>
                <w:szCs w:val="28"/>
              </w:rPr>
              <w:t>）恢复措施</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施工结束后对临时用地进行平整，表层土回填，恢复植被的区域恢复植被。</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val="en-US" w:eastAsia="zh-CN"/>
              </w:rPr>
              <w:t>（9）</w:t>
            </w:r>
            <w:r>
              <w:rPr>
                <w:rFonts w:hint="default" w:ascii="Times New Roman" w:hAnsi="Times New Roman" w:cs="Times New Roman"/>
                <w:b w:val="0"/>
                <w:bCs/>
                <w:color w:val="auto"/>
                <w:sz w:val="28"/>
                <w:szCs w:val="28"/>
              </w:rPr>
              <w:t>对景观生态的影响</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施工期主要表现在土地利用格局的暂时性改变、施工生产设施零星分布造成景观破碎化增加，景观比例额略有降低，联通度稍有降低。但随着项目施工的结束，对景观生态的影响将会随着植物措施的实施得到有效改善。</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（10）河流水文情势影响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工程段河流天然来水具有明显的丰枯年组交替演变，其径流变化情势总体呈下降减少趋势，河流水量减少的主要因素在于上游下垫面条件、气候和区域水资源时空分配的变化，防洪堤实施后对河流水量变化情势不会造成影响。</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（11）河流泥沙变化情势影响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 xml:space="preserve"> 防洪堤实施后，工程对原河势及主河道纵坡</w:t>
            </w:r>
            <w:r>
              <w:rPr>
                <w:rFonts w:hint="eastAsia" w:ascii="Times New Roman" w:hAnsi="Times New Roman" w:cs="Times New Roman"/>
                <w:b w:val="0"/>
                <w:bCs/>
                <w:color w:val="auto"/>
                <w:sz w:val="28"/>
                <w:szCs w:val="28"/>
                <w:lang w:val="en-US" w:eastAsia="zh-CN"/>
              </w:rPr>
              <w:t>无</w:t>
            </w:r>
            <w:r>
              <w:rPr>
                <w:rFonts w:hint="default" w:ascii="Times New Roman" w:hAnsi="Times New Roman" w:cs="Times New Roman"/>
                <w:b w:val="0"/>
                <w:bCs/>
                <w:color w:val="auto"/>
                <w:sz w:val="28"/>
                <w:szCs w:val="28"/>
                <w:lang w:val="en-US" w:eastAsia="zh-CN"/>
              </w:rPr>
              <w:t>大的改变。</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（12）对河势稳定和行洪的影响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由于本项目堤线轴线沿河漫滩及阶地前缘布置，基本不改变河道河床地形条件。河道经过防洪坝建设，对岸坡起保护作用，更有利于河势的稳定。</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（13）对社会环境的影响分析</w:t>
            </w:r>
          </w:p>
          <w:p>
            <w:pPr>
              <w:spacing w:line="360" w:lineRule="auto"/>
              <w:ind w:firstLine="560" w:firstLineChars="200"/>
              <w:rPr>
                <w:rFonts w:hint="default" w:ascii="Times New Roman" w:hAnsi="Times New Roman" w:cs="Times New Roman"/>
                <w:b w:val="0"/>
                <w:bCs/>
                <w:color w:val="C00000"/>
                <w:sz w:val="28"/>
                <w:szCs w:val="28"/>
                <w:lang w:val="en-US" w:eastAsia="zh-CN"/>
              </w:rPr>
            </w:pPr>
            <w:r>
              <w:rPr>
                <w:rFonts w:hint="default" w:ascii="Times New Roman" w:hAnsi="Times New Roman" w:cs="Times New Roman"/>
                <w:b w:val="0"/>
                <w:bCs/>
                <w:color w:val="auto"/>
                <w:sz w:val="28"/>
                <w:szCs w:val="28"/>
                <w:lang w:val="en-US" w:eastAsia="zh-CN"/>
              </w:rPr>
              <w:t xml:space="preserve"> 本工程修建后，能大大提高乡镇农田和居民区防洪减灾能力，对营造优美的人居环境，改善生态环境，提升乡镇形象。同时在保证行洪安全的前提下，经过防洪政治后，两岸受洪水冲刷，不能常年耕作的土地可保护起来成为常年耕地，堤内成片漫滩可改造成为耕地。林地或其他多种经营用地，对促进区域经济的可持续发展具有巨大的作用。</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val="en-US" w:eastAsia="zh-CN"/>
              </w:rPr>
              <w:t>（12）</w:t>
            </w:r>
            <w:r>
              <w:rPr>
                <w:rFonts w:hint="default" w:ascii="Times New Roman" w:hAnsi="Times New Roman" w:cs="Times New Roman"/>
                <w:b w:val="0"/>
                <w:bCs/>
                <w:color w:val="auto"/>
                <w:sz w:val="28"/>
                <w:szCs w:val="28"/>
              </w:rPr>
              <w:t>水土流失影响分析</w:t>
            </w:r>
          </w:p>
          <w:p>
            <w:pPr>
              <w:spacing w:line="360" w:lineRule="auto"/>
              <w:ind w:firstLine="560" w:firstLineChars="200"/>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本工程的项目扰动原地貌、损坏土地和植被面积主要由五个部分构成：主体工程区、施工道路区、料场、</w:t>
            </w:r>
            <w:r>
              <w:rPr>
                <w:rFonts w:hint="default" w:ascii="Times New Roman" w:hAnsi="Times New Roman" w:cs="Times New Roman"/>
                <w:b w:val="0"/>
                <w:bCs/>
                <w:sz w:val="28"/>
                <w:szCs w:val="28"/>
                <w:lang w:eastAsia="zh-CN"/>
              </w:rPr>
              <w:t>临时围堰</w:t>
            </w:r>
            <w:r>
              <w:rPr>
                <w:rFonts w:hint="default" w:ascii="Times New Roman" w:hAnsi="Times New Roman" w:cs="Times New Roman"/>
                <w:b w:val="0"/>
                <w:bCs/>
                <w:sz w:val="28"/>
                <w:szCs w:val="28"/>
              </w:rPr>
              <w:t>和弃渣场。</w:t>
            </w:r>
          </w:p>
          <w:p>
            <w:pPr>
              <w:spacing w:line="360" w:lineRule="auto"/>
              <w:ind w:firstLine="560" w:firstLineChars="200"/>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根据工程总体布局及特点，确定工程建设过程中将</w:t>
            </w:r>
            <w:r>
              <w:rPr>
                <w:rFonts w:hint="default" w:ascii="Times New Roman" w:hAnsi="Times New Roman" w:cs="Times New Roman"/>
                <w:b w:val="0"/>
                <w:bCs/>
                <w:color w:val="000000" w:themeColor="text1"/>
                <w:sz w:val="28"/>
                <w:szCs w:val="28"/>
                <w14:textFill>
                  <w14:solidFill>
                    <w14:schemeClr w14:val="tx1"/>
                  </w14:solidFill>
                </w14:textFill>
              </w:rPr>
              <w:t>有</w:t>
            </w:r>
            <w:r>
              <w:rPr>
                <w:rFonts w:hint="eastAsia" w:ascii="Times New Roman" w:hAnsi="Times New Roman" w:cs="Times New Roman"/>
                <w:b w:val="0"/>
                <w:bCs/>
                <w:color w:val="000000" w:themeColor="text1"/>
                <w:sz w:val="28"/>
                <w:szCs w:val="28"/>
                <w:lang w:val="en-US" w:eastAsia="zh-CN"/>
                <w14:textFill>
                  <w14:solidFill>
                    <w14:schemeClr w14:val="tx1"/>
                  </w14:solidFill>
                </w14:textFill>
              </w:rPr>
              <w:t>27.46万㎡</w:t>
            </w:r>
            <w:r>
              <w:rPr>
                <w:rFonts w:hint="default" w:ascii="Times New Roman" w:hAnsi="Times New Roman" w:cs="Times New Roman"/>
                <w:b w:val="0"/>
                <w:bCs/>
                <w:color w:val="000000" w:themeColor="text1"/>
                <w:sz w:val="28"/>
                <w:szCs w:val="28"/>
                <w14:textFill>
                  <w14:solidFill>
                    <w14:schemeClr w14:val="tx1"/>
                  </w14:solidFill>
                </w14:textFill>
              </w:rPr>
              <w:t>的</w:t>
            </w:r>
            <w:r>
              <w:rPr>
                <w:rFonts w:hint="default" w:ascii="Times New Roman" w:hAnsi="Times New Roman" w:cs="Times New Roman"/>
                <w:b w:val="0"/>
                <w:bCs/>
                <w:sz w:val="28"/>
                <w:szCs w:val="28"/>
              </w:rPr>
              <w:t>土地遭到占压和破坏。各区工程扰动地貌、破坏水保设施面积汇总见表。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val="0"/>
                <w:sz w:val="24"/>
                <w:szCs w:val="24"/>
              </w:rPr>
            </w:pPr>
            <w:r>
              <w:rPr>
                <w:rFonts w:hint="default" w:ascii="Times New Roman" w:hAnsi="Times New Roman" w:cs="Times New Roman"/>
                <w:b/>
                <w:bCs w:val="0"/>
                <w:sz w:val="24"/>
                <w:szCs w:val="24"/>
              </w:rPr>
              <w:t>表</w:t>
            </w:r>
            <w:r>
              <w:rPr>
                <w:rFonts w:hint="eastAsia" w:ascii="Times New Roman" w:hAnsi="Times New Roman" w:cs="Times New Roman"/>
                <w:b/>
                <w:bCs w:val="0"/>
                <w:sz w:val="24"/>
                <w:szCs w:val="24"/>
                <w:lang w:val="en-US" w:eastAsia="zh-CN"/>
              </w:rPr>
              <w:t>7</w:t>
            </w:r>
            <w:r>
              <w:rPr>
                <w:rFonts w:hint="default" w:ascii="Times New Roman" w:hAnsi="Times New Roman" w:cs="Times New Roman"/>
                <w:b/>
                <w:bCs w:val="0"/>
                <w:sz w:val="24"/>
                <w:szCs w:val="24"/>
              </w:rPr>
              <w:t xml:space="preserve">     工程扰动原地貌、损坏土地和植被面积表</w:t>
            </w:r>
          </w:p>
          <w:tbl>
            <w:tblPr>
              <w:tblStyle w:val="31"/>
              <w:tblW w:w="0" w:type="auto"/>
              <w:jc w:val="center"/>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Layout w:type="fixed"/>
              <w:tblCellMar>
                <w:top w:w="0" w:type="dxa"/>
                <w:left w:w="0" w:type="dxa"/>
                <w:bottom w:w="0" w:type="dxa"/>
                <w:right w:w="0" w:type="dxa"/>
              </w:tblCellMar>
            </w:tblPr>
            <w:tblGrid>
              <w:gridCol w:w="872"/>
              <w:gridCol w:w="2992"/>
              <w:gridCol w:w="2126"/>
              <w:gridCol w:w="3070"/>
            </w:tblGrid>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799" w:hRule="atLeast"/>
                <w:jc w:val="center"/>
              </w:trPr>
              <w:tc>
                <w:tcPr>
                  <w:tcW w:w="872" w:type="dxa"/>
                  <w:tcBorders>
                    <w:tl2br w:val="nil"/>
                    <w:tr2bl w:val="nil"/>
                  </w:tcBorders>
                  <w:noWrap w:val="0"/>
                  <w:vAlign w:val="center"/>
                </w:tcPr>
                <w:p>
                  <w:pPr>
                    <w:pStyle w:val="48"/>
                    <w:ind w:right="141"/>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2992" w:type="dxa"/>
                  <w:tcBorders>
                    <w:tl2br w:val="nil"/>
                    <w:tr2bl w:val="nil"/>
                  </w:tcBorders>
                  <w:noWrap w:val="0"/>
                  <w:vAlign w:val="center"/>
                </w:tcPr>
                <w:p>
                  <w:pPr>
                    <w:pStyle w:val="48"/>
                    <w:ind w:right="1211"/>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分区</w:t>
                  </w:r>
                </w:p>
              </w:tc>
              <w:tc>
                <w:tcPr>
                  <w:tcW w:w="2126" w:type="dxa"/>
                  <w:tcBorders>
                    <w:tl2br w:val="nil"/>
                    <w:tr2bl w:val="nil"/>
                  </w:tcBorders>
                  <w:noWrap w:val="0"/>
                  <w:vAlign w:val="center"/>
                </w:tcPr>
                <w:p>
                  <w:pPr>
                    <w:pStyle w:val="48"/>
                    <w:spacing w:before="38"/>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面积（h</w:t>
                  </w:r>
                  <w:r>
                    <w:rPr>
                      <w:rFonts w:hint="eastAsia"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vertAlign w:val="baseline"/>
                    </w:rPr>
                    <w:t>）</w:t>
                  </w:r>
                </w:p>
              </w:tc>
              <w:tc>
                <w:tcPr>
                  <w:tcW w:w="3070" w:type="dxa"/>
                  <w:tcBorders>
                    <w:tl2br w:val="nil"/>
                    <w:tr2bl w:val="nil"/>
                  </w:tcBorders>
                  <w:noWrap w:val="0"/>
                  <w:vAlign w:val="center"/>
                </w:tcPr>
                <w:p>
                  <w:pPr>
                    <w:pStyle w:val="48"/>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占地类型</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801" w:hRule="atLeast"/>
                <w:jc w:val="center"/>
              </w:trPr>
              <w:tc>
                <w:tcPr>
                  <w:tcW w:w="872" w:type="dxa"/>
                  <w:tcBorders>
                    <w:tl2br w:val="nil"/>
                    <w:tr2bl w:val="nil"/>
                  </w:tcBorders>
                  <w:noWrap w:val="0"/>
                  <w:vAlign w:val="center"/>
                </w:tcPr>
                <w:p>
                  <w:pPr>
                    <w:pStyle w:val="48"/>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主体工程及管理范围区</w:t>
                  </w:r>
                </w:p>
              </w:tc>
              <w:tc>
                <w:tcPr>
                  <w:tcW w:w="2126" w:type="dxa"/>
                  <w:tcBorders>
                    <w:tl2br w:val="nil"/>
                    <w:tr2bl w:val="nil"/>
                  </w:tcBorders>
                  <w:noWrap w:val="0"/>
                  <w:vAlign w:val="center"/>
                </w:tcPr>
                <w:p>
                  <w:pPr>
                    <w:pStyle w:val="48"/>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10.10</w:t>
                  </w:r>
                </w:p>
              </w:tc>
              <w:tc>
                <w:tcPr>
                  <w:tcW w:w="3070" w:type="dxa"/>
                  <w:tcBorders>
                    <w:tl2br w:val="nil"/>
                    <w:tr2bl w:val="nil"/>
                  </w:tcBorders>
                  <w:noWrap w:val="0"/>
                  <w:vAlign w:val="center"/>
                </w:tcPr>
                <w:p>
                  <w:pPr>
                    <w:pStyle w:val="48"/>
                    <w:spacing w:before="38"/>
                    <w:ind w:right="97"/>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水域及水利设施用地（内陆滩涂</w:t>
                  </w:r>
                  <w:r>
                    <w:rPr>
                      <w:rFonts w:hint="default" w:ascii="Times New Roman" w:hAnsi="Times New Roman" w:eastAsia="宋体" w:cs="Times New Roman"/>
                      <w:color w:val="auto"/>
                      <w:spacing w:val="-120"/>
                      <w:sz w:val="21"/>
                      <w:szCs w:val="21"/>
                    </w:rPr>
                    <w:t>）</w:t>
                  </w:r>
                  <w:r>
                    <w:rPr>
                      <w:rFonts w:hint="default" w:ascii="Times New Roman" w:hAnsi="Times New Roman" w:eastAsia="宋体" w:cs="Times New Roman"/>
                      <w:color w:val="auto"/>
                      <w:sz w:val="21"/>
                      <w:szCs w:val="21"/>
                    </w:rPr>
                    <w:t>、耕地、裸地</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400" w:hRule="atLeast"/>
                <w:jc w:val="center"/>
              </w:trPr>
              <w:tc>
                <w:tcPr>
                  <w:tcW w:w="872" w:type="dxa"/>
                  <w:tcBorders>
                    <w:tl2br w:val="nil"/>
                    <w:tr2bl w:val="nil"/>
                  </w:tcBorders>
                  <w:noWrap w:val="0"/>
                  <w:vAlign w:val="center"/>
                </w:tcPr>
                <w:p>
                  <w:pPr>
                    <w:pStyle w:val="48"/>
                    <w:spacing w:before="95"/>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后期备料场</w:t>
                  </w:r>
                </w:p>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（临时堆料场（块石））</w:t>
                  </w:r>
                </w:p>
              </w:tc>
              <w:tc>
                <w:tcPr>
                  <w:tcW w:w="2126" w:type="dxa"/>
                  <w:tcBorders>
                    <w:tl2br w:val="nil"/>
                    <w:tr2bl w:val="nil"/>
                  </w:tcBorders>
                  <w:noWrap w:val="0"/>
                  <w:vAlign w:val="center"/>
                </w:tcPr>
                <w:p>
                  <w:pPr>
                    <w:pStyle w:val="48"/>
                    <w:spacing w:before="95"/>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1.20</w:t>
                  </w:r>
                </w:p>
              </w:tc>
              <w:tc>
                <w:tcPr>
                  <w:tcW w:w="3070" w:type="dxa"/>
                  <w:vMerge w:val="restart"/>
                  <w:tcBorders>
                    <w:tl2br w:val="nil"/>
                    <w:tr2bl w:val="nil"/>
                  </w:tcBorders>
                  <w:noWrap w:val="0"/>
                  <w:vAlign w:val="center"/>
                </w:tcPr>
                <w:p>
                  <w:pPr>
                    <w:pStyle w:val="48"/>
                    <w:spacing w:before="159" w:line="307" w:lineRule="auto"/>
                    <w:ind w:right="115"/>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水域及水利设施用地（内陆滩涂）</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3" w:hRule="atLeast"/>
                <w:jc w:val="center"/>
              </w:trPr>
              <w:tc>
                <w:tcPr>
                  <w:tcW w:w="872"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弃渣场</w:t>
                  </w:r>
                </w:p>
              </w:tc>
              <w:tc>
                <w:tcPr>
                  <w:tcW w:w="2126" w:type="dxa"/>
                  <w:tcBorders>
                    <w:tl2br w:val="nil"/>
                    <w:tr2bl w:val="nil"/>
                  </w:tcBorders>
                  <w:noWrap w:val="0"/>
                  <w:vAlign w:val="center"/>
                </w:tcPr>
                <w:p>
                  <w:pPr>
                    <w:pStyle w:val="48"/>
                    <w:spacing w:before="176"/>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6" w:hRule="atLeast"/>
                <w:jc w:val="center"/>
              </w:trPr>
              <w:tc>
                <w:tcPr>
                  <w:tcW w:w="872" w:type="dxa"/>
                  <w:tcBorders>
                    <w:tl2br w:val="nil"/>
                    <w:tr2bl w:val="nil"/>
                  </w:tcBorders>
                  <w:noWrap w:val="0"/>
                  <w:vAlign w:val="center"/>
                </w:tcPr>
                <w:p>
                  <w:pPr>
                    <w:pStyle w:val="48"/>
                    <w:spacing w:before="179"/>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临时道路区</w:t>
                  </w:r>
                </w:p>
              </w:tc>
              <w:tc>
                <w:tcPr>
                  <w:tcW w:w="2126"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0.45</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3" w:hRule="atLeast"/>
                <w:jc w:val="center"/>
              </w:trPr>
              <w:tc>
                <w:tcPr>
                  <w:tcW w:w="872"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临时堆料区（填筑土料）</w:t>
                  </w:r>
                </w:p>
              </w:tc>
              <w:tc>
                <w:tcPr>
                  <w:tcW w:w="2126"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6" w:hRule="atLeast"/>
                <w:jc w:val="center"/>
              </w:trPr>
              <w:tc>
                <w:tcPr>
                  <w:tcW w:w="872" w:type="dxa"/>
                  <w:tcBorders>
                    <w:tl2br w:val="nil"/>
                    <w:tr2bl w:val="nil"/>
                  </w:tcBorders>
                  <w:noWrap w:val="0"/>
                  <w:vAlign w:val="center"/>
                </w:tcPr>
                <w:p>
                  <w:pPr>
                    <w:pStyle w:val="48"/>
                    <w:spacing w:before="179"/>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临时围堰区</w:t>
                  </w:r>
                </w:p>
              </w:tc>
              <w:tc>
                <w:tcPr>
                  <w:tcW w:w="2126"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1.11</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63" w:hRule="atLeast"/>
                <w:jc w:val="center"/>
              </w:trPr>
              <w:tc>
                <w:tcPr>
                  <w:tcW w:w="872"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河道整治（填筑土料场区）</w:t>
                  </w:r>
                </w:p>
              </w:tc>
              <w:tc>
                <w:tcPr>
                  <w:tcW w:w="2126" w:type="dxa"/>
                  <w:tcBorders>
                    <w:tl2br w:val="nil"/>
                    <w:tr2bl w:val="nil"/>
                  </w:tcBorders>
                  <w:noWrap w:val="0"/>
                  <w:vAlign w:val="center"/>
                </w:tcPr>
                <w:p>
                  <w:pPr>
                    <w:pStyle w:val="48"/>
                    <w:spacing w:before="17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517" w:hRule="atLeast"/>
                <w:jc w:val="center"/>
              </w:trPr>
              <w:tc>
                <w:tcPr>
                  <w:tcW w:w="872" w:type="dxa"/>
                  <w:tcBorders>
                    <w:tl2br w:val="nil"/>
                    <w:tr2bl w:val="nil"/>
                  </w:tcBorders>
                  <w:noWrap w:val="0"/>
                  <w:vAlign w:val="center"/>
                </w:tcPr>
                <w:p>
                  <w:pPr>
                    <w:pStyle w:val="48"/>
                    <w:spacing w:before="155"/>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8</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临时生产区</w:t>
                  </w:r>
                </w:p>
              </w:tc>
              <w:tc>
                <w:tcPr>
                  <w:tcW w:w="2126" w:type="dxa"/>
                  <w:tcBorders>
                    <w:tl2br w:val="nil"/>
                    <w:tr2bl w:val="nil"/>
                  </w:tcBorders>
                  <w:noWrap w:val="0"/>
                  <w:vAlign w:val="center"/>
                </w:tcPr>
                <w:p>
                  <w:pPr>
                    <w:pStyle w:val="48"/>
                    <w:spacing w:before="155"/>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0.1</w:t>
                  </w:r>
                </w:p>
              </w:tc>
              <w:tc>
                <w:tcPr>
                  <w:tcW w:w="3070" w:type="dxa"/>
                  <w:vMerge w:val="continue"/>
                  <w:tcBorders>
                    <w:tl2br w:val="nil"/>
                    <w:tr2bl w:val="nil"/>
                  </w:tcBorders>
                  <w:noWrap w:val="0"/>
                  <w:vAlign w:val="center"/>
                </w:tcPr>
                <w:p>
                  <w:pPr>
                    <w:jc w:val="center"/>
                    <w:rPr>
                      <w:rFonts w:hint="default" w:ascii="Times New Roman" w:hAnsi="Times New Roman" w:eastAsia="宋体" w:cs="Times New Roman"/>
                      <w:color w:val="auto"/>
                      <w:sz w:val="21"/>
                      <w:szCs w:val="21"/>
                    </w:rPr>
                  </w:pP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400" w:hRule="atLeast"/>
                <w:jc w:val="center"/>
              </w:trPr>
              <w:tc>
                <w:tcPr>
                  <w:tcW w:w="872" w:type="dxa"/>
                  <w:tcBorders>
                    <w:tl2br w:val="nil"/>
                    <w:tr2bl w:val="nil"/>
                  </w:tcBorders>
                  <w:noWrap w:val="0"/>
                  <w:vAlign w:val="center"/>
                </w:tcPr>
                <w:p>
                  <w:pPr>
                    <w:pStyle w:val="48"/>
                    <w:spacing w:before="95"/>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9</w:t>
                  </w:r>
                </w:p>
              </w:tc>
              <w:tc>
                <w:tcPr>
                  <w:tcW w:w="2992" w:type="dxa"/>
                  <w:tcBorders>
                    <w:tl2br w:val="nil"/>
                    <w:tr2bl w:val="nil"/>
                  </w:tcBorders>
                  <w:noWrap w:val="0"/>
                  <w:vAlign w:val="center"/>
                </w:tcPr>
                <w:p>
                  <w:pPr>
                    <w:pStyle w:val="48"/>
                    <w:spacing w:before="179"/>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总计</w:t>
                  </w:r>
                </w:p>
              </w:tc>
              <w:tc>
                <w:tcPr>
                  <w:tcW w:w="2126" w:type="dxa"/>
                  <w:tcBorders>
                    <w:tl2br w:val="nil"/>
                    <w:tr2bl w:val="nil"/>
                  </w:tcBorders>
                  <w:noWrap w:val="0"/>
                  <w:vAlign w:val="center"/>
                </w:tcPr>
                <w:p>
                  <w:pPr>
                    <w:pStyle w:val="48"/>
                    <w:spacing w:before="95"/>
                    <w:ind w:right="10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27.46</w:t>
                  </w:r>
                </w:p>
              </w:tc>
              <w:tc>
                <w:tcPr>
                  <w:tcW w:w="3070" w:type="dxa"/>
                  <w:tcBorders>
                    <w:tl2br w:val="nil"/>
                    <w:tr2bl w:val="nil"/>
                  </w:tcBorders>
                  <w:noWrap w:val="0"/>
                  <w:vAlign w:val="center"/>
                </w:tcPr>
                <w:p>
                  <w:pPr>
                    <w:pStyle w:val="48"/>
                    <w:jc w:val="center"/>
                    <w:rPr>
                      <w:rFonts w:hint="default" w:ascii="Times New Roman" w:hAnsi="Times New Roman" w:eastAsia="宋体" w:cs="Times New Roman"/>
                      <w:color w:val="auto"/>
                      <w:sz w:val="21"/>
                      <w:szCs w:val="21"/>
                    </w:rPr>
                  </w:pPr>
                </w:p>
              </w:tc>
            </w:tr>
          </w:tbl>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w:t>
            </w:r>
            <w:r>
              <w:rPr>
                <w:rFonts w:hint="default" w:ascii="Times New Roman" w:hAnsi="Times New Roman" w:eastAsia="宋体" w:cs="Times New Roman"/>
                <w:color w:val="000000" w:themeColor="text1"/>
                <w:sz w:val="28"/>
                <w:szCs w:val="28"/>
                <w14:textFill>
                  <w14:solidFill>
                    <w14:schemeClr w14:val="tx1"/>
                  </w14:solidFill>
                </w14:textFill>
              </w:rPr>
              <w:t>项目运营期污染物排放分析及环境保护措施</w:t>
            </w:r>
            <w:bookmarkEnd w:id="52"/>
            <w:bookmarkEnd w:id="53"/>
            <w:bookmarkEnd w:id="54"/>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w:t>
            </w:r>
            <w:r>
              <w:rPr>
                <w:rFonts w:hint="default" w:ascii="Times New Roman" w:hAnsi="Times New Roman" w:eastAsia="宋体" w:cs="Times New Roman"/>
                <w:color w:val="000000" w:themeColor="text1"/>
                <w:sz w:val="28"/>
                <w:szCs w:val="28"/>
                <w:lang w:eastAsia="zh-CN"/>
                <w14:textFill>
                  <w14:solidFill>
                    <w14:schemeClr w14:val="tx1"/>
                  </w14:solidFill>
                </w14:textFill>
              </w:rPr>
              <w:t>已</w:t>
            </w:r>
            <w:r>
              <w:rPr>
                <w:rFonts w:hint="default" w:ascii="Times New Roman" w:hAnsi="Times New Roman" w:eastAsia="宋体" w:cs="Times New Roman"/>
                <w:color w:val="000000" w:themeColor="text1"/>
                <w:sz w:val="28"/>
                <w:szCs w:val="28"/>
                <w14:textFill>
                  <w14:solidFill>
                    <w14:schemeClr w14:val="tx1"/>
                  </w14:solidFill>
                </w14:textFill>
              </w:rPr>
              <w:t>建成，各施工点的施工人员、机械设备等均</w:t>
            </w:r>
            <w:r>
              <w:rPr>
                <w:rFonts w:hint="default" w:ascii="Times New Roman" w:hAnsi="Times New Roman" w:eastAsia="宋体" w:cs="Times New Roman"/>
                <w:color w:val="000000" w:themeColor="text1"/>
                <w:sz w:val="28"/>
                <w:szCs w:val="28"/>
                <w:lang w:eastAsia="zh-CN"/>
                <w14:textFill>
                  <w14:solidFill>
                    <w14:schemeClr w14:val="tx1"/>
                  </w14:solidFill>
                </w14:textFill>
              </w:rPr>
              <w:t>已</w:t>
            </w:r>
            <w:r>
              <w:rPr>
                <w:rFonts w:hint="default" w:ascii="Times New Roman" w:hAnsi="Times New Roman" w:eastAsia="宋体" w:cs="Times New Roman"/>
                <w:color w:val="000000" w:themeColor="text1"/>
                <w:sz w:val="28"/>
                <w:szCs w:val="28"/>
                <w14:textFill>
                  <w14:solidFill>
                    <w14:schemeClr w14:val="tx1"/>
                  </w14:solidFill>
                </w14:textFill>
              </w:rPr>
              <w:t>撤出现场，除永久占地外，其它区域均将进行植被恢复，工程区域内的植物得到恢复，</w:t>
            </w:r>
            <w:r>
              <w:rPr>
                <w:rFonts w:hint="default" w:ascii="Times New Roman" w:hAnsi="Times New Roman" w:eastAsia="宋体" w:cs="Times New Roman"/>
                <w:color w:val="000000" w:themeColor="text1"/>
                <w:sz w:val="28"/>
                <w:szCs w:val="28"/>
                <w:lang w:eastAsia="zh-CN"/>
                <w14:textFill>
                  <w14:solidFill>
                    <w14:schemeClr w14:val="tx1"/>
                  </w14:solidFill>
                </w14:textFill>
              </w:rPr>
              <w:t>未</w:t>
            </w:r>
            <w:r>
              <w:rPr>
                <w:rFonts w:hint="default" w:ascii="Times New Roman" w:hAnsi="Times New Roman" w:eastAsia="宋体" w:cs="Times New Roman"/>
                <w:color w:val="000000" w:themeColor="text1"/>
                <w:sz w:val="28"/>
                <w:szCs w:val="28"/>
                <w14:textFill>
                  <w14:solidFill>
                    <w14:schemeClr w14:val="tx1"/>
                  </w14:solidFill>
                </w14:textFill>
              </w:rPr>
              <w:t>对自然生态系统造成不可逆的影响和破坏。由于工程水土保持措施的实施，植物的恢复对项目区生态系统体系会带来良好的影响。</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本工程为</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河湖治理及防洪设施工程建筑</w:t>
            </w:r>
            <w:r>
              <w:rPr>
                <w:rFonts w:hint="default" w:ascii="Times New Roman" w:hAnsi="Times New Roman" w:eastAsia="宋体" w:cs="Times New Roman"/>
                <w:color w:val="000000" w:themeColor="text1"/>
                <w:sz w:val="28"/>
                <w:szCs w:val="28"/>
                <w14:textFill>
                  <w14:solidFill>
                    <w14:schemeClr w14:val="tx1"/>
                  </w14:solidFill>
                </w14:textFill>
              </w:rPr>
              <w:t>，属于非污染类建设工程，项目建成对环境的影响主要为正面影响，其正效益主要如下：</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工程实施后，</w:t>
            </w:r>
            <w:r>
              <w:rPr>
                <w:rFonts w:hint="eastAsia" w:ascii="Times New Roman" w:hAnsi="Times New Roman" w:cs="Times New Roman"/>
                <w:color w:val="000000" w:themeColor="text1"/>
                <w:sz w:val="28"/>
                <w:szCs w:val="28"/>
                <w:lang w:val="en-US" w:eastAsia="zh-CN"/>
                <w14:textFill>
                  <w14:solidFill>
                    <w14:schemeClr w14:val="tx1"/>
                  </w14:solidFill>
                </w14:textFill>
              </w:rPr>
              <w:t>能够</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提高当地的防洪能力，保护民众的生命财产安全</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为沿岸村民排忧解难，改善河道环境，保护群众生命财产安全，对发展当地经济都起着举足轻重的作用</w:t>
            </w:r>
            <w:r>
              <w:rPr>
                <w:rFonts w:hint="default" w:ascii="Times New Roman" w:hAnsi="Times New Roman" w:eastAsia="宋体" w:cs="Times New Roman"/>
                <w:color w:val="000000" w:themeColor="text1"/>
                <w:sz w:val="28"/>
                <w:szCs w:val="28"/>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本项目营运期本身不存在环境污染，无需采取污染防治措施。</w:t>
            </w:r>
          </w:p>
          <w:p>
            <w:pPr>
              <w:rPr>
                <w:rFonts w:hint="default" w:ascii="Times New Roman" w:hAnsi="Times New Roman" w:eastAsia="宋体" w:cs="Times New Roman"/>
                <w:color w:val="000000" w:themeColor="text1"/>
                <w:sz w:val="28"/>
                <w:szCs w:val="28"/>
                <w14:textFill>
                  <w14:solidFill>
                    <w14:schemeClr w14:val="tx1"/>
                  </w14:solidFill>
                </w14:textFill>
              </w:rPr>
            </w:pPr>
          </w:p>
          <w:p>
            <w:pPr>
              <w:rPr>
                <w:rFonts w:hint="default" w:ascii="Times New Roman" w:hAnsi="Times New Roman" w:eastAsia="宋体" w:cs="Times New Roman"/>
                <w:color w:val="000000" w:themeColor="text1"/>
                <w:sz w:val="28"/>
                <w:szCs w:val="28"/>
                <w14:textFill>
                  <w14:solidFill>
                    <w14:schemeClr w14:val="tx1"/>
                  </w14:solidFill>
                </w14:textFill>
              </w:rPr>
            </w:pPr>
          </w:p>
          <w:p>
            <w:pPr>
              <w:rPr>
                <w:rFonts w:hint="default" w:ascii="Times New Roman" w:hAnsi="Times New Roman" w:eastAsia="宋体" w:cs="Times New Roman"/>
                <w:color w:val="000000" w:themeColor="text1"/>
                <w:sz w:val="28"/>
                <w:szCs w:val="28"/>
                <w14:textFill>
                  <w14:solidFill>
                    <w14:schemeClr w14:val="tx1"/>
                  </w14:solidFill>
                </w14:textFill>
              </w:rPr>
            </w:pPr>
          </w:p>
        </w:tc>
      </w:tr>
    </w:tbl>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55" w:name="_Toc16531"/>
      <w:bookmarkStart w:id="56" w:name="_Toc1529"/>
      <w:bookmarkStart w:id="57" w:name="_Toc24408"/>
      <w:r>
        <w:rPr>
          <w:rFonts w:hint="default" w:ascii="Times New Roman" w:hAnsi="Times New Roman" w:eastAsia="宋体" w:cs="Times New Roman"/>
          <w:color w:val="000000" w:themeColor="text1"/>
          <w14:textFill>
            <w14:solidFill>
              <w14:schemeClr w14:val="tx1"/>
            </w14:solidFill>
          </w14:textFill>
        </w:rPr>
        <w:t xml:space="preserve">表5  </w:t>
      </w:r>
      <w:bookmarkEnd w:id="55"/>
      <w:bookmarkEnd w:id="56"/>
      <w:r>
        <w:rPr>
          <w:rFonts w:hint="default" w:ascii="Times New Roman" w:hAnsi="Times New Roman" w:eastAsia="宋体" w:cs="Times New Roman"/>
          <w:color w:val="000000" w:themeColor="text1"/>
          <w14:textFill>
            <w14:solidFill>
              <w14:schemeClr w14:val="tx1"/>
            </w14:solidFill>
          </w14:textFill>
        </w:rPr>
        <w:t>环评结论、意见及环评批复的要求</w:t>
      </w:r>
      <w:bookmarkEnd w:id="57"/>
    </w:p>
    <w:tbl>
      <w:tblPr>
        <w:tblStyle w:val="32"/>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0" w:hRule="atLeast"/>
          <w:jc w:val="center"/>
        </w:trPr>
        <w:tc>
          <w:tcPr>
            <w:tcW w:w="9674" w:type="dxa"/>
          </w:tcPr>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58" w:name="_Toc32629"/>
            <w:bookmarkStart w:id="59" w:name="_Toc21305"/>
            <w:bookmarkStart w:id="60" w:name="_Toc7807"/>
            <w:r>
              <w:rPr>
                <w:rFonts w:hint="default" w:ascii="Times New Roman" w:hAnsi="Times New Roman" w:eastAsia="宋体" w:cs="Times New Roman"/>
                <w:color w:val="000000" w:themeColor="text1"/>
                <w:sz w:val="28"/>
                <w:szCs w:val="28"/>
                <w14:textFill>
                  <w14:solidFill>
                    <w14:schemeClr w14:val="tx1"/>
                  </w14:solidFill>
                </w14:textFill>
              </w:rPr>
              <w:t>5.1</w:t>
            </w:r>
            <w:r>
              <w:rPr>
                <w:rFonts w:hint="default" w:ascii="Times New Roman" w:hAnsi="Times New Roman" w:eastAsia="宋体" w:cs="Times New Roman"/>
                <w:color w:val="000000" w:themeColor="text1"/>
                <w:sz w:val="28"/>
                <w:szCs w:val="28"/>
                <w:lang w:eastAsia="zh-CN"/>
                <w14:textFill>
                  <w14:solidFill>
                    <w14:schemeClr w14:val="tx1"/>
                  </w14:solidFill>
                </w14:textFill>
              </w:rPr>
              <w:t>环评结论</w:t>
            </w:r>
            <w:bookmarkEnd w:id="58"/>
            <w:bookmarkEnd w:id="59"/>
            <w:bookmarkEnd w:id="60"/>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bookmarkStart w:id="61" w:name="_Toc27909"/>
            <w:bookmarkStart w:id="62" w:name="_Toc9217"/>
            <w:bookmarkStart w:id="63" w:name="_Toc5636"/>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5.1.1</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废气</w:t>
            </w:r>
          </w:p>
          <w:p>
            <w:pPr>
              <w:pStyle w:val="6"/>
              <w:ind w:firstLine="560" w:firstLineChars="200"/>
              <w:jc w:val="both"/>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（1）扬尘</w:t>
            </w:r>
          </w:p>
          <w:p>
            <w:pPr>
              <w:pStyle w:val="6"/>
              <w:ind w:firstLine="560" w:firstLineChars="200"/>
              <w:jc w:val="both"/>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施工期产生的扬尘按起尘的原因可分为风力起尘和动力起尘。通过对施工作业场地安排员工定期进行清扫、洒水；运载施工材料以及施工垃圾的车辆加盖蓬布；控制施工运输车辆的车速；设置专职环境保护管理人员，指导和管理施工现场的工程开挖回填土方、施工垃圾、施工材料的处置、清运、堆放，场地恢复，清除进出施工现场道路上的泥土、散落料等措施的实施，可以将施工期扬尘产生影响降到最小。</w:t>
            </w:r>
          </w:p>
          <w:p>
            <w:pPr>
              <w:pStyle w:val="6"/>
              <w:ind w:firstLine="560" w:firstLineChars="200"/>
              <w:jc w:val="both"/>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（2）运输车辆及作业机械尾气</w:t>
            </w:r>
          </w:p>
          <w:p>
            <w:pPr>
              <w:pStyle w:val="6"/>
              <w:ind w:firstLine="560" w:firstLineChars="200"/>
              <w:jc w:val="both"/>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施工机械和汽车运输时所排放的尾气，主要对作业点周围和运输路线两侧局部范围产生一定影响。由于排放量不大、项目区环境容量大，所以不会对当地环境空气质量造成不良影响。</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应使用合格的施工与运输车辆，保证汽车尾气达到国家规定的排放标准要求。选用工艺先进、技术含量高的作业机械。</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5.1.2</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废水</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本项目施工过程产生的废水主要为建筑施工废水、施工生活污水。</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施工生产废水通过沉淀池沉淀后循环利用或洒水降尘，对周围环境造成的影响很小。排放去向为作为绿化用水，因此该废水对周边环境的影响较小。</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施工生活污水分为生活污水和粪便废水，施工所产生的生活废水排入</w:t>
            </w: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沉淀池</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中进行过滤、沉淀和消毒，用于施工道路、施工场地的洒水降尘；工程位于农村区域，生活污水在经过</w:t>
            </w: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移动式环保厕所收集后，待移动式环保厕所的粪坑集满后，运至巴楚县污水处理进行处理</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，对周围水环境影响不大。</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5.1.3</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固废</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本项目施工期固体废弃物主要为开挖弃土、生活垃圾。</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（1）本工程将临时弃土采取就地整平和综合利用的措施，无需外运。另外，在倒土过程中，工作面必须设置洒水、喷淋设施，并将渣土压实。建筑垃圾及时拉运至指定建筑垃圾填埋场处理。</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（2）生活垃圾通过密封垃圾收集</w:t>
            </w: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池</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收集后两日一清最终运至生活垃圾处置场所处置，做到无害化处理，对项目区环境影响较小。</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5.1.4</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噪声</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本项目考虑到施工噪声对动物的影响，建设单位应采用低噪声、低振动施工设备和相应技术，减小施工噪声，采取措施后噪声对周边环境影响很小。</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5.1.5</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生态</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为消减工程施工对生态环境的影响，在本工程防治责任区因地制宜地采取临时堆土防护措施、土地平整、撒播草籽等综合防治措施。通过以上生态恢复措施和本项目的实施，项目周围生态环境得到较大改善，预计生态环境比目前有所提高。</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5.1.6</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污染物达标排放可行性</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本项目实施后产生废气、废水、噪声和固体废弃物等污染物量较小，影响的范围也较小，只要切实落实本环评提出的各项污染防治措施，本项目的各种污染物均能做到达标排放。</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5.1.7</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总量控制指标</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由于本项目工艺简单，主要污染物排放均在施工期，随着施工期结束，污染物排放及对环境的影响随即结束，因此本项目在满足达标排放的前提下，不提出相应总量控制污染因子。</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5.1.8</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综合结论</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符合国家及地区相关产业政策。针对本工程的特点进行了详细的工程分析，并对工程可能的环境影响进行了预测，本工程的兴建对环境的影响既有明显有利影响，也存在一定的负面影响，大多可以采取防治和改善措施予以减免。从环境保护角度来看，不存在工程建设的制约性环境影响。建设单位应切实落实本评价报告所提出的各项环保对策和措施，充分保证环保投资的前提下，从环境保护的角度论证，本项目的建设是可行的。工程施工完毕后，应委托具有验收资质的的相关单位进行验收，复核各项措施的完成情况及植被的复垦情况。</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5.1.9</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建议</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（1）应优化施工时序的安排，尽量减少地表裸露的时间，避免在暴雨和大风季节造成大范围的地表裸露；</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（2）做好主体工程基础开挖与回填的衔接，减少临时弃土二次倒运量；</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（3）堆土要做到“先拦后弃”，堆土初期需要做好防护措施。</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（4）施工组织设计应严密组织，安排好施工工序，尽量减少临时弃土的堆置时间。</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（5）水土保持工作应遵循与主体工程“同时设计、同时施工、同时投产使用”的“三同时”原则，贯穿工程建设运营全过程，确保水土保持措施的落实。</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（6）施工过程中加强水土保持监管力度，重视植被保护与水源保护，以保证工程的同时，防治工程区域内水土流失、减轻水土流失危害，保护和改善区域生态环境，促进经济的持续发展。</w:t>
            </w:r>
          </w:p>
          <w:p>
            <w:pPr>
              <w:pStyle w:val="2"/>
              <w:jc w:val="both"/>
              <w:outlineLvl w:val="1"/>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5.2</w:t>
            </w:r>
            <w:bookmarkEnd w:id="61"/>
            <w:bookmarkEnd w:id="62"/>
            <w:r>
              <w:rPr>
                <w:rFonts w:hint="default" w:ascii="Times New Roman" w:hAnsi="Times New Roman" w:eastAsia="宋体" w:cs="Times New Roman"/>
                <w:color w:val="000000" w:themeColor="text1"/>
                <w:sz w:val="28"/>
                <w:szCs w:val="28"/>
                <w14:textFill>
                  <w14:solidFill>
                    <w14:schemeClr w14:val="tx1"/>
                  </w14:solidFill>
                </w14:textFill>
              </w:rPr>
              <w:t>环评</w:t>
            </w:r>
            <w:r>
              <w:rPr>
                <w:rFonts w:hint="default" w:ascii="Times New Roman" w:hAnsi="Times New Roman" w:eastAsia="宋体" w:cs="Times New Roman"/>
                <w:color w:val="000000" w:themeColor="text1"/>
                <w:sz w:val="28"/>
                <w:szCs w:val="28"/>
                <w:lang w:eastAsia="zh-CN"/>
                <w14:textFill>
                  <w14:solidFill>
                    <w14:schemeClr w14:val="tx1"/>
                  </w14:solidFill>
                </w14:textFill>
              </w:rPr>
              <w:t>批复结论</w:t>
            </w:r>
            <w:bookmarkEnd w:id="63"/>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关于《</w:t>
            </w: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环境影响报告表》的批复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巴楚县水利管理站</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你单位报来的《关于〈巴楚县一棵树防洪点修建防洪堤坝 项目环境影响报告表〉的预审意见》(巴环评预字 [2019]1</w:t>
            </w:r>
            <w:r>
              <w:rPr>
                <w:rFonts w:hint="eastAsia" w:ascii="Times New Roman" w:hAnsi="Times New Roman"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14:textFill>
                  <w14:solidFill>
                    <w14:schemeClr w14:val="tx1"/>
                  </w14:solidFill>
                </w14:textFill>
              </w:rPr>
              <w:t>号)及相关附件已收悉，经审核，批复如下：</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一、项目基本概况  该项目位于巴楚县阿拉格尔乡18 村，河道两侧均为耕地，不存在居民区，防洪坝的起点坐标为北 纬39°15′47.13"、东经77°50′35.22"</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终点坐标为北纬39° 16'0.75"、东经77°51′33.24"。工程占地总面积14.50万m², 永久占地为防洪堤坝，占地面积为10.10万m²</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临时占地包括道 路、料场、临时围堰，总占地面积为17.36万m²</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项目建设长度 约1.5km防洪堤坝。项目总投资为2758.63万元(财政专项扶贫资),环保投资21.5万元，占总投资比例0.78%。</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二、新疆奥邦科技有限公司编制的《</w:t>
            </w:r>
            <w:r>
              <w:rPr>
                <w:rFonts w:hint="eastAsia" w:ascii="Times New Roman" w:hAnsi="Times New Roman"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环境影响报告表》比较规范，环保法规使用正确，环境影响评价内容较全面，主要环境影响因子选择适当，环境影响分析与评价标准基本合理准确。同意巴楚县生态环境局的预审意见，并重点做好以下工作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1、生态 应严格限定施工范围，施工机械和车辆应严格按 规定在设计场地及便道上作业和行驶，防止扩大对土壤和植被的破坏范围。在保证顺利施工的前提下，应尽可能缩小施工作业宽</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度，以减少临时占地影响，将建设期对环境不利影响降到最低限度。施工作业时，土方单侧堆放，减少临时占地的影响，作业</w:t>
            </w:r>
            <w:r>
              <w:rPr>
                <w:rFonts w:hint="eastAsia" w:ascii="Times New Roman" w:hAnsi="Times New Roman" w:cs="Times New Roman"/>
                <w:color w:val="000000" w:themeColor="text1"/>
                <w:sz w:val="28"/>
                <w:szCs w:val="28"/>
                <w:lang w:val="en-US" w:eastAsia="zh-CN"/>
                <w14:textFill>
                  <w14:solidFill>
                    <w14:schemeClr w14:val="tx1"/>
                  </w14:solidFill>
                </w14:textFill>
              </w:rPr>
              <w:t>完毕</w:t>
            </w:r>
            <w:r>
              <w:rPr>
                <w:rFonts w:hint="default" w:ascii="Times New Roman" w:hAnsi="Times New Roman" w:eastAsia="宋体" w:cs="Times New Roman"/>
                <w:color w:val="000000" w:themeColor="text1"/>
                <w:sz w:val="28"/>
                <w:szCs w:val="28"/>
                <w14:textFill>
                  <w14:solidFill>
                    <w14:schemeClr w14:val="tx1"/>
                  </w14:solidFill>
                </w14:textFill>
              </w:rPr>
              <w:t>及时回填，最大限度降低工程对开挖区土壤的影响，施工场地应尽快进行恢复，避免土壤长期裸露在外。</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2、废气   应积极开展创建文明工地活动，做好施工工地管理，做到绿色施工；对运输车辆采取密闭措施，杜绝抛洒遗漏现象；对施工场地采用防尘网等进行隔离施工，加强对施工现场建筑渣土堆放的扬尘管理；加强对施工区生活垃圾的收集、运输及处置管理；加强对施工场地物料堆场的覆盖措施，禁止露天焚烧 废弃物和生活垃圾。施工期间，限制车速，尽量减少车辆行驶中 产生的扬尘。对挖方采取定期洒水的方式降尘，要使土体表层始终处于潮湿状态。</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3、废水   施工废水经沉淀池处理后，回用于施工场区洒水，不得直接外排；沉淀池的污泥拉运至料场开挖形成的料坑进行回填处理，钻孔时须设置泥浆循环净化系统，施工区建设移动式环保型厕所，集粪坑满后，将生活污水运至巴楚县污水处理厂进行处理。同时要加强施工队伍的管理，严格各项规章制度，教育施工人员注意保护环境、提高环保意识，严禁随意向水体倾倒废水</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废物。</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4、必须合理安排施工时间，加强施工设备的维护保养，减少运行振动噪声。加强施工管理、文明施工，杜绝施工机械在运 行过程中因维护不当而产生的其他噪声。在施工作业中必须合理 安排各类施工机械的工作时间，对不同施工阶段，应按《建筑施工场界噪声排放标准》(GB12523-2011)对施工场界进行噪声控制。</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5、施工期产生的弃土方和建筑垃圾统一外运至指定地点 堆放，生活垃圾统一收集后清运至环卫部门指定的垃圾填埋场中。</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三</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项目要严格执行环保“三同时”制度和《报告表》中 提出的各项环保措施。本项目日常施工期的环境监督管理由巴楚县生态环境局负责，地区环境监察支队不定期进行抽查。项目建设完工后，由建设方对项目进行竣工环境保护验收，验收合格后 报我局备案。如项目性质、规模、地点、防治污染的措施发生重大变动，须报我局重新审批。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right"/>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喀什地区生态环境局</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right"/>
              <w:textAlignment w:val="auto"/>
              <w:outlineLvl w:val="9"/>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2019年4月24日</w:t>
            </w:r>
          </w:p>
          <w:p>
            <w:pPr>
              <w:jc w:val="both"/>
              <w:rPr>
                <w:rFonts w:hint="default" w:ascii="Times New Roman" w:hAnsi="Times New Roman" w:eastAsia="宋体" w:cs="Times New Roman"/>
                <w:color w:val="000000" w:themeColor="text1"/>
                <w:sz w:val="28"/>
                <w:szCs w:val="28"/>
                <w14:textFill>
                  <w14:solidFill>
                    <w14:schemeClr w14:val="tx1"/>
                  </w14:solidFill>
                </w14:textFill>
              </w:rPr>
            </w:pPr>
          </w:p>
        </w:tc>
      </w:tr>
    </w:tbl>
    <w:p>
      <w:pPr>
        <w:rPr>
          <w:rFonts w:hint="default" w:ascii="Times New Roman" w:hAnsi="Times New Roman" w:eastAsia="宋体" w:cs="Times New Roman"/>
          <w:color w:val="000000" w:themeColor="text1"/>
          <w14:textFill>
            <w14:solidFill>
              <w14:schemeClr w14:val="tx1"/>
            </w14:solidFill>
          </w14:textFill>
        </w:rPr>
      </w:pPr>
      <w:bookmarkStart w:id="64" w:name="_Toc1587"/>
      <w:bookmarkStart w:id="65" w:name="_Toc14948"/>
    </w:p>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66" w:name="_Toc6777"/>
      <w:r>
        <w:rPr>
          <w:rFonts w:hint="default" w:ascii="Times New Roman" w:hAnsi="Times New Roman" w:eastAsia="宋体" w:cs="Times New Roman"/>
          <w:color w:val="000000" w:themeColor="text1"/>
          <w14:textFill>
            <w14:solidFill>
              <w14:schemeClr w14:val="tx1"/>
            </w14:solidFill>
          </w14:textFill>
        </w:rPr>
        <w:t>表6  环境保护措施执行情况</w:t>
      </w:r>
      <w:bookmarkEnd w:id="64"/>
      <w:bookmarkEnd w:id="65"/>
      <w:bookmarkEnd w:id="66"/>
    </w:p>
    <w:tbl>
      <w:tblPr>
        <w:tblStyle w:val="31"/>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995"/>
        <w:gridCol w:w="3189"/>
        <w:gridCol w:w="2757"/>
        <w:gridCol w:w="2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5" w:type="dxa"/>
            <w:gridSpan w:val="2"/>
            <w:tcBorders>
              <w:tl2br w:val="single" w:color="auto" w:sz="4" w:space="0"/>
            </w:tcBorders>
            <w:vAlign w:val="center"/>
          </w:tcPr>
          <w:p>
            <w:p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bookmarkStart w:id="67" w:name="_Toc27298"/>
            <w:bookmarkStart w:id="68" w:name="_Toc10692"/>
            <w:r>
              <w:rPr>
                <w:rFonts w:hint="default" w:ascii="Times New Roman" w:hAnsi="Times New Roman" w:eastAsia="宋体" w:cs="Times New Roman"/>
                <w:color w:val="000000" w:themeColor="text1"/>
                <w:sz w:val="28"/>
                <w:szCs w:val="28"/>
                <w14:textFill>
                  <w14:solidFill>
                    <w14:schemeClr w14:val="tx1"/>
                  </w14:solidFill>
                </w14:textFill>
              </w:rPr>
              <w:t>项目</w:t>
            </w:r>
          </w:p>
          <w:p>
            <w:pPr>
              <w:jc w:val="both"/>
              <w:rPr>
                <w:rFonts w:hint="default" w:ascii="Times New Roman" w:hAnsi="Times New Roman" w:eastAsia="宋体" w:cs="Times New Roman"/>
                <w:color w:val="000000" w:themeColor="text1"/>
                <w:sz w:val="28"/>
                <w:szCs w:val="28"/>
                <w14:textFill>
                  <w14:solidFill>
                    <w14:schemeClr w14:val="tx1"/>
                  </w14:solidFill>
                </w14:textFill>
              </w:rPr>
            </w:pPr>
          </w:p>
          <w:p>
            <w:pPr>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阶段</w:t>
            </w:r>
          </w:p>
        </w:tc>
        <w:tc>
          <w:tcPr>
            <w:tcW w:w="318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环境影响报告表及审批文件中要求的环境保护措施</w:t>
            </w:r>
          </w:p>
        </w:tc>
        <w:tc>
          <w:tcPr>
            <w:tcW w:w="2757"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环境保护措施的落实情况</w:t>
            </w:r>
          </w:p>
        </w:tc>
        <w:tc>
          <w:tcPr>
            <w:tcW w:w="240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措施的执行效果及未采取措施的原因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restart"/>
            <w:vAlign w:val="center"/>
          </w:tcPr>
          <w:p>
            <w:pPr>
              <w:ind w:right="113"/>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w:t>
            </w:r>
          </w:p>
          <w:p>
            <w:pPr>
              <w:ind w:right="113"/>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工</w:t>
            </w:r>
          </w:p>
          <w:p>
            <w:pPr>
              <w:ind w:right="113"/>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期</w:t>
            </w:r>
          </w:p>
        </w:tc>
        <w:tc>
          <w:tcPr>
            <w:tcW w:w="995"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大气</w:t>
            </w:r>
          </w:p>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污染物</w:t>
            </w:r>
          </w:p>
        </w:tc>
        <w:tc>
          <w:tcPr>
            <w:tcW w:w="318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制定必要的防治措施</w:t>
            </w:r>
          </w:p>
        </w:tc>
        <w:tc>
          <w:tcPr>
            <w:tcW w:w="2757" w:type="dxa"/>
            <w:vAlign w:val="center"/>
          </w:tcPr>
          <w:p>
            <w:pPr>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制定必要的防治措施</w:t>
            </w:r>
          </w:p>
        </w:tc>
        <w:tc>
          <w:tcPr>
            <w:tcW w:w="240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ind w:left="113" w:right="113"/>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水</w:t>
            </w:r>
          </w:p>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污染物</w:t>
            </w:r>
          </w:p>
        </w:tc>
        <w:tc>
          <w:tcPr>
            <w:tcW w:w="318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生产废水沉淀池收集后，用于施工区以及施工便道的洒水降尘；生活废水由移动式的环保厕所收集后，待环保型厕所的集粪坑收满后运至巴楚县污水处理厂进行处理。</w:t>
            </w:r>
          </w:p>
        </w:tc>
        <w:tc>
          <w:tcPr>
            <w:tcW w:w="2757" w:type="dxa"/>
            <w:vAlign w:val="center"/>
          </w:tcPr>
          <w:p>
            <w:pPr>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生产废水沉淀池收集后，用于施工区以及施工便道的洒水降尘；生活废水由移动式的环保厕所收集后，待环保型厕所的集粪坑收满后运至巴楚县污水处理厂进行处理。</w:t>
            </w:r>
          </w:p>
        </w:tc>
        <w:tc>
          <w:tcPr>
            <w:tcW w:w="240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ind w:left="113" w:right="113"/>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固体</w:t>
            </w:r>
          </w:p>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废物</w:t>
            </w:r>
          </w:p>
        </w:tc>
        <w:tc>
          <w:tcPr>
            <w:tcW w:w="318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施工过程中产生的弃方用于土坑回填，建筑垃圾及时拉运至指定建筑垃圾填埋场处理。产生的生活垃圾定期运至当地生活垃圾填埋产进行处理</w:t>
            </w:r>
          </w:p>
        </w:tc>
        <w:tc>
          <w:tcPr>
            <w:tcW w:w="2757" w:type="dxa"/>
            <w:vAlign w:val="center"/>
          </w:tcPr>
          <w:p>
            <w:pPr>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施工过程中产生的弃方用于土坑回填，建筑垃圾及时拉运至指定建筑垃圾填埋场处理。产生的生活垃圾定期运至当地生活垃圾填埋产进行处理</w:t>
            </w:r>
          </w:p>
        </w:tc>
        <w:tc>
          <w:tcPr>
            <w:tcW w:w="240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ind w:left="113" w:right="113"/>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噪声</w:t>
            </w:r>
          </w:p>
        </w:tc>
        <w:tc>
          <w:tcPr>
            <w:tcW w:w="318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eastAsia" w:ascii="Times New Roman" w:hAnsi="Times New Roman" w:cs="Times New Roman"/>
                <w:color w:val="000000" w:themeColor="text1"/>
                <w:kern w:val="2"/>
                <w:sz w:val="28"/>
                <w:szCs w:val="28"/>
                <w:lang w:val="en-US" w:eastAsia="zh-CN" w:bidi="ar-SA"/>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restart"/>
            <w:vAlign w:val="center"/>
          </w:tcPr>
          <w:p>
            <w:pPr>
              <w:ind w:right="113"/>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运营期</w:t>
            </w:r>
          </w:p>
          <w:p>
            <w:pPr>
              <w:ind w:firstLine="560" w:firstLineChars="200"/>
              <w:jc w:val="center"/>
              <w:rPr>
                <w:rFonts w:hint="default" w:ascii="Times New Roman" w:hAnsi="Times New Roman" w:eastAsia="宋体" w:cs="Times New Roman"/>
                <w:color w:val="000000" w:themeColor="text1"/>
                <w:sz w:val="28"/>
                <w:szCs w:val="28"/>
                <w14:textFill>
                  <w14:solidFill>
                    <w14:schemeClr w14:val="tx1"/>
                  </w14:solidFill>
                </w14:textFill>
              </w:rPr>
            </w:pPr>
          </w:p>
          <w:p>
            <w:pPr>
              <w:ind w:firstLine="560" w:firstLineChars="200"/>
              <w:jc w:val="center"/>
              <w:rPr>
                <w:rFonts w:hint="default" w:ascii="Times New Roman" w:hAnsi="Times New Roman" w:eastAsia="宋体" w:cs="Times New Roman"/>
                <w:color w:val="000000" w:themeColor="text1"/>
                <w:sz w:val="28"/>
                <w:szCs w:val="28"/>
                <w14:textFill>
                  <w14:solidFill>
                    <w14:schemeClr w14:val="tx1"/>
                  </w14:solidFill>
                </w14:textFill>
              </w:rPr>
            </w:pPr>
          </w:p>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大气</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污染物</w:t>
            </w:r>
          </w:p>
        </w:tc>
        <w:tc>
          <w:tcPr>
            <w:tcW w:w="3189"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水</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污染物</w:t>
            </w:r>
          </w:p>
        </w:tc>
        <w:tc>
          <w:tcPr>
            <w:tcW w:w="318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固体</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废物</w:t>
            </w:r>
          </w:p>
        </w:tc>
        <w:tc>
          <w:tcPr>
            <w:tcW w:w="318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噪声</w:t>
            </w:r>
          </w:p>
        </w:tc>
        <w:tc>
          <w:tcPr>
            <w:tcW w:w="3189" w:type="dxa"/>
            <w:vAlign w:val="center"/>
          </w:tcPr>
          <w:p>
            <w:pPr>
              <w:jc w:val="center"/>
              <w:rPr>
                <w:rFonts w:hint="default" w:ascii="Times New Roman" w:hAnsi="Times New Roman" w:eastAsia="宋体" w:cs="Times New Roman"/>
                <w:color w:val="000000" w:themeColor="text1"/>
                <w:sz w:val="28"/>
                <w:szCs w:val="28"/>
                <w:lang w:val="en-US"/>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环境保护“三同时”制度执行情况</w:t>
            </w:r>
          </w:p>
        </w:tc>
        <w:tc>
          <w:tcPr>
            <w:tcW w:w="318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kern w:val="0"/>
                <w:sz w:val="28"/>
                <w:szCs w:val="28"/>
                <w14:textFill>
                  <w14:solidFill>
                    <w14:schemeClr w14:val="tx1"/>
                  </w14:solidFill>
                </w14:textFill>
              </w:rPr>
              <w:t>项目建设必须执行环境保护“三同时”制度。项目建设完工后，由建设方对项目进行竣工环境保护验收，验收合格后方可投入运行</w:t>
            </w:r>
          </w:p>
        </w:tc>
        <w:tc>
          <w:tcPr>
            <w:tcW w:w="2757"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kern w:val="0"/>
                <w:sz w:val="28"/>
                <w:szCs w:val="28"/>
                <w14:textFill>
                  <w14:solidFill>
                    <w14:schemeClr w14:val="tx1"/>
                  </w14:solidFill>
                </w14:textFill>
              </w:rPr>
              <w:t>项目建设</w:t>
            </w: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严格落实</w:t>
            </w:r>
            <w:r>
              <w:rPr>
                <w:rFonts w:hint="default" w:ascii="Times New Roman" w:hAnsi="Times New Roman" w:eastAsia="宋体" w:cs="Times New Roman"/>
                <w:color w:val="000000" w:themeColor="text1"/>
                <w:kern w:val="0"/>
                <w:sz w:val="28"/>
                <w:szCs w:val="28"/>
                <w14:textFill>
                  <w14:solidFill>
                    <w14:schemeClr w14:val="tx1"/>
                  </w14:solidFill>
                </w14:textFill>
              </w:rPr>
              <w:t>环境保护“三同时”制度。项目建设完工后，由建设方对项目进行竣工环境保护验收，验收合格后投入运行</w:t>
            </w:r>
          </w:p>
        </w:tc>
        <w:tc>
          <w:tcPr>
            <w:tcW w:w="2409" w:type="dxa"/>
            <w:vAlign w:val="center"/>
          </w:tcPr>
          <w:p>
            <w:pPr>
              <w:pStyle w:val="37"/>
              <w:wordWrap w:val="0"/>
              <w:ind w:left="0" w:leftChars="0" w:firstLine="0" w:firstLineChars="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eastAsia" w:cs="Times New Roman"/>
                <w:color w:val="000000" w:themeColor="text1"/>
                <w:sz w:val="28"/>
                <w:szCs w:val="28"/>
                <w:lang w:val="en-US" w:eastAsia="zh-CN"/>
                <w14:textFill>
                  <w14:solidFill>
                    <w14:schemeClr w14:val="tx1"/>
                  </w14:solidFill>
                </w14:textFill>
              </w:rPr>
              <w:t>2019年2月</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r>
              <w:rPr>
                <w:rFonts w:hint="eastAsia" w:cs="Times New Roman"/>
                <w:color w:val="000000" w:themeColor="text1"/>
                <w:sz w:val="28"/>
                <w:szCs w:val="28"/>
                <w:lang w:val="en-US" w:eastAsia="zh-CN"/>
                <w14:textFill>
                  <w14:solidFill>
                    <w14:schemeClr w14:val="tx1"/>
                  </w14:solidFill>
                </w14:textFill>
              </w:rPr>
              <w:t>新疆奥邦科技有限公司</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编制了建设项目环境影响报告表，</w:t>
            </w:r>
            <w:r>
              <w:rPr>
                <w:rFonts w:hint="eastAsia" w:cs="Times New Roman"/>
                <w:color w:val="000000" w:themeColor="text1"/>
                <w:sz w:val="28"/>
                <w:szCs w:val="28"/>
                <w:lang w:val="en-US" w:eastAsia="zh-CN"/>
                <w14:textFill>
                  <w14:solidFill>
                    <w14:schemeClr w14:val="tx1"/>
                  </w14:solidFill>
                </w14:textFill>
              </w:rPr>
              <w:t>2019年4月24日</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，喀什地区生态环境局对本项目进行了批复，</w:t>
            </w:r>
            <w:r>
              <w:rPr>
                <w:rFonts w:hint="default" w:ascii="Times New Roman" w:hAnsi="Times New Roman" w:eastAsia="宋体" w:cs="Times New Roman"/>
                <w:color w:val="000000" w:themeColor="text1"/>
                <w:sz w:val="28"/>
                <w:szCs w:val="28"/>
                <w14:textFill>
                  <w14:solidFill>
                    <w14:schemeClr w14:val="tx1"/>
                  </w14:solidFill>
                </w14:textFill>
              </w:rPr>
              <w:t>项目</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w:t>
            </w:r>
            <w:r>
              <w:rPr>
                <w:rFonts w:hint="eastAsia"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5月20日</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开工建设，</w:t>
            </w:r>
            <w:r>
              <w:rPr>
                <w:rFonts w:hint="eastAsia" w:cs="Times New Roman"/>
                <w:color w:val="000000" w:themeColor="text1"/>
                <w:sz w:val="28"/>
                <w:szCs w:val="28"/>
                <w:lang w:val="en-US" w:eastAsia="zh-CN"/>
                <w14:textFill>
                  <w14:solidFill>
                    <w14:schemeClr w14:val="tx1"/>
                  </w14:solidFill>
                </w14:textFill>
              </w:rPr>
              <w:t>2019年12月24日竣工，并</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投入试生产，</w:t>
            </w:r>
            <w:r>
              <w:rPr>
                <w:rFonts w:hint="default" w:ascii="Times New Roman" w:hAnsi="Times New Roman" w:eastAsia="宋体" w:cs="Times New Roman"/>
                <w:color w:val="000000" w:themeColor="text1"/>
                <w:sz w:val="28"/>
                <w:szCs w:val="28"/>
                <w14:textFill>
                  <w14:solidFill>
                    <w14:schemeClr w14:val="tx1"/>
                  </w14:solidFill>
                </w14:textFill>
              </w:rPr>
              <w:t>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22</w:t>
            </w:r>
            <w:r>
              <w:rPr>
                <w:rFonts w:hint="default" w:ascii="Times New Roman" w:hAnsi="Times New Roman" w:eastAsia="宋体" w:cs="Times New Roman"/>
                <w:color w:val="000000" w:themeColor="text1"/>
                <w:sz w:val="28"/>
                <w:szCs w:val="28"/>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月委托</w:t>
            </w:r>
            <w:r>
              <w:rPr>
                <w:rFonts w:hint="default" w:ascii="Times New Roman" w:hAnsi="Times New Roman" w:eastAsia="宋体" w:cs="Times New Roman"/>
                <w:color w:val="000000" w:themeColor="text1"/>
                <w:sz w:val="28"/>
                <w:szCs w:val="28"/>
                <w:lang w:eastAsia="zh-CN"/>
                <w14:textFill>
                  <w14:solidFill>
                    <w14:schemeClr w14:val="tx1"/>
                  </w14:solidFill>
                </w14:textFill>
              </w:rPr>
              <w:t>新疆昱坤环保科技有限公司</w:t>
            </w:r>
            <w:r>
              <w:rPr>
                <w:rFonts w:hint="default" w:ascii="Times New Roman" w:hAnsi="Times New Roman" w:eastAsia="宋体" w:cs="Times New Roman"/>
                <w:color w:val="000000" w:themeColor="text1"/>
                <w:sz w:val="28"/>
                <w:szCs w:val="28"/>
                <w14:textFill>
                  <w14:solidFill>
                    <w14:schemeClr w14:val="tx1"/>
                  </w14:solidFill>
                </w14:textFill>
              </w:rPr>
              <w:t>进行该项目的竣工环境保护验收工作</w:t>
            </w:r>
          </w:p>
        </w:tc>
      </w:tr>
    </w:tbl>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69" w:name="_Toc28224"/>
      <w:r>
        <w:rPr>
          <w:rFonts w:hint="default" w:ascii="Times New Roman" w:hAnsi="Times New Roman" w:eastAsia="宋体" w:cs="Times New Roman"/>
          <w:color w:val="000000" w:themeColor="text1"/>
          <w14:textFill>
            <w14:solidFill>
              <w14:schemeClr w14:val="tx1"/>
            </w14:solidFill>
          </w14:textFill>
        </w:rPr>
        <w:t>表7 环境影响调查</w:t>
      </w:r>
      <w:bookmarkEnd w:id="67"/>
      <w:bookmarkEnd w:id="68"/>
      <w:bookmarkEnd w:id="69"/>
    </w:p>
    <w:tbl>
      <w:tblPr>
        <w:tblStyle w:val="31"/>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1296"/>
        <w:gridCol w:w="1034"/>
        <w:gridCol w:w="6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6" w:hRule="atLeast"/>
          <w:jc w:val="center"/>
        </w:trPr>
        <w:tc>
          <w:tcPr>
            <w:tcW w:w="1102" w:type="dxa"/>
            <w:vMerge w:val="restart"/>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w:t>
            </w: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生态影响</w:t>
            </w:r>
          </w:p>
        </w:tc>
        <w:tc>
          <w:tcPr>
            <w:tcW w:w="7400" w:type="dxa"/>
            <w:gridSpan w:val="2"/>
            <w:vAlign w:val="center"/>
          </w:tcPr>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1</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 xml:space="preserve"> 区域完整性和稳定性分析</w:t>
            </w:r>
          </w:p>
          <w:p>
            <w:pPr>
              <w:spacing w:line="520" w:lineRule="exact"/>
              <w:ind w:firstLine="560" w:firstLineChars="20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工程施工的区域</w:t>
            </w:r>
            <w:r>
              <w:rPr>
                <w:rFonts w:hint="default" w:ascii="Times New Roman" w:hAnsi="Times New Roman" w:cs="Times New Roman"/>
                <w:b w:val="0"/>
                <w:bCs/>
                <w:snapToGrid w:val="0"/>
                <w:color w:val="000000" w:themeColor="text1"/>
                <w:spacing w:val="-2"/>
                <w:sz w:val="28"/>
                <w:szCs w:val="28"/>
                <w14:textFill>
                  <w14:solidFill>
                    <w14:schemeClr w14:val="tx1"/>
                  </w14:solidFill>
                </w14:textFill>
              </w:rPr>
              <w:t>占地类型为</w:t>
            </w:r>
            <w:r>
              <w:rPr>
                <w:rFonts w:hint="default" w:ascii="Times New Roman" w:hAnsi="Times New Roman" w:cs="Times New Roman"/>
                <w:b w:val="0"/>
                <w:bCs/>
                <w:snapToGrid w:val="0"/>
                <w:color w:val="000000" w:themeColor="text1"/>
                <w:spacing w:val="-2"/>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，项目的施工是采用分段施工的方式进行且工程量较少</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对项目区域完整性的影响微乎其微，并将随施工结束而消失。项目的施工虽占用管线周边天然植被，工程建成后通过植物措施使区域植被覆盖率有所提高，改变区域景观，使区域稳定性加强。</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2</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对生物生境的影响</w:t>
            </w:r>
          </w:p>
          <w:p>
            <w:pPr>
              <w:spacing w:line="520" w:lineRule="exact"/>
              <w:ind w:firstLine="560" w:firstLineChars="20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工程施工的区域</w:t>
            </w:r>
            <w:r>
              <w:rPr>
                <w:rFonts w:hint="default" w:ascii="Times New Roman" w:hAnsi="Times New Roman" w:cs="Times New Roman"/>
                <w:b w:val="0"/>
                <w:bCs/>
                <w:snapToGrid w:val="0"/>
                <w:color w:val="000000" w:themeColor="text1"/>
                <w:spacing w:val="-2"/>
                <w:sz w:val="28"/>
                <w:szCs w:val="28"/>
                <w14:textFill>
                  <w14:solidFill>
                    <w14:schemeClr w14:val="tx1"/>
                  </w14:solidFill>
                </w14:textFill>
              </w:rPr>
              <w:t>占地类型为</w:t>
            </w:r>
            <w:r>
              <w:rPr>
                <w:rFonts w:hint="default" w:ascii="Times New Roman" w:hAnsi="Times New Roman" w:cs="Times New Roman"/>
                <w:b w:val="0"/>
                <w:bCs/>
                <w:snapToGrid w:val="0"/>
                <w:color w:val="000000" w:themeColor="text1"/>
                <w:spacing w:val="-2"/>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，项目区内植被稀疏，主要为自然植被和人工植被。人工植被主要种植葡萄、杏、</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核桃</w:t>
            </w:r>
            <w:r>
              <w:rPr>
                <w:rFonts w:hint="default" w:ascii="Times New Roman" w:hAnsi="Times New Roman" w:cs="Times New Roman"/>
                <w:b w:val="0"/>
                <w:bCs/>
                <w:color w:val="000000" w:themeColor="text1"/>
                <w:sz w:val="28"/>
                <w:szCs w:val="28"/>
                <w14:textFill>
                  <w14:solidFill>
                    <w14:schemeClr w14:val="tx1"/>
                  </w14:solidFill>
                </w14:textFill>
              </w:rPr>
              <w:t>等经济林，</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河道</w:t>
            </w:r>
            <w:r>
              <w:rPr>
                <w:rFonts w:hint="default" w:ascii="Times New Roman" w:hAnsi="Times New Roman" w:cs="Times New Roman"/>
                <w:b w:val="0"/>
                <w:bCs/>
                <w:color w:val="000000" w:themeColor="text1"/>
                <w:sz w:val="28"/>
                <w:szCs w:val="28"/>
                <w14:textFill>
                  <w14:solidFill>
                    <w14:schemeClr w14:val="tx1"/>
                  </w14:solidFill>
                </w14:textFill>
              </w:rPr>
              <w:t>两侧种植有新疆杨、胡杨等乔木；灌区周边自然植被主要为草甸植被，以骆驼刺、苦豆子、甘草、苜蓿等为主。项目区的植被覆盖率约10%。</w:t>
            </w:r>
            <w:r>
              <w:rPr>
                <w:rFonts w:hint="default" w:ascii="Times New Roman" w:hAnsi="Times New Roman" w:cs="Times New Roman"/>
                <w:b w:val="0"/>
                <w:bCs/>
                <w:color w:val="000000" w:themeColor="text1"/>
                <w:kern w:val="28"/>
                <w:sz w:val="28"/>
                <w:szCs w:val="28"/>
                <w14:textFill>
                  <w14:solidFill>
                    <w14:schemeClr w14:val="tx1"/>
                  </w14:solidFill>
                </w14:textFill>
              </w:rPr>
              <w:t>主要动物包括两栖类蟾蜍；鸟类中有麻雀、猫头鹰、啄木鸟等；兽类有黄鼠、沙黄鼠、草兔等。施工期</w:t>
            </w:r>
            <w:r>
              <w:rPr>
                <w:rFonts w:hint="default" w:ascii="Times New Roman" w:hAnsi="Times New Roman" w:cs="Times New Roman"/>
                <w:b w:val="0"/>
                <w:bCs/>
                <w:color w:val="000000" w:themeColor="text1"/>
                <w:sz w:val="28"/>
                <w:szCs w:val="28"/>
                <w14:textFill>
                  <w14:solidFill>
                    <w14:schemeClr w14:val="tx1"/>
                  </w14:solidFill>
                </w14:textFill>
              </w:rPr>
              <w:t>对生境的影响主要来自施工占地和施工机械设备产生的噪声，会造成生物联通受到阻碍</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隔断，动物会出现暂时性的迁移，活动范围减少，但这种影响是短暂的，随着施工结束，开挖土方的及时回填并通过植物措施的实施，植被的覆盖度得到恢复；且由于这些鸟类、爬行类、啮齿类动物是广布种，对于人类活动适应性强，因施工噪声的影响将消失，植被得到恢复，动物将重新回到项目区活动，因此对生物的生境影响</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较小</w:t>
            </w:r>
            <w:r>
              <w:rPr>
                <w:rFonts w:hint="default" w:ascii="Times New Roman" w:hAnsi="Times New Roman" w:cs="Times New Roman"/>
                <w:b w:val="0"/>
                <w:bCs/>
                <w:color w:val="000000" w:themeColor="text1"/>
                <w:sz w:val="28"/>
                <w:szCs w:val="28"/>
                <w14:textFill>
                  <w14:solidFill>
                    <w14:schemeClr w14:val="tx1"/>
                  </w14:solidFill>
                </w14:textFill>
              </w:rPr>
              <w:t>。</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3</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土地利用格局的影响</w:t>
            </w:r>
          </w:p>
          <w:p>
            <w:pPr>
              <w:spacing w:line="520" w:lineRule="exact"/>
              <w:ind w:firstLine="560" w:firstLineChars="20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工</w:t>
            </w:r>
            <w:r>
              <w:rPr>
                <w:rFonts w:hint="default" w:ascii="Times New Roman" w:hAnsi="Times New Roman" w:cs="Times New Roman"/>
                <w:b w:val="0"/>
                <w:bCs/>
                <w:color w:val="000000" w:themeColor="text1"/>
                <w:sz w:val="28"/>
                <w:szCs w:val="28"/>
                <w14:textFill>
                  <w14:solidFill>
                    <w14:schemeClr w14:val="tx1"/>
                  </w14:solidFill>
                </w14:textFill>
              </w:rPr>
              <w:t>程占地总面积</w:t>
            </w:r>
            <w:r>
              <w:rPr>
                <w:rFonts w:hint="eastAsia" w:ascii="Times New Roman" w:hAnsi="Times New Roman" w:cs="Times New Roman"/>
                <w:b w:val="0"/>
                <w:bCs/>
                <w:color w:val="000000" w:themeColor="text1"/>
                <w:sz w:val="28"/>
                <w:szCs w:val="28"/>
                <w:lang w:val="en-US" w:eastAsia="zh-CN"/>
                <w14:textFill>
                  <w14:solidFill>
                    <w14:schemeClr w14:val="tx1"/>
                  </w14:solidFill>
                </w14:textFill>
              </w:rPr>
              <w:t>27.46万㎡</w:t>
            </w:r>
            <w:r>
              <w:rPr>
                <w:rFonts w:hint="default" w:ascii="Times New Roman" w:hAnsi="Times New Roman" w:cs="Times New Roman"/>
                <w:b w:val="0"/>
                <w:bCs/>
                <w:color w:val="000000" w:themeColor="text1"/>
                <w:sz w:val="28"/>
                <w:szCs w:val="28"/>
                <w14:textFill>
                  <w14:solidFill>
                    <w14:schemeClr w14:val="tx1"/>
                  </w14:solidFill>
                </w14:textFill>
              </w:rPr>
              <w:t>，主要为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。本项目的永久占地主要为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河道</w:t>
            </w:r>
            <w:r>
              <w:rPr>
                <w:rFonts w:hint="default" w:ascii="Times New Roman" w:hAnsi="Times New Roman" w:cs="Times New Roman"/>
                <w:b w:val="0"/>
                <w:bCs/>
                <w:color w:val="000000" w:themeColor="text1"/>
                <w:sz w:val="28"/>
                <w:szCs w:val="28"/>
                <w14:textFill>
                  <w14:solidFill>
                    <w14:schemeClr w14:val="tx1"/>
                  </w14:solidFill>
                </w14:textFill>
              </w:rPr>
              <w:t>的占地</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工程结束后，临时占地均恢复原有功能，土地利用类型</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未</w:t>
            </w:r>
            <w:r>
              <w:rPr>
                <w:rFonts w:hint="default" w:ascii="Times New Roman" w:hAnsi="Times New Roman" w:cs="Times New Roman"/>
                <w:b w:val="0"/>
                <w:bCs/>
                <w:color w:val="000000" w:themeColor="text1"/>
                <w:sz w:val="28"/>
                <w:szCs w:val="28"/>
                <w14:textFill>
                  <w14:solidFill>
                    <w14:schemeClr w14:val="tx1"/>
                  </w14:solidFill>
                </w14:textFill>
              </w:rPr>
              <w:t>发生改变。</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4</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土地资源的影响</w:t>
            </w:r>
          </w:p>
          <w:p>
            <w:pPr>
              <w:spacing w:line="520" w:lineRule="exact"/>
              <w:ind w:firstLine="48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工工</w:t>
            </w:r>
            <w:r>
              <w:rPr>
                <w:rFonts w:hint="default" w:ascii="Times New Roman" w:hAnsi="Times New Roman" w:cs="Times New Roman"/>
                <w:b w:val="0"/>
                <w:bCs/>
                <w:color w:val="000000" w:themeColor="text1"/>
                <w:sz w:val="28"/>
                <w:szCs w:val="28"/>
                <w14:textFill>
                  <w14:solidFill>
                    <w14:schemeClr w14:val="tx1"/>
                  </w14:solidFill>
                </w14:textFill>
              </w:rPr>
              <w:t>程占地总面积</w:t>
            </w:r>
            <w:r>
              <w:rPr>
                <w:rFonts w:hint="eastAsia" w:ascii="Times New Roman" w:hAnsi="Times New Roman" w:cs="Times New Roman"/>
                <w:b w:val="0"/>
                <w:bCs/>
                <w:color w:val="000000" w:themeColor="text1"/>
                <w:sz w:val="28"/>
                <w:szCs w:val="28"/>
                <w:lang w:val="en-US" w:eastAsia="zh-CN"/>
                <w14:textFill>
                  <w14:solidFill>
                    <w14:schemeClr w14:val="tx1"/>
                  </w14:solidFill>
                </w14:textFill>
              </w:rPr>
              <w:t>27.46万㎡</w:t>
            </w:r>
            <w:r>
              <w:rPr>
                <w:rFonts w:hint="default" w:ascii="Times New Roman" w:hAnsi="Times New Roman" w:cs="Times New Roman"/>
                <w:b w:val="0"/>
                <w:bCs/>
                <w:color w:val="000000" w:themeColor="text1"/>
                <w:sz w:val="28"/>
                <w:szCs w:val="28"/>
                <w14:textFill>
                  <w14:solidFill>
                    <w14:schemeClr w14:val="tx1"/>
                  </w14:solidFill>
                </w14:textFill>
              </w:rPr>
              <w:t>，主要为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w:t>
            </w:r>
          </w:p>
          <w:p>
            <w:pPr>
              <w:spacing w:line="520" w:lineRule="exact"/>
              <w:ind w:firstLine="48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本工程对土地资源的影响表现为临时占地的影响和永久占地的影响两个方面。</w:t>
            </w:r>
          </w:p>
          <w:p>
            <w:pPr>
              <w:spacing w:line="520" w:lineRule="exact"/>
              <w:ind w:firstLine="480"/>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临时占地包括</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道路、料场、弃渣场等</w:t>
            </w:r>
            <w:r>
              <w:rPr>
                <w:rFonts w:hint="default" w:ascii="Times New Roman" w:hAnsi="Times New Roman" w:cs="Times New Roman"/>
                <w:b w:val="0"/>
                <w:bCs/>
                <w:color w:val="000000" w:themeColor="text1"/>
                <w:sz w:val="28"/>
                <w:szCs w:val="28"/>
                <w14:textFill>
                  <w14:solidFill>
                    <w14:schemeClr w14:val="tx1"/>
                  </w14:solidFill>
                </w14:textFill>
              </w:rPr>
              <w:t>，主要为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施工时仅对地表植被进行一定程度的影响，不影响农作物，对当地的农作物影响较小。</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5</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占地对土壤的影响</w:t>
            </w:r>
          </w:p>
          <w:p>
            <w:pPr>
              <w:spacing w:line="520" w:lineRule="exact"/>
              <w:ind w:firstLine="48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工程建设的渠道开挖和车辆行驶造成对地表的碾压破坏，造成一定的土壤植被损失，对小范围的生态环境有一定的影响，在工程施工结束后，采取水土保持措施，减少对周边环境的影响。</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6</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对植被的影响</w:t>
            </w:r>
          </w:p>
          <w:p>
            <w:pPr>
              <w:spacing w:line="520" w:lineRule="exact"/>
              <w:ind w:firstLine="560" w:firstLineChars="200"/>
              <w:jc w:val="left"/>
              <w:rPr>
                <w:rFonts w:hint="default" w:ascii="Times New Roman" w:hAnsi="Times New Roman" w:eastAsia="宋体"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工程施工的区域</w:t>
            </w:r>
            <w:r>
              <w:rPr>
                <w:rFonts w:hint="default" w:ascii="Times New Roman" w:hAnsi="Times New Roman" w:cs="Times New Roman"/>
                <w:b w:val="0"/>
                <w:bCs/>
                <w:snapToGrid w:val="0"/>
                <w:color w:val="000000" w:themeColor="text1"/>
                <w:spacing w:val="-2"/>
                <w:sz w:val="28"/>
                <w:szCs w:val="28"/>
                <w14:textFill>
                  <w14:solidFill>
                    <w14:schemeClr w14:val="tx1"/>
                  </w14:solidFill>
                </w14:textFill>
              </w:rPr>
              <w:t>占地类型为</w:t>
            </w:r>
            <w:r>
              <w:rPr>
                <w:rFonts w:hint="default" w:ascii="Times New Roman" w:hAnsi="Times New Roman" w:cs="Times New Roman"/>
                <w:b w:val="0"/>
                <w:bCs/>
                <w:snapToGrid w:val="0"/>
                <w:color w:val="000000" w:themeColor="text1"/>
                <w:spacing w:val="-2"/>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，项目区内植被稀疏，主要为自然植被。周边自然植被主要为草甸植被，以骆驼刺、苦豆子、甘草、苜蓿等为主。本工程对植被的影响表现为临时占地的影响。</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永久占地为</w:t>
            </w:r>
            <w:r>
              <w:rPr>
                <w:rFonts w:hint="default" w:ascii="Times New Roman" w:hAnsi="Times New Roman" w:cs="Times New Roman"/>
                <w:b w:val="0"/>
                <w:bCs/>
                <w:snapToGrid w:val="0"/>
                <w:color w:val="000000" w:themeColor="text1"/>
                <w:spacing w:val="-2"/>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w:t>
            </w:r>
          </w:p>
          <w:p>
            <w:pPr>
              <w:spacing w:line="520" w:lineRule="exact"/>
              <w:ind w:firstLine="560" w:firstLineChars="200"/>
              <w:jc w:val="lef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临时占地内的植被影响主要是占地的开挖和机械设备及料场的压占，此影响具有暂时性，随施工结束而终止，自然植被在施工结束后，周围植物可侵入，开始恢复演替过程。在施工结束后，通过对临时占地内的植被进行恢复，撒播草籽，种植当地优势乔、灌、草等，因临时占地造成的植被破坏将及时恢复。</w:t>
            </w:r>
          </w:p>
          <w:p>
            <w:pPr>
              <w:spacing w:line="360" w:lineRule="auto"/>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7</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对水生生物的影响</w:t>
            </w:r>
          </w:p>
          <w:p>
            <w:pPr>
              <w:spacing w:line="360" w:lineRule="auto"/>
              <w:ind w:firstLine="560" w:firstLineChars="200"/>
              <w:jc w:val="lef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本工程属于</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防洪堤建设项目，不会对河道的水质产生影响</w:t>
            </w:r>
            <w:r>
              <w:rPr>
                <w:rFonts w:hint="default" w:ascii="Times New Roman" w:hAnsi="Times New Roman" w:cs="Times New Roman"/>
                <w:b w:val="0"/>
                <w:bCs/>
                <w:color w:val="000000" w:themeColor="text1"/>
                <w:sz w:val="28"/>
                <w:szCs w:val="28"/>
                <w14:textFill>
                  <w14:solidFill>
                    <w14:schemeClr w14:val="tx1"/>
                  </w14:solidFill>
                </w14:textFill>
              </w:rPr>
              <w:t>，因此本工程施工过程中未对水生生态造成破坏。</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8</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对陆生生物的影响</w:t>
            </w:r>
          </w:p>
          <w:p>
            <w:pPr>
              <w:spacing w:line="520" w:lineRule="exact"/>
              <w:ind w:firstLine="560" w:firstLineChars="200"/>
              <w:jc w:val="lef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w:t>
            </w:r>
            <w:r>
              <w:rPr>
                <w:rFonts w:hint="eastAsia" w:ascii="Times New Roman" w:hAnsi="Times New Roman" w:cs="Times New Roman"/>
                <w:b w:val="0"/>
                <w:bCs/>
                <w:color w:val="000000" w:themeColor="text1"/>
                <w:sz w:val="28"/>
                <w:szCs w:val="28"/>
                <w:lang w:val="en-US" w:eastAsia="zh-CN"/>
                <w14:textFill>
                  <w14:solidFill>
                    <w14:schemeClr w14:val="tx1"/>
                  </w14:solidFill>
                </w14:textFill>
              </w:rPr>
              <w:t>一</w:t>
            </w:r>
            <w:r>
              <w:rPr>
                <w:rFonts w:hint="default" w:ascii="Times New Roman" w:hAnsi="Times New Roman" w:cs="Times New Roman"/>
                <w:b w:val="0"/>
                <w:bCs/>
                <w:color w:val="000000" w:themeColor="text1"/>
                <w:sz w:val="28"/>
                <w:szCs w:val="28"/>
                <w14:textFill>
                  <w14:solidFill>
                    <w14:schemeClr w14:val="tx1"/>
                  </w14:solidFill>
                </w14:textFill>
              </w:rPr>
              <w:t>）施工期间，施工占地周围设置一定的作业范围，施工车辆、人员必须在作业带内活动，严禁随意扩大扰动范围；同时教育施工人员保护区域植物资源。</w:t>
            </w:r>
          </w:p>
          <w:p>
            <w:pPr>
              <w:spacing w:line="520" w:lineRule="exact"/>
              <w:ind w:firstLine="560" w:firstLineChars="200"/>
              <w:jc w:val="lef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w:t>
            </w:r>
            <w:r>
              <w:rPr>
                <w:rFonts w:hint="eastAsia" w:ascii="Times New Roman" w:hAnsi="Times New Roman" w:cs="Times New Roman"/>
                <w:b w:val="0"/>
                <w:bCs/>
                <w:color w:val="000000" w:themeColor="text1"/>
                <w:sz w:val="28"/>
                <w:szCs w:val="28"/>
                <w:lang w:val="en-US" w:eastAsia="zh-CN"/>
                <w14:textFill>
                  <w14:solidFill>
                    <w14:schemeClr w14:val="tx1"/>
                  </w14:solidFill>
                </w14:textFill>
              </w:rPr>
              <w:t>二</w:t>
            </w:r>
            <w:r>
              <w:rPr>
                <w:rFonts w:hint="default" w:ascii="Times New Roman" w:hAnsi="Times New Roman" w:cs="Times New Roman"/>
                <w:b w:val="0"/>
                <w:bCs/>
                <w:color w:val="000000" w:themeColor="text1"/>
                <w:sz w:val="28"/>
                <w:szCs w:val="28"/>
                <w14:textFill>
                  <w14:solidFill>
                    <w14:schemeClr w14:val="tx1"/>
                  </w14:solidFill>
                </w14:textFill>
              </w:rPr>
              <w:t>）恢复措施</w:t>
            </w:r>
          </w:p>
          <w:p>
            <w:pPr>
              <w:spacing w:line="520" w:lineRule="exact"/>
              <w:ind w:firstLine="560" w:firstLineChars="200"/>
              <w:jc w:val="lef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施工结束后对临时用地进行平整，表层土回填，恢复植被的区域恢复植被。</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（9）</w:t>
            </w:r>
            <w:r>
              <w:rPr>
                <w:rFonts w:hint="default" w:ascii="Times New Roman" w:hAnsi="Times New Roman" w:cs="Times New Roman"/>
                <w:b w:val="0"/>
                <w:bCs/>
                <w:color w:val="000000" w:themeColor="text1"/>
                <w:sz w:val="28"/>
                <w:szCs w:val="28"/>
                <w14:textFill>
                  <w14:solidFill>
                    <w14:schemeClr w14:val="tx1"/>
                  </w14:solidFill>
                </w14:textFill>
              </w:rPr>
              <w:t>对景观生态的影响</w:t>
            </w:r>
          </w:p>
          <w:p>
            <w:pPr>
              <w:spacing w:line="520" w:lineRule="exact"/>
              <w:ind w:firstLine="560" w:firstLineChars="200"/>
              <w:jc w:val="lef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施工期主要表现在土地利用格局的暂时性改变、施工生产设施零星分布造成景观破碎化增加，景观比例额略有降低，联通度稍有降低。但随着项目施工的结束，对景观生态的影响将会随着植物措施的实施得到有效改善。</w:t>
            </w:r>
          </w:p>
          <w:p>
            <w:pPr>
              <w:spacing w:line="520" w:lineRule="exact"/>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（10）河流水文情势影响</w:t>
            </w:r>
          </w:p>
          <w:p>
            <w:pPr>
              <w:spacing w:line="360" w:lineRule="auto"/>
              <w:ind w:firstLine="560" w:firstLineChars="200"/>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工程段河流天然来水具有明显的丰枯年组交替演变，其径流变化情势总体呈下降减少趋势，河流水量减少的主要因素在于上游下垫面条件、气候和区域水资源时空分配的变化，防洪堤实施后对河流水量变化情势不会造成影响。</w:t>
            </w:r>
          </w:p>
          <w:p>
            <w:pPr>
              <w:spacing w:line="520" w:lineRule="exact"/>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（11）河流泥沙变化情势影响</w:t>
            </w:r>
          </w:p>
          <w:p>
            <w:pPr>
              <w:spacing w:line="360" w:lineRule="auto"/>
              <w:ind w:firstLine="560" w:firstLineChars="200"/>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 xml:space="preserve"> 防洪堤实施后，工程对原河势及主河道纵坡</w:t>
            </w:r>
            <w:r>
              <w:rPr>
                <w:rFonts w:hint="eastAsia" w:ascii="Times New Roman" w:hAnsi="Times New Roman" w:cs="Times New Roman"/>
                <w:b w:val="0"/>
                <w:bCs/>
                <w:color w:val="000000" w:themeColor="text1"/>
                <w:sz w:val="28"/>
                <w:szCs w:val="28"/>
                <w:lang w:val="en-US" w:eastAsia="zh-CN"/>
                <w14:textFill>
                  <w14:solidFill>
                    <w14:schemeClr w14:val="tx1"/>
                  </w14:solidFill>
                </w14:textFill>
              </w:rPr>
              <w:t>无</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大的改变。</w:t>
            </w:r>
          </w:p>
          <w:p>
            <w:pPr>
              <w:spacing w:line="520" w:lineRule="exact"/>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（12）对河势稳定和行洪的影响</w:t>
            </w:r>
          </w:p>
          <w:p>
            <w:pPr>
              <w:spacing w:line="360" w:lineRule="auto"/>
              <w:ind w:firstLine="560" w:firstLineChars="200"/>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由于本项目堤线轴线沿河漫滩及阶地前缘布置，基本不改变河道河床地形条件。河道经过防洪坝建设，对岸坡起保护作用，更有利于河势的稳定。</w:t>
            </w:r>
          </w:p>
          <w:p>
            <w:pPr>
              <w:spacing w:line="520" w:lineRule="exact"/>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（13）对社会环境的影响分析</w:t>
            </w:r>
          </w:p>
          <w:p>
            <w:pPr>
              <w:spacing w:line="360" w:lineRule="auto"/>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 xml:space="preserve"> 本工程修建后，能大大提高乡镇农田和居民区防洪减灾能力，对营造优美的人居环境，改善生态环境，提升乡镇形象。同时在保证行洪安全的前提下，经过防洪政治后，两岸受洪水冲刷，不能常年耕作的土地可保护起来成为常年耕地，堤内成片漫滩可改造成为耕地。林地或其他多种经营用地，对促进区域经济的可持续发展具有巨大的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Merge w:val="restart"/>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污染影响</w:t>
            </w:r>
          </w:p>
        </w:tc>
        <w:tc>
          <w:tcPr>
            <w:tcW w:w="1034" w:type="dxa"/>
            <w:vAlign w:val="center"/>
          </w:tcPr>
          <w:p>
            <w:pPr>
              <w:contextualSpacing/>
              <w:jc w:val="center"/>
              <w:rPr>
                <w:rFonts w:hint="default" w:ascii="Times New Roman" w:hAnsi="Times New Roman" w:eastAsia="宋体" w:cs="Times New Roman"/>
                <w:color w:val="000000" w:themeColor="text1"/>
                <w:sz w:val="28"/>
                <w:szCs w:val="28"/>
                <w:lang w:val="en-US"/>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废水</w:t>
            </w:r>
          </w:p>
        </w:tc>
        <w:tc>
          <w:tcPr>
            <w:tcW w:w="6366" w:type="dxa"/>
            <w:vAlign w:val="center"/>
          </w:tcPr>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1、生产</w:t>
            </w:r>
            <w:r>
              <w:rPr>
                <w:rFonts w:hint="default" w:ascii="Times New Roman" w:hAnsi="Times New Roman" w:eastAsia="宋体" w:cs="Times New Roman"/>
                <w:color w:val="000000" w:themeColor="text1"/>
                <w:sz w:val="28"/>
                <w:szCs w:val="28"/>
                <w:lang w:eastAsia="zh-CN"/>
                <w14:textFill>
                  <w14:solidFill>
                    <w14:schemeClr w14:val="tx1"/>
                  </w14:solidFill>
                </w14:textFill>
              </w:rPr>
              <w:t>污水</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预制构件养护水</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本项目均购买预制构件，不在项目区内进行搅拌，仅预制构件在项目区内养护时会产生一定量的养护废水，其废水水质简单，仅</w:t>
            </w:r>
            <w:r>
              <w:rPr>
                <w:rFonts w:hint="default" w:ascii="Times New Roman" w:hAnsi="Times New Roman" w:eastAsia="宋体" w:cs="Times New Roman"/>
                <w:color w:val="000000" w:themeColor="text1"/>
                <w:sz w:val="28"/>
                <w:szCs w:val="28"/>
                <w:lang w:eastAsia="zh-CN"/>
                <w14:textFill>
                  <w14:solidFill>
                    <w14:schemeClr w14:val="tx1"/>
                  </w14:solidFill>
                </w14:textFill>
              </w:rPr>
              <w:t>SS含量</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较高，</w:t>
            </w:r>
            <w:r>
              <w:rPr>
                <w:rFonts w:hint="default" w:ascii="Times New Roman" w:hAnsi="Times New Roman" w:eastAsia="宋体" w:cs="Times New Roman"/>
                <w:color w:val="000000" w:themeColor="text1"/>
                <w:sz w:val="28"/>
                <w:szCs w:val="28"/>
                <w:lang w:eastAsia="zh-CN"/>
                <w14:textFill>
                  <w14:solidFill>
                    <w14:schemeClr w14:val="tx1"/>
                  </w14:solidFill>
                </w14:textFill>
              </w:rPr>
              <w:t>会对地表水和土壤造成污染。</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）施工机械保养、清洗废水</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施工机械在保养、清洗过程中将产生一定量的废水，这类废水中悬浮物含量较高，同时含有少量石油类物质。根据类比计算，机械保养排放水量约0.3</w:t>
            </w:r>
            <w:r>
              <w:rPr>
                <w:rFonts w:hint="eastAsia" w:ascii="Times New Roman" w:hAnsi="Times New Roman" w:cs="Times New Roman"/>
                <w:color w:val="000000" w:themeColor="text1"/>
                <w:sz w:val="28"/>
                <w:szCs w:val="28"/>
                <w:lang w:eastAsia="zh-CN"/>
                <w14:textFill>
                  <w14:solidFill>
                    <w14:schemeClr w14:val="tx1"/>
                  </w14:solidFill>
                </w14:textFill>
              </w:rPr>
              <w:t>m³</w:t>
            </w:r>
            <w:r>
              <w:rPr>
                <w:rFonts w:hint="default" w:ascii="Times New Roman" w:hAnsi="Times New Roman" w:eastAsia="宋体" w:cs="Times New Roman"/>
                <w:color w:val="000000" w:themeColor="text1"/>
                <w:sz w:val="28"/>
                <w:szCs w:val="28"/>
                <w:lang w:eastAsia="zh-CN"/>
                <w14:textFill>
                  <w14:solidFill>
                    <w14:schemeClr w14:val="tx1"/>
                  </w14:solidFill>
                </w14:textFill>
              </w:rPr>
              <w:t>/d</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综上所述，本项目产生的施工废水经配套的沉淀池收集后，用于施工区以及施工便道的洒水降尘，不随意外排。</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生活污水</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项目租用当地居民 ，不在施工区设置生活区，生活污水较</w:t>
            </w:r>
            <w:r>
              <w:rPr>
                <w:rFonts w:hint="default" w:ascii="Times New Roman" w:hAnsi="Times New Roman" w:eastAsia="宋体" w:cs="Times New Roman"/>
                <w:color w:val="000000" w:themeColor="text1"/>
                <w:sz w:val="28"/>
                <w:szCs w:val="28"/>
                <w:lang w:eastAsia="zh-CN"/>
                <w14:textFill>
                  <w14:solidFill>
                    <w14:schemeClr w14:val="tx1"/>
                  </w14:solidFill>
                </w14:textFill>
              </w:rPr>
              <w:t>为分散的、不连续排放。</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由于不在施工区附近设置生活区，但仍会产生少量的生活废水，排水经移动式的环保厕所收集后，待环保型厕所的集粪坑收满后运至巴楚县污水处理厂进行处理。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1102"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296"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034" w:type="dxa"/>
            <w:vAlign w:val="center"/>
          </w:tcPr>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废气</w:t>
            </w:r>
          </w:p>
        </w:tc>
        <w:tc>
          <w:tcPr>
            <w:tcW w:w="6366" w:type="dxa"/>
            <w:vAlign w:val="center"/>
          </w:tcPr>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施工期对环境空气的影响主要来自于土方工程、混凝土施工等产生的施工扬尘</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运输车辆引起的扬尘及尾气</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施工机械产生的机械尾气，其中以施工扬尘的影响最大。</w:t>
            </w:r>
          </w:p>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（1）施工扬尘</w:t>
            </w:r>
          </w:p>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为灌渠建设工程。在施工过程中，土石方开挖、回填、砂石、混凝土等建筑材料运输、装卸等产生扬尘，对大气环境造成一定不良影响，尤其是在风力较大和干燥气候条件弃渣土堆放过程产生风蚀扬尘，装车时造成尘土飞扬，运输车辆的夹带和遗洒，在风力和车轮的共同作用下，带起大量的扬尘。采取如下防治措施：</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① 施工现场裸露的场地和集中堆放的土方采取密目网进行覆盖，及洒水、固化等措施</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② 安排专人定期对施工场地清扫、洒水，以减轻扬尘的飞扬，每天洒水1-2次，遇大风或干燥天气，适当增加洒水次数</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③ 施工遇到干燥、易起尘的土方工程作业时，辅以洒水压尘，缩短起尘操作时间，四级以上大风天气，不进行土方回填、转运以及其它可能产生扬尘污染的施工，五级以及以上大风天气，施工现场停止工地室外作业</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④ 施工作业场地采取移动围挡作业，围挡高度不低于1.8m</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土方挖掘后及时施工及时填埋，不造成地表层长时间破坏，减少风力二次扬尘</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⑤ 运送土方、垃圾、设备及建筑材料等不污损场外道路，运输车辆采取防护措施，保证物料不得散落、飞扬和遗漏</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⑥ 施工现场对粉状材料封闭存放，对易产生扬尘的堆放材料采取封闭、半封闭和覆盖措施</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（2）施工机械尾气</w:t>
            </w:r>
          </w:p>
          <w:p>
            <w:pPr>
              <w:autoSpaceDE w:val="0"/>
              <w:autoSpaceDN w:val="0"/>
              <w:adjustRightInd w:val="0"/>
              <w:spacing w:after="100" w:afterAutospacing="1"/>
              <w:ind w:firstLine="560" w:firstLineChars="200"/>
              <w:jc w:val="both"/>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在施工过程中，施工机械以汽油和柴油为燃料，其所排放的尾气污染大气环境。通过加强车辆和机械设备维护保养，减少不必要的空转时间，以控制机械尾气排放</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1102"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296"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034" w:type="dxa"/>
            <w:vAlign w:val="center"/>
          </w:tcPr>
          <w:p>
            <w:pPr>
              <w:spacing w:line="240" w:lineRule="auto"/>
              <w:contextualSpacing/>
              <w:jc w:val="cente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固废</w:t>
            </w:r>
          </w:p>
        </w:tc>
        <w:tc>
          <w:tcPr>
            <w:tcW w:w="6366" w:type="dxa"/>
            <w:vAlign w:val="center"/>
          </w:tcPr>
          <w:p>
            <w:pPr>
              <w:pStyle w:val="37"/>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项目施工建设过程中产生一些废土渣和生活垃圾等</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autoSpaceDE w:val="0"/>
              <w:autoSpaceDN w:val="0"/>
              <w:adjustRightInd w:val="0"/>
              <w:spacing w:after="100" w:afterAutospacing="1"/>
              <w:ind w:firstLine="560" w:firstLineChars="200"/>
              <w:jc w:val="both"/>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施工期施工人员生活垃圾依托附近村庄现有设施，不可利用的弃土方拉运至指定的弃渣场回填，建筑垃圾、沉淀池泥沙集中收集后送至运至</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default" w:ascii="Times New Roman" w:hAnsi="Times New Roman" w:eastAsia="宋体" w:cs="Times New Roman"/>
                <w:color w:val="000000" w:themeColor="text1"/>
                <w:sz w:val="28"/>
                <w:szCs w:val="28"/>
                <w14:textFill>
                  <w14:solidFill>
                    <w14:schemeClr w14:val="tx1"/>
                  </w14:solidFill>
                </w14:textFill>
              </w:rPr>
              <w:t>指定建筑垃圾处理中心集中处置。项目区距</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default" w:ascii="Times New Roman" w:hAnsi="Times New Roman" w:eastAsia="宋体" w:cs="Times New Roman"/>
                <w:color w:val="000000" w:themeColor="text1"/>
                <w:sz w:val="28"/>
                <w:szCs w:val="28"/>
                <w14:textFill>
                  <w14:solidFill>
                    <w14:schemeClr w14:val="tx1"/>
                  </w14:solidFill>
                </w14:textFill>
              </w:rPr>
              <w:t>较近，</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default" w:ascii="Times New Roman" w:hAnsi="Times New Roman" w:eastAsia="宋体" w:cs="Times New Roman"/>
                <w:color w:val="000000" w:themeColor="text1"/>
                <w:sz w:val="28"/>
                <w:szCs w:val="28"/>
                <w14:textFill>
                  <w14:solidFill>
                    <w14:schemeClr w14:val="tx1"/>
                  </w14:solidFill>
                </w14:textFill>
              </w:rPr>
              <w:t>有较完善的污水处理系统和生活垃圾清运部门</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1102"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296"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034" w:type="dxa"/>
            <w:vAlign w:val="center"/>
          </w:tcPr>
          <w:p>
            <w:pPr>
              <w:contextualSpacing/>
              <w:jc w:val="cente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噪声</w:t>
            </w:r>
          </w:p>
        </w:tc>
        <w:tc>
          <w:tcPr>
            <w:tcW w:w="6366" w:type="dxa"/>
            <w:vAlign w:val="center"/>
          </w:tcPr>
          <w:p>
            <w:pPr>
              <w:autoSpaceDE w:val="0"/>
              <w:autoSpaceDN w:val="0"/>
              <w:adjustRightInd w:val="0"/>
              <w:spacing w:after="100" w:afterAutospacing="1"/>
              <w:ind w:firstLine="560" w:firstLineChars="200"/>
              <w:jc w:val="both"/>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w:t>
            </w:r>
            <w:r>
              <w:rPr>
                <w:rFonts w:hint="default" w:ascii="Times New Roman" w:hAnsi="Times New Roman" w:eastAsia="宋体" w:cs="Times New Roman"/>
                <w:color w:val="000000" w:themeColor="text1"/>
                <w:sz w:val="28"/>
                <w:szCs w:val="28"/>
                <w:lang w:eastAsia="zh-CN"/>
                <w14:textFill>
                  <w14:solidFill>
                    <w14:schemeClr w14:val="tx1"/>
                  </w14:solidFill>
                </w14:textFill>
              </w:rPr>
              <w:t>施工</w:t>
            </w:r>
            <w:r>
              <w:rPr>
                <w:rFonts w:hint="default" w:ascii="Times New Roman" w:hAnsi="Times New Roman" w:eastAsia="宋体" w:cs="Times New Roman"/>
                <w:color w:val="000000" w:themeColor="text1"/>
                <w:sz w:val="28"/>
                <w:szCs w:val="28"/>
                <w14:textFill>
                  <w14:solidFill>
                    <w14:schemeClr w14:val="tx1"/>
                  </w14:solidFill>
                </w14:textFill>
              </w:rPr>
              <w:t>期间噪声主要为</w:t>
            </w:r>
            <w:r>
              <w:rPr>
                <w:rFonts w:hint="default" w:ascii="Times New Roman" w:hAnsi="Times New Roman" w:eastAsia="宋体" w:cs="Times New Roman"/>
                <w:color w:val="000000" w:themeColor="text1"/>
                <w:sz w:val="28"/>
                <w:szCs w:val="28"/>
                <w:lang w:eastAsia="zh-CN"/>
                <w14:textFill>
                  <w14:solidFill>
                    <w14:schemeClr w14:val="tx1"/>
                  </w14:solidFill>
                </w14:textFill>
              </w:rPr>
              <w:t>项目</w:t>
            </w:r>
            <w:r>
              <w:rPr>
                <w:rFonts w:hint="default" w:ascii="Times New Roman" w:hAnsi="Times New Roman" w:eastAsia="宋体" w:cs="Times New Roman"/>
                <w:color w:val="000000" w:themeColor="text1"/>
                <w:sz w:val="28"/>
                <w:szCs w:val="28"/>
                <w14:textFill>
                  <w14:solidFill>
                    <w14:schemeClr w14:val="tx1"/>
                  </w14:solidFill>
                </w14:textFill>
              </w:rPr>
              <w:t>区内各机械设备运行中产生的机械噪声，通过选用低噪声设备、合理安排设备位置、加强设备维护保养、合理安排施工车辆进出场地的行驶时间，加强车辆管理等措施</w:t>
            </w:r>
            <w:r>
              <w:rPr>
                <w:rFonts w:hint="default" w:ascii="Times New Roman" w:hAnsi="Times New Roman" w:eastAsia="宋体" w:cs="Times New Roman"/>
                <w:color w:val="000000" w:themeColor="text1"/>
                <w:sz w:val="28"/>
                <w:szCs w:val="28"/>
                <w:lang w:eastAsia="zh-CN"/>
                <w14:textFill>
                  <w14:solidFill>
                    <w14:schemeClr w14:val="tx1"/>
                  </w14:solidFill>
                </w14:textFill>
              </w:rPr>
              <w:t>降噪。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社会影响</w:t>
            </w:r>
          </w:p>
        </w:tc>
        <w:tc>
          <w:tcPr>
            <w:tcW w:w="7400" w:type="dxa"/>
            <w:gridSpan w:val="2"/>
            <w:vAlign w:val="center"/>
          </w:tcPr>
          <w:p>
            <w:pPr>
              <w:ind w:firstLine="560" w:firstLineChars="200"/>
              <w:contextualSpacing/>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施工期间</w:t>
            </w:r>
            <w:r>
              <w:rPr>
                <w:rFonts w:hint="default" w:ascii="Times New Roman" w:hAnsi="Times New Roman" w:eastAsia="宋体" w:cs="Times New Roman"/>
                <w:color w:val="000000" w:themeColor="text1"/>
                <w:sz w:val="28"/>
                <w:szCs w:val="28"/>
                <w14:textFill>
                  <w14:solidFill>
                    <w14:schemeClr w14:val="tx1"/>
                  </w14:solidFill>
                </w14:textFill>
              </w:rPr>
              <w:t>，未发生环境污染事件和公众投诉事件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102"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运营期生态影响</w:t>
            </w:r>
          </w:p>
        </w:tc>
        <w:tc>
          <w:tcPr>
            <w:tcW w:w="8696" w:type="dxa"/>
            <w:gridSpan w:val="3"/>
            <w:vAlign w:val="center"/>
          </w:tcPr>
          <w:p>
            <w:pPr>
              <w:pStyle w:val="37"/>
              <w:ind w:left="0" w:leftChars="0" w:firstLine="560" w:firstLineChars="200"/>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已建成，各施工点的施工人员、机械设备等均已撤出现场，除永久占地外，其它区域均将进行植被恢复，工程区域内的植物得到恢复，未对自然生态系统造成不可逆的影响和破坏。由于工程水土保持措施的实施，植物的恢复对项目区生态系统体系会带来良好的影响，另一方面在工程区对施工临时设施等占地进行复草措施，对系统生产力的恢复和提高是非常有利的</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1102" w:type="dxa"/>
            <w:vMerge w:val="restart"/>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运营期</w:t>
            </w:r>
          </w:p>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污染影响</w:t>
            </w: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废水</w:t>
            </w:r>
          </w:p>
        </w:tc>
        <w:tc>
          <w:tcPr>
            <w:tcW w:w="7400" w:type="dxa"/>
            <w:gridSpan w:val="2"/>
            <w:vAlign w:val="center"/>
          </w:tcPr>
          <w:p>
            <w:pPr>
              <w:ind w:firstLine="560" w:firstLineChars="200"/>
              <w:jc w:val="left"/>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本项目运营期无废水产生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1102" w:type="dxa"/>
            <w:vMerge w:val="continue"/>
            <w:vAlign w:val="center"/>
          </w:tcPr>
          <w:p>
            <w:pPr>
              <w:contextualSpacing/>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废气</w:t>
            </w:r>
          </w:p>
        </w:tc>
        <w:tc>
          <w:tcPr>
            <w:tcW w:w="7400" w:type="dxa"/>
            <w:gridSpan w:val="2"/>
            <w:vAlign w:val="center"/>
          </w:tcPr>
          <w:p>
            <w:pPr>
              <w:keepNext w:val="0"/>
              <w:keepLines/>
              <w:pageBreakBefore w:val="0"/>
              <w:widowControl w:val="0"/>
              <w:kinsoku/>
              <w:wordWrap/>
              <w:overflowPunct/>
              <w:topLinePunct w:val="0"/>
              <w:autoSpaceDE/>
              <w:autoSpaceDN/>
              <w:bidi w:val="0"/>
              <w:adjustRightInd/>
              <w:snapToGrid/>
              <w:spacing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本项目运营期无废气产生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exac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spacing w:line="240" w:lineRule="auto"/>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固废</w:t>
            </w:r>
          </w:p>
        </w:tc>
        <w:tc>
          <w:tcPr>
            <w:tcW w:w="7400" w:type="dxa"/>
            <w:gridSpan w:val="2"/>
            <w:vAlign w:val="center"/>
          </w:tcPr>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本项目运营期无固废产生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exac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噪声</w:t>
            </w:r>
          </w:p>
        </w:tc>
        <w:tc>
          <w:tcPr>
            <w:tcW w:w="7400" w:type="dxa"/>
            <w:gridSpan w:val="2"/>
            <w:vAlign w:val="center"/>
          </w:tcPr>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本项目运营期无噪声产生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4" w:hRule="exac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社会影响</w:t>
            </w:r>
          </w:p>
        </w:tc>
        <w:tc>
          <w:tcPr>
            <w:tcW w:w="7400" w:type="dxa"/>
            <w:gridSpan w:val="2"/>
            <w:vAlign w:val="center"/>
          </w:tcPr>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本工程为</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河湖治理及防洪设施工程建筑</w:t>
            </w:r>
            <w:r>
              <w:rPr>
                <w:rFonts w:hint="default" w:ascii="Times New Roman" w:hAnsi="Times New Roman" w:eastAsia="宋体" w:cs="Times New Roman"/>
                <w:color w:val="000000" w:themeColor="text1"/>
                <w:sz w:val="28"/>
                <w:szCs w:val="28"/>
                <w14:textFill>
                  <w14:solidFill>
                    <w14:schemeClr w14:val="tx1"/>
                  </w14:solidFill>
                </w14:textFill>
              </w:rPr>
              <w:t>，属于非污染类建设工程，项目建成对环境的影响主要为正面影响，其正效益主要如下：</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工程实施后，</w:t>
            </w:r>
            <w:r>
              <w:rPr>
                <w:rFonts w:hint="eastAsia" w:ascii="Times New Roman" w:hAnsi="Times New Roman" w:cs="Times New Roman"/>
                <w:color w:val="000000" w:themeColor="text1"/>
                <w:sz w:val="28"/>
                <w:szCs w:val="28"/>
                <w:lang w:val="en-US" w:eastAsia="zh-CN"/>
                <w14:textFill>
                  <w14:solidFill>
                    <w14:schemeClr w14:val="tx1"/>
                  </w14:solidFill>
                </w14:textFill>
              </w:rPr>
              <w:t>能够</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提高当地的防洪能力，保护民众的生命财产安全</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为沿岸村民排忧解难，改善河道环境，保护群众生命财产安全，对发展当地经济都起着举足轻重的作用</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37"/>
              <w:ind w:left="0" w:leftChars="0"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p>
        </w:tc>
      </w:tr>
    </w:tbl>
    <w:p>
      <w:pPr>
        <w:rPr>
          <w:rFonts w:hint="default" w:ascii="Times New Roman" w:hAnsi="Times New Roman" w:eastAsia="宋体" w:cs="Times New Roman"/>
          <w:color w:val="000000" w:themeColor="text1"/>
          <w14:textFill>
            <w14:solidFill>
              <w14:schemeClr w14:val="tx1"/>
            </w14:solidFill>
          </w14:textFill>
        </w:rPr>
      </w:pPr>
      <w:bookmarkStart w:id="70" w:name="_Toc18293"/>
      <w:bookmarkStart w:id="71" w:name="_Toc12774"/>
      <w:bookmarkStart w:id="72" w:name="_Toc10468"/>
      <w:r>
        <w:rPr>
          <w:rFonts w:hint="default" w:ascii="Times New Roman" w:hAnsi="Times New Roman" w:eastAsia="宋体" w:cs="Times New Roman"/>
          <w:color w:val="000000" w:themeColor="text1"/>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表8  环境质量及污染源监测</w:t>
      </w:r>
      <w:bookmarkEnd w:id="70"/>
      <w:bookmarkEnd w:id="71"/>
      <w:bookmarkEnd w:id="72"/>
    </w:p>
    <w:tbl>
      <w:tblPr>
        <w:tblStyle w:val="31"/>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3000"/>
        <w:gridCol w:w="1467"/>
        <w:gridCol w:w="1453"/>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w:t>
            </w:r>
          </w:p>
        </w:tc>
        <w:tc>
          <w:tcPr>
            <w:tcW w:w="3000"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监测时间监测频次</w:t>
            </w:r>
          </w:p>
        </w:tc>
        <w:tc>
          <w:tcPr>
            <w:tcW w:w="146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监测点位</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监测项目</w:t>
            </w:r>
          </w:p>
        </w:tc>
        <w:tc>
          <w:tcPr>
            <w:tcW w:w="217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监测结果分析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生态</w:t>
            </w:r>
          </w:p>
        </w:tc>
        <w:tc>
          <w:tcPr>
            <w:tcW w:w="3000"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w:t>
            </w:r>
            <w:r>
              <w:rPr>
                <w:rFonts w:hint="default" w:ascii="Times New Roman" w:hAnsi="Times New Roman" w:eastAsia="宋体" w:cs="Times New Roman"/>
                <w:color w:val="000000" w:themeColor="text1"/>
                <w:sz w:val="28"/>
                <w:szCs w:val="28"/>
                <w14:textFill>
                  <w14:solidFill>
                    <w14:schemeClr w14:val="tx1"/>
                  </w14:solidFill>
                </w14:textFill>
              </w:rPr>
              <w:t>水</w:t>
            </w:r>
          </w:p>
        </w:tc>
        <w:tc>
          <w:tcPr>
            <w:tcW w:w="3000"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无组织废气</w:t>
            </w:r>
          </w:p>
        </w:tc>
        <w:tc>
          <w:tcPr>
            <w:tcW w:w="3000"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exac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有组织废气</w:t>
            </w:r>
          </w:p>
        </w:tc>
        <w:tc>
          <w:tcPr>
            <w:tcW w:w="3000" w:type="dxa"/>
            <w:shd w:val="clear" w:color="auto" w:fill="auto"/>
            <w:vAlign w:val="center"/>
          </w:tcPr>
          <w:p>
            <w:pPr>
              <w:spacing w:line="240" w:lineRule="auto"/>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spacing w:line="240" w:lineRule="auto"/>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ind w:firstLine="560" w:firstLineChars="20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厂界噪声</w:t>
            </w:r>
          </w:p>
        </w:tc>
        <w:tc>
          <w:tcPr>
            <w:tcW w:w="3000" w:type="dxa"/>
            <w:shd w:val="clear" w:color="auto" w:fill="auto"/>
            <w:vAlign w:val="center"/>
          </w:tcPr>
          <w:p>
            <w:pPr>
              <w:spacing w:line="240" w:lineRule="auto"/>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spacing w:line="240" w:lineRule="auto"/>
              <w:jc w:val="center"/>
              <w:rPr>
                <w:rFonts w:hint="default" w:ascii="Times New Roman" w:hAnsi="Times New Roman" w:eastAsia="宋体" w:cs="Times New Roman"/>
                <w:color w:val="000000" w:themeColor="text1"/>
                <w:sz w:val="28"/>
                <w:szCs w:val="28"/>
                <w:lang w:val="en-US"/>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lang w:val="en-US"/>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ind w:firstLine="560" w:firstLineChars="20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1319"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电磁、</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振动</w:t>
            </w:r>
          </w:p>
        </w:tc>
        <w:tc>
          <w:tcPr>
            <w:tcW w:w="3000"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bl>
    <w:p>
      <w:pPr>
        <w:pStyle w:val="3"/>
        <w:keepNext w:val="0"/>
        <w:jc w:val="left"/>
        <w:rPr>
          <w:rFonts w:hint="default" w:ascii="Times New Roman" w:hAnsi="Times New Roman" w:eastAsia="宋体" w:cs="Times New Roman"/>
          <w:color w:val="000000" w:themeColor="text1"/>
          <w14:textFill>
            <w14:solidFill>
              <w14:schemeClr w14:val="tx1"/>
            </w14:solidFill>
          </w14:textFill>
        </w:rPr>
        <w:sectPr>
          <w:headerReference r:id="rId10" w:type="default"/>
          <w:footerReference r:id="rId11" w:type="default"/>
          <w:pgSz w:w="11906" w:h="16838"/>
          <w:pgMar w:top="1440" w:right="1191" w:bottom="1440" w:left="1191"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73" w:name="_Toc24292"/>
      <w:bookmarkStart w:id="74" w:name="_Toc21720"/>
      <w:bookmarkStart w:id="75" w:name="_Toc3946"/>
      <w:r>
        <w:rPr>
          <w:rFonts w:hint="default" w:ascii="Times New Roman" w:hAnsi="Times New Roman" w:eastAsia="宋体" w:cs="Times New Roman"/>
          <w:color w:val="000000" w:themeColor="text1"/>
          <w14:textFill>
            <w14:solidFill>
              <w14:schemeClr w14:val="tx1"/>
            </w14:solidFill>
          </w14:textFill>
        </w:rPr>
        <w:t>表9  环境管理状况及监测计划</w:t>
      </w:r>
      <w:bookmarkEnd w:id="73"/>
      <w:bookmarkEnd w:id="74"/>
      <w:bookmarkEnd w:id="75"/>
    </w:p>
    <w:tbl>
      <w:tblPr>
        <w:tblStyle w:val="32"/>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51" w:type="dxa"/>
            <w:vAlign w:val="center"/>
          </w:tcPr>
          <w:p>
            <w:pPr>
              <w:pStyle w:val="30"/>
              <w:jc w:val="both"/>
              <w:rPr>
                <w:rFonts w:hint="default" w:ascii="Times New Roman" w:hAnsi="Times New Roman" w:eastAsia="宋体" w:cs="Times New Roman"/>
                <w:b/>
                <w:bCs/>
                <w:color w:val="000000" w:themeColor="text1"/>
                <w:sz w:val="28"/>
                <w:szCs w:val="28"/>
                <w14:textFill>
                  <w14:solidFill>
                    <w14:schemeClr w14:val="tx1"/>
                  </w14:solidFill>
                </w14:textFill>
              </w:rPr>
            </w:pPr>
            <w:bookmarkStart w:id="76" w:name="_Toc5731"/>
            <w:bookmarkStart w:id="77" w:name="_Toc320"/>
            <w:r>
              <w:rPr>
                <w:rFonts w:hint="default" w:ascii="Times New Roman" w:hAnsi="Times New Roman" w:eastAsia="宋体" w:cs="Times New Roman"/>
                <w:b/>
                <w:bCs/>
                <w:color w:val="000000" w:themeColor="text1"/>
                <w:sz w:val="28"/>
                <w:szCs w:val="28"/>
                <w14:textFill>
                  <w14:solidFill>
                    <w14:schemeClr w14:val="tx1"/>
                  </w14:solidFill>
                </w14:textFill>
              </w:rPr>
              <w:t>环境管理机构设置（分施工期和运行期）：</w:t>
            </w:r>
            <w:bookmarkEnd w:id="76"/>
            <w:bookmarkEnd w:id="77"/>
          </w:p>
          <w:p>
            <w:pPr>
              <w:pStyle w:val="37"/>
              <w:numPr>
                <w:ilvl w:val="0"/>
                <w:numId w:val="3"/>
              </w:numPr>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本工程环境保护措施的管理机构为</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eastAsia" w:cs="Times New Roman"/>
                <w:color w:val="000000" w:themeColor="text1"/>
                <w:sz w:val="28"/>
                <w:szCs w:val="28"/>
                <w:lang w:val="en-US" w:eastAsia="zh-CN"/>
                <w14:textFill>
                  <w14:solidFill>
                    <w14:schemeClr w14:val="tx1"/>
                  </w14:solidFill>
                </w14:textFill>
              </w:rPr>
              <w:t>水利管理站</w:t>
            </w:r>
            <w:r>
              <w:rPr>
                <w:rFonts w:hint="default" w:ascii="Times New Roman" w:hAnsi="Times New Roman" w:eastAsia="宋体" w:cs="Times New Roman"/>
                <w:color w:val="000000" w:themeColor="text1"/>
                <w:sz w:val="28"/>
                <w:szCs w:val="28"/>
                <w14:textFill>
                  <w14:solidFill>
                    <w14:schemeClr w14:val="tx1"/>
                  </w14:solidFill>
                </w14:textFill>
              </w:rPr>
              <w:t>，由</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eastAsia" w:cs="Times New Roman"/>
                <w:color w:val="000000" w:themeColor="text1"/>
                <w:sz w:val="28"/>
                <w:szCs w:val="28"/>
                <w:lang w:val="en-US" w:eastAsia="zh-CN"/>
                <w14:textFill>
                  <w14:solidFill>
                    <w14:schemeClr w14:val="tx1"/>
                  </w14:solidFill>
                </w14:textFill>
              </w:rPr>
              <w:t>水利管理站</w:t>
            </w:r>
            <w:r>
              <w:rPr>
                <w:rFonts w:hint="default" w:ascii="Times New Roman" w:hAnsi="Times New Roman" w:eastAsia="宋体" w:cs="Times New Roman"/>
                <w:color w:val="000000" w:themeColor="text1"/>
                <w:sz w:val="28"/>
                <w:szCs w:val="28"/>
                <w14:textFill>
                  <w14:solidFill>
                    <w14:schemeClr w14:val="tx1"/>
                  </w14:solidFill>
                </w14:textFill>
              </w:rPr>
              <w:t>组建环境保护管理小组，小组应设质检员长驻工地，对各项环境保护措施的实施进行管理，保证质量的前提下保证实施时间，加快措施的完成，具体如下。</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① 制定工程建设年度环境保护工作实施计划，整编相关资料，编制年度环境质量报告，并呈报上级主管部门。</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② 加强工程环境监测管理，审定监测计划，委托具有相应环境监测资质的单位对工程建设区实施环境监测计划。</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③ 施工场地周边有农田，在施工开始前，统一规划、合理布局，对施工现场科学勘探后制定合理的施工方案，对施工建设中可能遇到的困难提出解决预案。</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加强工程建设环境监理工作，委托具有相应环境监理资质的单位对工程建设区进行环境监理。</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④ 组织实施环境保护工作，并监督、检查环境保护措施的执行情况和环保经费的使用情况，保证工程施工活动能按环保“三同时原则执行。</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⑤ 协调和处理工程引起的环境污染事故和环境纠纷。</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⑥ 加强环境保护的宣传教育和技术培训，提高施工人员的环境保护意识和湿地保护参与意识，提高工程环境管理人员的技术水平。</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⑦ 配合开展工程环境保护竣工验收工作，负责项目环境监理延续期的环境保护工作。</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（2）运营期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本项目为</w:t>
            </w:r>
            <w:r>
              <w:rPr>
                <w:rFonts w:hint="eastAsia" w:cs="Times New Roman"/>
                <w:color w:val="000000" w:themeColor="text1"/>
                <w:sz w:val="28"/>
                <w:szCs w:val="28"/>
                <w:lang w:val="en-US" w:eastAsia="zh-CN"/>
                <w14:textFill>
                  <w14:solidFill>
                    <w14:schemeClr w14:val="tx1"/>
                  </w14:solidFill>
                </w14:textFill>
              </w:rPr>
              <w:t>防洪坝建设</w:t>
            </w:r>
            <w:r>
              <w:rPr>
                <w:rFonts w:hint="default" w:ascii="Times New Roman" w:hAnsi="Times New Roman" w:eastAsia="宋体" w:cs="Times New Roman"/>
                <w:color w:val="000000" w:themeColor="text1"/>
                <w:sz w:val="28"/>
                <w:szCs w:val="28"/>
                <w14:textFill>
                  <w14:solidFill>
                    <w14:schemeClr w14:val="tx1"/>
                  </w14:solidFill>
                </w14:textFill>
              </w:rPr>
              <w:t>工程，项目运营期日常环境管理工作人员均为建设单位内部调配，专人负责管理，定期对</w:t>
            </w:r>
            <w:r>
              <w:rPr>
                <w:rFonts w:hint="eastAsia" w:cs="Times New Roman"/>
                <w:color w:val="000000" w:themeColor="text1"/>
                <w:sz w:val="28"/>
                <w:szCs w:val="28"/>
                <w:lang w:val="en-US" w:eastAsia="zh-CN"/>
                <w14:textFill>
                  <w14:solidFill>
                    <w14:schemeClr w14:val="tx1"/>
                  </w14:solidFill>
                </w14:textFill>
              </w:rPr>
              <w:t>防洪坝</w:t>
            </w:r>
            <w:r>
              <w:rPr>
                <w:rFonts w:hint="default" w:ascii="Times New Roman" w:hAnsi="Times New Roman" w:eastAsia="宋体" w:cs="Times New Roman"/>
                <w:color w:val="000000" w:themeColor="text1"/>
                <w:sz w:val="28"/>
                <w:szCs w:val="28"/>
                <w14:textFill>
                  <w14:solidFill>
                    <w14:schemeClr w14:val="tx1"/>
                  </w14:solidFill>
                </w14:textFill>
              </w:rPr>
              <w:t>进行巡查，发现问题及时处理，通过采取积极有效的管理，项目的环境管理未出现大问题</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51" w:type="dxa"/>
            <w:vAlign w:val="center"/>
          </w:tcPr>
          <w:p>
            <w:pPr>
              <w:pStyle w:val="30"/>
              <w:jc w:val="both"/>
              <w:rPr>
                <w:rFonts w:hint="default" w:ascii="Times New Roman" w:hAnsi="Times New Roman" w:eastAsia="宋体" w:cs="Times New Roman"/>
                <w:b/>
                <w:bCs/>
                <w:color w:val="000000" w:themeColor="text1"/>
                <w:sz w:val="28"/>
                <w:szCs w:val="28"/>
                <w14:textFill>
                  <w14:solidFill>
                    <w14:schemeClr w14:val="tx1"/>
                  </w14:solidFill>
                </w14:textFill>
              </w:rPr>
            </w:pPr>
            <w:bookmarkStart w:id="78" w:name="_Toc30558"/>
            <w:bookmarkStart w:id="79" w:name="_Toc7909"/>
            <w:r>
              <w:rPr>
                <w:rFonts w:hint="default" w:ascii="Times New Roman" w:hAnsi="Times New Roman" w:eastAsia="宋体" w:cs="Times New Roman"/>
                <w:b/>
                <w:bCs/>
                <w:color w:val="000000" w:themeColor="text1"/>
                <w:sz w:val="28"/>
                <w:szCs w:val="28"/>
                <w14:textFill>
                  <w14:solidFill>
                    <w14:schemeClr w14:val="tx1"/>
                  </w14:solidFill>
                </w14:textFill>
              </w:rPr>
              <w:t>环境监测能力建设情况：</w:t>
            </w:r>
            <w:bookmarkEnd w:id="78"/>
            <w:bookmarkEnd w:id="79"/>
          </w:p>
          <w:p>
            <w:pPr>
              <w:pStyle w:val="37"/>
              <w:ind w:left="0" w:leftChars="0" w:firstLine="560" w:firstLineChars="200"/>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工程建设过程中</w:t>
            </w:r>
            <w:r>
              <w:rPr>
                <w:rFonts w:hint="default" w:ascii="Times New Roman" w:hAnsi="Times New Roman" w:eastAsia="宋体" w:cs="Times New Roman"/>
                <w:color w:val="000000" w:themeColor="text1"/>
                <w:sz w:val="28"/>
                <w:szCs w:val="28"/>
                <w14:textFill>
                  <w14:solidFill>
                    <w14:schemeClr w14:val="tx1"/>
                  </w14:solidFill>
                </w14:textFill>
              </w:rPr>
              <w:t>加强环境监测</w:t>
            </w:r>
            <w:r>
              <w:rPr>
                <w:rFonts w:hint="default" w:ascii="Times New Roman" w:hAnsi="Times New Roman" w:eastAsia="宋体" w:cs="Times New Roman"/>
                <w:color w:val="000000" w:themeColor="text1"/>
                <w:sz w:val="28"/>
                <w:szCs w:val="28"/>
                <w:lang w:eastAsia="zh-CN"/>
                <w14:textFill>
                  <w14:solidFill>
                    <w14:schemeClr w14:val="tx1"/>
                  </w14:solidFill>
                </w14:textFill>
              </w:rPr>
              <w:t>能力建设</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制定</w:t>
            </w:r>
            <w:r>
              <w:rPr>
                <w:rFonts w:hint="default" w:ascii="Times New Roman" w:hAnsi="Times New Roman" w:eastAsia="宋体" w:cs="Times New Roman"/>
                <w:color w:val="000000" w:themeColor="text1"/>
                <w:sz w:val="28"/>
                <w:szCs w:val="28"/>
                <w14:textFill>
                  <w14:solidFill>
                    <w14:schemeClr w14:val="tx1"/>
                  </w14:solidFill>
                </w14:textFill>
              </w:rPr>
              <w:t>监测计划，委托具有相应环境监测资质的单位对工程建设区实施环境监测。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jc w:val="center"/>
        </w:trPr>
        <w:tc>
          <w:tcPr>
            <w:tcW w:w="9851" w:type="dxa"/>
            <w:vAlign w:val="center"/>
          </w:tcPr>
          <w:p>
            <w:pPr>
              <w:pStyle w:val="30"/>
              <w:jc w:val="both"/>
              <w:rPr>
                <w:rFonts w:hint="default" w:ascii="Times New Roman" w:hAnsi="Times New Roman" w:eastAsia="宋体" w:cs="Times New Roman"/>
                <w:b/>
                <w:bCs/>
                <w:color w:val="000000" w:themeColor="text1"/>
                <w:sz w:val="28"/>
                <w:szCs w:val="28"/>
                <w14:textFill>
                  <w14:solidFill>
                    <w14:schemeClr w14:val="tx1"/>
                  </w14:solidFill>
                </w14:textFill>
              </w:rPr>
            </w:pPr>
            <w:bookmarkStart w:id="80" w:name="_Toc12821"/>
            <w:bookmarkStart w:id="81" w:name="_Toc12752"/>
            <w:r>
              <w:rPr>
                <w:rFonts w:hint="default" w:ascii="Times New Roman" w:hAnsi="Times New Roman" w:eastAsia="宋体" w:cs="Times New Roman"/>
                <w:b/>
                <w:bCs/>
                <w:color w:val="000000" w:themeColor="text1"/>
                <w:sz w:val="28"/>
                <w:szCs w:val="28"/>
                <w14:textFill>
                  <w14:solidFill>
                    <w14:schemeClr w14:val="tx1"/>
                  </w14:solidFill>
                </w14:textFill>
              </w:rPr>
              <w:t>环境影响报告表中提出的监测计划及其落实情况：</w:t>
            </w:r>
            <w:bookmarkEnd w:id="80"/>
            <w:bookmarkEnd w:id="81"/>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工程建设过程中落实了</w:t>
            </w:r>
            <w:r>
              <w:rPr>
                <w:rFonts w:hint="default" w:ascii="Times New Roman" w:hAnsi="Times New Roman" w:eastAsia="宋体" w:cs="Times New Roman"/>
                <w:color w:val="000000" w:themeColor="text1"/>
                <w:sz w:val="28"/>
                <w:szCs w:val="28"/>
                <w14:textFill>
                  <w14:solidFill>
                    <w14:schemeClr w14:val="tx1"/>
                  </w14:solidFill>
                </w14:textFill>
              </w:rPr>
              <w:t>环评报告表中监测计划内容。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6" w:hRule="atLeast"/>
          <w:jc w:val="center"/>
        </w:trPr>
        <w:tc>
          <w:tcPr>
            <w:tcW w:w="9851" w:type="dxa"/>
            <w:vAlign w:val="center"/>
          </w:tcPr>
          <w:p>
            <w:pPr>
              <w:pStyle w:val="30"/>
              <w:jc w:val="both"/>
              <w:rPr>
                <w:rFonts w:hint="default" w:ascii="Times New Roman" w:hAnsi="Times New Roman" w:eastAsia="宋体" w:cs="Times New Roman"/>
                <w:b/>
                <w:bCs/>
                <w:color w:val="000000" w:themeColor="text1"/>
                <w:sz w:val="28"/>
                <w:szCs w:val="28"/>
                <w14:textFill>
                  <w14:solidFill>
                    <w14:schemeClr w14:val="tx1"/>
                  </w14:solidFill>
                </w14:textFill>
              </w:rPr>
            </w:pPr>
            <w:bookmarkStart w:id="82" w:name="_Toc1900"/>
            <w:bookmarkStart w:id="83" w:name="_Toc27371"/>
            <w:r>
              <w:rPr>
                <w:rFonts w:hint="default" w:ascii="Times New Roman" w:hAnsi="Times New Roman" w:eastAsia="宋体" w:cs="Times New Roman"/>
                <w:b/>
                <w:bCs/>
                <w:color w:val="000000" w:themeColor="text1"/>
                <w:sz w:val="28"/>
                <w:szCs w:val="28"/>
                <w14:textFill>
                  <w14:solidFill>
                    <w14:schemeClr w14:val="tx1"/>
                  </w14:solidFill>
                </w14:textFill>
              </w:rPr>
              <w:t>环境管理状况分析与建议:</w:t>
            </w:r>
            <w:bookmarkEnd w:id="82"/>
            <w:bookmarkEnd w:id="83"/>
          </w:p>
          <w:p>
            <w:pPr>
              <w:numPr>
                <w:ilvl w:val="0"/>
                <w:numId w:val="4"/>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完善环境管理制度，建立“环境意识”教育制度，不断提高全体职工 的环境保护意识。</w:t>
            </w:r>
          </w:p>
          <w:p>
            <w:pPr>
              <w:numPr>
                <w:ilvl w:val="0"/>
                <w:numId w:val="4"/>
              </w:numPr>
              <w:ind w:firstLine="560" w:firstLineChars="200"/>
              <w:jc w:val="both"/>
              <w:rPr>
                <w:rFonts w:hint="default" w:ascii="Times New Roman" w:hAnsi="Times New Roman" w:eastAsia="宋体" w:cs="Times New Roman"/>
                <w:color w:val="000000" w:themeColor="text1"/>
                <w:kern w:val="0"/>
                <w:sz w:val="28"/>
                <w:szCs w:val="28"/>
                <w:lang w:eastAsia="zh-CN"/>
                <w14:textFill>
                  <w14:solidFill>
                    <w14:schemeClr w14:val="tx1"/>
                  </w14:solidFill>
                </w14:textFill>
              </w:rPr>
            </w:pP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加强环境保护工作的监督管理。项目的环境保护工作应接受各级环 保部门的监督和管理。完善生态环境保护规划，使工程运行对生态环境的不利影响尽量降低，提高生态环境质量。</w:t>
            </w:r>
          </w:p>
          <w:p>
            <w:pPr>
              <w:jc w:val="both"/>
              <w:rPr>
                <w:rFonts w:hint="default" w:ascii="Times New Roman" w:hAnsi="Times New Roman" w:eastAsia="宋体" w:cs="Times New Roman"/>
                <w:color w:val="000000" w:themeColor="text1"/>
                <w:kern w:val="0"/>
                <w:sz w:val="28"/>
                <w:szCs w:val="28"/>
                <w14:textFill>
                  <w14:solidFill>
                    <w14:schemeClr w14:val="tx1"/>
                  </w14:solidFill>
                </w14:textFill>
              </w:rPr>
            </w:pPr>
          </w:p>
        </w:tc>
      </w:tr>
    </w:tbl>
    <w:p>
      <w:pPr>
        <w:rPr>
          <w:rFonts w:hint="default" w:ascii="Times New Roman" w:hAnsi="Times New Roman" w:eastAsia="宋体" w:cs="Times New Roman"/>
          <w:color w:val="000000" w:themeColor="text1"/>
          <w14:textFill>
            <w14:solidFill>
              <w14:schemeClr w14:val="tx1"/>
            </w14:solidFill>
          </w14:textFill>
        </w:rPr>
      </w:pPr>
      <w:bookmarkStart w:id="84" w:name="_Toc24689"/>
      <w:bookmarkStart w:id="85" w:name="_Toc1261"/>
      <w:bookmarkStart w:id="86" w:name="_Toc30925"/>
      <w:r>
        <w:rPr>
          <w:rFonts w:hint="default" w:ascii="Times New Roman" w:hAnsi="Times New Roman" w:eastAsia="宋体" w:cs="Times New Roman"/>
          <w:color w:val="000000" w:themeColor="text1"/>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表10  调查结论与建议</w:t>
      </w:r>
      <w:bookmarkEnd w:id="84"/>
      <w:bookmarkEnd w:id="85"/>
      <w:bookmarkEnd w:id="86"/>
    </w:p>
    <w:tbl>
      <w:tblPr>
        <w:tblStyle w:val="32"/>
        <w:tblW w:w="977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7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38" w:hRule="atLeast"/>
          <w:jc w:val="center"/>
        </w:trPr>
        <w:tc>
          <w:tcPr>
            <w:tcW w:w="9774" w:type="dxa"/>
            <w:tcBorders>
              <w:tl2br w:val="nil"/>
              <w:tr2bl w:val="nil"/>
            </w:tcBorders>
          </w:tcPr>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87" w:name="_Toc3664"/>
            <w:bookmarkStart w:id="88" w:name="_Toc30980"/>
            <w:bookmarkStart w:id="89" w:name="_Toc11016"/>
            <w:bookmarkStart w:id="90" w:name="_Toc21125"/>
            <w:bookmarkStart w:id="91" w:name="_Toc25096"/>
            <w:bookmarkStart w:id="92" w:name="_Toc13972"/>
            <w:bookmarkStart w:id="93" w:name="_Toc13063"/>
            <w:bookmarkStart w:id="94" w:name="_Toc32202"/>
            <w:bookmarkStart w:id="95" w:name="_Toc25672"/>
            <w:bookmarkStart w:id="96" w:name="_Toc21399"/>
            <w:bookmarkStart w:id="97" w:name="_Toc282"/>
            <w:bookmarkStart w:id="98" w:name="_Toc23937"/>
            <w:r>
              <w:rPr>
                <w:rFonts w:hint="default" w:ascii="Times New Roman" w:hAnsi="Times New Roman" w:eastAsia="宋体" w:cs="Times New Roman"/>
                <w:color w:val="000000" w:themeColor="text1"/>
                <w:sz w:val="28"/>
                <w:szCs w:val="28"/>
                <w14:textFill>
                  <w14:solidFill>
                    <w14:schemeClr w14:val="tx1"/>
                  </w14:solidFill>
                </w14:textFill>
              </w:rPr>
              <w:t>10.1</w:t>
            </w:r>
            <w:r>
              <w:rPr>
                <w:rFonts w:hint="default" w:ascii="Times New Roman" w:hAnsi="Times New Roman" w:eastAsia="宋体" w:cs="Times New Roman"/>
                <w:color w:val="000000" w:themeColor="text1"/>
                <w:sz w:val="28"/>
                <w:szCs w:val="28"/>
                <w:lang w:eastAsia="zh-CN"/>
                <w14:textFill>
                  <w14:solidFill>
                    <w14:schemeClr w14:val="tx1"/>
                  </w14:solidFill>
                </w14:textFill>
              </w:rPr>
              <w:t>施工期调查</w:t>
            </w:r>
            <w:r>
              <w:rPr>
                <w:rFonts w:hint="default" w:ascii="Times New Roman" w:hAnsi="Times New Roman" w:eastAsia="宋体" w:cs="Times New Roman"/>
                <w:color w:val="000000" w:themeColor="text1"/>
                <w:sz w:val="28"/>
                <w:szCs w:val="28"/>
                <w14:textFill>
                  <w14:solidFill>
                    <w14:schemeClr w14:val="tx1"/>
                  </w14:solidFill>
                </w14:textFill>
              </w:rPr>
              <w:t>结论</w:t>
            </w:r>
            <w:bookmarkEnd w:id="87"/>
            <w:bookmarkEnd w:id="88"/>
            <w:bookmarkEnd w:id="89"/>
            <w:bookmarkEnd w:id="90"/>
          </w:p>
          <w:bookmarkEnd w:id="91"/>
          <w:bookmarkEnd w:id="92"/>
          <w:bookmarkEnd w:id="93"/>
          <w:bookmarkEnd w:id="94"/>
          <w:bookmarkEnd w:id="95"/>
          <w:bookmarkEnd w:id="96"/>
          <w:bookmarkEnd w:id="97"/>
          <w:bookmarkEnd w:id="98"/>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99" w:name="_Toc25139"/>
            <w:bookmarkStart w:id="100" w:name="_Toc440"/>
            <w:bookmarkStart w:id="101" w:name="_Toc9970"/>
            <w:bookmarkStart w:id="102" w:name="_Toc25984"/>
            <w:bookmarkStart w:id="103" w:name="_Toc10124"/>
            <w:bookmarkStart w:id="104" w:name="_Toc28611"/>
            <w:bookmarkStart w:id="105" w:name="_Toc32694"/>
            <w:bookmarkStart w:id="106" w:name="_Toc17961"/>
            <w:bookmarkStart w:id="107" w:name="_Toc9718"/>
            <w:bookmarkStart w:id="108" w:name="_Toc32606"/>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10.1.1施工期</w:t>
            </w:r>
            <w:r>
              <w:rPr>
                <w:rFonts w:hint="default" w:ascii="Times New Roman" w:hAnsi="Times New Roman" w:eastAsia="宋体" w:cs="Times New Roman"/>
                <w:color w:val="000000" w:themeColor="text1"/>
                <w:sz w:val="28"/>
                <w:szCs w:val="28"/>
                <w14:textFill>
                  <w14:solidFill>
                    <w14:schemeClr w14:val="tx1"/>
                  </w14:solidFill>
                </w14:textFill>
              </w:rPr>
              <w:t>大气环境影响调查结论</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施工期对环境空气的影响主要来自于土方工程、混凝土施工等产生的施工扬尘</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运输车辆引起的扬尘及尾气</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施工机械产生的机械尾气，其中以施工扬尘的影响最大。</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（1）施工扬尘</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为灌渠建设工程。在施工过程中，土石方开挖、回填、砂石、混凝土等建筑材料运输、装卸等产生扬尘，对大气环境造成一定不良影响，尤其是在风力较大和干燥气候条件弃渣土堆放过程产生风蚀扬尘，装车时造成尘土飞扬，运输车辆的夹带和遗洒，在风力和车轮的共同作用下，带起大量的扬尘。采取如下防治措施：</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① 施工现场裸露的场地和集中堆放的土方采取密目网进行覆盖，及洒水、固化等措施</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② 安排专人定期对施工场地清扫、洒水，以减轻扬尘的飞扬，每天洒水1-2次，遇大风或干燥天气，适当增加洒水次数</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③ 施工遇到干燥、易起尘的土方工程作业时，辅以洒水压尘，缩短起尘操作时间，四级以上大风天气，不进行土方回填、转运以及其它可能产生扬尘污染的施工，五级以及以上大风天气，施工现场停止工地室外作业</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④ 施工作业场地采取移动围挡作业，围挡高度不低于1.8m</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土方挖掘后及时施工及时填埋，不造成地表层长时间破坏，减少风力二次扬尘</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⑤ 运送土方、垃圾、设备及建筑材料等不污损场外道路，运输车辆采取防护措施，保证物料不得散落、飞扬和遗漏</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⑥ 施工现场对粉状材料封闭存放，对易产生扬尘的堆放材料采取封闭、半封闭和覆盖措施</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（2）施工机械尾气</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在施工过程中，施工机械以汽油和柴油为燃料，其所排放的尾气污染大气环境。通过加强车辆和机械设备维护保养，减少不必要的空转时间，以控制机械尾气排放</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4"/>
              <w:ind w:firstLine="560" w:firstLineChars="200"/>
              <w:jc w:val="both"/>
              <w:rPr>
                <w:rFonts w:hint="default" w:ascii="Times New Roman" w:hAnsi="Times New Roman" w:eastAsia="宋体" w:cs="Times New Roman"/>
                <w:b w:val="0"/>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2"/>
                <w:sz w:val="28"/>
                <w:szCs w:val="28"/>
                <w:lang w:val="en-US" w:eastAsia="zh-CN" w:bidi="ar-SA"/>
                <w14:textFill>
                  <w14:solidFill>
                    <w14:schemeClr w14:val="tx1"/>
                  </w14:solidFill>
                </w14:textFill>
              </w:rPr>
              <w:t>综上所述，施工期废气对周围环境影响较小。</w:t>
            </w:r>
          </w:p>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10.1.2施工期</w:t>
            </w:r>
            <w:r>
              <w:rPr>
                <w:rFonts w:hint="default" w:ascii="Times New Roman" w:hAnsi="Times New Roman" w:eastAsia="宋体" w:cs="Times New Roman"/>
                <w:color w:val="000000" w:themeColor="text1"/>
                <w:sz w:val="28"/>
                <w:szCs w:val="28"/>
                <w14:textFill>
                  <w14:solidFill>
                    <w14:schemeClr w14:val="tx1"/>
                  </w14:solidFill>
                </w14:textFill>
              </w:rPr>
              <w:t>水环境影响调查结论</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（1）施工废水</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本工程混凝土购买商品混凝土，不在施工区设混凝土拌合站</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施工机械设备的主要维修和冲洗依靠社会力量解决，施工区不设置机械冲洗和维修设施，因此施工废水主要为混凝土养护废水，主要含泥沙等污染物，除SS指标较差外，基本不含有毒物质。经核查，生产废水产生量约</w:t>
            </w:r>
            <w:r>
              <w:rPr>
                <w:rFonts w:hint="eastAsia" w:ascii="Times New Roman" w:hAnsi="Times New Roman" w:cs="Times New Roman"/>
                <w:color w:val="000000" w:themeColor="text1"/>
                <w:sz w:val="28"/>
                <w:szCs w:val="28"/>
                <w:lang w:val="en-US" w:eastAsia="zh-CN"/>
                <w14:textFill>
                  <w14:solidFill>
                    <w14:schemeClr w14:val="tx1"/>
                  </w14:solidFill>
                </w14:textFill>
              </w:rPr>
              <w:t>3</w:t>
            </w:r>
            <w:r>
              <w:rPr>
                <w:rFonts w:hint="default" w:ascii="Times New Roman" w:hAnsi="Times New Roman" w:eastAsia="宋体" w:cs="Times New Roman"/>
                <w:color w:val="000000" w:themeColor="text1"/>
                <w:sz w:val="28"/>
                <w:szCs w:val="28"/>
                <w14:textFill>
                  <w14:solidFill>
                    <w14:schemeClr w14:val="tx1"/>
                  </w14:solidFill>
                </w14:textFill>
              </w:rPr>
              <w:t>.0</w:t>
            </w:r>
            <w:r>
              <w:rPr>
                <w:rFonts w:hint="eastAsia" w:ascii="Times New Roman" w:hAnsi="Times New Roman" w:cs="Times New Roman"/>
                <w:color w:val="000000" w:themeColor="text1"/>
                <w:sz w:val="28"/>
                <w:szCs w:val="28"/>
                <w:lang w:eastAsia="zh-CN"/>
                <w14:textFill>
                  <w14:solidFill>
                    <w14:schemeClr w14:val="tx1"/>
                  </w14:solidFill>
                </w14:textFill>
              </w:rPr>
              <w:t>m³</w:t>
            </w:r>
            <w:r>
              <w:rPr>
                <w:rFonts w:hint="default" w:ascii="Times New Roman" w:hAnsi="Times New Roman" w:eastAsia="宋体" w:cs="Times New Roman"/>
                <w:color w:val="000000" w:themeColor="text1"/>
                <w:sz w:val="28"/>
                <w:szCs w:val="28"/>
                <w14:textFill>
                  <w14:solidFill>
                    <w14:schemeClr w14:val="tx1"/>
                  </w14:solidFill>
                </w14:textFill>
              </w:rPr>
              <w:t>/d，废水产生量较小，且呈间歇性排放，施工时在场地设置沉淀池，经沉淀池处理后回用于洒水降尘，因此不会对环境产生大的影响。</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（2）施工人员生活污水</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项目租用当地居民 ，不在施工区设置生活区，生活污水较</w:t>
            </w:r>
            <w:r>
              <w:rPr>
                <w:rFonts w:hint="default" w:ascii="Times New Roman" w:hAnsi="Times New Roman" w:eastAsia="宋体" w:cs="Times New Roman"/>
                <w:color w:val="000000" w:themeColor="text1"/>
                <w:sz w:val="28"/>
                <w:szCs w:val="28"/>
                <w:lang w:eastAsia="zh-CN"/>
                <w14:textFill>
                  <w14:solidFill>
                    <w14:schemeClr w14:val="tx1"/>
                  </w14:solidFill>
                </w14:textFill>
              </w:rPr>
              <w:t>为分散的、不连续排放。</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由于不在施工区附近设置生活区，但仍会产生少量的生活废水，排水经移动式的环保厕所收集后，待环保型厕所的集粪坑收满后运至巴楚县污水处理厂进行处理</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10.1.3施工期</w:t>
            </w:r>
            <w:r>
              <w:rPr>
                <w:rFonts w:hint="default" w:ascii="Times New Roman" w:hAnsi="Times New Roman" w:eastAsia="宋体" w:cs="Times New Roman"/>
                <w:color w:val="000000" w:themeColor="text1"/>
                <w:sz w:val="28"/>
                <w:szCs w:val="28"/>
                <w14:textFill>
                  <w14:solidFill>
                    <w14:schemeClr w14:val="tx1"/>
                  </w14:solidFill>
                </w14:textFill>
              </w:rPr>
              <w:t>噪声环境影响调查结论</w:t>
            </w:r>
          </w:p>
          <w:p>
            <w:pPr>
              <w:pStyle w:val="37"/>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w:t>
            </w:r>
            <w:r>
              <w:rPr>
                <w:rFonts w:hint="default" w:ascii="Times New Roman" w:hAnsi="Times New Roman" w:eastAsia="宋体" w:cs="Times New Roman"/>
                <w:color w:val="000000" w:themeColor="text1"/>
                <w:sz w:val="28"/>
                <w:szCs w:val="28"/>
                <w:lang w:eastAsia="zh-CN"/>
                <w14:textFill>
                  <w14:solidFill>
                    <w14:schemeClr w14:val="tx1"/>
                  </w14:solidFill>
                </w14:textFill>
              </w:rPr>
              <w:t>施工</w:t>
            </w:r>
            <w:r>
              <w:rPr>
                <w:rFonts w:hint="default" w:ascii="Times New Roman" w:hAnsi="Times New Roman" w:eastAsia="宋体" w:cs="Times New Roman"/>
                <w:color w:val="000000" w:themeColor="text1"/>
                <w:sz w:val="28"/>
                <w:szCs w:val="28"/>
                <w14:textFill>
                  <w14:solidFill>
                    <w14:schemeClr w14:val="tx1"/>
                  </w14:solidFill>
                </w14:textFill>
              </w:rPr>
              <w:t>期间噪声主要为厂区内各机械设备运行中产生的机械噪声，通过选用低噪声设备、合理安排设备位置、加强设备维护保养、合理安排施工车辆进出场地的行驶时间，加强车辆管理等措施</w:t>
            </w:r>
            <w:r>
              <w:rPr>
                <w:rFonts w:hint="default" w:ascii="Times New Roman" w:hAnsi="Times New Roman" w:eastAsia="宋体" w:cs="Times New Roman"/>
                <w:color w:val="000000" w:themeColor="text1"/>
                <w:sz w:val="28"/>
                <w:szCs w:val="28"/>
                <w:lang w:eastAsia="zh-CN"/>
                <w14:textFill>
                  <w14:solidFill>
                    <w14:schemeClr w14:val="tx1"/>
                  </w14:solidFill>
                </w14:textFill>
              </w:rPr>
              <w:t>降噪，对周围环境影响较小</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10.1.4施工期</w:t>
            </w:r>
            <w:r>
              <w:rPr>
                <w:rFonts w:hint="default" w:ascii="Times New Roman" w:hAnsi="Times New Roman" w:eastAsia="宋体" w:cs="Times New Roman"/>
                <w:color w:val="000000" w:themeColor="text1"/>
                <w:sz w:val="28"/>
                <w:szCs w:val="28"/>
                <w14:textFill>
                  <w14:solidFill>
                    <w14:schemeClr w14:val="tx1"/>
                  </w14:solidFill>
                </w14:textFill>
              </w:rPr>
              <w:t>固体废弃物影调查结论</w:t>
            </w:r>
          </w:p>
          <w:p>
            <w:pPr>
              <w:keepNext w:val="0"/>
              <w:keepLines w:val="0"/>
              <w:pageBreakBefore w:val="0"/>
              <w:widowControl w:val="0"/>
              <w:numPr>
                <w:ilvl w:val="0"/>
                <w:numId w:val="0"/>
              </w:numPr>
              <w:kinsoku/>
              <w:wordWrap/>
              <w:overflowPunct/>
              <w:topLinePunct w:val="0"/>
              <w:autoSpaceDE/>
              <w:autoSpaceDN/>
              <w:bidi w:val="0"/>
              <w:adjustRightInd/>
              <w:snapToGrid/>
              <w:ind w:left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项目施工建设过程中产生一些废土渣和生活垃圾等。</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施工期施工人员生活垃圾依托附近村庄现有设施，不可利用的弃土方拉运至指定的弃渣场回填，建筑垃圾、沉淀池泥沙集中收集后送至运至</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default" w:ascii="Times New Roman" w:hAnsi="Times New Roman" w:eastAsia="宋体" w:cs="Times New Roman"/>
                <w:color w:val="000000" w:themeColor="text1"/>
                <w:sz w:val="28"/>
                <w:szCs w:val="28"/>
                <w14:textFill>
                  <w14:solidFill>
                    <w14:schemeClr w14:val="tx1"/>
                  </w14:solidFill>
                </w14:textFill>
              </w:rPr>
              <w:t>指定建筑垃圾处理中心集中处置。</w:t>
            </w:r>
          </w:p>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109" w:name="_Toc20294"/>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10.1.5施工期</w:t>
            </w:r>
            <w:r>
              <w:rPr>
                <w:rFonts w:hint="default" w:ascii="Times New Roman" w:hAnsi="Times New Roman" w:eastAsia="宋体" w:cs="Times New Roman"/>
                <w:color w:val="000000" w:themeColor="text1"/>
                <w:sz w:val="28"/>
                <w:szCs w:val="28"/>
                <w:lang w:eastAsia="zh-CN"/>
                <w14:textFill>
                  <w14:solidFill>
                    <w14:schemeClr w14:val="tx1"/>
                  </w14:solidFill>
                </w14:textFill>
              </w:rPr>
              <w:t>生态</w:t>
            </w:r>
            <w:r>
              <w:rPr>
                <w:rFonts w:hint="default" w:ascii="Times New Roman" w:hAnsi="Times New Roman" w:eastAsia="宋体" w:cs="Times New Roman"/>
                <w:color w:val="000000" w:themeColor="text1"/>
                <w:sz w:val="28"/>
                <w:szCs w:val="28"/>
                <w14:textFill>
                  <w14:solidFill>
                    <w14:schemeClr w14:val="tx1"/>
                  </w14:solidFill>
                </w14:textFill>
              </w:rPr>
              <w:t>影调查结论</w:t>
            </w:r>
          </w:p>
          <w:p>
            <w:pPr>
              <w:pStyle w:val="2"/>
              <w:ind w:firstLine="560" w:firstLineChars="200"/>
              <w:jc w:val="both"/>
              <w:outlineLvl w:val="1"/>
              <w:rPr>
                <w:rFonts w:hint="default" w:ascii="Times New Roman" w:hAnsi="Times New Roman" w:eastAsia="宋体" w:cs="Times New Roman"/>
                <w:b w:val="0"/>
                <w:bCs/>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color w:val="000000" w:themeColor="text1"/>
                <w:sz w:val="28"/>
                <w:szCs w:val="28"/>
                <w14:textFill>
                  <w14:solidFill>
                    <w14:schemeClr w14:val="tx1"/>
                  </w14:solidFill>
                </w14:textFill>
              </w:rPr>
              <w:t>施工活动破坏占地范围内的地表植被，在一定程度上将导致施工场地地表裸露，降低工程区域的植被覆盖率，遇到雨季则会引起水土流失</w:t>
            </w:r>
            <w:r>
              <w:rPr>
                <w:rFonts w:hint="default" w:ascii="Times New Roman" w:hAnsi="Times New Roman" w:eastAsia="宋体" w:cs="Times New Roman"/>
                <w:b w:val="0"/>
                <w:bCs/>
                <w:color w:val="000000" w:themeColor="text1"/>
                <w:sz w:val="28"/>
                <w:szCs w:val="28"/>
                <w:lang w:eastAsia="zh-CN"/>
                <w14:textFill>
                  <w14:solidFill>
                    <w14:schemeClr w14:val="tx1"/>
                  </w14:solidFill>
                </w14:textFill>
              </w:rPr>
              <w:t>。采取</w:t>
            </w:r>
            <w:r>
              <w:rPr>
                <w:rFonts w:hint="default" w:ascii="Times New Roman" w:hAnsi="Times New Roman" w:eastAsia="宋体" w:cs="Times New Roman"/>
                <w:b w:val="0"/>
                <w:bCs/>
                <w:color w:val="000000" w:themeColor="text1"/>
                <w:sz w:val="28"/>
                <w:szCs w:val="28"/>
                <w14:textFill>
                  <w14:solidFill>
                    <w14:schemeClr w14:val="tx1"/>
                  </w14:solidFill>
                </w14:textFill>
              </w:rPr>
              <w:t>施工结束后对临时设施予以拆除，统一采取平整土地措施，分层回填剥离的表土，人工恢复施工临时占地的植被覆盖，使其恢复生态功能</w:t>
            </w:r>
            <w:r>
              <w:rPr>
                <w:rFonts w:hint="default" w:ascii="Times New Roman" w:hAnsi="Times New Roman" w:eastAsia="宋体" w:cs="Times New Roman"/>
                <w:b w:val="0"/>
                <w:bCs/>
                <w:color w:val="000000" w:themeColor="text1"/>
                <w:sz w:val="28"/>
                <w:szCs w:val="28"/>
                <w:lang w:eastAsia="zh-CN"/>
                <w14:textFill>
                  <w14:solidFill>
                    <w14:schemeClr w14:val="tx1"/>
                  </w14:solidFill>
                </w14:textFill>
              </w:rPr>
              <w:t>，对周围生态环境影响较小。</w:t>
            </w:r>
          </w:p>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运营期调查</w:t>
            </w:r>
            <w:r>
              <w:rPr>
                <w:rFonts w:hint="default" w:ascii="Times New Roman" w:hAnsi="Times New Roman" w:eastAsia="宋体" w:cs="Times New Roman"/>
                <w:color w:val="000000" w:themeColor="text1"/>
                <w:sz w:val="28"/>
                <w:szCs w:val="28"/>
                <w14:textFill>
                  <w14:solidFill>
                    <w14:schemeClr w14:val="tx1"/>
                  </w14:solidFill>
                </w14:textFill>
              </w:rPr>
              <w:t>结论</w:t>
            </w:r>
            <w:bookmarkEnd w:id="109"/>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.1营运期废</w:t>
            </w:r>
            <w:r>
              <w:rPr>
                <w:rFonts w:hint="default" w:ascii="Times New Roman" w:hAnsi="Times New Roman" w:eastAsia="宋体" w:cs="Times New Roman"/>
                <w:color w:val="000000" w:themeColor="text1"/>
                <w:sz w:val="28"/>
                <w:szCs w:val="28"/>
                <w:lang w:eastAsia="zh-CN"/>
                <w14:textFill>
                  <w14:solidFill>
                    <w14:schemeClr w14:val="tx1"/>
                  </w14:solidFill>
                </w14:textFill>
              </w:rPr>
              <w:t>水调查</w:t>
            </w:r>
            <w:r>
              <w:rPr>
                <w:rFonts w:hint="default" w:ascii="Times New Roman" w:hAnsi="Times New Roman" w:eastAsia="宋体" w:cs="Times New Roman"/>
                <w:color w:val="000000" w:themeColor="text1"/>
                <w:sz w:val="28"/>
                <w:szCs w:val="28"/>
                <w14:textFill>
                  <w14:solidFill>
                    <w14:schemeClr w14:val="tx1"/>
                  </w14:solidFill>
                </w14:textFill>
              </w:rPr>
              <w:t>结论</w:t>
            </w:r>
          </w:p>
          <w:p>
            <w:pPr>
              <w:pStyle w:val="8"/>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经调查，本项目</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运营期无</w:t>
            </w:r>
            <w:r>
              <w:rPr>
                <w:rFonts w:hint="default" w:ascii="Times New Roman" w:hAnsi="Times New Roman" w:eastAsia="宋体" w:cs="Times New Roman"/>
                <w:color w:val="000000" w:themeColor="text1"/>
                <w:sz w:val="28"/>
                <w:szCs w:val="28"/>
                <w:lang w:eastAsia="zh-CN"/>
                <w14:textFill>
                  <w14:solidFill>
                    <w14:schemeClr w14:val="tx1"/>
                  </w14:solidFill>
                </w14:textFill>
              </w:rPr>
              <w:t>废水产生，对周围环境无影响</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营运期废气</w:t>
            </w:r>
            <w:r>
              <w:rPr>
                <w:rFonts w:hint="default" w:ascii="Times New Roman" w:hAnsi="Times New Roman" w:eastAsia="宋体" w:cs="Times New Roman"/>
                <w:color w:val="000000" w:themeColor="text1"/>
                <w:sz w:val="28"/>
                <w:szCs w:val="28"/>
                <w:lang w:eastAsia="zh-CN"/>
                <w14:textFill>
                  <w14:solidFill>
                    <w14:schemeClr w14:val="tx1"/>
                  </w14:solidFill>
                </w14:textFill>
              </w:rPr>
              <w:t>调查</w:t>
            </w:r>
            <w:r>
              <w:rPr>
                <w:rFonts w:hint="default" w:ascii="Times New Roman" w:hAnsi="Times New Roman" w:eastAsia="宋体" w:cs="Times New Roman"/>
                <w:color w:val="000000" w:themeColor="text1"/>
                <w:sz w:val="28"/>
                <w:szCs w:val="28"/>
                <w14:textFill>
                  <w14:solidFill>
                    <w14:schemeClr w14:val="tx1"/>
                  </w14:solidFill>
                </w14:textFill>
              </w:rPr>
              <w:t>结论</w:t>
            </w:r>
            <w:bookmarkEnd w:id="99"/>
            <w:bookmarkEnd w:id="100"/>
            <w:bookmarkEnd w:id="101"/>
            <w:bookmarkEnd w:id="102"/>
            <w:bookmarkEnd w:id="103"/>
            <w:bookmarkEnd w:id="104"/>
            <w:bookmarkEnd w:id="105"/>
            <w:bookmarkEnd w:id="106"/>
            <w:bookmarkEnd w:id="107"/>
            <w:bookmarkEnd w:id="108"/>
          </w:p>
          <w:p>
            <w:pPr>
              <w:ind w:firstLine="56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经调查，</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本项目运营期无废气</w:t>
            </w:r>
            <w:r>
              <w:rPr>
                <w:rFonts w:hint="default" w:ascii="Times New Roman" w:hAnsi="Times New Roman" w:eastAsia="宋体" w:cs="Times New Roman"/>
                <w:color w:val="000000" w:themeColor="text1"/>
                <w:sz w:val="28"/>
                <w:szCs w:val="28"/>
                <w:lang w:eastAsia="zh-CN"/>
                <w14:textFill>
                  <w14:solidFill>
                    <w14:schemeClr w14:val="tx1"/>
                  </w14:solidFill>
                </w14:textFill>
              </w:rPr>
              <w:t>产生，对周围环境无影响</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10" w:name="_Toc28806"/>
            <w:bookmarkStart w:id="111" w:name="_Toc22148"/>
            <w:bookmarkStart w:id="112" w:name="_Toc60"/>
            <w:bookmarkStart w:id="113" w:name="_Toc10373"/>
            <w:bookmarkStart w:id="114" w:name="_Toc438"/>
            <w:bookmarkStart w:id="115" w:name="_Toc27291"/>
            <w:bookmarkStart w:id="116" w:name="_Toc28971"/>
            <w:bookmarkStart w:id="117" w:name="_Toc2390"/>
            <w:bookmarkStart w:id="118" w:name="_Toc21621"/>
            <w:bookmarkStart w:id="119" w:name="_Toc14338"/>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3</w:t>
            </w:r>
            <w:r>
              <w:rPr>
                <w:rFonts w:hint="default" w:ascii="Times New Roman" w:hAnsi="Times New Roman" w:eastAsia="宋体" w:cs="Times New Roman"/>
                <w:color w:val="000000" w:themeColor="text1"/>
                <w:sz w:val="28"/>
                <w:szCs w:val="28"/>
                <w14:textFill>
                  <w14:solidFill>
                    <w14:schemeClr w14:val="tx1"/>
                  </w14:solidFill>
                </w14:textFill>
              </w:rPr>
              <w:t>营运期噪声</w:t>
            </w:r>
            <w:r>
              <w:rPr>
                <w:rFonts w:hint="default" w:ascii="Times New Roman" w:hAnsi="Times New Roman" w:eastAsia="宋体" w:cs="Times New Roman"/>
                <w:color w:val="000000" w:themeColor="text1"/>
                <w:sz w:val="28"/>
                <w:szCs w:val="28"/>
                <w:lang w:eastAsia="zh-CN"/>
                <w14:textFill>
                  <w14:solidFill>
                    <w14:schemeClr w14:val="tx1"/>
                  </w14:solidFill>
                </w14:textFill>
              </w:rPr>
              <w:t>调查</w:t>
            </w:r>
            <w:r>
              <w:rPr>
                <w:rFonts w:hint="default" w:ascii="Times New Roman" w:hAnsi="Times New Roman" w:eastAsia="宋体" w:cs="Times New Roman"/>
                <w:color w:val="000000" w:themeColor="text1"/>
                <w:sz w:val="28"/>
                <w:szCs w:val="28"/>
                <w14:textFill>
                  <w14:solidFill>
                    <w14:schemeClr w14:val="tx1"/>
                  </w14:solidFill>
                </w14:textFill>
              </w:rPr>
              <w:t>结论</w:t>
            </w:r>
            <w:bookmarkEnd w:id="110"/>
            <w:bookmarkEnd w:id="111"/>
            <w:bookmarkEnd w:id="112"/>
            <w:bookmarkEnd w:id="113"/>
            <w:bookmarkEnd w:id="114"/>
            <w:bookmarkEnd w:id="115"/>
            <w:bookmarkEnd w:id="116"/>
            <w:bookmarkEnd w:id="117"/>
            <w:bookmarkEnd w:id="118"/>
            <w:bookmarkEnd w:id="119"/>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经调查， 本项目</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运营期无</w:t>
            </w:r>
            <w:r>
              <w:rPr>
                <w:rFonts w:hint="default" w:ascii="Times New Roman" w:hAnsi="Times New Roman" w:eastAsia="宋体" w:cs="Times New Roman"/>
                <w:color w:val="000000" w:themeColor="text1"/>
                <w:sz w:val="28"/>
                <w:szCs w:val="28"/>
                <w:lang w:eastAsia="zh-CN"/>
                <w14:textFill>
                  <w14:solidFill>
                    <w14:schemeClr w14:val="tx1"/>
                  </w14:solidFill>
                </w14:textFill>
              </w:rPr>
              <w:t>噪声产生，对周围环境无影响</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20" w:name="_Toc5281"/>
            <w:bookmarkStart w:id="121" w:name="_Toc25830"/>
            <w:bookmarkStart w:id="122" w:name="_Toc31687"/>
            <w:bookmarkStart w:id="123" w:name="_Toc28469"/>
            <w:bookmarkStart w:id="124" w:name="_Toc3795"/>
            <w:bookmarkStart w:id="125" w:name="_Toc271"/>
            <w:bookmarkStart w:id="126" w:name="_Toc18870"/>
            <w:bookmarkStart w:id="127" w:name="_Toc16320"/>
            <w:bookmarkStart w:id="128" w:name="_Toc10439"/>
            <w:bookmarkStart w:id="129" w:name="_Toc24708"/>
            <w:r>
              <w:rPr>
                <w:rFonts w:hint="default" w:ascii="Times New Roman" w:hAnsi="Times New Roman" w:eastAsia="宋体" w:cs="Times New Roman"/>
                <w:color w:val="000000" w:themeColor="text1"/>
                <w:sz w:val="28"/>
                <w:szCs w:val="28"/>
                <w14:textFill>
                  <w14:solidFill>
                    <w14:schemeClr w14:val="tx1"/>
                  </w14:solidFill>
                </w14:textFill>
              </w:rPr>
              <w:t>10.2.</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4</w:t>
            </w:r>
            <w:r>
              <w:rPr>
                <w:rFonts w:hint="default" w:ascii="Times New Roman" w:hAnsi="Times New Roman" w:eastAsia="宋体" w:cs="Times New Roman"/>
                <w:color w:val="000000" w:themeColor="text1"/>
                <w:sz w:val="28"/>
                <w:szCs w:val="28"/>
                <w14:textFill>
                  <w14:solidFill>
                    <w14:schemeClr w14:val="tx1"/>
                  </w14:solidFill>
                </w14:textFill>
              </w:rPr>
              <w:t>营运期固体废弃物调查情况</w:t>
            </w:r>
            <w:bookmarkEnd w:id="120"/>
            <w:bookmarkEnd w:id="121"/>
            <w:bookmarkEnd w:id="122"/>
            <w:bookmarkEnd w:id="123"/>
            <w:bookmarkEnd w:id="124"/>
            <w:bookmarkEnd w:id="125"/>
            <w:bookmarkEnd w:id="126"/>
            <w:bookmarkEnd w:id="127"/>
            <w:bookmarkEnd w:id="128"/>
            <w:bookmarkEnd w:id="129"/>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30" w:name="_Toc22411"/>
            <w:bookmarkStart w:id="131" w:name="_Toc28259"/>
            <w:bookmarkStart w:id="132" w:name="_Toc683"/>
            <w:bookmarkStart w:id="133" w:name="_Toc29493"/>
            <w:bookmarkStart w:id="134" w:name="_Toc14825"/>
            <w:r>
              <w:rPr>
                <w:rFonts w:hint="default" w:ascii="Times New Roman" w:hAnsi="Times New Roman" w:eastAsia="宋体" w:cs="Times New Roman"/>
                <w:color w:val="000000" w:themeColor="text1"/>
                <w:sz w:val="28"/>
                <w:szCs w:val="28"/>
                <w:lang w:eastAsia="zh-CN"/>
                <w14:textFill>
                  <w14:solidFill>
                    <w14:schemeClr w14:val="tx1"/>
                  </w14:solidFill>
                </w14:textFill>
              </w:rPr>
              <w:t>经调查，本项目</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运营期无</w:t>
            </w:r>
            <w:r>
              <w:rPr>
                <w:rFonts w:hint="default" w:ascii="Times New Roman" w:hAnsi="Times New Roman" w:eastAsia="宋体" w:cs="Times New Roman"/>
                <w:color w:val="000000" w:themeColor="text1"/>
                <w:sz w:val="28"/>
                <w:szCs w:val="28"/>
                <w:lang w:eastAsia="zh-CN"/>
                <w14:textFill>
                  <w14:solidFill>
                    <w14:schemeClr w14:val="tx1"/>
                  </w14:solidFill>
                </w14:textFill>
              </w:rPr>
              <w:t>固废产生，对周围环境无影响</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35" w:name="_Toc14230"/>
            <w:bookmarkStart w:id="136" w:name="_Toc2057"/>
            <w:bookmarkStart w:id="137" w:name="_Toc12305"/>
            <w:r>
              <w:rPr>
                <w:rFonts w:hint="default" w:ascii="Times New Roman" w:hAnsi="Times New Roman" w:eastAsia="宋体" w:cs="Times New Roman"/>
                <w:color w:val="000000" w:themeColor="text1"/>
                <w:sz w:val="28"/>
                <w:szCs w:val="28"/>
                <w14:textFill>
                  <w14:solidFill>
                    <w14:schemeClr w14:val="tx1"/>
                  </w14:solidFill>
                </w14:textFill>
              </w:rPr>
              <w:t>10.2.5环境管理调查结论</w:t>
            </w:r>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建设单位对环境保护工作非常重视，在项目建设时成立了“环境保护工作领导小组”，负责工程的环境管理工作，制定了环境保护管理制度，从而在制度上保证了各项环保措施的落实。</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38" w:name="_Toc32395"/>
            <w:bookmarkStart w:id="139" w:name="_Toc9239"/>
            <w:r>
              <w:rPr>
                <w:rFonts w:hint="default" w:ascii="Times New Roman" w:hAnsi="Times New Roman" w:eastAsia="宋体" w:cs="Times New Roman"/>
                <w:color w:val="000000" w:themeColor="text1"/>
                <w:sz w:val="28"/>
                <w:szCs w:val="28"/>
                <w14:textFill>
                  <w14:solidFill>
                    <w14:schemeClr w14:val="tx1"/>
                  </w14:solidFill>
                </w14:textFill>
              </w:rPr>
              <w:t>10.2.6生态调查结论</w:t>
            </w:r>
            <w:bookmarkEnd w:id="138"/>
            <w:bookmarkEnd w:id="139"/>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现场验收调查情况，本工程已建成，各施工点的施工人员、机械设备等均已撤出现场，除永久占地外，其它区域均将进行植被恢复，工程区域内的植物得到恢复，未对自然生态系统造成不可逆的影响和破坏。由于工程水土保持措施的实施，植物的恢复对项目区生态系统体系会带来良好的影响，另一方面在工程区对施工临时设施等占地进行复草措施，对系统生产力的恢复和提高是非常有利的。</w:t>
            </w:r>
          </w:p>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140" w:name="_Toc9507"/>
            <w:bookmarkStart w:id="141" w:name="_Toc9964"/>
            <w:bookmarkStart w:id="142" w:name="_Toc31987"/>
            <w:bookmarkStart w:id="143" w:name="_Toc27441"/>
            <w:r>
              <w:rPr>
                <w:rFonts w:hint="default" w:ascii="Times New Roman" w:hAnsi="Times New Roman" w:eastAsia="宋体" w:cs="Times New Roman"/>
                <w:color w:val="000000" w:themeColor="text1"/>
                <w:sz w:val="28"/>
                <w:szCs w:val="28"/>
                <w14:textFill>
                  <w14:solidFill>
                    <w14:schemeClr w14:val="tx1"/>
                  </w14:solidFill>
                </w14:textFill>
              </w:rPr>
              <w:t>10.3主要污染物总量控制</w:t>
            </w:r>
            <w:bookmarkEnd w:id="130"/>
            <w:bookmarkEnd w:id="131"/>
            <w:bookmarkEnd w:id="132"/>
            <w:bookmarkEnd w:id="133"/>
            <w:bookmarkEnd w:id="134"/>
            <w:bookmarkEnd w:id="135"/>
            <w:bookmarkEnd w:id="136"/>
            <w:bookmarkEnd w:id="137"/>
            <w:bookmarkEnd w:id="140"/>
            <w:bookmarkEnd w:id="141"/>
            <w:bookmarkEnd w:id="142"/>
            <w:bookmarkEnd w:id="143"/>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无。</w:t>
            </w:r>
          </w:p>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144" w:name="_Toc11900"/>
            <w:bookmarkStart w:id="145" w:name="_Toc4374"/>
            <w:r>
              <w:rPr>
                <w:rFonts w:hint="default" w:ascii="Times New Roman" w:hAnsi="Times New Roman" w:eastAsia="宋体" w:cs="Times New Roman"/>
                <w:color w:val="000000" w:themeColor="text1"/>
                <w:sz w:val="28"/>
                <w:szCs w:val="28"/>
                <w14:textFill>
                  <w14:solidFill>
                    <w14:schemeClr w14:val="tx1"/>
                  </w14:solidFill>
                </w14:textFill>
              </w:rPr>
              <w:t>10.4综合结论</w:t>
            </w:r>
            <w:bookmarkEnd w:id="144"/>
            <w:bookmarkEnd w:id="145"/>
          </w:p>
          <w:p>
            <w:pPr>
              <w:pStyle w:val="37"/>
              <w:ind w:firstLine="48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bookmarkStart w:id="146" w:name="_Toc14398"/>
            <w:bookmarkStart w:id="147" w:name="_Toc16294"/>
            <w:r>
              <w:rPr>
                <w:rFonts w:hint="eastAsia"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属于</w:t>
            </w:r>
            <w:r>
              <w:rPr>
                <w:rFonts w:hint="default" w:ascii="Times New Roman" w:hAnsi="Times New Roman" w:eastAsia="宋体" w:cs="Times New Roman"/>
                <w:color w:val="000000" w:themeColor="text1"/>
                <w:sz w:val="28"/>
                <w:szCs w:val="28"/>
                <w:lang w:eastAsia="zh-CN"/>
                <w14:textFill>
                  <w14:solidFill>
                    <w14:schemeClr w14:val="tx1"/>
                  </w14:solidFill>
                </w14:textFill>
              </w:rPr>
              <w:t>新建项目</w:t>
            </w:r>
            <w:r>
              <w:rPr>
                <w:rFonts w:hint="default" w:ascii="Times New Roman" w:hAnsi="Times New Roman" w:eastAsia="宋体" w:cs="Times New Roman"/>
                <w:color w:val="000000" w:themeColor="text1"/>
                <w:sz w:val="28"/>
                <w:szCs w:val="28"/>
                <w14:textFill>
                  <w14:solidFill>
                    <w14:schemeClr w14:val="tx1"/>
                  </w14:solidFill>
                </w14:textFill>
              </w:rPr>
              <w:t>，该项目</w:t>
            </w:r>
            <w:r>
              <w:rPr>
                <w:rFonts w:hint="default" w:ascii="Times New Roman" w:hAnsi="Times New Roman" w:eastAsia="宋体" w:cs="Times New Roman"/>
                <w:color w:val="000000" w:themeColor="text1"/>
                <w:sz w:val="28"/>
                <w:szCs w:val="28"/>
                <w:lang w:eastAsia="zh-CN"/>
                <w14:textFill>
                  <w14:solidFill>
                    <w14:schemeClr w14:val="tx1"/>
                  </w14:solidFill>
                </w14:textFill>
              </w:rPr>
              <w:t>于</w:t>
            </w:r>
            <w:r>
              <w:rPr>
                <w:rFonts w:hint="eastAsia" w:cs="Times New Roman"/>
                <w:color w:val="000000" w:themeColor="text1"/>
                <w:sz w:val="28"/>
                <w:szCs w:val="28"/>
                <w:lang w:eastAsia="zh-CN"/>
                <w14:textFill>
                  <w14:solidFill>
                    <w14:schemeClr w14:val="tx1"/>
                  </w14:solidFill>
                </w14:textFill>
              </w:rPr>
              <w:t>2019年2月</w:t>
            </w:r>
            <w:r>
              <w:rPr>
                <w:rFonts w:hint="default" w:ascii="Times New Roman" w:hAnsi="Times New Roman" w:eastAsia="宋体" w:cs="Times New Roman"/>
                <w:color w:val="000000" w:themeColor="text1"/>
                <w:sz w:val="28"/>
                <w:szCs w:val="28"/>
                <w14:textFill>
                  <w14:solidFill>
                    <w14:schemeClr w14:val="tx1"/>
                  </w14:solidFill>
                </w14:textFill>
              </w:rPr>
              <w:t>由</w:t>
            </w:r>
            <w:r>
              <w:rPr>
                <w:rFonts w:hint="eastAsia" w:cs="Times New Roman"/>
                <w:color w:val="000000" w:themeColor="text1"/>
                <w:sz w:val="28"/>
                <w:szCs w:val="28"/>
                <w:lang w:eastAsia="zh-CN"/>
                <w14:textFill>
                  <w14:solidFill>
                    <w14:schemeClr w14:val="tx1"/>
                  </w14:solidFill>
                </w14:textFill>
              </w:rPr>
              <w:t>新疆奥邦科技有限公司</w:t>
            </w:r>
            <w:r>
              <w:rPr>
                <w:rFonts w:hint="default" w:ascii="Times New Roman" w:hAnsi="Times New Roman" w:eastAsia="宋体" w:cs="Times New Roman"/>
                <w:color w:val="000000" w:themeColor="text1"/>
                <w:sz w:val="28"/>
                <w:szCs w:val="28"/>
                <w:lang w:eastAsia="zh-CN"/>
                <w14:textFill>
                  <w14:solidFill>
                    <w14:schemeClr w14:val="tx1"/>
                  </w14:solidFill>
                </w14:textFill>
              </w:rPr>
              <w:t>编制</w:t>
            </w:r>
            <w:r>
              <w:rPr>
                <w:rFonts w:hint="default" w:ascii="Times New Roman" w:hAnsi="Times New Roman" w:eastAsia="宋体" w:cs="Times New Roman"/>
                <w:color w:val="000000" w:themeColor="text1"/>
                <w:sz w:val="28"/>
                <w:szCs w:val="28"/>
                <w14:textFill>
                  <w14:solidFill>
                    <w14:schemeClr w14:val="tx1"/>
                  </w14:solidFill>
                </w14:textFill>
              </w:rPr>
              <w:t>了《</w:t>
            </w:r>
            <w:r>
              <w:rPr>
                <w:rFonts w:hint="eastAsia"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w:t>
            </w:r>
            <w:r>
              <w:rPr>
                <w:rFonts w:hint="eastAsia" w:cs="Times New Roman"/>
                <w:color w:val="000000" w:themeColor="text1"/>
                <w:sz w:val="28"/>
                <w:szCs w:val="28"/>
                <w:lang w:eastAsia="zh-CN"/>
                <w14:textFill>
                  <w14:solidFill>
                    <w14:schemeClr w14:val="tx1"/>
                  </w14:solidFill>
                </w14:textFill>
              </w:rPr>
              <w:t>；2019年4月24日</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喀什地区生态环境局</w:t>
            </w:r>
            <w:r>
              <w:rPr>
                <w:rFonts w:hint="default" w:ascii="Times New Roman" w:hAnsi="Times New Roman" w:eastAsia="宋体" w:cs="Times New Roman"/>
                <w:color w:val="000000" w:themeColor="text1"/>
                <w:sz w:val="28"/>
                <w:szCs w:val="28"/>
                <w14:textFill>
                  <w14:solidFill>
                    <w14:schemeClr w14:val="tx1"/>
                  </w14:solidFill>
                </w14:textFill>
              </w:rPr>
              <w:t>以</w:t>
            </w:r>
            <w:r>
              <w:rPr>
                <w:rFonts w:hint="eastAsia" w:cs="Times New Roman"/>
                <w:color w:val="000000" w:themeColor="text1"/>
                <w:sz w:val="28"/>
                <w:szCs w:val="28"/>
                <w:lang w:eastAsia="zh-CN"/>
                <w14:textFill>
                  <w14:solidFill>
                    <w14:schemeClr w14:val="tx1"/>
                  </w14:solidFill>
                </w14:textFill>
              </w:rPr>
              <w:t>喀地环评字[2019]88号</w:t>
            </w:r>
            <w:r>
              <w:rPr>
                <w:rFonts w:hint="default" w:ascii="Times New Roman" w:hAnsi="Times New Roman" w:eastAsia="宋体" w:cs="Times New Roman"/>
                <w:color w:val="000000" w:themeColor="text1"/>
                <w:sz w:val="28"/>
                <w:szCs w:val="28"/>
                <w:lang w:eastAsia="zh-CN"/>
                <w14:textFill>
                  <w14:solidFill>
                    <w14:schemeClr w14:val="tx1"/>
                  </w14:solidFill>
                </w14:textFill>
              </w:rPr>
              <w:t>文</w:t>
            </w:r>
            <w:r>
              <w:rPr>
                <w:rFonts w:hint="default" w:ascii="Times New Roman" w:hAnsi="Times New Roman" w:eastAsia="宋体" w:cs="Times New Roman"/>
                <w:color w:val="000000" w:themeColor="text1"/>
                <w:sz w:val="28"/>
                <w:szCs w:val="28"/>
                <w14:textFill>
                  <w14:solidFill>
                    <w14:schemeClr w14:val="tx1"/>
                  </w14:solidFill>
                </w14:textFill>
              </w:rPr>
              <w:t>《关于</w:t>
            </w:r>
            <w:r>
              <w:rPr>
                <w:rFonts w:hint="eastAsia" w:cs="Times New Roman"/>
                <w:color w:val="000000" w:themeColor="text1"/>
                <w:sz w:val="28"/>
                <w:szCs w:val="28"/>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环境影响报告表的</w:t>
            </w:r>
            <w:r>
              <w:rPr>
                <w:rFonts w:hint="default" w:ascii="Times New Roman" w:hAnsi="Times New Roman" w:eastAsia="宋体" w:cs="Times New Roman"/>
                <w:color w:val="000000" w:themeColor="text1"/>
                <w:sz w:val="28"/>
                <w:szCs w:val="28"/>
                <w:lang w:eastAsia="zh-CN"/>
                <w14:textFill>
                  <w14:solidFill>
                    <w14:schemeClr w14:val="tx1"/>
                  </w14:solidFill>
                </w14:textFill>
              </w:rPr>
              <w:t>批复</w:t>
            </w:r>
            <w:r>
              <w:rPr>
                <w:rFonts w:hint="default" w:ascii="Times New Roman" w:hAnsi="Times New Roman" w:eastAsia="宋体" w:cs="Times New Roman"/>
                <w:color w:val="000000" w:themeColor="text1"/>
                <w:sz w:val="28"/>
                <w:szCs w:val="28"/>
                <w14:textFill>
                  <w14:solidFill>
                    <w14:schemeClr w14:val="tx1"/>
                  </w14:solidFill>
                </w14:textFill>
              </w:rPr>
              <w:t>》对本项目进行了审批</w:t>
            </w:r>
            <w:r>
              <w:rPr>
                <w:rFonts w:hint="eastAsia"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20</w:t>
            </w:r>
            <w:r>
              <w:rPr>
                <w:rFonts w:hint="eastAsia" w:cs="Times New Roman"/>
                <w:color w:val="000000" w:themeColor="text1"/>
                <w:sz w:val="28"/>
                <w:szCs w:val="28"/>
                <w:lang w:val="en-US" w:eastAsia="zh-CN"/>
                <w14:textFill>
                  <w14:solidFill>
                    <w14:schemeClr w14:val="tx1"/>
                  </w14:solidFill>
                </w14:textFill>
              </w:rPr>
              <w:t>19年5月20日</w:t>
            </w:r>
            <w:r>
              <w:rPr>
                <w:rFonts w:hint="default" w:ascii="Times New Roman" w:hAnsi="Times New Roman" w:eastAsia="宋体" w:cs="Times New Roman"/>
                <w:color w:val="000000" w:themeColor="text1"/>
                <w:sz w:val="28"/>
                <w:szCs w:val="28"/>
                <w14:textFill>
                  <w14:solidFill>
                    <w14:schemeClr w14:val="tx1"/>
                  </w14:solidFill>
                </w14:textFill>
              </w:rPr>
              <w:t>开工建设，</w:t>
            </w:r>
            <w:r>
              <w:rPr>
                <w:rFonts w:hint="eastAsia" w:cs="Times New Roman"/>
                <w:color w:val="000000" w:themeColor="text1"/>
                <w:sz w:val="28"/>
                <w:szCs w:val="28"/>
                <w:lang w:eastAsia="zh-CN"/>
                <w14:textFill>
                  <w14:solidFill>
                    <w14:schemeClr w14:val="tx1"/>
                  </w14:solidFill>
                </w14:textFill>
              </w:rPr>
              <w:t>2019年12月24日</w:t>
            </w:r>
            <w:r>
              <w:rPr>
                <w:rFonts w:hint="eastAsia" w:cs="Times New Roman"/>
                <w:color w:val="000000" w:themeColor="text1"/>
                <w:sz w:val="28"/>
                <w:szCs w:val="28"/>
                <w:lang w:val="en-US" w:eastAsia="zh-CN"/>
                <w14:textFill>
                  <w14:solidFill>
                    <w14:schemeClr w14:val="tx1"/>
                  </w14:solidFill>
                </w14:textFill>
              </w:rPr>
              <w:t>竣工，并</w:t>
            </w:r>
            <w:r>
              <w:rPr>
                <w:rFonts w:hint="default" w:ascii="Times New Roman" w:hAnsi="Times New Roman" w:eastAsia="宋体" w:cs="Times New Roman"/>
                <w:color w:val="000000" w:themeColor="text1"/>
                <w:sz w:val="28"/>
                <w:szCs w:val="28"/>
                <w14:textFill>
                  <w14:solidFill>
                    <w14:schemeClr w14:val="tx1"/>
                  </w14:solidFill>
                </w14:textFill>
              </w:rPr>
              <w:t>正式投入</w:t>
            </w:r>
            <w:r>
              <w:rPr>
                <w:rFonts w:hint="default" w:ascii="Times New Roman" w:hAnsi="Times New Roman" w:eastAsia="宋体" w:cs="Times New Roman"/>
                <w:color w:val="000000" w:themeColor="text1"/>
                <w:sz w:val="28"/>
                <w:szCs w:val="28"/>
                <w:lang w:eastAsia="zh-CN"/>
                <w14:textFill>
                  <w14:solidFill>
                    <w14:schemeClr w14:val="tx1"/>
                  </w14:solidFill>
                </w14:textFill>
              </w:rPr>
              <w:t>试</w:t>
            </w:r>
            <w:r>
              <w:rPr>
                <w:rFonts w:hint="default" w:ascii="Times New Roman" w:hAnsi="Times New Roman" w:eastAsia="宋体" w:cs="Times New Roman"/>
                <w:color w:val="000000" w:themeColor="text1"/>
                <w:sz w:val="28"/>
                <w:szCs w:val="28"/>
                <w14:textFill>
                  <w14:solidFill>
                    <w14:schemeClr w14:val="tx1"/>
                  </w14:solidFill>
                </w14:textFill>
              </w:rPr>
              <w:t>运行。项目的主要污染物来源于</w:t>
            </w:r>
            <w:r>
              <w:rPr>
                <w:rFonts w:hint="default" w:ascii="Times New Roman" w:hAnsi="Times New Roman" w:eastAsia="宋体" w:cs="Times New Roman"/>
                <w:color w:val="000000" w:themeColor="text1"/>
                <w:sz w:val="28"/>
                <w:szCs w:val="28"/>
                <w:lang w:eastAsia="zh-CN"/>
                <w14:textFill>
                  <w14:solidFill>
                    <w14:schemeClr w14:val="tx1"/>
                  </w14:solidFill>
                </w14:textFill>
              </w:rPr>
              <w:t>施工</w:t>
            </w:r>
            <w:r>
              <w:rPr>
                <w:rFonts w:hint="default" w:ascii="Times New Roman" w:hAnsi="Times New Roman" w:eastAsia="宋体" w:cs="Times New Roman"/>
                <w:color w:val="000000" w:themeColor="text1"/>
                <w:sz w:val="28"/>
                <w:szCs w:val="28"/>
                <w14:textFill>
                  <w14:solidFill>
                    <w14:schemeClr w14:val="tx1"/>
                  </w14:solidFill>
                </w14:textFill>
              </w:rPr>
              <w:t>期，环境保护部门提出的意见和要求基本得到落实。经本次调查认为，该项目已基本具备建设项目竣工环境保护验收要求</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148" w:name="_Toc25063"/>
            <w:bookmarkStart w:id="149" w:name="_Toc12835"/>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5</w:t>
            </w:r>
            <w:r>
              <w:rPr>
                <w:rFonts w:hint="default" w:ascii="Times New Roman" w:hAnsi="Times New Roman" w:eastAsia="宋体" w:cs="Times New Roman"/>
                <w:color w:val="000000" w:themeColor="text1"/>
                <w:sz w:val="28"/>
                <w:szCs w:val="28"/>
                <w14:textFill>
                  <w14:solidFill>
                    <w14:schemeClr w14:val="tx1"/>
                  </w14:solidFill>
                </w14:textFill>
              </w:rPr>
              <w:t>建议</w:t>
            </w:r>
            <w:bookmarkEnd w:id="146"/>
            <w:bookmarkEnd w:id="147"/>
            <w:bookmarkEnd w:id="148"/>
            <w:bookmarkEnd w:id="149"/>
          </w:p>
          <w:p>
            <w:pPr>
              <w:pStyle w:val="37"/>
              <w:numPr>
                <w:ilvl w:val="0"/>
                <w:numId w:val="5"/>
              </w:numPr>
              <w:ind w:firstLine="48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建议运营管理单位及时加强对</w:t>
            </w:r>
            <w:r>
              <w:rPr>
                <w:rFonts w:hint="eastAsia" w:cs="Times New Roman"/>
                <w:color w:val="000000" w:themeColor="text1"/>
                <w:sz w:val="28"/>
                <w:szCs w:val="28"/>
                <w:lang w:val="en-US" w:eastAsia="zh-CN"/>
                <w14:textFill>
                  <w14:solidFill>
                    <w14:schemeClr w14:val="tx1"/>
                  </w14:solidFill>
                </w14:textFill>
              </w:rPr>
              <w:t>防洪坝</w:t>
            </w:r>
            <w:r>
              <w:rPr>
                <w:rFonts w:hint="default" w:ascii="Times New Roman" w:hAnsi="Times New Roman" w:eastAsia="宋体" w:cs="Times New Roman"/>
                <w:color w:val="000000" w:themeColor="text1"/>
                <w:sz w:val="28"/>
                <w:szCs w:val="28"/>
                <w14:textFill>
                  <w14:solidFill>
                    <w14:schemeClr w14:val="tx1"/>
                  </w14:solidFill>
                </w14:textFill>
              </w:rPr>
              <w:t>的管理和养护，减少水环境污染事 故。</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cs="Times New Roman"/>
                <w:color w:val="000000" w:themeColor="text1"/>
                <w:sz w:val="28"/>
                <w:szCs w:val="28"/>
                <w:lang w:eastAsia="zh-CN"/>
                <w14:textFill>
                  <w14:solidFill>
                    <w14:schemeClr w14:val="tx1"/>
                  </w14:solidFill>
                </w14:textFill>
              </w:rPr>
              <w:t>（</w:t>
            </w:r>
            <w:r>
              <w:rPr>
                <w:rFonts w:hint="eastAsia" w:cs="Times New Roman"/>
                <w:color w:val="000000" w:themeColor="text1"/>
                <w:sz w:val="28"/>
                <w:szCs w:val="28"/>
                <w:lang w:val="en-US" w:eastAsia="zh-CN"/>
                <w14:textFill>
                  <w14:solidFill>
                    <w14:schemeClr w14:val="tx1"/>
                  </w14:solidFill>
                </w14:textFill>
              </w:rPr>
              <w:t>2</w:t>
            </w:r>
            <w:r>
              <w:rPr>
                <w:rFonts w:hint="eastAsia"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对于工程中破坏的两侧植被需尽快进行土地恢复及补偿工作</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12"/>
              <w:jc w:val="both"/>
              <w:rPr>
                <w:rFonts w:hint="default" w:ascii="Times New Roman" w:hAnsi="Times New Roman" w:eastAsia="宋体" w:cs="Times New Roman"/>
                <w:color w:val="000000" w:themeColor="text1"/>
                <w:sz w:val="28"/>
                <w:szCs w:val="28"/>
                <w14:textFill>
                  <w14:solidFill>
                    <w14:schemeClr w14:val="tx1"/>
                  </w14:solidFill>
                </w14:textFill>
              </w:rPr>
            </w:pPr>
          </w:p>
          <w:p>
            <w:pPr>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50" w:name="_Toc19738"/>
            <w:bookmarkStart w:id="151" w:name="_Toc24272"/>
            <w:bookmarkStart w:id="152" w:name="_Toc23317"/>
            <w:bookmarkStart w:id="153" w:name="_Toc11221"/>
            <w:bookmarkStart w:id="154" w:name="_Toc18238"/>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bookmarkStart w:id="155" w:name="_Toc20810"/>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p>
          <w:bookmarkEnd w:id="150"/>
          <w:bookmarkEnd w:id="151"/>
          <w:bookmarkEnd w:id="152"/>
          <w:bookmarkEnd w:id="153"/>
          <w:bookmarkEnd w:id="154"/>
          <w:bookmarkEnd w:id="155"/>
          <w:p>
            <w:pPr>
              <w:pStyle w:val="4"/>
              <w:jc w:val="both"/>
              <w:outlineLvl w:val="2"/>
              <w:rPr>
                <w:rFonts w:hint="default" w:ascii="Times New Roman" w:hAnsi="Times New Roman" w:eastAsia="宋体" w:cs="Times New Roman"/>
                <w:color w:val="000000" w:themeColor="text1"/>
                <w:sz w:val="28"/>
                <w:szCs w:val="28"/>
                <w14:textFill>
                  <w14:solidFill>
                    <w14:schemeClr w14:val="tx1"/>
                  </w14:solidFill>
                </w14:textFill>
              </w:rPr>
            </w:pPr>
          </w:p>
        </w:tc>
      </w:tr>
    </w:tbl>
    <w:p>
      <w:pPr>
        <w:jc w:val="center"/>
        <w:rPr>
          <w:rFonts w:hint="default" w:ascii="Times New Roman" w:hAnsi="Times New Roman" w:eastAsia="宋体" w:cs="Times New Roman"/>
          <w:b/>
          <w:color w:val="000000" w:themeColor="text1"/>
          <w:sz w:val="44"/>
          <w:szCs w:val="44"/>
          <w14:textFill>
            <w14:solidFill>
              <w14:schemeClr w14:val="tx1"/>
            </w14:solidFill>
          </w14:textFill>
        </w:rPr>
        <w:sectPr>
          <w:footerReference r:id="rId12" w:type="default"/>
          <w:pgSz w:w="11906" w:h="16838"/>
          <w:pgMar w:top="1440" w:right="1083" w:bottom="1440" w:left="1083" w:header="851" w:footer="992" w:gutter="0"/>
          <w:pgBorders>
            <w:top w:val="none" w:sz="0" w:space="0"/>
            <w:left w:val="none" w:sz="0" w:space="0"/>
            <w:bottom w:val="none" w:sz="0" w:space="0"/>
            <w:right w:val="none" w:sz="0" w:space="0"/>
          </w:pgBorders>
          <w:pgNumType w:fmt="decimal"/>
          <w:cols w:space="0" w:num="1"/>
          <w:docGrid w:type="lines" w:linePitch="335" w:charSpace="0"/>
        </w:sectPr>
      </w:pPr>
    </w:p>
    <w:p>
      <w:pPr>
        <w:spacing w:line="300" w:lineRule="exact"/>
        <w:jc w:val="center"/>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14:textFill>
            <w14:solidFill>
              <w14:schemeClr w14:val="tx1"/>
            </w14:solidFill>
          </w14:textFill>
        </w:rPr>
        <w:t>建设项目竣工环境保护“三同时”验收登记表</w:t>
      </w:r>
    </w:p>
    <w:p>
      <w:pPr>
        <w:spacing w:line="300" w:lineRule="exact"/>
        <w:jc w:val="center"/>
        <w:rPr>
          <w:rFonts w:hint="default" w:ascii="Times New Roman" w:hAnsi="Times New Roman" w:eastAsia="宋体" w:cs="Times New Roman"/>
          <w:b/>
          <w:color w:val="000000" w:themeColor="text1"/>
          <w:sz w:val="28"/>
          <w:szCs w:val="28"/>
          <w14:textFill>
            <w14:solidFill>
              <w14:schemeClr w14:val="tx1"/>
            </w14:solidFill>
          </w14:textFill>
        </w:rPr>
      </w:pPr>
    </w:p>
    <w:p>
      <w:pPr>
        <w:rPr>
          <w:rFonts w:hint="default" w:ascii="Times New Roman" w:hAnsi="Times New Roman" w:eastAsia="宋体" w:cs="Times New Roman"/>
          <w:b/>
          <w:color w:val="000000" w:themeColor="text1"/>
          <w:sz w:val="21"/>
          <w:szCs w:val="21"/>
          <w14:textFill>
            <w14:solidFill>
              <w14:schemeClr w14:val="tx1"/>
            </w14:solidFill>
          </w14:textFill>
        </w:rPr>
      </w:pPr>
      <w:r>
        <w:rPr>
          <w:rFonts w:hint="default" w:ascii="Times New Roman" w:hAnsi="Times New Roman" w:eastAsia="宋体" w:cs="Times New Roman"/>
          <w:b/>
          <w:color w:val="000000" w:themeColor="text1"/>
          <w:sz w:val="21"/>
          <w:szCs w:val="21"/>
          <w14:textFill>
            <w14:solidFill>
              <w14:schemeClr w14:val="tx1"/>
            </w14:solidFill>
          </w14:textFill>
        </w:rPr>
        <w:t xml:space="preserve">填表单位（盖章）：                </w:t>
      </w:r>
      <w:r>
        <w:rPr>
          <w:rFonts w:hint="default" w:ascii="Times New Roman" w:hAnsi="Times New Roman" w:eastAsia="宋体" w:cs="Times New Roman"/>
          <w:b/>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21"/>
          <w:szCs w:val="21"/>
          <w14:textFill>
            <w14:solidFill>
              <w14:schemeClr w14:val="tx1"/>
            </w14:solidFill>
          </w14:textFill>
        </w:rPr>
        <w:t xml:space="preserve"> 填表人（签字）：         </w:t>
      </w:r>
      <w:r>
        <w:rPr>
          <w:rFonts w:hint="default" w:ascii="Times New Roman" w:hAnsi="Times New Roman" w:eastAsia="宋体" w:cs="Times New Roman"/>
          <w:b/>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21"/>
          <w:szCs w:val="21"/>
          <w14:textFill>
            <w14:solidFill>
              <w14:schemeClr w14:val="tx1"/>
            </w14:solidFill>
          </w14:textFill>
        </w:rPr>
        <w:t xml:space="preserve">                项目经办人（签字）： </w:t>
      </w:r>
    </w:p>
    <w:tbl>
      <w:tblPr>
        <w:tblStyle w:val="31"/>
        <w:tblW w:w="158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77"/>
        <w:gridCol w:w="1299"/>
        <w:gridCol w:w="446"/>
        <w:gridCol w:w="767"/>
        <w:gridCol w:w="1377"/>
        <w:gridCol w:w="1"/>
        <w:gridCol w:w="1544"/>
        <w:gridCol w:w="775"/>
        <w:gridCol w:w="278"/>
        <w:gridCol w:w="826"/>
        <w:gridCol w:w="368"/>
        <w:gridCol w:w="696"/>
        <w:gridCol w:w="597"/>
        <w:gridCol w:w="632"/>
        <w:gridCol w:w="1151"/>
        <w:gridCol w:w="1253"/>
        <w:gridCol w:w="204"/>
        <w:gridCol w:w="1045"/>
        <w:gridCol w:w="175"/>
        <w:gridCol w:w="899"/>
        <w:gridCol w:w="27"/>
        <w:gridCol w:w="79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430" w:type="dxa"/>
            <w:vMerge w:val="restart"/>
            <w:tcMar>
              <w:left w:w="57" w:type="dxa"/>
              <w:right w:w="57" w:type="dxa"/>
            </w:tcMar>
            <w:textDirection w:val="tbRlV"/>
            <w:vAlign w:val="center"/>
          </w:tcPr>
          <w:p>
            <w:pPr>
              <w:spacing w:line="240" w:lineRule="auto"/>
              <w:ind w:left="113" w:right="113"/>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建设项目</w:t>
            </w: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项目名称</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巴楚县阿拉格尔18村防洪点修建防洪堤坝项目</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项目代码</w:t>
            </w:r>
          </w:p>
        </w:tc>
        <w:tc>
          <w:tcPr>
            <w:tcW w:w="3076" w:type="dxa"/>
            <w:gridSpan w:val="4"/>
            <w:tcMar>
              <w:left w:w="57" w:type="dxa"/>
              <w:right w:w="57" w:type="dxa"/>
            </w:tcMar>
            <w:vAlign w:val="center"/>
          </w:tcPr>
          <w:p>
            <w:pPr>
              <w:spacing w:line="240" w:lineRule="auto"/>
              <w:ind w:firstLine="450" w:firstLineChars="250"/>
              <w:jc w:val="center"/>
              <w:rPr>
                <w:rFonts w:hint="default" w:ascii="Times New Roman" w:hAnsi="Times New Roman" w:eastAsia="宋体" w:cs="Times New Roman"/>
                <w:bCs/>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bCs/>
                <w:color w:val="000000" w:themeColor="text1"/>
                <w:sz w:val="18"/>
                <w:szCs w:val="18"/>
                <w:lang w:val="en-US" w:eastAsia="zh-CN"/>
                <w14:textFill>
                  <w14:solidFill>
                    <w14:schemeClr w14:val="tx1"/>
                  </w14:solidFill>
                </w14:textFill>
              </w:rPr>
              <w:t>水利-125</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建设地点</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巴楚县阿拉格尔乡18村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行业类别（分类管理名录）</w:t>
            </w:r>
          </w:p>
        </w:tc>
        <w:tc>
          <w:tcPr>
            <w:tcW w:w="4135" w:type="dxa"/>
            <w:gridSpan w:val="5"/>
            <w:tcMar>
              <w:left w:w="57" w:type="dxa"/>
              <w:right w:w="57" w:type="dxa"/>
            </w:tcMar>
            <w:vAlign w:val="center"/>
          </w:tcPr>
          <w:p>
            <w:pPr>
              <w:spacing w:line="240" w:lineRule="auto"/>
              <w:ind w:firstLine="450" w:firstLineChars="250"/>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val="en-US" w:eastAsia="zh-CN"/>
                <w14:textFill>
                  <w14:solidFill>
                    <w14:schemeClr w14:val="tx1"/>
                  </w14:solidFill>
                </w14:textFill>
              </w:rPr>
              <w:t>灌区工程（不含水源工程的）-其他（不含高标准农田、滴管等节水改造工程）</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建设性质</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bCs/>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eq \o\ac(□</w:instrText>
            </w:r>
            <w:r>
              <w:rPr>
                <w:rFonts w:hint="eastAsia" w:ascii="Times New Roman" w:hAnsi="Times New Roman" w:cs="Times New Roman"/>
                <w:color w:val="000000" w:themeColor="text1"/>
                <w:sz w:val="28"/>
                <w:szCs w:val="28"/>
                <w:lang w:eastAsia="zh-CN"/>
                <w14:textFill>
                  <w14:solidFill>
                    <w14:schemeClr w14:val="tx1"/>
                  </w14:solidFill>
                </w14:textFill>
              </w:rPr>
              <w:instrText xml:space="preserve">,</w:instrText>
            </w:r>
            <w:r>
              <w:rPr>
                <w:rFonts w:hint="eastAsia" w:ascii="Times New Roman" w:hAnsi="Times New Roman" w:cs="Times New Roman"/>
                <w:color w:val="000000" w:themeColor="text1"/>
                <w:position w:val="3"/>
                <w:sz w:val="19"/>
                <w:szCs w:val="28"/>
                <w:lang w:eastAsia="zh-CN"/>
                <w14:textFill>
                  <w14:solidFill>
                    <w14:schemeClr w14:val="tx1"/>
                  </w14:solidFill>
                </w14:textFill>
              </w:rPr>
              <w:instrText xml:space="preserve">√</w:instrText>
            </w:r>
            <w:r>
              <w:rPr>
                <w:rFonts w:hint="default" w:ascii="Times New Roman" w:hAnsi="Times New Roman" w:eastAsia="宋体" w:cs="Times New Roman"/>
                <w:color w:val="000000" w:themeColor="text1"/>
                <w:sz w:val="28"/>
                <w:szCs w:val="28"/>
                <w14:textFill>
                  <w14:solidFill>
                    <w14:schemeClr w14:val="tx1"/>
                  </w14:solidFill>
                </w14:textFill>
              </w:rPr>
              <w:instrText xml:space="preserve">)</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bCs/>
                <w:color w:val="000000" w:themeColor="text1"/>
                <w:sz w:val="18"/>
                <w:szCs w:val="18"/>
                <w14:textFill>
                  <w14:solidFill>
                    <w14:schemeClr w14:val="tx1"/>
                  </w14:solidFill>
                </w14:textFill>
              </w:rPr>
              <w:t xml:space="preserve">新建  </w:t>
            </w:r>
            <w:r>
              <w:rPr>
                <w:rFonts w:hint="default" w:ascii="Times New Roman" w:hAnsi="Times New Roman" w:eastAsia="宋体" w:cs="Times New Roman"/>
                <w:bCs/>
                <w:color w:val="000000" w:themeColor="text1"/>
                <w:sz w:val="18"/>
                <w:szCs w:val="18"/>
                <w:lang w:eastAsia="zh-CN"/>
                <w14:textFill>
                  <w14:solidFill>
                    <w14:schemeClr w14:val="tx1"/>
                  </w14:solidFill>
                </w14:textFill>
              </w:rPr>
              <w:sym w:font="Wingdings 2" w:char="00A3"/>
            </w:r>
            <w:r>
              <w:rPr>
                <w:rFonts w:hint="default" w:ascii="Times New Roman" w:hAnsi="Times New Roman" w:eastAsia="宋体" w:cs="Times New Roman"/>
                <w:bCs/>
                <w:color w:val="000000" w:themeColor="text1"/>
                <w:sz w:val="18"/>
                <w:szCs w:val="18"/>
                <w14:textFill>
                  <w14:solidFill>
                    <w14:schemeClr w14:val="tx1"/>
                  </w14:solidFill>
                </w14:textFill>
              </w:rPr>
              <w:t xml:space="preserve">改扩建  </w:t>
            </w:r>
            <w:r>
              <w:rPr>
                <w:rFonts w:hint="default" w:ascii="Times New Roman" w:hAnsi="Times New Roman" w:eastAsia="宋体" w:cs="Times New Roman"/>
                <w:bCs/>
                <w:color w:val="000000" w:themeColor="text1"/>
                <w:sz w:val="18"/>
                <w:szCs w:val="18"/>
                <w:lang w:eastAsia="zh-CN"/>
                <w14:textFill>
                  <w14:solidFill>
                    <w14:schemeClr w14:val="tx1"/>
                  </w14:solidFill>
                </w14:textFill>
              </w:rPr>
              <w:t>□</w:t>
            </w:r>
            <w:r>
              <w:rPr>
                <w:rFonts w:hint="default" w:ascii="Times New Roman" w:hAnsi="Times New Roman" w:eastAsia="宋体" w:cs="Times New Roman"/>
                <w:bCs/>
                <w:color w:val="000000" w:themeColor="text1"/>
                <w:sz w:val="18"/>
                <w:szCs w:val="18"/>
                <w14:textFill>
                  <w14:solidFill>
                    <w14:schemeClr w14:val="tx1"/>
                  </w14:solidFill>
                </w14:textFill>
              </w:rPr>
              <w:t>技术改造</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项目厂区中心经度/纬度</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防洪坝的起点坐标为: 北纬39°15'47.13"、东经77°50'35.22"；终点坐标为：北纬39°16'06.58"、东经77°51'32.43"。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设计生产能力</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实际生产能力</w:t>
            </w:r>
          </w:p>
        </w:tc>
        <w:tc>
          <w:tcPr>
            <w:tcW w:w="3076" w:type="dxa"/>
            <w:gridSpan w:val="4"/>
            <w:tcMar>
              <w:left w:w="57" w:type="dxa"/>
              <w:right w:w="57" w:type="dxa"/>
            </w:tcMar>
            <w:vAlign w:val="center"/>
          </w:tcPr>
          <w:p>
            <w:pPr>
              <w:spacing w:line="240" w:lineRule="auto"/>
              <w:ind w:firstLine="90" w:firstLineChars="50"/>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环评单位</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eastAsia" w:ascii="Times New Roman" w:hAnsi="Times New Roman" w:cs="Times New Roman"/>
                <w:color w:val="000000" w:themeColor="text1"/>
                <w:sz w:val="18"/>
                <w:szCs w:val="18"/>
                <w:lang w:eastAsia="zh-CN"/>
                <w14:textFill>
                  <w14:solidFill>
                    <w14:schemeClr w14:val="tx1"/>
                  </w14:solidFill>
                </w14:textFill>
              </w:rPr>
              <w:t>新疆奥邦科技有限公司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环评文件审批机关</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喀什地区生态环境局</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审批文号</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cs="Times New Roman"/>
                <w:color w:val="000000" w:themeColor="text1"/>
                <w:sz w:val="18"/>
                <w:szCs w:val="18"/>
                <w:lang w:eastAsia="zh-CN"/>
                <w14:textFill>
                  <w14:solidFill>
                    <w14:schemeClr w14:val="tx1"/>
                  </w14:solidFill>
                </w14:textFill>
              </w:rPr>
              <w:t>喀地环评字[2019]88号</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环评文件类型</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开工日期</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202</w:t>
            </w:r>
            <w:r>
              <w:rPr>
                <w:rFonts w:hint="eastAsia" w:ascii="Times New Roman" w:hAnsi="Times New Roman" w:cs="Times New Roman"/>
                <w:color w:val="000000" w:themeColor="text1"/>
                <w:sz w:val="18"/>
                <w:szCs w:val="18"/>
                <w:lang w:val="en-US" w:eastAsia="zh-CN"/>
                <w14:textFill>
                  <w14:solidFill>
                    <w14:schemeClr w14:val="tx1"/>
                  </w14:solidFill>
                </w14:textFill>
              </w:rPr>
              <w:t>2</w:t>
            </w:r>
            <w:r>
              <w:rPr>
                <w:rFonts w:hint="default" w:ascii="Times New Roman" w:hAnsi="Times New Roman" w:eastAsia="宋体" w:cs="Times New Roman"/>
                <w:color w:val="000000" w:themeColor="text1"/>
                <w:sz w:val="18"/>
                <w:szCs w:val="18"/>
                <w:lang w:val="en-US" w:eastAsia="zh-CN"/>
                <w14:textFill>
                  <w14:solidFill>
                    <w14:schemeClr w14:val="tx1"/>
                  </w14:solidFill>
                </w14:textFill>
              </w:rPr>
              <w:t>年</w:t>
            </w:r>
            <w:r>
              <w:rPr>
                <w:rFonts w:hint="eastAsia" w:ascii="Times New Roman" w:hAnsi="Times New Roman" w:cs="Times New Roman"/>
                <w:color w:val="000000" w:themeColor="text1"/>
                <w:sz w:val="18"/>
                <w:szCs w:val="18"/>
                <w:lang w:val="en-US" w:eastAsia="zh-CN"/>
                <w14:textFill>
                  <w14:solidFill>
                    <w14:schemeClr w14:val="tx1"/>
                  </w14:solidFill>
                </w14:textFill>
              </w:rPr>
              <w:t>5月20日</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竣工日期</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2019年12月24日</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排污许可证申领时间</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环保设施设计单位</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环保设施施工单位</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本工程排污许可证编号</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验收单位</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巴楚县水利管理站</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环保设施监测单位</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新疆昱坤环保科技有限公司</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验收监测时工况</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29"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投资总概算（万元）</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2758.63</w:t>
            </w:r>
          </w:p>
        </w:tc>
        <w:tc>
          <w:tcPr>
            <w:tcW w:w="2247" w:type="dxa"/>
            <w:gridSpan w:val="4"/>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环保投资总概算（万元）</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21.5</w:t>
            </w:r>
          </w:p>
        </w:tc>
        <w:tc>
          <w:tcPr>
            <w:tcW w:w="1457" w:type="dxa"/>
            <w:gridSpan w:val="2"/>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所占比例（%）</w:t>
            </w:r>
          </w:p>
        </w:tc>
        <w:tc>
          <w:tcPr>
            <w:tcW w:w="2939" w:type="dxa"/>
            <w:gridSpan w:val="5"/>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0.78</w:t>
            </w: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实际总投资</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2650</w:t>
            </w:r>
          </w:p>
        </w:tc>
        <w:tc>
          <w:tcPr>
            <w:tcW w:w="2247" w:type="dxa"/>
            <w:gridSpan w:val="4"/>
            <w:tcMar>
              <w:left w:w="57" w:type="dxa"/>
              <w:right w:w="57" w:type="dxa"/>
            </w:tcMar>
            <w:vAlign w:val="center"/>
          </w:tcPr>
          <w:p>
            <w:pPr>
              <w:spacing w:line="240" w:lineRule="auto"/>
              <w:ind w:right="300"/>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实际环保投资（万元）</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20</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所占比例（%）</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0.75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废水治理</w:t>
            </w:r>
          </w:p>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1213"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1378"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废气治理</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1544" w:type="dxa"/>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1053"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噪声治理</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1194"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1293"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固体废物治理（万元）</w:t>
            </w:r>
          </w:p>
        </w:tc>
        <w:tc>
          <w:tcPr>
            <w:tcW w:w="1783"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绿化及生态</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1220"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899"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其他</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820"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新增废水处理设施能力</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新增废气处理设施能力</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年平均工作时</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8760h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2006" w:type="dxa"/>
            <w:gridSpan w:val="3"/>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运营单位</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巴楚县水利管理站</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运营单位社会统一信用代码（或组织机构代码）</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lang w:val="en-US" w:eastAsia="zh-CN"/>
                <w14:textFill>
                  <w14:solidFill>
                    <w14:schemeClr w14:val="tx1"/>
                  </w14:solidFill>
                </w14:textFill>
              </w:rPr>
            </w:pPr>
            <w:r>
              <w:rPr>
                <w:rFonts w:hint="eastAsia" w:ascii="Times New Roman" w:hAnsi="Times New Roman" w:cs="Times New Roman"/>
                <w:b w:val="0"/>
                <w:bCs/>
                <w:color w:val="000000" w:themeColor="text1"/>
                <w:sz w:val="18"/>
                <w:szCs w:val="18"/>
                <w:lang w:val="en-US" w:eastAsia="zh-CN"/>
                <w14:textFill>
                  <w14:solidFill>
                    <w14:schemeClr w14:val="tx1"/>
                  </w14:solidFill>
                </w14:textFill>
              </w:rPr>
              <w:t>126531307637641215</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验收时间</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707" w:type="dxa"/>
            <w:gridSpan w:val="2"/>
            <w:vMerge w:val="restart"/>
            <w:tcMar>
              <w:left w:w="57" w:type="dxa"/>
              <w:right w:w="57" w:type="dxa"/>
            </w:tcMar>
            <w:vAlign w:val="center"/>
          </w:tcPr>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污染</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物排</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放达</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标与</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总量</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控制</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（工</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业建</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设项</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目详</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填）</w:t>
            </w:r>
          </w:p>
        </w:tc>
        <w:tc>
          <w:tcPr>
            <w:tcW w:w="1299" w:type="dxa"/>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污染物</w:t>
            </w:r>
          </w:p>
        </w:tc>
        <w:tc>
          <w:tcPr>
            <w:tcW w:w="1213"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原有排</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放量(1)</w:t>
            </w:r>
          </w:p>
        </w:tc>
        <w:tc>
          <w:tcPr>
            <w:tcW w:w="1377"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本期工程实际排放浓度(2)</w:t>
            </w:r>
          </w:p>
        </w:tc>
        <w:tc>
          <w:tcPr>
            <w:tcW w:w="1545"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本期工程允许排放浓度(3)</w:t>
            </w:r>
          </w:p>
        </w:tc>
        <w:tc>
          <w:tcPr>
            <w:tcW w:w="775"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本期工程产生量(4)</w:t>
            </w:r>
          </w:p>
        </w:tc>
        <w:tc>
          <w:tcPr>
            <w:tcW w:w="1104"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本期工程自身削减量(5)</w:t>
            </w:r>
          </w:p>
        </w:tc>
        <w:tc>
          <w:tcPr>
            <w:tcW w:w="1064"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本期工程实际排放量(6)</w:t>
            </w:r>
          </w:p>
        </w:tc>
        <w:tc>
          <w:tcPr>
            <w:tcW w:w="1229"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本期工程核定排放总量(7)</w:t>
            </w:r>
          </w:p>
        </w:tc>
        <w:tc>
          <w:tcPr>
            <w:tcW w:w="1151"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本期工程“以新带老”削减量(8)</w:t>
            </w:r>
          </w:p>
        </w:tc>
        <w:tc>
          <w:tcPr>
            <w:tcW w:w="1253"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全厂实际排放总量(9)</w:t>
            </w:r>
          </w:p>
        </w:tc>
        <w:tc>
          <w:tcPr>
            <w:tcW w:w="1249"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全厂核定排放总量(10)</w:t>
            </w:r>
          </w:p>
        </w:tc>
        <w:tc>
          <w:tcPr>
            <w:tcW w:w="1101" w:type="dxa"/>
            <w:gridSpan w:val="3"/>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区域平衡替代削减量(11)</w:t>
            </w:r>
          </w:p>
        </w:tc>
        <w:tc>
          <w:tcPr>
            <w:tcW w:w="793"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废水</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化学需氧量</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氨氮</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石油类</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废气</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二氧化硫</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烟尘</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工业粉尘</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氮氧化物</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工业固体废物</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vMerge w:val="restart"/>
            <w:tcMar>
              <w:left w:w="57" w:type="dxa"/>
              <w:right w:w="57" w:type="dxa"/>
            </w:tcMar>
          </w:tcPr>
          <w:p>
            <w:pP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与项目有关的其他特征污染物</w:t>
            </w:r>
          </w:p>
        </w:tc>
        <w:tc>
          <w:tcPr>
            <w:tcW w:w="446" w:type="dxa"/>
            <w:tcMar>
              <w:left w:w="57" w:type="dxa"/>
              <w:right w:w="57" w:type="dxa"/>
            </w:tcMar>
            <w:vAlign w:val="center"/>
          </w:tcPr>
          <w:p>
            <w:pPr>
              <w:rPr>
                <w:rFonts w:hint="default" w:ascii="Times New Roman" w:hAnsi="Times New Roman" w:eastAsia="宋体" w:cs="Times New Roman"/>
                <w:color w:val="000000" w:themeColor="text1"/>
                <w:sz w:val="18"/>
                <w:szCs w:val="18"/>
                <w14:textFill>
                  <w14:solidFill>
                    <w14:schemeClr w14:val="tx1"/>
                  </w14:solidFill>
                </w14:textFill>
              </w:rPr>
            </w:pPr>
          </w:p>
        </w:tc>
        <w:tc>
          <w:tcPr>
            <w:tcW w:w="76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vMerge w:val="continue"/>
            <w:tcMar>
              <w:left w:w="57" w:type="dxa"/>
              <w:right w:w="57" w:type="dxa"/>
            </w:tcMar>
          </w:tcPr>
          <w:p>
            <w:pPr>
              <w:rPr>
                <w:rFonts w:hint="default" w:ascii="Times New Roman" w:hAnsi="Times New Roman" w:eastAsia="宋体" w:cs="Times New Roman"/>
                <w:b/>
                <w:color w:val="000000" w:themeColor="text1"/>
                <w:sz w:val="18"/>
                <w:szCs w:val="18"/>
                <w14:textFill>
                  <w14:solidFill>
                    <w14:schemeClr w14:val="tx1"/>
                  </w14:solidFill>
                </w14:textFill>
              </w:rPr>
            </w:pPr>
          </w:p>
        </w:tc>
        <w:tc>
          <w:tcPr>
            <w:tcW w:w="446" w:type="dxa"/>
            <w:tcMar>
              <w:left w:w="57" w:type="dxa"/>
              <w:right w:w="57" w:type="dxa"/>
            </w:tcMar>
            <w:vAlign w:val="center"/>
          </w:tcPr>
          <w:p>
            <w:pPr>
              <w:rPr>
                <w:rFonts w:hint="default" w:ascii="Times New Roman" w:hAnsi="Times New Roman" w:eastAsia="宋体" w:cs="Times New Roman"/>
                <w:color w:val="000000" w:themeColor="text1"/>
                <w:sz w:val="18"/>
                <w:szCs w:val="18"/>
                <w14:textFill>
                  <w14:solidFill>
                    <w14:schemeClr w14:val="tx1"/>
                  </w14:solidFill>
                </w14:textFill>
              </w:rPr>
            </w:pPr>
          </w:p>
        </w:tc>
        <w:tc>
          <w:tcPr>
            <w:tcW w:w="76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vMerge w:val="continue"/>
            <w:tcMar>
              <w:left w:w="57" w:type="dxa"/>
              <w:right w:w="57" w:type="dxa"/>
            </w:tcMar>
          </w:tcPr>
          <w:p>
            <w:pPr>
              <w:spacing w:line="240" w:lineRule="auto"/>
              <w:rPr>
                <w:rFonts w:hint="default" w:ascii="Times New Roman" w:hAnsi="Times New Roman" w:eastAsia="宋体" w:cs="Times New Roman"/>
                <w:b/>
                <w:color w:val="000000" w:themeColor="text1"/>
                <w:sz w:val="18"/>
                <w:szCs w:val="18"/>
                <w14:textFill>
                  <w14:solidFill>
                    <w14:schemeClr w14:val="tx1"/>
                  </w14:solidFill>
                </w14:textFill>
              </w:rPr>
            </w:pPr>
          </w:p>
        </w:tc>
        <w:tc>
          <w:tcPr>
            <w:tcW w:w="446" w:type="dxa"/>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767"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r>
    </w:tbl>
    <w:p>
      <w:pPr>
        <w:rPr>
          <w:rFonts w:hint="default" w:ascii="Times New Roman" w:hAnsi="Times New Roman" w:eastAsia="宋体" w:cs="Times New Roman"/>
          <w:color w:val="000000" w:themeColor="text1"/>
          <w:sz w:val="15"/>
          <w:szCs w:val="15"/>
          <w14:textFill>
            <w14:solidFill>
              <w14:schemeClr w14:val="tx1"/>
            </w14:solidFill>
          </w14:textFill>
        </w:rPr>
        <w:sectPr>
          <w:pgSz w:w="16838" w:h="11906" w:orient="landscape"/>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Times New Roman" w:hAnsi="Times New Roman" w:eastAsia="宋体" w:cs="Times New Roman"/>
          <w:b/>
          <w:color w:val="000000" w:themeColor="text1"/>
          <w:sz w:val="15"/>
          <w:szCs w:val="15"/>
          <w14:textFill>
            <w14:solidFill>
              <w14:schemeClr w14:val="tx1"/>
            </w14:solidFill>
          </w14:textFill>
        </w:rPr>
        <w:t>注</w:t>
      </w:r>
      <w:r>
        <w:rPr>
          <w:rFonts w:hint="default" w:ascii="Times New Roman" w:hAnsi="Times New Roman" w:eastAsia="宋体" w:cs="Times New Roman"/>
          <w:color w:val="000000" w:themeColor="text1"/>
          <w:sz w:val="15"/>
          <w:szCs w:val="15"/>
          <w14:textFill>
            <w14:solidFill>
              <w14:schemeClr w14:val="tx1"/>
            </w14:solidFill>
          </w14:textFill>
        </w:rPr>
        <w:t>：1、</w:t>
      </w:r>
      <w:r>
        <w:rPr>
          <w:rFonts w:hint="default" w:ascii="Times New Roman" w:hAnsi="Times New Roman" w:eastAsia="宋体" w:cs="Times New Roman"/>
          <w:color w:val="000000" w:themeColor="text1"/>
          <w:spacing w:val="-4"/>
          <w:sz w:val="15"/>
          <w:szCs w:val="15"/>
          <w14:textFill>
            <w14:solidFill>
              <w14:schemeClr w14:val="tx1"/>
            </w14:solidFill>
          </w14:textFill>
        </w:rPr>
        <w:t>排放增减量：（+）表示增加，（-）表示减少。2、(12)=(6)-(8)-(11)，（9）= (4)-(5)-(8)- (11) +（1）。3、计量单位：废水排放量——万吨/年</w:t>
      </w:r>
      <w:r>
        <w:rPr>
          <w:rFonts w:hint="eastAsia" w:ascii="Times New Roman" w:hAnsi="Times New Roman" w:cs="Times New Roman"/>
          <w:color w:val="000000" w:themeColor="text1"/>
          <w:spacing w:val="-4"/>
          <w:sz w:val="15"/>
          <w:szCs w:val="15"/>
          <w:lang w:eastAsia="zh-CN"/>
          <w14:textFill>
            <w14:solidFill>
              <w14:schemeClr w14:val="tx1"/>
            </w14:solidFill>
          </w14:textFill>
        </w:rPr>
        <w:t>；</w:t>
      </w:r>
      <w:r>
        <w:rPr>
          <w:rFonts w:hint="default" w:ascii="Times New Roman" w:hAnsi="Times New Roman" w:eastAsia="宋体" w:cs="Times New Roman"/>
          <w:color w:val="000000" w:themeColor="text1"/>
          <w:spacing w:val="-4"/>
          <w:sz w:val="15"/>
          <w:szCs w:val="15"/>
          <w14:textFill>
            <w14:solidFill>
              <w14:schemeClr w14:val="tx1"/>
            </w14:solidFill>
          </w14:textFill>
        </w:rPr>
        <w:t>废气排放量——万标立方米/年</w:t>
      </w:r>
      <w:r>
        <w:rPr>
          <w:rFonts w:hint="eastAsia" w:ascii="Times New Roman" w:hAnsi="Times New Roman" w:cs="Times New Roman"/>
          <w:color w:val="000000" w:themeColor="text1"/>
          <w:spacing w:val="-4"/>
          <w:sz w:val="15"/>
          <w:szCs w:val="15"/>
          <w:lang w:eastAsia="zh-CN"/>
          <w14:textFill>
            <w14:solidFill>
              <w14:schemeClr w14:val="tx1"/>
            </w14:solidFill>
          </w14:textFill>
        </w:rPr>
        <w:t>；</w:t>
      </w:r>
      <w:r>
        <w:rPr>
          <w:rFonts w:hint="default" w:ascii="Times New Roman" w:hAnsi="Times New Roman" w:eastAsia="宋体" w:cs="Times New Roman"/>
          <w:color w:val="000000" w:themeColor="text1"/>
          <w:spacing w:val="-4"/>
          <w:sz w:val="15"/>
          <w:szCs w:val="15"/>
          <w14:textFill>
            <w14:solidFill>
              <w14:schemeClr w14:val="tx1"/>
            </w14:solidFill>
          </w14:textFill>
        </w:rPr>
        <w:t>工业固体废物排放</w:t>
      </w:r>
      <w:r>
        <w:rPr>
          <w:rFonts w:hint="default" w:ascii="Times New Roman" w:hAnsi="Times New Roman" w:eastAsia="宋体" w:cs="Times New Roman"/>
          <w:color w:val="000000" w:themeColor="text1"/>
          <w:sz w:val="15"/>
          <w:szCs w:val="15"/>
          <w14:textFill>
            <w14:solidFill>
              <w14:schemeClr w14:val="tx1"/>
            </w14:solidFill>
          </w14:textFill>
        </w:rPr>
        <w:t>量——万吨/年</w:t>
      </w:r>
      <w:r>
        <w:rPr>
          <w:rFonts w:hint="eastAsia" w:ascii="Times New Roman" w:hAnsi="Times New Roman" w:cs="Times New Roman"/>
          <w:color w:val="000000" w:themeColor="text1"/>
          <w:sz w:val="15"/>
          <w:szCs w:val="15"/>
          <w:lang w:eastAsia="zh-CN"/>
          <w14:textFill>
            <w14:solidFill>
              <w14:schemeClr w14:val="tx1"/>
            </w14:solidFill>
          </w14:textFill>
        </w:rPr>
        <w:t>；</w:t>
      </w:r>
      <w:r>
        <w:rPr>
          <w:rFonts w:hint="default" w:ascii="Times New Roman" w:hAnsi="Times New Roman" w:eastAsia="宋体" w:cs="Times New Roman"/>
          <w:color w:val="000000" w:themeColor="text1"/>
          <w:sz w:val="15"/>
          <w:szCs w:val="15"/>
          <w14:textFill>
            <w14:solidFill>
              <w14:schemeClr w14:val="tx1"/>
            </w14:solidFill>
          </w14:textFill>
        </w:rPr>
        <w:t>水污染物排放浓度——毫克</w:t>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附件</w:t>
      </w:r>
      <w:r>
        <w:rPr>
          <w:rFonts w:hint="default" w:ascii="Times New Roman" w:hAnsi="Times New Roman" w:eastAsia="宋体" w:cs="Times New Roman"/>
          <w:b/>
          <w:bCs/>
          <w:color w:val="000000" w:themeColor="text1"/>
          <w:lang w:val="en-US" w:eastAsia="zh-CN"/>
          <w14:textFill>
            <w14:solidFill>
              <w14:schemeClr w14:val="tx1"/>
            </w14:solidFill>
          </w14:textFill>
        </w:rPr>
        <w:t>1</w:t>
      </w:r>
      <w:r>
        <w:rPr>
          <w:rFonts w:hint="default" w:ascii="Times New Roman" w:hAnsi="Times New Roman" w:eastAsia="宋体" w:cs="Times New Roman"/>
          <w:b/>
          <w:bCs/>
          <w:color w:val="000000" w:themeColor="text1"/>
          <w14:textFill>
            <w14:solidFill>
              <w14:schemeClr w14:val="tx1"/>
            </w14:solidFill>
          </w14:textFill>
        </w:rPr>
        <w:t>：</w:t>
      </w:r>
      <w:r>
        <w:rPr>
          <w:rFonts w:hint="default" w:ascii="Times New Roman" w:hAnsi="Times New Roman" w:eastAsia="宋体" w:cs="Times New Roman"/>
          <w:b/>
          <w:bCs/>
          <w:color w:val="000000" w:themeColor="text1"/>
          <w:lang w:eastAsia="zh-CN"/>
          <w14:textFill>
            <w14:solidFill>
              <w14:schemeClr w14:val="tx1"/>
            </w14:solidFill>
          </w14:textFill>
        </w:rPr>
        <w:t>环评批复</w:t>
      </w:r>
    </w:p>
    <w:p>
      <w:pPr>
        <w:pStyle w:val="36"/>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drawing>
          <wp:inline distT="0" distB="0" distL="114300" distR="114300">
            <wp:extent cx="5262245" cy="8519160"/>
            <wp:effectExtent l="0" t="0" r="10795" b="0"/>
            <wp:docPr id="5" name="图片 5" descr="1_扫描全能王 2022-11-15 17.53(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_扫描全能王 2022-11-15 17.53(1)_00"/>
                    <pic:cNvPicPr>
                      <a:picLocks noChangeAspect="1"/>
                    </pic:cNvPicPr>
                  </pic:nvPicPr>
                  <pic:blipFill>
                    <a:blip r:embed="rId18"/>
                    <a:stretch>
                      <a:fillRect/>
                    </a:stretch>
                  </pic:blipFill>
                  <pic:spPr>
                    <a:xfrm>
                      <a:off x="0" y="0"/>
                      <a:ext cx="5262245" cy="8519160"/>
                    </a:xfrm>
                    <a:prstGeom prst="rect">
                      <a:avLst/>
                    </a:prstGeom>
                  </pic:spPr>
                </pic:pic>
              </a:graphicData>
            </a:graphic>
          </wp:inline>
        </w:drawing>
      </w:r>
      <w:r>
        <w:rPr>
          <w:rFonts w:hint="default" w:ascii="Times New Roman" w:hAnsi="Times New Roman" w:eastAsia="宋体" w:cs="Times New Roman"/>
          <w:color w:val="000000" w:themeColor="text1"/>
          <w:lang w:val="en-US" w:eastAsia="zh-CN"/>
          <w14:textFill>
            <w14:solidFill>
              <w14:schemeClr w14:val="tx1"/>
            </w14:solidFill>
          </w14:textFill>
        </w:rPr>
        <w:drawing>
          <wp:inline distT="0" distB="0" distL="114300" distR="114300">
            <wp:extent cx="5269230" cy="8606155"/>
            <wp:effectExtent l="0" t="0" r="3810" b="4445"/>
            <wp:docPr id="4" name="图片 4" descr="1_扫描全能王 2022-11-15 17.53(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_扫描全能王 2022-11-15 17.53(1)_01"/>
                    <pic:cNvPicPr>
                      <a:picLocks noChangeAspect="1"/>
                    </pic:cNvPicPr>
                  </pic:nvPicPr>
                  <pic:blipFill>
                    <a:blip r:embed="rId19"/>
                    <a:stretch>
                      <a:fillRect/>
                    </a:stretch>
                  </pic:blipFill>
                  <pic:spPr>
                    <a:xfrm>
                      <a:off x="0" y="0"/>
                      <a:ext cx="5269230" cy="8606155"/>
                    </a:xfrm>
                    <a:prstGeom prst="rect">
                      <a:avLst/>
                    </a:prstGeom>
                  </pic:spPr>
                </pic:pic>
              </a:graphicData>
            </a:graphic>
          </wp:inline>
        </w:drawing>
      </w:r>
      <w:r>
        <w:rPr>
          <w:rFonts w:hint="default" w:ascii="Times New Roman" w:hAnsi="Times New Roman" w:eastAsia="宋体" w:cs="Times New Roman"/>
          <w:color w:val="000000" w:themeColor="text1"/>
          <w:lang w:val="en-US" w:eastAsia="zh-CN"/>
          <w14:textFill>
            <w14:solidFill>
              <w14:schemeClr w14:val="tx1"/>
            </w14:solidFill>
          </w14:textFill>
        </w:rPr>
        <w:drawing>
          <wp:inline distT="0" distB="0" distL="114300" distR="114300">
            <wp:extent cx="5262880" cy="8100695"/>
            <wp:effectExtent l="0" t="0" r="10160" b="6985"/>
            <wp:docPr id="6" name="图片 6" descr="1_扫描全能王 2022-11-15 17.53(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_扫描全能王 2022-11-15 17.53(1)_02"/>
                    <pic:cNvPicPr>
                      <a:picLocks noChangeAspect="1"/>
                    </pic:cNvPicPr>
                  </pic:nvPicPr>
                  <pic:blipFill>
                    <a:blip r:embed="rId20"/>
                    <a:stretch>
                      <a:fillRect/>
                    </a:stretch>
                  </pic:blipFill>
                  <pic:spPr>
                    <a:xfrm>
                      <a:off x="0" y="0"/>
                      <a:ext cx="5262880" cy="8100695"/>
                    </a:xfrm>
                    <a:prstGeom prst="rect">
                      <a:avLst/>
                    </a:prstGeom>
                  </pic:spPr>
                </pic:pic>
              </a:graphicData>
            </a:graphic>
          </wp:inline>
        </w:drawing>
      </w:r>
      <w:r>
        <w:rPr>
          <w:rFonts w:hint="default" w:ascii="Times New Roman" w:hAnsi="Times New Roman" w:eastAsia="宋体" w:cs="Times New Roman"/>
          <w:color w:val="000000" w:themeColor="text1"/>
          <w:lang w:val="en-US" w:eastAsia="zh-CN"/>
          <w14:textFill>
            <w14:solidFill>
              <w14:schemeClr w14:val="tx1"/>
            </w14:solidFill>
          </w14:textFill>
        </w:rPr>
        <w:br w:type="page"/>
      </w:r>
    </w:p>
    <w:p>
      <w:pPr>
        <w:rPr>
          <w:rFonts w:hint="default" w:ascii="Times New Roman" w:hAnsi="Times New Roman" w:eastAsia="宋体" w:cs="Times New Roman"/>
          <w:b/>
          <w:bCs/>
          <w:color w:val="000000" w:themeColor="text1"/>
          <w:lang w:val="en-US" w:eastAsia="zh-CN"/>
          <w14:textFill>
            <w14:solidFill>
              <w14:schemeClr w14:val="tx1"/>
            </w14:solidFill>
          </w14:textFill>
        </w:rPr>
      </w:pPr>
      <w:r>
        <w:rPr>
          <w:rFonts w:hint="eastAsia" w:ascii="Times New Roman" w:hAnsi="Times New Roman" w:cs="Times New Roman"/>
          <w:b/>
          <w:bCs/>
          <w:color w:val="000000" w:themeColor="text1"/>
          <w:vertAlign w:val="baseline"/>
          <w:lang w:val="en-US" w:eastAsia="zh-CN"/>
          <w14:textFill>
            <w14:solidFill>
              <w14:schemeClr w14:val="tx1"/>
            </w14:solidFill>
          </w14:textFill>
        </w:rPr>
        <w:t>现场照片</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4"/>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4"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575560" cy="3434715"/>
                  <wp:effectExtent l="0" t="0" r="0" b="9525"/>
                  <wp:docPr id="3" name="图片 3" descr="0f817e06f6452772b314c97edbbae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f817e06f6452772b314c97edbbaee5"/>
                          <pic:cNvPicPr>
                            <a:picLocks noChangeAspect="1"/>
                          </pic:cNvPicPr>
                        </pic:nvPicPr>
                        <pic:blipFill>
                          <a:blip r:embed="rId21"/>
                          <a:stretch>
                            <a:fillRect/>
                          </a:stretch>
                        </pic:blipFill>
                        <pic:spPr>
                          <a:xfrm>
                            <a:off x="0" y="0"/>
                            <a:ext cx="2575560" cy="3434715"/>
                          </a:xfrm>
                          <a:prstGeom prst="rect">
                            <a:avLst/>
                          </a:prstGeom>
                        </pic:spPr>
                      </pic:pic>
                    </a:graphicData>
                  </a:graphic>
                </wp:inline>
              </w:drawing>
            </w:r>
          </w:p>
        </w:tc>
        <w:tc>
          <w:tcPr>
            <w:tcW w:w="4148"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446655" cy="3260090"/>
                  <wp:effectExtent l="0" t="0" r="6985" b="1270"/>
                  <wp:docPr id="11" name="图片 11" descr="7ae19a4a5bc2e19096835cf1139f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ae19a4a5bc2e19096835cf1139f185"/>
                          <pic:cNvPicPr>
                            <a:picLocks noChangeAspect="1"/>
                          </pic:cNvPicPr>
                        </pic:nvPicPr>
                        <pic:blipFill>
                          <a:blip r:embed="rId22"/>
                          <a:stretch>
                            <a:fillRect/>
                          </a:stretch>
                        </pic:blipFill>
                        <pic:spPr>
                          <a:xfrm>
                            <a:off x="0" y="0"/>
                            <a:ext cx="2446655" cy="32600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4"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639695" cy="3517265"/>
                  <wp:effectExtent l="0" t="0" r="12065" b="3175"/>
                  <wp:docPr id="12" name="图片 12" descr="18d7bb2f7e424cd115c933b13049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8d7bb2f7e424cd115c933b130499f8"/>
                          <pic:cNvPicPr>
                            <a:picLocks noChangeAspect="1"/>
                          </pic:cNvPicPr>
                        </pic:nvPicPr>
                        <pic:blipFill>
                          <a:blip r:embed="rId23"/>
                          <a:stretch>
                            <a:fillRect/>
                          </a:stretch>
                        </pic:blipFill>
                        <pic:spPr>
                          <a:xfrm>
                            <a:off x="0" y="0"/>
                            <a:ext cx="2639695" cy="3517265"/>
                          </a:xfrm>
                          <a:prstGeom prst="rect">
                            <a:avLst/>
                          </a:prstGeom>
                        </pic:spPr>
                      </pic:pic>
                    </a:graphicData>
                  </a:graphic>
                </wp:inline>
              </w:drawing>
            </w:r>
          </w:p>
        </w:tc>
        <w:tc>
          <w:tcPr>
            <w:tcW w:w="4148"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493010" cy="3394075"/>
                  <wp:effectExtent l="0" t="0" r="6350" b="4445"/>
                  <wp:docPr id="13" name="图片 13" descr="059f639c089f516d7105cd2cf1c26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59f639c089f516d7105cd2cf1c268b"/>
                          <pic:cNvPicPr>
                            <a:picLocks noChangeAspect="1"/>
                          </pic:cNvPicPr>
                        </pic:nvPicPr>
                        <pic:blipFill>
                          <a:blip r:embed="rId24"/>
                          <a:stretch>
                            <a:fillRect/>
                          </a:stretch>
                        </pic:blipFill>
                        <pic:spPr>
                          <a:xfrm>
                            <a:off x="0" y="0"/>
                            <a:ext cx="2493010" cy="339407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jc w:val="center"/>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eastAsia" w:ascii="Times New Roman" w:hAnsi="Times New Roman" w:cs="Times New Roman"/>
                <w:color w:val="000000" w:themeColor="text1"/>
                <w:vertAlign w:val="baseline"/>
                <w:lang w:val="en-US" w:eastAsia="zh-CN"/>
                <w14:textFill>
                  <w14:solidFill>
                    <w14:schemeClr w14:val="tx1"/>
                  </w14:solidFill>
                </w14:textFill>
              </w:rPr>
              <w:t>施工期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907665" cy="6193790"/>
                  <wp:effectExtent l="0" t="0" r="3175" b="8890"/>
                  <wp:docPr id="10" name="图片 10" descr="3a8769351f30291bbbab871462e99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a8769351f30291bbbab871462e99c6"/>
                          <pic:cNvPicPr>
                            <a:picLocks noChangeAspect="1"/>
                          </pic:cNvPicPr>
                        </pic:nvPicPr>
                        <pic:blipFill>
                          <a:blip r:embed="rId25"/>
                          <a:stretch>
                            <a:fillRect/>
                          </a:stretch>
                        </pic:blipFill>
                        <pic:spPr>
                          <a:xfrm>
                            <a:off x="0" y="0"/>
                            <a:ext cx="2907665" cy="61937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jc w:val="center"/>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eastAsia" w:ascii="Times New Roman" w:hAnsi="Times New Roman" w:cs="Times New Roman"/>
                <w:color w:val="000000" w:themeColor="text1"/>
                <w:vertAlign w:val="baseline"/>
                <w:lang w:val="en-US" w:eastAsia="zh-CN"/>
                <w14:textFill>
                  <w14:solidFill>
                    <w14:schemeClr w14:val="tx1"/>
                  </w14:solidFill>
                </w14:textFill>
              </w:rPr>
              <w:t>防洪坝</w:t>
            </w:r>
          </w:p>
        </w:tc>
      </w:tr>
    </w:tbl>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themeColor="text1"/>
          <w:sz w:val="32"/>
          <w:szCs w:val="32"/>
          <w14:textFill>
            <w14:solidFill>
              <w14:schemeClr w14:val="tx1"/>
            </w14:solidFill>
          </w14:textFill>
        </w:rPr>
      </w:pPr>
      <w:r>
        <w:rPr>
          <w:rFonts w:hint="eastAsia" w:ascii="Times New Roman" w:hAnsi="Times New Roman" w:cs="Times New Roman"/>
          <w:b/>
          <w:bCs/>
          <w:color w:val="000000" w:themeColor="text1"/>
          <w:sz w:val="32"/>
          <w:szCs w:val="32"/>
          <w:lang w:eastAsia="zh-CN"/>
          <w14:textFill>
            <w14:solidFill>
              <w14:schemeClr w14:val="tx1"/>
            </w14:solidFill>
          </w14:textFill>
        </w:rPr>
        <w:t>巴楚县阿拉格尔18村防洪点修建防洪堤坝项目</w:t>
      </w:r>
      <w:r>
        <w:rPr>
          <w:rFonts w:hint="default" w:ascii="Times New Roman" w:hAnsi="Times New Roman" w:eastAsia="宋体" w:cs="Times New Roman"/>
          <w:b/>
          <w:bCs/>
          <w:color w:val="000000" w:themeColor="text1"/>
          <w:sz w:val="32"/>
          <w:szCs w:val="32"/>
          <w14:textFill>
            <w14:solidFill>
              <w14:schemeClr w14:val="tx1"/>
            </w14:solidFill>
          </w14:textFill>
        </w:rPr>
        <w:t>竣工环境保护验收意见</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20</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14:textFill>
            <w14:solidFill>
              <w14:schemeClr w14:val="tx1"/>
            </w14:solidFill>
          </w14:textFill>
        </w:rPr>
        <w:t>年</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1</w:t>
      </w:r>
      <w:r>
        <w:rPr>
          <w:rFonts w:hint="eastAsia" w:ascii="Times New Roman" w:hAnsi="Times New Roman"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14:textFill>
            <w14:solidFill>
              <w14:schemeClr w14:val="tx1"/>
            </w14:solidFill>
          </w14:textFill>
        </w:rPr>
        <w:t>月，在</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巴楚县水利管理站</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负责人</w:t>
      </w:r>
      <w:r>
        <w:rPr>
          <w:rFonts w:hint="default" w:ascii="Times New Roman" w:hAnsi="Times New Roman" w:eastAsia="宋体" w:cs="Times New Roman"/>
          <w:color w:val="000000" w:themeColor="text1"/>
          <w:sz w:val="24"/>
          <w:szCs w:val="24"/>
          <w14:textFill>
            <w14:solidFill>
              <w14:schemeClr w14:val="tx1"/>
            </w14:solidFill>
          </w14:textFill>
        </w:rPr>
        <w:t>的</w:t>
      </w:r>
      <w:r>
        <w:rPr>
          <w:rFonts w:hint="default" w:ascii="Times New Roman" w:hAnsi="Times New Roman" w:eastAsia="宋体" w:cs="Times New Roman"/>
          <w:color w:val="000000" w:themeColor="text1"/>
          <w:kern w:val="2"/>
          <w:sz w:val="24"/>
          <w:szCs w:val="24"/>
          <w14:textFill>
            <w14:solidFill>
              <w14:schemeClr w14:val="tx1"/>
            </w14:solidFill>
          </w14:textFill>
        </w:rPr>
        <w:t>主持下召开了《</w:t>
      </w:r>
      <w:r>
        <w:rPr>
          <w:rFonts w:hint="eastAsia" w:ascii="Times New Roman" w:hAnsi="Times New Roman" w:cs="Times New Roman"/>
          <w:color w:val="000000" w:themeColor="text1"/>
          <w:kern w:val="2"/>
          <w:sz w:val="24"/>
          <w:szCs w:val="24"/>
          <w:lang w:eastAsia="zh-CN"/>
          <w14:textFill>
            <w14:solidFill>
              <w14:schemeClr w14:val="tx1"/>
            </w14:solidFill>
          </w14:textFill>
        </w:rPr>
        <w:t>巴楚县阿拉格尔18村防洪点修建防洪堤坝项目</w:t>
      </w:r>
      <w:r>
        <w:rPr>
          <w:rFonts w:hint="default" w:ascii="Times New Roman" w:hAnsi="Times New Roman" w:eastAsia="宋体" w:cs="Times New Roman"/>
          <w:color w:val="000000" w:themeColor="text1"/>
          <w:kern w:val="2"/>
          <w:sz w:val="24"/>
          <w:szCs w:val="24"/>
          <w14:textFill>
            <w14:solidFill>
              <w14:schemeClr w14:val="tx1"/>
            </w14:solidFill>
          </w14:textFill>
        </w:rPr>
        <w:t>竣工环境保护验收监测报告表》</w:t>
      </w:r>
      <w:r>
        <w:rPr>
          <w:rFonts w:hint="eastAsia" w:ascii="Times New Roman" w:hAnsi="Times New Roman" w:cs="Times New Roman"/>
          <w:color w:val="000000" w:themeColor="text1"/>
          <w:kern w:val="2"/>
          <w:sz w:val="24"/>
          <w:szCs w:val="24"/>
          <w:lang w:val="en-US" w:eastAsia="zh-CN"/>
          <w14:textFill>
            <w14:solidFill>
              <w14:schemeClr w14:val="tx1"/>
            </w14:solidFill>
          </w14:textFill>
        </w:rPr>
        <w:t>视频会议</w:t>
      </w:r>
      <w:r>
        <w:rPr>
          <w:rFonts w:hint="default" w:ascii="Times New Roman" w:hAnsi="Times New Roman" w:eastAsia="宋体" w:cs="Times New Roman"/>
          <w:color w:val="000000" w:themeColor="text1"/>
          <w:kern w:val="2"/>
          <w:sz w:val="24"/>
          <w:szCs w:val="24"/>
          <w14:textFill>
            <w14:solidFill>
              <w14:schemeClr w14:val="tx1"/>
            </w14:solidFill>
          </w14:textFill>
        </w:rPr>
        <w:t>。参加会议的有</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建设单位</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巴楚县水利管理站</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负责人</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验收报告编制及监测单位、验收专家等（名单附后）。</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在建设项目现场听取了建设单位对工程情况的介绍，并对环保设施核查和听取验收监测报告内容的汇报后，与会专家进行了认真讨论和评审，并对照本项目环境影响评价</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登记表以及当地相关</w:t>
      </w:r>
      <w:r>
        <w:rPr>
          <w:rFonts w:hint="default" w:ascii="Times New Roman" w:hAnsi="Times New Roman" w:eastAsia="宋体" w:cs="Times New Roman"/>
          <w:color w:val="000000" w:themeColor="text1"/>
          <w:kern w:val="2"/>
          <w:sz w:val="24"/>
          <w:szCs w:val="24"/>
          <w14:textFill>
            <w14:solidFill>
              <w14:schemeClr w14:val="tx1"/>
            </w14:solidFill>
          </w14:textFill>
        </w:rPr>
        <w:t>要求对本项目进行验收，形成专家审查意见如下：</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一、</w:t>
      </w:r>
      <w:r>
        <w:rPr>
          <w:rFonts w:hint="default" w:ascii="Times New Roman" w:hAnsi="Times New Roman" w:eastAsia="宋体" w:cs="Times New Roman"/>
          <w:color w:val="000000" w:themeColor="text1"/>
          <w:kern w:val="2"/>
          <w:sz w:val="24"/>
          <w:szCs w:val="24"/>
          <w14:textFill>
            <w14:solidFill>
              <w14:schemeClr w14:val="tx1"/>
            </w14:solidFill>
          </w14:textFill>
        </w:rPr>
        <w:t>项目建设基本情况</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建设地点、规模、主要建设内容</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eastAsia" w:ascii="Times New Roman" w:hAnsi="Times New Roman" w:eastAsia="宋体" w:cs="Times New Roman"/>
          <w:color w:val="000000" w:themeColor="text1"/>
          <w:kern w:val="2"/>
          <w:sz w:val="24"/>
          <w:szCs w:val="24"/>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建设地点：</w:t>
      </w:r>
      <w:r>
        <w:rPr>
          <w:rFonts w:hint="eastAsia" w:ascii="Times New Roman" w:hAnsi="Times New Roman" w:eastAsia="宋体" w:cs="Times New Roman"/>
          <w:color w:val="000000" w:themeColor="text1"/>
          <w:kern w:val="2"/>
          <w:sz w:val="24"/>
          <w:szCs w:val="24"/>
          <w14:textFill>
            <w14:solidFill>
              <w14:schemeClr w14:val="tx1"/>
            </w14:solidFill>
          </w14:textFill>
        </w:rPr>
        <w:t>本项目</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位于</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巴楚县阿拉格尔乡18村</w:t>
      </w:r>
      <w:r>
        <w:rPr>
          <w:rFonts w:hint="eastAsia" w:ascii="Times New Roman" w:hAnsi="Times New Roman" w:eastAsia="宋体" w:cs="Times New Roman"/>
          <w:color w:val="000000" w:themeColor="text1"/>
          <w:kern w:val="2"/>
          <w:sz w:val="24"/>
          <w:szCs w:val="24"/>
          <w14:textFill>
            <w14:solidFill>
              <w14:schemeClr w14:val="tx1"/>
            </w14:solidFill>
          </w14:textFill>
        </w:rPr>
        <w:t>。</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距巴楚县城92km。</w:t>
      </w:r>
      <w:r>
        <w:rPr>
          <w:rFonts w:hint="eastAsia" w:ascii="Times New Roman" w:hAnsi="Times New Roman" w:eastAsia="宋体" w:cs="Times New Roman"/>
          <w:color w:val="000000" w:themeColor="text1"/>
          <w:kern w:val="2"/>
          <w:sz w:val="24"/>
          <w:szCs w:val="24"/>
          <w14:textFill>
            <w14:solidFill>
              <w14:schemeClr w14:val="tx1"/>
            </w14:solidFill>
          </w14:textFill>
        </w:rPr>
        <w:t>本次</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防洪坝的</w:t>
      </w:r>
      <w:r>
        <w:rPr>
          <w:rFonts w:hint="eastAsia" w:ascii="Times New Roman" w:hAnsi="Times New Roman" w:eastAsia="宋体" w:cs="Times New Roman"/>
          <w:color w:val="000000" w:themeColor="text1"/>
          <w:kern w:val="2"/>
          <w:sz w:val="24"/>
          <w:szCs w:val="24"/>
          <w14:textFill>
            <w14:solidFill>
              <w14:schemeClr w14:val="tx1"/>
            </w14:solidFill>
          </w14:textFill>
        </w:rPr>
        <w:t>起点坐标为: 北纬39°15'</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47.13</w:t>
      </w:r>
      <w:r>
        <w:rPr>
          <w:rFonts w:hint="eastAsia" w:ascii="Times New Roman" w:hAnsi="Times New Roman" w:eastAsia="宋体" w:cs="Times New Roman"/>
          <w:color w:val="000000" w:themeColor="text1"/>
          <w:kern w:val="2"/>
          <w:sz w:val="24"/>
          <w:szCs w:val="24"/>
          <w14:textFill>
            <w14:solidFill>
              <w14:schemeClr w14:val="tx1"/>
            </w14:solidFill>
          </w14:textFill>
        </w:rPr>
        <w:t>"、东经77°50'</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35.22</w:t>
      </w:r>
      <w:r>
        <w:rPr>
          <w:rFonts w:hint="eastAsia" w:ascii="Times New Roman" w:hAnsi="Times New Roman" w:eastAsia="宋体" w:cs="Times New Roman"/>
          <w:color w:val="000000" w:themeColor="text1"/>
          <w:kern w:val="2"/>
          <w:sz w:val="24"/>
          <w:szCs w:val="24"/>
          <w14:textFill>
            <w14:solidFill>
              <w14:schemeClr w14:val="tx1"/>
            </w14:solidFill>
          </w14:textFill>
        </w:rPr>
        <w:t>"</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2"/>
          <w:sz w:val="24"/>
          <w:szCs w:val="24"/>
          <w14:textFill>
            <w14:solidFill>
              <w14:schemeClr w14:val="tx1"/>
            </w14:solidFill>
          </w14:textFill>
        </w:rPr>
        <w:t>终点坐标为：北纬39°16'0</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6.58</w:t>
      </w:r>
      <w:r>
        <w:rPr>
          <w:rFonts w:hint="eastAsia" w:ascii="Times New Roman" w:hAnsi="Times New Roman" w:eastAsia="宋体" w:cs="Times New Roman"/>
          <w:color w:val="000000" w:themeColor="text1"/>
          <w:kern w:val="2"/>
          <w:sz w:val="24"/>
          <w:szCs w:val="24"/>
          <w14:textFill>
            <w14:solidFill>
              <w14:schemeClr w14:val="tx1"/>
            </w14:solidFill>
          </w14:textFill>
        </w:rPr>
        <w:t>"、东经77°51'</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32.43</w:t>
      </w:r>
      <w:r>
        <w:rPr>
          <w:rFonts w:hint="eastAsia" w:ascii="Times New Roman" w:hAnsi="Times New Roman" w:eastAsia="宋体" w:cs="Times New Roman"/>
          <w:color w:val="000000" w:themeColor="text1"/>
          <w:kern w:val="2"/>
          <w:sz w:val="24"/>
          <w:szCs w:val="24"/>
          <w14:textFill>
            <w14:solidFill>
              <w14:schemeClr w14:val="tx1"/>
            </w14:solidFill>
          </w14:textFill>
        </w:rPr>
        <w:t>"。</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主要建设内容及规模：本工程共完成修建防洪堤坝1500米；其中：土方开挖129357.13 m³，土方填筑111910.69m³、土工布铺设69202.77㎡、砂砾石垫层12146.57m³、格宾石笼装填18863.34m³、雷诺护垫12434.13m³、土方回填103381.96m³、四面六边透水框架（10*10*100cm）856.8m³。堤顶道路修建1500米，其中路沿石安装1500米、堤顶土工布铺设1500㎡、堤顶砂砾石垫层8001.84㎡。</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14:textFill>
            <w14:solidFill>
              <w14:schemeClr w14:val="tx1"/>
            </w14:solidFill>
          </w14:textFill>
        </w:rPr>
        <w:t>）投资情况</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eastAsia" w:ascii="Times New Roman" w:hAnsi="Times New Roman" w:eastAsia="宋体" w:cs="Times New Roman"/>
          <w:color w:val="000000" w:themeColor="text1"/>
          <w:kern w:val="2"/>
          <w:sz w:val="24"/>
          <w:szCs w:val="24"/>
          <w:lang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本项目</w:t>
      </w:r>
      <w:r>
        <w:rPr>
          <w:rFonts w:hint="default" w:ascii="Times New Roman" w:hAnsi="Times New Roman" w:eastAsia="宋体" w:cs="Times New Roman"/>
          <w:color w:val="000000" w:themeColor="text1"/>
          <w:kern w:val="2"/>
          <w:sz w:val="24"/>
          <w:szCs w:val="24"/>
          <w14:textFill>
            <w14:solidFill>
              <w14:schemeClr w14:val="tx1"/>
            </w14:solidFill>
          </w14:textFill>
        </w:rPr>
        <w:t>实际总投资</w:t>
      </w:r>
      <w:r>
        <w:rPr>
          <w:rFonts w:hint="eastAsia" w:ascii="Times New Roman" w:hAnsi="Times New Roman" w:cs="Times New Roman"/>
          <w:color w:val="000000" w:themeColor="text1"/>
          <w:kern w:val="2"/>
          <w:sz w:val="24"/>
          <w:szCs w:val="24"/>
          <w:lang w:val="en-US" w:eastAsia="zh-CN"/>
          <w14:textFill>
            <w14:solidFill>
              <w14:schemeClr w14:val="tx1"/>
            </w14:solidFill>
          </w14:textFill>
        </w:rPr>
        <w:t>2650</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万元，</w:t>
      </w:r>
      <w:r>
        <w:rPr>
          <w:rFonts w:hint="default" w:ascii="Times New Roman" w:hAnsi="Times New Roman" w:eastAsia="宋体" w:cs="Times New Roman"/>
          <w:color w:val="000000" w:themeColor="text1"/>
          <w:kern w:val="2"/>
          <w:sz w:val="24"/>
          <w:szCs w:val="24"/>
          <w14:textFill>
            <w14:solidFill>
              <w14:schemeClr w14:val="tx1"/>
            </w14:solidFill>
          </w14:textFill>
        </w:rPr>
        <w:t>环保投资</w:t>
      </w:r>
      <w:r>
        <w:rPr>
          <w:rFonts w:hint="eastAsia" w:ascii="Times New Roman" w:hAnsi="Times New Roman" w:cs="Times New Roman"/>
          <w:color w:val="000000" w:themeColor="text1"/>
          <w:kern w:val="2"/>
          <w:sz w:val="24"/>
          <w:szCs w:val="24"/>
          <w:lang w:val="en-US" w:eastAsia="zh-CN"/>
          <w14:textFill>
            <w14:solidFill>
              <w14:schemeClr w14:val="tx1"/>
            </w14:solidFill>
          </w14:textFill>
        </w:rPr>
        <w:t>20</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万元，</w:t>
      </w:r>
      <w:r>
        <w:rPr>
          <w:rFonts w:hint="default" w:ascii="Times New Roman" w:hAnsi="Times New Roman" w:eastAsia="宋体" w:cs="Times New Roman"/>
          <w:color w:val="000000" w:themeColor="text1"/>
          <w:kern w:val="2"/>
          <w:sz w:val="24"/>
          <w:szCs w:val="24"/>
          <w14:textFill>
            <w14:solidFill>
              <w14:schemeClr w14:val="tx1"/>
            </w14:solidFill>
          </w14:textFill>
        </w:rPr>
        <w:t>环保投资占总投资比例0.</w:t>
      </w:r>
      <w:r>
        <w:rPr>
          <w:rFonts w:hint="eastAsia" w:ascii="Times New Roman" w:hAnsi="Times New Roman" w:cs="Times New Roman"/>
          <w:color w:val="000000" w:themeColor="text1"/>
          <w:kern w:val="2"/>
          <w:sz w:val="24"/>
          <w:szCs w:val="24"/>
          <w:lang w:val="en-US" w:eastAsia="zh-CN"/>
          <w14:textFill>
            <w14:solidFill>
              <w14:schemeClr w14:val="tx1"/>
            </w14:solidFill>
          </w14:textFill>
        </w:rPr>
        <w:t>75</w:t>
      </w:r>
      <w:r>
        <w:rPr>
          <w:rFonts w:hint="default" w:ascii="Times New Roman" w:hAnsi="Times New Roman" w:eastAsia="宋体" w:cs="Times New Roman"/>
          <w:color w:val="000000" w:themeColor="text1"/>
          <w:kern w:val="2"/>
          <w:sz w:val="24"/>
          <w:szCs w:val="24"/>
          <w14:textFill>
            <w14:solidFill>
              <w14:schemeClr w14:val="tx1"/>
            </w14:solidFill>
          </w14:textFill>
        </w:rPr>
        <w:t>%</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numPr>
          <w:ilvl w:val="0"/>
          <w:numId w:val="5"/>
        </w:numPr>
        <w:kinsoku/>
        <w:wordWrap/>
        <w:overflowPunct/>
        <w:topLinePunct w:val="0"/>
        <w:autoSpaceDE/>
        <w:autoSpaceDN/>
        <w:bidi w:val="0"/>
        <w:adjustRightInd/>
        <w:snapToGrid/>
        <w:spacing w:before="0" w:beforeLines="0" w:beforeAutospacing="0" w:after="0" w:afterAutospacing="0" w:line="460" w:lineRule="exact"/>
        <w:ind w:left="0" w:leftChars="0"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验收范围及内容</w:t>
      </w:r>
    </w:p>
    <w:p>
      <w:pPr>
        <w:pStyle w:val="61"/>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Autospacing="0" w:line="460" w:lineRule="exact"/>
        <w:ind w:firstLine="480" w:firstLineChars="200"/>
        <w:jc w:val="both"/>
        <w:textAlignment w:val="auto"/>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修建防洪堤坝1500米；其中：土方开挖129357.13 m³，土方填筑111910.69m³、土工布铺设69202.77㎡、砂砾石垫层12146.57m³、格宾石笼装填18863.34m³、雷诺护垫12434.13m³、土方回填103381.96m³、四面六边透水框架（10*10*100cm）856.8m³。堤顶道路修建1500米，其中路沿石安装1500米、堤顶土工布铺设1500㎡、堤顶砂砾石垫层8001.84㎡。</w:t>
      </w:r>
    </w:p>
    <w:p>
      <w:pPr>
        <w:pStyle w:val="5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项目变更情况</w:t>
      </w:r>
    </w:p>
    <w:p>
      <w:pPr>
        <w:pStyle w:val="5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firstLine="480" w:firstLineChars="200"/>
        <w:textAlignment w:val="auto"/>
        <w:rPr>
          <w:rFonts w:hint="eastAsia" w:ascii="Times New Roman" w:hAnsi="Times New Roman" w:cs="Times New Roman"/>
          <w:b w:val="0"/>
          <w:bCs/>
          <w:color w:val="000000" w:themeColor="text1"/>
          <w:sz w:val="24"/>
          <w:lang w:val="en-US" w:eastAsia="zh-CN"/>
          <w14:textFill>
            <w14:solidFill>
              <w14:schemeClr w14:val="tx1"/>
            </w14:solidFill>
          </w14:textFill>
        </w:rPr>
      </w:pPr>
      <w:r>
        <w:rPr>
          <w:rFonts w:hint="eastAsia" w:ascii="Times New Roman" w:hAnsi="Times New Roman" w:cs="Times New Roman"/>
          <w:b w:val="0"/>
          <w:bCs/>
          <w:color w:val="000000" w:themeColor="text1"/>
          <w:sz w:val="24"/>
          <w:lang w:val="en-US" w:eastAsia="zh-CN"/>
          <w14:textFill>
            <w14:solidFill>
              <w14:schemeClr w14:val="tx1"/>
            </w14:solidFill>
          </w14:textFill>
        </w:rPr>
        <w:t>无变动情况。</w:t>
      </w:r>
    </w:p>
    <w:p>
      <w:pPr>
        <w:pStyle w:val="5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eastAsia" w:ascii="Times New Roman" w:hAnsi="Times New Roman" w:eastAsia="宋体" w:cs="Times New Roman"/>
          <w:b/>
          <w:color w:val="000000" w:themeColor="text1"/>
          <w:sz w:val="24"/>
          <w:lang w:val="en-US" w:eastAsia="zh-CN"/>
          <w14:textFill>
            <w14:solidFill>
              <w14:schemeClr w14:val="tx1"/>
            </w14:solidFill>
          </w14:textFill>
        </w:rPr>
        <w:t>二、</w:t>
      </w:r>
      <w:r>
        <w:rPr>
          <w:rFonts w:hint="default" w:ascii="Times New Roman" w:hAnsi="Times New Roman" w:eastAsia="宋体" w:cs="Times New Roman"/>
          <w:b/>
          <w:color w:val="000000" w:themeColor="text1"/>
          <w:sz w:val="24"/>
          <w14:textFill>
            <w14:solidFill>
              <w14:schemeClr w14:val="tx1"/>
            </w14:solidFill>
          </w14:textFill>
        </w:rPr>
        <w:t>环境保护措施及环境风险防范措施落实情况</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（一）废水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（1）施工废水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本工程混凝土购买商品混凝土，不在施工区设混凝土拌合站；施工机械设备的主要维修和冲洗依靠社会力量解决，施工区不设置机械冲洗和维修设施，因此施工废水主要为混凝土养护废水，主要含泥沙等污染物，除SS指标较差外，基本不含有毒物质。经核查，生产废水产生量约</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.0m³/d，废水产生量较小，且呈间歇性排放，施工时在场地设置沉淀池，经沉淀池处理后回用于洒水降尘，因此不会对环境产生大的影响。</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（2）施工人员生活污水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施工期施工人员生活垃圾依托附近村庄现有设施，不可利用的弃土方拉运至指定的弃渣场回填，建筑垃圾、沉淀池泥沙集中收集后送至运至巴楚县指定建筑垃圾处理中心集中处置。项目区距巴楚县较近，巴楚县有较完善的污水处理系统和生活垃圾清运部门。</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（二）废气</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施工期对环境空气的影响主要来自于土方工程、混凝土施工等产生的施工扬尘</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运输车辆引起的扬尘及尾气</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施工机械产生的机械尾气，其中以施工扬尘的影响最大。</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（1）施工扬尘</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本项目为灌渠建设工程。在施工过程中，土石方开挖、回填、砂石、混凝土等建筑材料运输、装卸等产生扬尘，对大气环境造成一定不良影响，尤其是在风力较大和干燥气候条件弃渣土堆放过程产生风蚀扬尘，装车时造成尘土飞扬，运输车辆的夹带和遗洒，在风力和车轮的共同作用下，带起大量的扬尘。采取如下防治措施：</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① 施工现场裸露的场地和集中堆放的土方采取密目网进行覆盖，及洒水、固化等措施</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② 安排专人定期对施工场地清扫、洒水，以减轻扬尘的飞扬，每天洒水1-2次，遇大风或干燥天气，适当增加洒水次数</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③ 施工遇到干燥、易起尘的土方工程作业时，辅以洒水压尘，缩短起尘操作时间，四级以上大风天气，不进行土方回填、转运以及其它可能产生扬尘污染的施工，五级以及以上大风天气，施工现场停止工地室外作业</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④ 施工作业场地采取移动围挡作业，围挡高度不低于1.8m</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土方挖掘后及时施工及时填埋，不造成地表层长时间破坏，减少风力二次扬尘</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⑤ 运送土方、垃圾、设备及建筑材料等不污损场外道路，运输车辆采取防护措施，保证物料不得散落、飞扬和遗漏</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⑥ 施工现场对粉状材料封闭存放，对易产生扬尘的堆放材料采取封闭、半封闭和覆盖措施</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（2）施工机械尾气</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在施工过程中，施工机械以汽油和柴油为燃料，其所排放的尾气污染大气环境。通过加强车辆和机械设备维护保养，减少不必要的空转时间，以控制机械尾气排放</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综上所述，施工期废气对周围环境影响较小。</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（三）噪声</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本项目</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施工</w:t>
      </w:r>
      <w:r>
        <w:rPr>
          <w:rFonts w:hint="default" w:ascii="Times New Roman" w:hAnsi="Times New Roman" w:eastAsia="宋体" w:cs="Times New Roman"/>
          <w:color w:val="000000" w:themeColor="text1"/>
          <w:kern w:val="2"/>
          <w:sz w:val="24"/>
          <w:szCs w:val="24"/>
          <w14:textFill>
            <w14:solidFill>
              <w14:schemeClr w14:val="tx1"/>
            </w14:solidFill>
          </w14:textFill>
        </w:rPr>
        <w:t>期间噪声主要为厂区内各机械设备运行中产生的机械噪声，通过选用低噪声设备、合理安排设备位置、加强设备维护保养、合理安排施工车辆进出场地的行驶时间，加强车辆管理等措施</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降噪，对周围环境影响较小</w:t>
      </w:r>
      <w:r>
        <w:rPr>
          <w:rFonts w:hint="default" w:ascii="Times New Roman" w:hAnsi="Times New Roman" w:eastAsia="宋体" w:cs="Times New Roman"/>
          <w:color w:val="000000" w:themeColor="text1"/>
          <w:kern w:val="2"/>
          <w:sz w:val="24"/>
          <w:szCs w:val="24"/>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（四）固废</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项目施工建设过程中产生一些废土渣和生活垃圾等。</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施工期施工人员生活垃圾依托附近村庄现有设施，不可利用的弃土方拉运至指定的弃渣场回填，建筑垃圾、沉淀池泥沙集中收集后送至运至巴楚县指定建筑垃圾处理中心集中处置。</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三、</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验收监测及调查情况</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本项目施工期未进行环境监测，运营期不存在污染物排放，未进行监测。</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（一）废水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（1）施工废水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经沉淀池处理后回用于洒水降尘，因此不会对环境产生大的影响。</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（2）施工人员生活污水</w:t>
      </w:r>
    </w:p>
    <w:p>
      <w:pPr>
        <w:spacing w:line="360" w:lineRule="auto"/>
        <w:ind w:firstLine="480" w:firstLineChars="200"/>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color w:val="auto"/>
          <w:sz w:val="24"/>
          <w:lang w:val="en-US" w:eastAsia="zh-CN"/>
        </w:rPr>
        <w:t>项目租用当地居民 ，不在施工区设置生活区，生活污水较</w:t>
      </w:r>
      <w:r>
        <w:rPr>
          <w:color w:val="auto"/>
          <w:sz w:val="24"/>
        </w:rPr>
        <w:t>为分散的、不连续排放。</w:t>
      </w:r>
      <w:r>
        <w:rPr>
          <w:rFonts w:hint="eastAsia"/>
          <w:color w:val="auto"/>
          <w:sz w:val="24"/>
          <w:lang w:val="en-US" w:eastAsia="zh-CN"/>
        </w:rPr>
        <w:t>由于不在施工区附近设置生活区，但仍会产生少量的生活废水，排水经移动式的环保厕所收集后，待环保型厕所的集粪坑收满后运至巴楚县污水处理厂进行处理</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（二）废气</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施工期</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主要采取洒水抑尘措施减少粉尘排放，</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施工期废气对周围环境影响较小。</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（三）噪声</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本项目施工期间噪声主要为厂区内各机械设备运行中产生的机械噪声，通过选用低噪声设备、合理安排设备位置、加强设备维护保养、合理安排施工车辆进出场地的行驶时间，加强车辆管理等措施降噪，对周围环境影响较小。</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（四）固废</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项目施工建设过程中产生一些废土渣和生活垃圾等。</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施工期施工人员生活垃圾依托附近村庄现有设施，不可利用的弃土方拉运至指定的弃渣场回填，建筑垃圾、沉淀池泥沙集中收集后送至运至巴楚县指定建筑垃圾处理中心集中处置。</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四</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、工程建设对环境的影响</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经现场环保验收检查，本项目</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建设</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满足环境影响报告表及其审批部门的要求，</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污染物</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对周边环境影响较小。</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五</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、验收结论</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本项目基本落实了环境影响报告表的要求，配套建设了相应的环境保护设施，投入使用的相应环保设施运行正常。依据验收</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调查情况</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，废气、废水、噪声</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、固废</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环境保护设施验收合格，符合环境保护验收条件，经验收工作组评议，同意通过验收。</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六</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、后续要求</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1、加强管理，建立健全安全环境管理制度，确保各类污染防治设施正常运转，保证污染物持续、稳定全面达标排放。进一步提高环保总体管理水平，完善并严格执行各项环保规章制度。</w:t>
      </w:r>
    </w:p>
    <w:p>
      <w:pPr>
        <w:pStyle w:val="5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textAlignment w:val="auto"/>
        <w:rPr>
          <w:rFonts w:hint="default" w:ascii="Times New Roman" w:hAnsi="Times New Roman" w:eastAsia="宋体" w:cs="Times New Roman"/>
          <w:b/>
          <w:bCs w:val="0"/>
          <w:color w:val="000000" w:themeColor="text1"/>
          <w:sz w:val="24"/>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lang w:val="en-US" w:eastAsia="zh-CN"/>
          <w14:textFill>
            <w14:solidFill>
              <w14:schemeClr w14:val="tx1"/>
            </w14:solidFill>
          </w14:textFill>
        </w:rPr>
        <w:t>七</w:t>
      </w:r>
      <w:r>
        <w:rPr>
          <w:rFonts w:hint="default" w:ascii="Times New Roman" w:hAnsi="Times New Roman" w:eastAsia="宋体" w:cs="Times New Roman"/>
          <w:b/>
          <w:bCs w:val="0"/>
          <w:color w:val="000000" w:themeColor="text1"/>
          <w:sz w:val="24"/>
          <w:lang w:val="en-US" w:eastAsia="zh-CN"/>
          <w14:textFill>
            <w14:solidFill>
              <w14:schemeClr w14:val="tx1"/>
            </w14:solidFill>
          </w14:textFill>
        </w:rPr>
        <w:t>、验收人员信息</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验收组长签字:</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 xml:space="preserve">验收成员签字:      </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 xml:space="preserve">                 </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560" w:firstLineChars="200"/>
        <w:jc w:val="both"/>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bookmarkStart w:id="156" w:name="_GoBack"/>
      <w:bookmarkEnd w:id="156"/>
    </w:p>
    <w:p>
      <w:pPr>
        <w:jc w:val="right"/>
        <w:rPr>
          <w:rFonts w:hint="default" w:ascii="Times New Roman" w:hAnsi="Times New Roman" w:eastAsia="宋体" w:cs="Times New Roman"/>
          <w:color w:val="000000" w:themeColor="text1"/>
          <w:sz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24"/>
          <w:lang w:eastAsia="zh-CN"/>
          <w14:textFill>
            <w14:solidFill>
              <w14:schemeClr w14:val="tx1"/>
            </w14:solidFill>
          </w14:textFill>
        </w:rPr>
        <w:t>巴楚县水利管理站</w:t>
      </w:r>
    </w:p>
    <w:p>
      <w:pPr>
        <w:ind w:firstLine="360" w:firstLineChars="150"/>
        <w:jc w:val="right"/>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20</w:t>
      </w:r>
      <w:r>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年</w:t>
      </w:r>
      <w:r>
        <w:rPr>
          <w:rFonts w:hint="eastAsia"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1</w:t>
      </w:r>
      <w:r>
        <w:rPr>
          <w:rFonts w:hint="eastAsia" w:ascii="Times New Roman" w:hAnsi="Times New Roman" w:cs="Times New Roman"/>
          <w:color w:val="000000" w:themeColor="text1"/>
          <w:kern w:val="2"/>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月</w:t>
      </w:r>
      <w:r>
        <w:rPr>
          <w:rFonts w:hint="eastAsia" w:ascii="Times New Roman" w:hAnsi="Times New Roman" w:cs="Times New Roman"/>
          <w:color w:val="000000" w:themeColor="text1"/>
          <w:kern w:val="2"/>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日</w:t>
      </w:r>
    </w:p>
    <w:p>
      <w:pPr>
        <w:rPr>
          <w:rFonts w:hint="default" w:ascii="Times New Roman" w:hAnsi="Times New Roman" w:eastAsia="宋体" w:cs="Times New Roman"/>
          <w:b/>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color w:val="000000" w:themeColor="text1"/>
          <w:sz w:val="28"/>
          <w:szCs w:val="28"/>
          <w:lang w:val="en-US" w:eastAsia="zh-CN"/>
          <w14:textFill>
            <w14:solidFill>
              <w14:schemeClr w14:val="tx1"/>
            </w14:solidFill>
          </w14:textFill>
        </w:rPr>
        <w:br w:type="page"/>
      </w:r>
    </w:p>
    <w:p>
      <w:pPr>
        <w:ind w:firstLine="422" w:firstLineChars="150"/>
        <w:jc w:val="center"/>
        <w:rPr>
          <w:rFonts w:hint="default" w:ascii="Times New Roman" w:hAnsi="Times New Roman" w:eastAsia="宋体" w:cs="Times New Roman"/>
          <w:b/>
          <w:color w:val="000000" w:themeColor="text1"/>
          <w:sz w:val="28"/>
          <w:szCs w:val="28"/>
          <w:lang w:val="en-US" w:eastAsia="zh-CN"/>
          <w14:textFill>
            <w14:solidFill>
              <w14:schemeClr w14:val="tx1"/>
            </w14:solidFill>
          </w14:textFill>
        </w:rPr>
        <w:sectPr>
          <w:footerReference r:id="rId1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ind w:firstLine="422" w:firstLineChars="150"/>
        <w:jc w:val="center"/>
        <w:rPr>
          <w:rFonts w:hint="default" w:ascii="Times New Roman" w:hAnsi="Times New Roman" w:eastAsia="宋体" w:cs="Times New Roman"/>
          <w:b/>
          <w:color w:val="000000" w:themeColor="text1"/>
          <w14:textFill>
            <w14:solidFill>
              <w14:schemeClr w14:val="tx1"/>
            </w14:solidFill>
          </w14:textFill>
        </w:rPr>
      </w:pPr>
      <w:r>
        <w:rPr>
          <w:rFonts w:hint="eastAsia" w:ascii="Times New Roman" w:hAnsi="Times New Roman" w:cs="Times New Roman"/>
          <w:b/>
          <w:color w:val="000000" w:themeColor="text1"/>
          <w:sz w:val="28"/>
          <w:szCs w:val="28"/>
          <w:lang w:val="en-US" w:eastAsia="zh-CN"/>
          <w14:textFill>
            <w14:solidFill>
              <w14:schemeClr w14:val="tx1"/>
            </w14:solidFill>
          </w14:textFill>
        </w:rPr>
        <w:t>巴楚县阿拉格尔18村防洪点修建防洪堤坝项目</w:t>
      </w:r>
      <w:r>
        <w:rPr>
          <w:rFonts w:hint="default" w:ascii="Times New Roman" w:hAnsi="Times New Roman" w:eastAsia="宋体" w:cs="Times New Roman"/>
          <w:b/>
          <w:color w:val="000000" w:themeColor="text1"/>
          <w:sz w:val="28"/>
          <w:szCs w:val="28"/>
          <w:lang w:val="en-US" w:eastAsia="zh-CN"/>
          <w14:textFill>
            <w14:solidFill>
              <w14:schemeClr w14:val="tx1"/>
            </w14:solidFill>
          </w14:textFill>
        </w:rPr>
        <w:t>竣工环境保护验收</w:t>
      </w:r>
      <w:r>
        <w:rPr>
          <w:rFonts w:hint="default" w:ascii="Times New Roman" w:hAnsi="Times New Roman" w:eastAsia="宋体" w:cs="Times New Roman"/>
          <w:b/>
          <w:color w:val="000000" w:themeColor="text1"/>
          <w:sz w:val="28"/>
          <w:szCs w:val="28"/>
          <w14:textFill>
            <w14:solidFill>
              <w14:schemeClr w14:val="tx1"/>
            </w14:solidFill>
          </w14:textFill>
        </w:rPr>
        <w:t>技术评审组参会人员签到表</w:t>
      </w:r>
    </w:p>
    <w:tbl>
      <w:tblPr>
        <w:tblStyle w:val="31"/>
        <w:tblW w:w="15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248"/>
        <w:gridCol w:w="3631"/>
        <w:gridCol w:w="1905"/>
        <w:gridCol w:w="1875"/>
        <w:gridCol w:w="3053"/>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序号</w:t>
            </w:r>
          </w:p>
        </w:tc>
        <w:tc>
          <w:tcPr>
            <w:tcW w:w="224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姓名</w:t>
            </w:r>
          </w:p>
        </w:tc>
        <w:tc>
          <w:tcPr>
            <w:tcW w:w="363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单位名称</w:t>
            </w: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职位/职称</w:t>
            </w:r>
          </w:p>
        </w:tc>
        <w:tc>
          <w:tcPr>
            <w:tcW w:w="187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联系电话</w:t>
            </w: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代表单位</w:t>
            </w: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1</w:t>
            </w:r>
          </w:p>
        </w:tc>
        <w:tc>
          <w:tcPr>
            <w:tcW w:w="224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3631" w:type="dxa"/>
            <w:noWrap w:val="0"/>
            <w:vAlign w:val="center"/>
          </w:tcPr>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360" w:lineRule="auto"/>
              <w:jc w:val="center"/>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w:t>
            </w:r>
          </w:p>
        </w:tc>
        <w:tc>
          <w:tcPr>
            <w:tcW w:w="224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363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3</w:t>
            </w:r>
          </w:p>
        </w:tc>
        <w:tc>
          <w:tcPr>
            <w:tcW w:w="2248"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3631"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905"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875" w:type="dxa"/>
            <w:noWrap w:val="0"/>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p>
        </w:tc>
        <w:tc>
          <w:tcPr>
            <w:tcW w:w="2248"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3631"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905"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875" w:type="dxa"/>
            <w:noWrap w:val="0"/>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6</w:t>
            </w:r>
          </w:p>
        </w:tc>
        <w:tc>
          <w:tcPr>
            <w:tcW w:w="2248"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3631"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905"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875" w:type="dxa"/>
            <w:noWrap w:val="0"/>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7</w:t>
            </w:r>
          </w:p>
        </w:tc>
        <w:tc>
          <w:tcPr>
            <w:tcW w:w="2248"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3631"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905"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875" w:type="dxa"/>
            <w:noWrap w:val="0"/>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8</w:t>
            </w:r>
          </w:p>
        </w:tc>
        <w:tc>
          <w:tcPr>
            <w:tcW w:w="2248"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3631"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190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bl>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360" w:lineRule="auto"/>
        <w:ind w:firstLine="560" w:firstLineChars="200"/>
        <w:jc w:val="right"/>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巴楚县水利管理站</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360" w:lineRule="auto"/>
        <w:ind w:firstLine="480" w:firstLineChars="200"/>
        <w:jc w:val="right"/>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20</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年</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1</w:t>
      </w:r>
      <w:r>
        <w:rPr>
          <w:rFonts w:hint="eastAsia" w:ascii="Times New Roman" w:hAnsi="Times New Roman"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月</w:t>
      </w:r>
      <w:r>
        <w:rPr>
          <w:rFonts w:hint="eastAsia" w:ascii="Times New Roman" w:hAnsi="Times New Roman" w:cs="Times New Roman"/>
          <w:color w:val="000000" w:themeColor="text1"/>
          <w:kern w:val="2"/>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日</w:t>
      </w:r>
    </w:p>
    <w:p>
      <w:pPr>
        <w:jc w:val="center"/>
        <w:rPr>
          <w:rFonts w:hint="default" w:ascii="Times New Roman" w:hAnsi="Times New Roman" w:eastAsia="宋体" w:cs="Times New Roman"/>
          <w:color w:val="000000" w:themeColor="text1"/>
          <w14:textFill>
            <w14:solidFill>
              <w14:schemeClr w14:val="tx1"/>
            </w14:solidFill>
          </w14:textFill>
        </w:rPr>
      </w:pPr>
    </w:p>
    <w:p>
      <w:pPr>
        <w:rPr>
          <w:rFonts w:hint="default" w:ascii="Times New Roman" w:hAnsi="Times New Roman" w:eastAsia="宋体" w:cs="Times New Roman"/>
          <w:color w:val="000000" w:themeColor="text1"/>
          <w:lang w:eastAsia="zh-CN"/>
          <w14:textFill>
            <w14:solidFill>
              <w14:schemeClr w14:val="tx1"/>
            </w14:solidFill>
          </w14:textFill>
        </w:rPr>
      </w:pPr>
    </w:p>
    <w:p>
      <w:pPr>
        <w:pStyle w:val="4"/>
        <w:keepNext w:val="0"/>
        <w:keepLines w:val="0"/>
        <w:widowControl/>
        <w:suppressLineNumbers w:val="0"/>
        <w:pBdr>
          <w:top w:val="none" w:color="auto" w:sz="0" w:space="0"/>
          <w:left w:val="none" w:color="auto" w:sz="0" w:space="0"/>
          <w:bottom w:val="dashed" w:color="F5F5F5" w:sz="6" w:space="7"/>
          <w:right w:val="none" w:color="auto" w:sz="0" w:space="0"/>
        </w:pBdr>
        <w:shd w:val="clear" w:color="auto" w:fill="FFFFFF"/>
        <w:spacing w:before="0" w:beforeAutospacing="0" w:after="0" w:afterAutospacing="0"/>
        <w:ind w:left="0" w:right="0" w:firstLine="0"/>
        <w:jc w:val="center"/>
        <w:rPr>
          <w:rFonts w:hint="default" w:ascii="Times New Roman" w:hAnsi="Times New Roman" w:eastAsia="宋体" w:cs="Times New Roman"/>
          <w:b/>
          <w:caps w:val="0"/>
          <w:color w:val="000000" w:themeColor="text1"/>
          <w:spacing w:val="0"/>
          <w:sz w:val="39"/>
          <w:szCs w:val="39"/>
          <w14:textFill>
            <w14:solidFill>
              <w14:schemeClr w14:val="tx1"/>
            </w14:solidFill>
          </w14:textFill>
        </w:rPr>
      </w:pPr>
      <w:r>
        <w:rPr>
          <w:rFonts w:hint="eastAsia" w:ascii="Times New Roman" w:hAnsi="Times New Roman" w:cs="Times New Roman"/>
          <w:b/>
          <w:caps w:val="0"/>
          <w:color w:val="000000" w:themeColor="text1"/>
          <w:spacing w:val="0"/>
          <w:sz w:val="39"/>
          <w:szCs w:val="39"/>
          <w:shd w:val="clear" w:color="auto" w:fill="FFFFFF"/>
          <w:lang w:eastAsia="zh-CN"/>
          <w14:textFill>
            <w14:solidFill>
              <w14:schemeClr w14:val="tx1"/>
            </w14:solidFill>
          </w14:textFill>
        </w:rPr>
        <w:t>巴楚县阿拉格尔18村防洪点修建防洪堤坝项目</w:t>
      </w:r>
      <w:r>
        <w:rPr>
          <w:rFonts w:hint="default" w:ascii="Times New Roman" w:hAnsi="Times New Roman" w:eastAsia="宋体" w:cs="Times New Roman"/>
          <w:b/>
          <w:caps w:val="0"/>
          <w:color w:val="000000" w:themeColor="text1"/>
          <w:spacing w:val="0"/>
          <w:sz w:val="39"/>
          <w:szCs w:val="39"/>
          <w:shd w:val="clear" w:color="auto" w:fill="FFFFFF"/>
          <w14:textFill>
            <w14:solidFill>
              <w14:schemeClr w14:val="tx1"/>
            </w14:solidFill>
          </w14:textFill>
        </w:rPr>
        <w:t>竣工环境保护验收监测报告表公示</w:t>
      </w:r>
    </w:p>
    <w:p>
      <w:pPr>
        <w:rPr>
          <w:rFonts w:hint="default" w:ascii="Times New Roman" w:hAnsi="Times New Roman" w:eastAsia="宋体" w:cs="Times New Roman"/>
          <w:b w:val="0"/>
          <w:i w:val="0"/>
          <w:caps w:val="0"/>
          <w:color w:val="000000" w:themeColor="text1"/>
          <w:spacing w:val="0"/>
          <w:sz w:val="24"/>
          <w:szCs w:val="24"/>
          <w:shd w:val="clear" w:color="auto" w:fill="FFFFFF"/>
          <w14:textFill>
            <w14:solidFill>
              <w14:schemeClr w14:val="tx1"/>
            </w14:solidFill>
          </w14:textFill>
        </w:rPr>
      </w:pPr>
    </w:p>
    <w:p>
      <w:pPr>
        <w:ind w:firstLine="560" w:firstLineChars="200"/>
        <w:rPr>
          <w:rFonts w:hint="eastAsia" w:ascii="Times New Roman" w:hAnsi="Times New Roman" w:eastAsia="宋体" w:cs="Times New Roman"/>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202</w:t>
      </w:r>
      <w:r>
        <w:rPr>
          <w:rFonts w:hint="eastAsia"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2</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年</w:t>
      </w:r>
      <w:r>
        <w:rPr>
          <w:rFonts w:hint="eastAsia"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9</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月，新疆昱坤环保科技有限公司受</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中</w:t>
      </w:r>
      <w:r>
        <w:rPr>
          <w:rFonts w:hint="eastAsia"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巴楚县水利管理站</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的</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委托，根据国家相关法律法规，编制了《</w:t>
      </w:r>
      <w:r>
        <w:rPr>
          <w:rFonts w:hint="eastAsia" w:ascii="Times New Roman" w:hAnsi="Times New Roman" w:cs="Times New Roman"/>
          <w:b w:val="0"/>
          <w:i w:val="0"/>
          <w:caps w:val="0"/>
          <w:color w:val="000000" w:themeColor="text1"/>
          <w:spacing w:val="0"/>
          <w:sz w:val="28"/>
          <w:szCs w:val="28"/>
          <w:shd w:val="clear" w:color="auto" w:fill="FFFFFF"/>
          <w:lang w:eastAsia="zh-CN"/>
          <w14:textFill>
            <w14:solidFill>
              <w14:schemeClr w14:val="tx1"/>
            </w14:solidFill>
          </w14:textFill>
        </w:rPr>
        <w:t>巴楚县阿拉格尔18村防洪点修建防洪堤坝项目</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竣工环境保护验收监测报告表</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》，现将报告内容予以公示，详细请看附件，公示期为公示之日起20个工作日，如有不同意见，请于公示期将意见反馈至</w:t>
      </w:r>
      <w:r>
        <w:rPr>
          <w:rFonts w:hint="eastAsia"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巴楚县水利管理站</w:t>
      </w:r>
      <w:r>
        <w:rPr>
          <w:rFonts w:hint="default" w:ascii="Times New Roman" w:hAnsi="Times New Roman" w:eastAsia="宋体" w:cs="Times New Roman"/>
          <w:bCs/>
          <w:color w:val="000000" w:themeColor="text1"/>
          <w:sz w:val="28"/>
          <w:szCs w:val="28"/>
          <w:lang w:val="en-US" w:eastAsia="zh-CN"/>
          <w14:textFill>
            <w14:solidFill>
              <w14:schemeClr w14:val="tx1"/>
            </w14:solidFill>
          </w14:textFill>
        </w:rPr>
        <w:t>负责人：冉江玉</w:t>
      </w:r>
      <w:r>
        <w:rPr>
          <w:rFonts w:hint="eastAsia" w:ascii="Times New Roman" w:hAnsi="Times New Roman" w:eastAsia="宋体" w:cs="Times New Roman"/>
          <w:bCs/>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bCs/>
          <w:color w:val="000000" w:themeColor="text1"/>
          <w:sz w:val="28"/>
          <w:szCs w:val="28"/>
          <w:lang w:val="en-US" w:eastAsia="zh-CN"/>
          <w14:textFill>
            <w14:solidFill>
              <w14:schemeClr w14:val="tx1"/>
            </w14:solidFill>
          </w14:textFill>
        </w:rPr>
        <w:t>电话： 13289986802</w:t>
      </w:r>
      <w:r>
        <w:rPr>
          <w:rFonts w:hint="eastAsia" w:ascii="Times New Roman" w:hAnsi="Times New Roman" w:eastAsia="宋体" w:cs="Times New Roman"/>
          <w:bCs/>
          <w:color w:val="000000" w:themeColor="text1"/>
          <w:sz w:val="28"/>
          <w:szCs w:val="28"/>
          <w:lang w:val="en-US" w:eastAsia="zh-CN"/>
          <w14:textFill>
            <w14:solidFill>
              <w14:schemeClr w14:val="tx1"/>
            </w14:solidFill>
          </w14:textFill>
        </w:rPr>
        <w:t>。</w:t>
      </w:r>
    </w:p>
    <w:p>
      <w:pPr>
        <w:pStyle w:val="2"/>
        <w:rPr>
          <w:rFonts w:hint="default"/>
        </w:rPr>
      </w:pPr>
    </w:p>
    <w:p>
      <w:pPr>
        <w:rPr>
          <w:rFonts w:hint="default" w:ascii="Times New Roman" w:hAnsi="Times New Roman" w:eastAsia="宋体" w:cs="Times New Roman"/>
          <w:color w:val="000000" w:themeColor="text1"/>
          <w:lang w:val="en-US" w:eastAsia="zh-CN"/>
          <w14:textFill>
            <w14:solidFill>
              <w14:schemeClr w14:val="tx1"/>
            </w14:solidFill>
          </w14:textFill>
        </w:rPr>
      </w:pPr>
    </w:p>
    <w:sectPr>
      <w:footerReference r:id="rId14" w:type="default"/>
      <w:pgSz w:w="16838" w:h="11906" w:orient="landscape"/>
      <w:pgMar w:top="1083" w:right="1440" w:bottom="1083" w:left="1440" w:header="851" w:footer="992" w:gutter="0"/>
      <w:pgBorders>
        <w:top w:val="none" w:sz="0" w:space="0"/>
        <w:left w:val="none" w:sz="0" w:space="0"/>
        <w:bottom w:val="none" w:sz="0" w:space="0"/>
        <w:right w:val="none" w:sz="0" w:space="0"/>
      </w:pgBorders>
      <w:pgNumType w:fmt="decimal"/>
      <w:cols w:space="0" w:num="1"/>
      <w:docGrid w:type="lines" w:linePitch="3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新宋体">
    <w:panose1 w:val="02010609030101010101"/>
    <w:charset w:val="86"/>
    <w:family w:val="modern"/>
    <w:pitch w:val="default"/>
    <w:sig w:usb0="000002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8"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2"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OW/g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w5b+DICAABl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r>
      <w:rPr>
        <w:rFonts w:hint="eastAsia"/>
        <w:sz w:val="21"/>
        <w:szCs w:val="21"/>
        <w:lang w:eastAsia="zh-CN"/>
      </w:rPr>
      <w:t>新疆昱坤环保科技有限公司</w:t>
    </w:r>
  </w:p>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sz w:val="21"/>
        <w:szCs w:val="21"/>
        <w:lang w:eastAsia="zh-C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p>
                </w:txbxContent>
              </v:textbox>
            </v:shape>
          </w:pict>
        </mc:Fallback>
      </mc:AlternateContent>
    </w:r>
    <w:r>
      <w:rPr>
        <w:rFonts w:hint="eastAsia"/>
      </w:rPr>
      <w:tab/>
    </w:r>
  </w:p>
  <w:p>
    <w:pPr>
      <w:tabs>
        <w:tab w:val="center" w:pos="4873"/>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none" w:color="auto" w:sz="0" w:space="0"/>
        <w:bottom w:val="none" w:color="auto" w:sz="0" w:space="1"/>
        <w:right w:val="none" w:color="auto" w:sz="0" w:space="6"/>
      </w:pBdr>
      <w:jc w:val="both"/>
      <w:rPr>
        <w:rFonts w:hAnsi="新宋体" w:eastAsia="新宋体" w:cs="Times New Roman"/>
        <w:b/>
        <w:i/>
        <w:iCs/>
        <w:u w:val="single"/>
      </w:rPr>
    </w:pPr>
    <w:r>
      <w:rPr>
        <w:rFonts w:hint="eastAsia" w:hAnsi="新宋体" w:eastAsia="新宋体" w:cs="Times New Roman"/>
        <w:b/>
        <w:i/>
        <w:iCs/>
        <w:u w:val="single"/>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jc w:val="right"/>
      <w:rPr>
        <w:rFonts w:hint="eastAsia" w:ascii="新宋体" w:hAnsi="新宋体" w:eastAsia="新宋体" w:cs="新宋体"/>
        <w:b/>
        <w:bCs/>
        <w:i/>
        <w:iCs/>
        <w:sz w:val="18"/>
        <w:szCs w:val="18"/>
        <w:u w:val="single"/>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jc w:val="both"/>
      <w:rPr>
        <w:rFonts w:hint="eastAsia" w:ascii="新宋体" w:hAnsi="新宋体" w:eastAsia="新宋体" w:cs="新宋体"/>
        <w:b/>
        <w:bCs/>
        <w:i/>
        <w:iCs/>
        <w:sz w:val="18"/>
        <w:szCs w:val="18"/>
        <w:u w:val="single"/>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40C8C5"/>
    <w:multiLevelType w:val="singleLevel"/>
    <w:tmpl w:val="EF40C8C5"/>
    <w:lvl w:ilvl="0" w:tentative="0">
      <w:start w:val="1"/>
      <w:numFmt w:val="decimal"/>
      <w:suff w:val="nothing"/>
      <w:lvlText w:val="（%1）"/>
      <w:lvlJc w:val="left"/>
    </w:lvl>
  </w:abstractNum>
  <w:abstractNum w:abstractNumId="1">
    <w:nsid w:val="02E8E197"/>
    <w:multiLevelType w:val="singleLevel"/>
    <w:tmpl w:val="02E8E197"/>
    <w:lvl w:ilvl="0" w:tentative="0">
      <w:start w:val="1"/>
      <w:numFmt w:val="decimal"/>
      <w:suff w:val="nothing"/>
      <w:lvlText w:val="（%1）"/>
      <w:lvlJc w:val="left"/>
    </w:lvl>
  </w:abstractNum>
  <w:abstractNum w:abstractNumId="2">
    <w:nsid w:val="512866DE"/>
    <w:multiLevelType w:val="singleLevel"/>
    <w:tmpl w:val="512866DE"/>
    <w:lvl w:ilvl="0" w:tentative="0">
      <w:start w:val="1"/>
      <w:numFmt w:val="decimal"/>
      <w:suff w:val="nothing"/>
      <w:lvlText w:val="（%1）"/>
      <w:lvlJc w:val="left"/>
    </w:lvl>
  </w:abstractNum>
  <w:abstractNum w:abstractNumId="3">
    <w:nsid w:val="54D1AF67"/>
    <w:multiLevelType w:val="singleLevel"/>
    <w:tmpl w:val="54D1AF67"/>
    <w:lvl w:ilvl="0" w:tentative="0">
      <w:start w:val="1"/>
      <w:numFmt w:val="decimal"/>
      <w:suff w:val="nothing"/>
      <w:lvlText w:val="（%1）"/>
      <w:lvlJc w:val="left"/>
    </w:lvl>
  </w:abstractNum>
  <w:abstractNum w:abstractNumId="4">
    <w:nsid w:val="72762671"/>
    <w:multiLevelType w:val="singleLevel"/>
    <w:tmpl w:val="72762671"/>
    <w:lvl w:ilvl="0" w:tentative="0">
      <w:start w:val="1"/>
      <w:numFmt w:val="decimal"/>
      <w:suff w:val="nothing"/>
      <w:lvlText w:val="（%1）"/>
      <w:lvlJc w:val="left"/>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20"/>
  <w:drawingGridVerticalSpacing w:val="168"/>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4MmI0OWExOTVjZDg5MGU1OTFkZWJmYTU1NjBkYjMifQ=="/>
  </w:docVars>
  <w:rsids>
    <w:rsidRoot w:val="00172A27"/>
    <w:rsid w:val="00005700"/>
    <w:rsid w:val="000631F7"/>
    <w:rsid w:val="00071451"/>
    <w:rsid w:val="000F16CB"/>
    <w:rsid w:val="00125816"/>
    <w:rsid w:val="00131BE0"/>
    <w:rsid w:val="00167B3E"/>
    <w:rsid w:val="00172A27"/>
    <w:rsid w:val="001F1246"/>
    <w:rsid w:val="002341DA"/>
    <w:rsid w:val="00246CC6"/>
    <w:rsid w:val="00261B6A"/>
    <w:rsid w:val="0029275D"/>
    <w:rsid w:val="002B1CFB"/>
    <w:rsid w:val="002C60EF"/>
    <w:rsid w:val="00305869"/>
    <w:rsid w:val="0033004F"/>
    <w:rsid w:val="0036085E"/>
    <w:rsid w:val="0036518F"/>
    <w:rsid w:val="00391FA7"/>
    <w:rsid w:val="003A7B76"/>
    <w:rsid w:val="003C28DE"/>
    <w:rsid w:val="003F13C9"/>
    <w:rsid w:val="0040186E"/>
    <w:rsid w:val="00411AC2"/>
    <w:rsid w:val="00482B00"/>
    <w:rsid w:val="0048423C"/>
    <w:rsid w:val="004A2720"/>
    <w:rsid w:val="004B24B9"/>
    <w:rsid w:val="004E1A6C"/>
    <w:rsid w:val="00503B42"/>
    <w:rsid w:val="00510B21"/>
    <w:rsid w:val="00521743"/>
    <w:rsid w:val="005616E6"/>
    <w:rsid w:val="005630C8"/>
    <w:rsid w:val="00563654"/>
    <w:rsid w:val="00572965"/>
    <w:rsid w:val="005C4522"/>
    <w:rsid w:val="00604EC5"/>
    <w:rsid w:val="006128C4"/>
    <w:rsid w:val="00616D5A"/>
    <w:rsid w:val="0062137C"/>
    <w:rsid w:val="00635682"/>
    <w:rsid w:val="006462DF"/>
    <w:rsid w:val="00662127"/>
    <w:rsid w:val="006C4905"/>
    <w:rsid w:val="006C695F"/>
    <w:rsid w:val="006D2430"/>
    <w:rsid w:val="00727AC3"/>
    <w:rsid w:val="00756C08"/>
    <w:rsid w:val="007A0792"/>
    <w:rsid w:val="008322BB"/>
    <w:rsid w:val="00840DC1"/>
    <w:rsid w:val="00864BCA"/>
    <w:rsid w:val="00865D89"/>
    <w:rsid w:val="008F7F08"/>
    <w:rsid w:val="00903F6E"/>
    <w:rsid w:val="00905DB9"/>
    <w:rsid w:val="00905FD3"/>
    <w:rsid w:val="00951078"/>
    <w:rsid w:val="00996351"/>
    <w:rsid w:val="009F3C2A"/>
    <w:rsid w:val="00A26BE8"/>
    <w:rsid w:val="00A27C27"/>
    <w:rsid w:val="00A35D4C"/>
    <w:rsid w:val="00A452CA"/>
    <w:rsid w:val="00A70F09"/>
    <w:rsid w:val="00AA01AA"/>
    <w:rsid w:val="00AC483D"/>
    <w:rsid w:val="00AC48BC"/>
    <w:rsid w:val="00AE626B"/>
    <w:rsid w:val="00B30AFA"/>
    <w:rsid w:val="00B4132B"/>
    <w:rsid w:val="00B41AC8"/>
    <w:rsid w:val="00B87B5C"/>
    <w:rsid w:val="00BF1542"/>
    <w:rsid w:val="00C061E6"/>
    <w:rsid w:val="00C67077"/>
    <w:rsid w:val="00C77202"/>
    <w:rsid w:val="00C77F08"/>
    <w:rsid w:val="00C97ABA"/>
    <w:rsid w:val="00CA5804"/>
    <w:rsid w:val="00CD2F73"/>
    <w:rsid w:val="00D4168B"/>
    <w:rsid w:val="00D45F00"/>
    <w:rsid w:val="00D83E04"/>
    <w:rsid w:val="00D91BA6"/>
    <w:rsid w:val="00D974E0"/>
    <w:rsid w:val="00DC6055"/>
    <w:rsid w:val="00DD5392"/>
    <w:rsid w:val="00E371FE"/>
    <w:rsid w:val="00E41D73"/>
    <w:rsid w:val="00E45A4F"/>
    <w:rsid w:val="00E91CFE"/>
    <w:rsid w:val="00EA2136"/>
    <w:rsid w:val="00EB66BF"/>
    <w:rsid w:val="00EC170C"/>
    <w:rsid w:val="00EC2501"/>
    <w:rsid w:val="00EC543C"/>
    <w:rsid w:val="00EF728C"/>
    <w:rsid w:val="00F75F55"/>
    <w:rsid w:val="00F76BEE"/>
    <w:rsid w:val="00F81E00"/>
    <w:rsid w:val="00FC49A0"/>
    <w:rsid w:val="00FF3643"/>
    <w:rsid w:val="00FF3B61"/>
    <w:rsid w:val="017D260D"/>
    <w:rsid w:val="019E4ED3"/>
    <w:rsid w:val="01EE5E5A"/>
    <w:rsid w:val="022A1850"/>
    <w:rsid w:val="02670616"/>
    <w:rsid w:val="02752FD4"/>
    <w:rsid w:val="027B3A43"/>
    <w:rsid w:val="02931D5A"/>
    <w:rsid w:val="02C52D52"/>
    <w:rsid w:val="02E86A39"/>
    <w:rsid w:val="02EB05EB"/>
    <w:rsid w:val="032E7B92"/>
    <w:rsid w:val="033167E8"/>
    <w:rsid w:val="03332C27"/>
    <w:rsid w:val="033A65FE"/>
    <w:rsid w:val="035D4076"/>
    <w:rsid w:val="037B54CB"/>
    <w:rsid w:val="03832656"/>
    <w:rsid w:val="039B3047"/>
    <w:rsid w:val="039B3DC0"/>
    <w:rsid w:val="03BD57FF"/>
    <w:rsid w:val="03DC4C87"/>
    <w:rsid w:val="03EE5762"/>
    <w:rsid w:val="04257FCB"/>
    <w:rsid w:val="0442248D"/>
    <w:rsid w:val="044C0C16"/>
    <w:rsid w:val="04835820"/>
    <w:rsid w:val="048900BC"/>
    <w:rsid w:val="04A532BB"/>
    <w:rsid w:val="04AA3A81"/>
    <w:rsid w:val="04D65D29"/>
    <w:rsid w:val="05022A82"/>
    <w:rsid w:val="050D2A9B"/>
    <w:rsid w:val="050F05C1"/>
    <w:rsid w:val="052B1882"/>
    <w:rsid w:val="058A090F"/>
    <w:rsid w:val="05D9359E"/>
    <w:rsid w:val="05F14FF0"/>
    <w:rsid w:val="06495309"/>
    <w:rsid w:val="068C3BA0"/>
    <w:rsid w:val="06947D6F"/>
    <w:rsid w:val="06B65D3E"/>
    <w:rsid w:val="06B70BAE"/>
    <w:rsid w:val="06CB49BC"/>
    <w:rsid w:val="06D41F76"/>
    <w:rsid w:val="06E17D3B"/>
    <w:rsid w:val="06E243E8"/>
    <w:rsid w:val="06FC2DC7"/>
    <w:rsid w:val="073A61FB"/>
    <w:rsid w:val="078C543B"/>
    <w:rsid w:val="079B220E"/>
    <w:rsid w:val="07B22598"/>
    <w:rsid w:val="07C80EFB"/>
    <w:rsid w:val="08470072"/>
    <w:rsid w:val="0858227F"/>
    <w:rsid w:val="08856DEC"/>
    <w:rsid w:val="088B128C"/>
    <w:rsid w:val="08DD28B4"/>
    <w:rsid w:val="08F71A98"/>
    <w:rsid w:val="090E6879"/>
    <w:rsid w:val="09506FA2"/>
    <w:rsid w:val="096B376D"/>
    <w:rsid w:val="097051F1"/>
    <w:rsid w:val="098C7C61"/>
    <w:rsid w:val="09DB4F16"/>
    <w:rsid w:val="09DC0B04"/>
    <w:rsid w:val="09FB5325"/>
    <w:rsid w:val="0A41462D"/>
    <w:rsid w:val="0A4B4895"/>
    <w:rsid w:val="0A6A6F20"/>
    <w:rsid w:val="0A853182"/>
    <w:rsid w:val="0A8E0677"/>
    <w:rsid w:val="0A9563F7"/>
    <w:rsid w:val="0AA73CF1"/>
    <w:rsid w:val="0AD7189E"/>
    <w:rsid w:val="0B0025E9"/>
    <w:rsid w:val="0B1A7CC0"/>
    <w:rsid w:val="0B593D7F"/>
    <w:rsid w:val="0B6343F1"/>
    <w:rsid w:val="0B766407"/>
    <w:rsid w:val="0B7E024F"/>
    <w:rsid w:val="0B8B4073"/>
    <w:rsid w:val="0B941820"/>
    <w:rsid w:val="0B953E85"/>
    <w:rsid w:val="0B9A7A75"/>
    <w:rsid w:val="0BB66463"/>
    <w:rsid w:val="0BBF33F4"/>
    <w:rsid w:val="0BC3477A"/>
    <w:rsid w:val="0BC8771C"/>
    <w:rsid w:val="0BCD4BF9"/>
    <w:rsid w:val="0BD52C44"/>
    <w:rsid w:val="0BF43C0C"/>
    <w:rsid w:val="0BF57811"/>
    <w:rsid w:val="0C5C5515"/>
    <w:rsid w:val="0C6649C2"/>
    <w:rsid w:val="0C94596C"/>
    <w:rsid w:val="0CA206A1"/>
    <w:rsid w:val="0CC1538E"/>
    <w:rsid w:val="0CEE4F60"/>
    <w:rsid w:val="0CF139F1"/>
    <w:rsid w:val="0CF83B56"/>
    <w:rsid w:val="0D26294C"/>
    <w:rsid w:val="0D3574BF"/>
    <w:rsid w:val="0D4009B6"/>
    <w:rsid w:val="0D464BF6"/>
    <w:rsid w:val="0DB63325"/>
    <w:rsid w:val="0DD340D1"/>
    <w:rsid w:val="0DD3595E"/>
    <w:rsid w:val="0DDD4A58"/>
    <w:rsid w:val="0E0130FC"/>
    <w:rsid w:val="0E4A5271"/>
    <w:rsid w:val="0E5D0675"/>
    <w:rsid w:val="0E9D2896"/>
    <w:rsid w:val="0EB62505"/>
    <w:rsid w:val="0EC266A4"/>
    <w:rsid w:val="0ED50CCA"/>
    <w:rsid w:val="0EFD7918"/>
    <w:rsid w:val="0F025D4D"/>
    <w:rsid w:val="0F240C62"/>
    <w:rsid w:val="0F44530B"/>
    <w:rsid w:val="0F7F7440"/>
    <w:rsid w:val="0FA41E12"/>
    <w:rsid w:val="0FF86E67"/>
    <w:rsid w:val="102351BA"/>
    <w:rsid w:val="10251F52"/>
    <w:rsid w:val="103B6D53"/>
    <w:rsid w:val="106F0166"/>
    <w:rsid w:val="111449CD"/>
    <w:rsid w:val="11164A85"/>
    <w:rsid w:val="111F6F53"/>
    <w:rsid w:val="11233930"/>
    <w:rsid w:val="11633449"/>
    <w:rsid w:val="1179646B"/>
    <w:rsid w:val="119A3908"/>
    <w:rsid w:val="119F029E"/>
    <w:rsid w:val="11A03101"/>
    <w:rsid w:val="11A05DC2"/>
    <w:rsid w:val="11D6625E"/>
    <w:rsid w:val="121315AC"/>
    <w:rsid w:val="1233625B"/>
    <w:rsid w:val="12762B59"/>
    <w:rsid w:val="1276397B"/>
    <w:rsid w:val="12A33797"/>
    <w:rsid w:val="12B82C60"/>
    <w:rsid w:val="13021765"/>
    <w:rsid w:val="130A686C"/>
    <w:rsid w:val="1329079F"/>
    <w:rsid w:val="133D7CDB"/>
    <w:rsid w:val="136043EC"/>
    <w:rsid w:val="13912AE9"/>
    <w:rsid w:val="13AF4D1D"/>
    <w:rsid w:val="13B64CD4"/>
    <w:rsid w:val="13D15C15"/>
    <w:rsid w:val="13EF3CBA"/>
    <w:rsid w:val="13FA6941"/>
    <w:rsid w:val="14347A9A"/>
    <w:rsid w:val="144D1BCA"/>
    <w:rsid w:val="14637096"/>
    <w:rsid w:val="146D49B9"/>
    <w:rsid w:val="14812B2B"/>
    <w:rsid w:val="14D433AB"/>
    <w:rsid w:val="14D94748"/>
    <w:rsid w:val="152E2536"/>
    <w:rsid w:val="1534372C"/>
    <w:rsid w:val="15643543"/>
    <w:rsid w:val="15883844"/>
    <w:rsid w:val="159B37AB"/>
    <w:rsid w:val="15A00DC2"/>
    <w:rsid w:val="15A566C9"/>
    <w:rsid w:val="15A87CC5"/>
    <w:rsid w:val="15B01D3A"/>
    <w:rsid w:val="15BF69E0"/>
    <w:rsid w:val="15E038B4"/>
    <w:rsid w:val="15EB46E4"/>
    <w:rsid w:val="15F150E2"/>
    <w:rsid w:val="15F829AC"/>
    <w:rsid w:val="16096967"/>
    <w:rsid w:val="160B5EED"/>
    <w:rsid w:val="16184DFC"/>
    <w:rsid w:val="162C5D82"/>
    <w:rsid w:val="162F4D3E"/>
    <w:rsid w:val="163F4A7E"/>
    <w:rsid w:val="164A080B"/>
    <w:rsid w:val="169E12CB"/>
    <w:rsid w:val="16AD3CDB"/>
    <w:rsid w:val="16B62F8D"/>
    <w:rsid w:val="16B81436"/>
    <w:rsid w:val="16CB1FA9"/>
    <w:rsid w:val="16CB650D"/>
    <w:rsid w:val="16D03928"/>
    <w:rsid w:val="16DD3FAB"/>
    <w:rsid w:val="16EF08ED"/>
    <w:rsid w:val="16F73EF6"/>
    <w:rsid w:val="17066C93"/>
    <w:rsid w:val="17276770"/>
    <w:rsid w:val="174F484D"/>
    <w:rsid w:val="17D35ED6"/>
    <w:rsid w:val="17E841F0"/>
    <w:rsid w:val="17E90A7E"/>
    <w:rsid w:val="186F284B"/>
    <w:rsid w:val="1872670C"/>
    <w:rsid w:val="18A56CC8"/>
    <w:rsid w:val="18A64941"/>
    <w:rsid w:val="18AD0F2F"/>
    <w:rsid w:val="18B530E6"/>
    <w:rsid w:val="18E51C09"/>
    <w:rsid w:val="18F70901"/>
    <w:rsid w:val="192C2D2A"/>
    <w:rsid w:val="194768BD"/>
    <w:rsid w:val="19676254"/>
    <w:rsid w:val="196F7429"/>
    <w:rsid w:val="199649B5"/>
    <w:rsid w:val="19974BAF"/>
    <w:rsid w:val="199C51C6"/>
    <w:rsid w:val="1A1A5CF8"/>
    <w:rsid w:val="1A1B7D5F"/>
    <w:rsid w:val="1A22411F"/>
    <w:rsid w:val="1A8769F4"/>
    <w:rsid w:val="1A8B6B32"/>
    <w:rsid w:val="1A9269D8"/>
    <w:rsid w:val="1A99258F"/>
    <w:rsid w:val="1A9B129F"/>
    <w:rsid w:val="1AB86BAD"/>
    <w:rsid w:val="1AE36CE4"/>
    <w:rsid w:val="1B1F2780"/>
    <w:rsid w:val="1B3F107D"/>
    <w:rsid w:val="1B5173D3"/>
    <w:rsid w:val="1B5C766F"/>
    <w:rsid w:val="1B5F0922"/>
    <w:rsid w:val="1B674A43"/>
    <w:rsid w:val="1B8B16C6"/>
    <w:rsid w:val="1BB47F7B"/>
    <w:rsid w:val="1BBD6457"/>
    <w:rsid w:val="1BF37B46"/>
    <w:rsid w:val="1BFD6F6E"/>
    <w:rsid w:val="1C083380"/>
    <w:rsid w:val="1C0F0A4F"/>
    <w:rsid w:val="1C571E42"/>
    <w:rsid w:val="1C7E11BE"/>
    <w:rsid w:val="1C8F1D2B"/>
    <w:rsid w:val="1CD83537"/>
    <w:rsid w:val="1D0E37FB"/>
    <w:rsid w:val="1D1D7D40"/>
    <w:rsid w:val="1D3C6AAD"/>
    <w:rsid w:val="1D3D390A"/>
    <w:rsid w:val="1D7602DF"/>
    <w:rsid w:val="1D943902"/>
    <w:rsid w:val="1D9C58C8"/>
    <w:rsid w:val="1DA31E17"/>
    <w:rsid w:val="1DA573A6"/>
    <w:rsid w:val="1DAC5CEA"/>
    <w:rsid w:val="1DBB0E8E"/>
    <w:rsid w:val="1DC34869"/>
    <w:rsid w:val="1DC9566B"/>
    <w:rsid w:val="1DCD7431"/>
    <w:rsid w:val="1DD4485B"/>
    <w:rsid w:val="1DD91315"/>
    <w:rsid w:val="1E3429EF"/>
    <w:rsid w:val="1E383784"/>
    <w:rsid w:val="1E401394"/>
    <w:rsid w:val="1E4F7829"/>
    <w:rsid w:val="1E6B6FEB"/>
    <w:rsid w:val="1E766609"/>
    <w:rsid w:val="1EB30D57"/>
    <w:rsid w:val="1EC96E7C"/>
    <w:rsid w:val="1F182498"/>
    <w:rsid w:val="1F2561FB"/>
    <w:rsid w:val="1F2A2116"/>
    <w:rsid w:val="1F337BA6"/>
    <w:rsid w:val="1F58198F"/>
    <w:rsid w:val="1F6F0411"/>
    <w:rsid w:val="1F8452B0"/>
    <w:rsid w:val="1FC23A34"/>
    <w:rsid w:val="1FED7F16"/>
    <w:rsid w:val="1FF74EDD"/>
    <w:rsid w:val="20355CB0"/>
    <w:rsid w:val="20601879"/>
    <w:rsid w:val="20DB0011"/>
    <w:rsid w:val="20F052F3"/>
    <w:rsid w:val="21221139"/>
    <w:rsid w:val="215E2CDF"/>
    <w:rsid w:val="220A2B00"/>
    <w:rsid w:val="228A7081"/>
    <w:rsid w:val="22BC3E1A"/>
    <w:rsid w:val="22DA71E4"/>
    <w:rsid w:val="23270D74"/>
    <w:rsid w:val="23361055"/>
    <w:rsid w:val="235C5AA8"/>
    <w:rsid w:val="236C5D86"/>
    <w:rsid w:val="237A7D8D"/>
    <w:rsid w:val="238F5C07"/>
    <w:rsid w:val="239309C5"/>
    <w:rsid w:val="23A9697A"/>
    <w:rsid w:val="23B1490B"/>
    <w:rsid w:val="23F549CE"/>
    <w:rsid w:val="24140009"/>
    <w:rsid w:val="241D2F15"/>
    <w:rsid w:val="24533E4A"/>
    <w:rsid w:val="24705167"/>
    <w:rsid w:val="2497588C"/>
    <w:rsid w:val="24975A86"/>
    <w:rsid w:val="24AE4C6C"/>
    <w:rsid w:val="24B46637"/>
    <w:rsid w:val="24D01218"/>
    <w:rsid w:val="24DA17E1"/>
    <w:rsid w:val="251F18C9"/>
    <w:rsid w:val="252B6FC3"/>
    <w:rsid w:val="25385233"/>
    <w:rsid w:val="25481FAE"/>
    <w:rsid w:val="255416AC"/>
    <w:rsid w:val="25714582"/>
    <w:rsid w:val="258D3215"/>
    <w:rsid w:val="25961780"/>
    <w:rsid w:val="25B368EF"/>
    <w:rsid w:val="25BF58CE"/>
    <w:rsid w:val="25E847EB"/>
    <w:rsid w:val="25ED0053"/>
    <w:rsid w:val="26282B99"/>
    <w:rsid w:val="262A43FA"/>
    <w:rsid w:val="26681488"/>
    <w:rsid w:val="267F2B1D"/>
    <w:rsid w:val="268B7AB5"/>
    <w:rsid w:val="26C030CC"/>
    <w:rsid w:val="2716666E"/>
    <w:rsid w:val="27335F39"/>
    <w:rsid w:val="277A66DA"/>
    <w:rsid w:val="278B44CC"/>
    <w:rsid w:val="280B3C92"/>
    <w:rsid w:val="281B7DE6"/>
    <w:rsid w:val="283F090E"/>
    <w:rsid w:val="2867231F"/>
    <w:rsid w:val="288A46E7"/>
    <w:rsid w:val="28BC4021"/>
    <w:rsid w:val="28C01A4F"/>
    <w:rsid w:val="29244A30"/>
    <w:rsid w:val="292E4C0A"/>
    <w:rsid w:val="29341AF5"/>
    <w:rsid w:val="293976BE"/>
    <w:rsid w:val="293C5320"/>
    <w:rsid w:val="294F1C44"/>
    <w:rsid w:val="29785812"/>
    <w:rsid w:val="29850A41"/>
    <w:rsid w:val="299258C9"/>
    <w:rsid w:val="29925E73"/>
    <w:rsid w:val="29C64C71"/>
    <w:rsid w:val="29E77D4B"/>
    <w:rsid w:val="2A171F89"/>
    <w:rsid w:val="2A213AEC"/>
    <w:rsid w:val="2A4D4BB3"/>
    <w:rsid w:val="2A67052C"/>
    <w:rsid w:val="2A72494A"/>
    <w:rsid w:val="2A8C06C4"/>
    <w:rsid w:val="2B2C11C9"/>
    <w:rsid w:val="2B3F2232"/>
    <w:rsid w:val="2B3F259D"/>
    <w:rsid w:val="2BAE0C04"/>
    <w:rsid w:val="2BE65028"/>
    <w:rsid w:val="2C19528B"/>
    <w:rsid w:val="2C22681E"/>
    <w:rsid w:val="2C5C1A8E"/>
    <w:rsid w:val="2C5D196B"/>
    <w:rsid w:val="2CCD3CFC"/>
    <w:rsid w:val="2CCD7EF7"/>
    <w:rsid w:val="2CCE5110"/>
    <w:rsid w:val="2CDD5877"/>
    <w:rsid w:val="2CEB7CCF"/>
    <w:rsid w:val="2CFB12A7"/>
    <w:rsid w:val="2D290D57"/>
    <w:rsid w:val="2D474144"/>
    <w:rsid w:val="2D525090"/>
    <w:rsid w:val="2DB41456"/>
    <w:rsid w:val="2DDC2F99"/>
    <w:rsid w:val="2E536EC1"/>
    <w:rsid w:val="2EBA2BF6"/>
    <w:rsid w:val="2EC55EA8"/>
    <w:rsid w:val="2EE8585B"/>
    <w:rsid w:val="2EEC54E1"/>
    <w:rsid w:val="2EF57F78"/>
    <w:rsid w:val="2F045B74"/>
    <w:rsid w:val="2F283EAA"/>
    <w:rsid w:val="2F561582"/>
    <w:rsid w:val="2F77093F"/>
    <w:rsid w:val="2FAA6DFC"/>
    <w:rsid w:val="2FAE2CA6"/>
    <w:rsid w:val="2FB71F51"/>
    <w:rsid w:val="2FC751F2"/>
    <w:rsid w:val="2FCD158E"/>
    <w:rsid w:val="2FD140EF"/>
    <w:rsid w:val="2FD90721"/>
    <w:rsid w:val="2FEC433F"/>
    <w:rsid w:val="2FF61F28"/>
    <w:rsid w:val="306B4BAB"/>
    <w:rsid w:val="307225B7"/>
    <w:rsid w:val="307B44AD"/>
    <w:rsid w:val="309946BA"/>
    <w:rsid w:val="30A6777C"/>
    <w:rsid w:val="30C32089"/>
    <w:rsid w:val="30DE6927"/>
    <w:rsid w:val="30F31C17"/>
    <w:rsid w:val="31070EEE"/>
    <w:rsid w:val="313C1B0A"/>
    <w:rsid w:val="314D2BF6"/>
    <w:rsid w:val="314F596B"/>
    <w:rsid w:val="317909ED"/>
    <w:rsid w:val="31A67308"/>
    <w:rsid w:val="31B859B9"/>
    <w:rsid w:val="31C20EEE"/>
    <w:rsid w:val="31D87597"/>
    <w:rsid w:val="31D970B5"/>
    <w:rsid w:val="31EE2B76"/>
    <w:rsid w:val="31FB3308"/>
    <w:rsid w:val="320B7646"/>
    <w:rsid w:val="3237161C"/>
    <w:rsid w:val="325A00D3"/>
    <w:rsid w:val="3265253D"/>
    <w:rsid w:val="32880CA8"/>
    <w:rsid w:val="32944005"/>
    <w:rsid w:val="32970B2D"/>
    <w:rsid w:val="32A36873"/>
    <w:rsid w:val="32DE3497"/>
    <w:rsid w:val="32E93DAA"/>
    <w:rsid w:val="33426948"/>
    <w:rsid w:val="33486CEA"/>
    <w:rsid w:val="334D0383"/>
    <w:rsid w:val="33604ABC"/>
    <w:rsid w:val="33843679"/>
    <w:rsid w:val="339365F9"/>
    <w:rsid w:val="33B316AD"/>
    <w:rsid w:val="33F46A50"/>
    <w:rsid w:val="34426092"/>
    <w:rsid w:val="34703198"/>
    <w:rsid w:val="34A24878"/>
    <w:rsid w:val="34B64A66"/>
    <w:rsid w:val="34CC793F"/>
    <w:rsid w:val="34E34474"/>
    <w:rsid w:val="353F49D0"/>
    <w:rsid w:val="358D2195"/>
    <w:rsid w:val="35907F40"/>
    <w:rsid w:val="35CD180F"/>
    <w:rsid w:val="35D27B13"/>
    <w:rsid w:val="35DB7FF4"/>
    <w:rsid w:val="35F556BA"/>
    <w:rsid w:val="366064A0"/>
    <w:rsid w:val="368045CB"/>
    <w:rsid w:val="368773DC"/>
    <w:rsid w:val="36B94DD1"/>
    <w:rsid w:val="36DD557A"/>
    <w:rsid w:val="36DF36F3"/>
    <w:rsid w:val="36E46467"/>
    <w:rsid w:val="37955E55"/>
    <w:rsid w:val="37C10C56"/>
    <w:rsid w:val="37C229C3"/>
    <w:rsid w:val="37FE39FA"/>
    <w:rsid w:val="385C6155"/>
    <w:rsid w:val="386C32DC"/>
    <w:rsid w:val="38A57448"/>
    <w:rsid w:val="38C84DFA"/>
    <w:rsid w:val="38CD161E"/>
    <w:rsid w:val="38E01351"/>
    <w:rsid w:val="38FD0155"/>
    <w:rsid w:val="39396A4F"/>
    <w:rsid w:val="393A4F06"/>
    <w:rsid w:val="393D49F6"/>
    <w:rsid w:val="395F5497"/>
    <w:rsid w:val="39896E72"/>
    <w:rsid w:val="39930ABA"/>
    <w:rsid w:val="39AE31EB"/>
    <w:rsid w:val="39C26CA9"/>
    <w:rsid w:val="39C77497"/>
    <w:rsid w:val="39F224D2"/>
    <w:rsid w:val="39FC0C1E"/>
    <w:rsid w:val="3A121867"/>
    <w:rsid w:val="3A5124B9"/>
    <w:rsid w:val="3A9B3770"/>
    <w:rsid w:val="3AB807D8"/>
    <w:rsid w:val="3ACC55FD"/>
    <w:rsid w:val="3ADA4A2F"/>
    <w:rsid w:val="3AEE50CE"/>
    <w:rsid w:val="3B2B1554"/>
    <w:rsid w:val="3B3458E6"/>
    <w:rsid w:val="3B366616"/>
    <w:rsid w:val="3B506C62"/>
    <w:rsid w:val="3B6E40DC"/>
    <w:rsid w:val="3B7139FE"/>
    <w:rsid w:val="3BC50A1C"/>
    <w:rsid w:val="3BC71255"/>
    <w:rsid w:val="3BCB7737"/>
    <w:rsid w:val="3C100D41"/>
    <w:rsid w:val="3C5C76A9"/>
    <w:rsid w:val="3C790E43"/>
    <w:rsid w:val="3C900C33"/>
    <w:rsid w:val="3CAA2ABF"/>
    <w:rsid w:val="3CB37786"/>
    <w:rsid w:val="3CBD713E"/>
    <w:rsid w:val="3CC2593E"/>
    <w:rsid w:val="3D2F4655"/>
    <w:rsid w:val="3D454485"/>
    <w:rsid w:val="3D6717BA"/>
    <w:rsid w:val="3D974562"/>
    <w:rsid w:val="3DA908AC"/>
    <w:rsid w:val="3DC66749"/>
    <w:rsid w:val="3E0860D0"/>
    <w:rsid w:val="3E1F0BF6"/>
    <w:rsid w:val="3E812B23"/>
    <w:rsid w:val="3EA87693"/>
    <w:rsid w:val="3EB07A18"/>
    <w:rsid w:val="3EDB2CE7"/>
    <w:rsid w:val="3F015BB0"/>
    <w:rsid w:val="3F087854"/>
    <w:rsid w:val="3F576C1D"/>
    <w:rsid w:val="3F812BBD"/>
    <w:rsid w:val="3F895C03"/>
    <w:rsid w:val="3FC217B1"/>
    <w:rsid w:val="3FF676AC"/>
    <w:rsid w:val="3FFB0EFF"/>
    <w:rsid w:val="400706DA"/>
    <w:rsid w:val="401144E6"/>
    <w:rsid w:val="40595609"/>
    <w:rsid w:val="406477F0"/>
    <w:rsid w:val="40905C56"/>
    <w:rsid w:val="40A3652D"/>
    <w:rsid w:val="40AE3EE5"/>
    <w:rsid w:val="40AE409E"/>
    <w:rsid w:val="40D14148"/>
    <w:rsid w:val="40FC5196"/>
    <w:rsid w:val="416845DA"/>
    <w:rsid w:val="41A0448C"/>
    <w:rsid w:val="41AC3A26"/>
    <w:rsid w:val="41D772EB"/>
    <w:rsid w:val="41E3196E"/>
    <w:rsid w:val="41F3521F"/>
    <w:rsid w:val="427312CE"/>
    <w:rsid w:val="42A462AD"/>
    <w:rsid w:val="42AF769E"/>
    <w:rsid w:val="42B5384F"/>
    <w:rsid w:val="42BF379F"/>
    <w:rsid w:val="42C45AC3"/>
    <w:rsid w:val="4327298D"/>
    <w:rsid w:val="437339A1"/>
    <w:rsid w:val="43866E7C"/>
    <w:rsid w:val="43971D9A"/>
    <w:rsid w:val="43BE60D5"/>
    <w:rsid w:val="43E91389"/>
    <w:rsid w:val="43F65ECD"/>
    <w:rsid w:val="44A92FC5"/>
    <w:rsid w:val="44B55D07"/>
    <w:rsid w:val="44BA6EFA"/>
    <w:rsid w:val="44D77AAC"/>
    <w:rsid w:val="450B7EB2"/>
    <w:rsid w:val="454539C4"/>
    <w:rsid w:val="457479F1"/>
    <w:rsid w:val="45AE0040"/>
    <w:rsid w:val="45BE0C6C"/>
    <w:rsid w:val="45D16BF2"/>
    <w:rsid w:val="45E41CF7"/>
    <w:rsid w:val="461A0599"/>
    <w:rsid w:val="462211FB"/>
    <w:rsid w:val="46A240EA"/>
    <w:rsid w:val="46D500D1"/>
    <w:rsid w:val="46FA5CD4"/>
    <w:rsid w:val="4714279A"/>
    <w:rsid w:val="47295FD4"/>
    <w:rsid w:val="47392CA0"/>
    <w:rsid w:val="473C270E"/>
    <w:rsid w:val="47833F1C"/>
    <w:rsid w:val="47890E9C"/>
    <w:rsid w:val="47925F0D"/>
    <w:rsid w:val="47B02837"/>
    <w:rsid w:val="47C637F8"/>
    <w:rsid w:val="47E37172"/>
    <w:rsid w:val="47F60B91"/>
    <w:rsid w:val="48005506"/>
    <w:rsid w:val="48117779"/>
    <w:rsid w:val="487C6CE4"/>
    <w:rsid w:val="48C06AA9"/>
    <w:rsid w:val="49521DF7"/>
    <w:rsid w:val="495C0AA0"/>
    <w:rsid w:val="496573F0"/>
    <w:rsid w:val="4978435E"/>
    <w:rsid w:val="49B849E1"/>
    <w:rsid w:val="49BF6E77"/>
    <w:rsid w:val="49E61BD5"/>
    <w:rsid w:val="49E76C62"/>
    <w:rsid w:val="49F52390"/>
    <w:rsid w:val="4A031983"/>
    <w:rsid w:val="4A0C2B69"/>
    <w:rsid w:val="4A2C3A62"/>
    <w:rsid w:val="4A443E36"/>
    <w:rsid w:val="4A78659F"/>
    <w:rsid w:val="4A8F4985"/>
    <w:rsid w:val="4AA40576"/>
    <w:rsid w:val="4ABF170F"/>
    <w:rsid w:val="4ADA0FDC"/>
    <w:rsid w:val="4AE47726"/>
    <w:rsid w:val="4AF13892"/>
    <w:rsid w:val="4B0E1D4E"/>
    <w:rsid w:val="4B223A4B"/>
    <w:rsid w:val="4B272E10"/>
    <w:rsid w:val="4B280E31"/>
    <w:rsid w:val="4B351C1E"/>
    <w:rsid w:val="4B55540D"/>
    <w:rsid w:val="4B5F5C54"/>
    <w:rsid w:val="4BD27220"/>
    <w:rsid w:val="4BDD44FE"/>
    <w:rsid w:val="4BE470D9"/>
    <w:rsid w:val="4BEA4569"/>
    <w:rsid w:val="4BF27A7E"/>
    <w:rsid w:val="4BF929FE"/>
    <w:rsid w:val="4BFE37DA"/>
    <w:rsid w:val="4C061D9F"/>
    <w:rsid w:val="4C0C49BB"/>
    <w:rsid w:val="4C152EC6"/>
    <w:rsid w:val="4C3333A7"/>
    <w:rsid w:val="4C5B0FC3"/>
    <w:rsid w:val="4C771B75"/>
    <w:rsid w:val="4C8420C4"/>
    <w:rsid w:val="4C9B4F42"/>
    <w:rsid w:val="4CA94358"/>
    <w:rsid w:val="4CB3064D"/>
    <w:rsid w:val="4CB76D30"/>
    <w:rsid w:val="4CD3324F"/>
    <w:rsid w:val="4CF26C87"/>
    <w:rsid w:val="4CF84CEB"/>
    <w:rsid w:val="4D143D97"/>
    <w:rsid w:val="4D4A27D6"/>
    <w:rsid w:val="4D500C0F"/>
    <w:rsid w:val="4DA91760"/>
    <w:rsid w:val="4DC0326F"/>
    <w:rsid w:val="4E1D504D"/>
    <w:rsid w:val="4E275281"/>
    <w:rsid w:val="4E285D05"/>
    <w:rsid w:val="4E3A30E9"/>
    <w:rsid w:val="4E412CA3"/>
    <w:rsid w:val="4E5B2CFB"/>
    <w:rsid w:val="4E69708A"/>
    <w:rsid w:val="4E887B8C"/>
    <w:rsid w:val="4ED87D95"/>
    <w:rsid w:val="4F1532EB"/>
    <w:rsid w:val="4F3F20EF"/>
    <w:rsid w:val="4F592E60"/>
    <w:rsid w:val="4F6D786A"/>
    <w:rsid w:val="4F854DC5"/>
    <w:rsid w:val="4F8F15D2"/>
    <w:rsid w:val="4FA15887"/>
    <w:rsid w:val="4FCC0CFF"/>
    <w:rsid w:val="4FD1266E"/>
    <w:rsid w:val="4FE97030"/>
    <w:rsid w:val="4FF30C70"/>
    <w:rsid w:val="50080163"/>
    <w:rsid w:val="501E5D00"/>
    <w:rsid w:val="504245F8"/>
    <w:rsid w:val="5051105B"/>
    <w:rsid w:val="505F3C06"/>
    <w:rsid w:val="50622686"/>
    <w:rsid w:val="507E36CE"/>
    <w:rsid w:val="50800DC7"/>
    <w:rsid w:val="509251CF"/>
    <w:rsid w:val="51066F04"/>
    <w:rsid w:val="5107796B"/>
    <w:rsid w:val="51143E36"/>
    <w:rsid w:val="513C0448"/>
    <w:rsid w:val="514E4FC6"/>
    <w:rsid w:val="51873223"/>
    <w:rsid w:val="51D75590"/>
    <w:rsid w:val="51D778CF"/>
    <w:rsid w:val="51EA0B55"/>
    <w:rsid w:val="523A5F47"/>
    <w:rsid w:val="52521A48"/>
    <w:rsid w:val="52552ABF"/>
    <w:rsid w:val="52584EDF"/>
    <w:rsid w:val="52630BD1"/>
    <w:rsid w:val="52A80CDA"/>
    <w:rsid w:val="52AD3192"/>
    <w:rsid w:val="52C85201"/>
    <w:rsid w:val="52EA7BC9"/>
    <w:rsid w:val="5322283B"/>
    <w:rsid w:val="532B765E"/>
    <w:rsid w:val="53492F28"/>
    <w:rsid w:val="535D1AC5"/>
    <w:rsid w:val="5362532D"/>
    <w:rsid w:val="537A451F"/>
    <w:rsid w:val="537C4D95"/>
    <w:rsid w:val="5385050F"/>
    <w:rsid w:val="538B0125"/>
    <w:rsid w:val="53A66402"/>
    <w:rsid w:val="53E001F8"/>
    <w:rsid w:val="54107172"/>
    <w:rsid w:val="54212AF2"/>
    <w:rsid w:val="54742521"/>
    <w:rsid w:val="54751090"/>
    <w:rsid w:val="54754BEC"/>
    <w:rsid w:val="548F765A"/>
    <w:rsid w:val="54A15833"/>
    <w:rsid w:val="54AF45A2"/>
    <w:rsid w:val="54F13C83"/>
    <w:rsid w:val="555A1893"/>
    <w:rsid w:val="55747599"/>
    <w:rsid w:val="5579012C"/>
    <w:rsid w:val="557A47E7"/>
    <w:rsid w:val="55BC03E6"/>
    <w:rsid w:val="55CE76F0"/>
    <w:rsid w:val="55D05E30"/>
    <w:rsid w:val="55E82012"/>
    <w:rsid w:val="56231526"/>
    <w:rsid w:val="56A77D1E"/>
    <w:rsid w:val="56BC183D"/>
    <w:rsid w:val="572213A7"/>
    <w:rsid w:val="57656BCA"/>
    <w:rsid w:val="57686C8A"/>
    <w:rsid w:val="576E70F2"/>
    <w:rsid w:val="57781C33"/>
    <w:rsid w:val="57A31A70"/>
    <w:rsid w:val="57A35F14"/>
    <w:rsid w:val="57E04A72"/>
    <w:rsid w:val="58296419"/>
    <w:rsid w:val="586F2302"/>
    <w:rsid w:val="58FC0A02"/>
    <w:rsid w:val="58FF4E89"/>
    <w:rsid w:val="591F7CAB"/>
    <w:rsid w:val="59464DA9"/>
    <w:rsid w:val="594C2B58"/>
    <w:rsid w:val="596E5C68"/>
    <w:rsid w:val="598378D4"/>
    <w:rsid w:val="59896954"/>
    <w:rsid w:val="5999137D"/>
    <w:rsid w:val="59A529AA"/>
    <w:rsid w:val="59A622E3"/>
    <w:rsid w:val="59AA17DC"/>
    <w:rsid w:val="59CF756B"/>
    <w:rsid w:val="59F4179D"/>
    <w:rsid w:val="5A040746"/>
    <w:rsid w:val="5A205319"/>
    <w:rsid w:val="5A2E4B15"/>
    <w:rsid w:val="5A3921DA"/>
    <w:rsid w:val="5A596AD9"/>
    <w:rsid w:val="5A667B9D"/>
    <w:rsid w:val="5A6917BC"/>
    <w:rsid w:val="5A9A7A80"/>
    <w:rsid w:val="5AA77324"/>
    <w:rsid w:val="5ABF4494"/>
    <w:rsid w:val="5AD7330E"/>
    <w:rsid w:val="5AF25C19"/>
    <w:rsid w:val="5B2C3994"/>
    <w:rsid w:val="5B6360E6"/>
    <w:rsid w:val="5B6B4F9B"/>
    <w:rsid w:val="5BFD1F6F"/>
    <w:rsid w:val="5C03568E"/>
    <w:rsid w:val="5C307A9E"/>
    <w:rsid w:val="5C4525F1"/>
    <w:rsid w:val="5C6E7D07"/>
    <w:rsid w:val="5C7660F6"/>
    <w:rsid w:val="5C8F5954"/>
    <w:rsid w:val="5CA44D00"/>
    <w:rsid w:val="5CAF0938"/>
    <w:rsid w:val="5CE34E23"/>
    <w:rsid w:val="5D0D5760"/>
    <w:rsid w:val="5D537330"/>
    <w:rsid w:val="5D5C2DED"/>
    <w:rsid w:val="5D64594B"/>
    <w:rsid w:val="5D6B30BA"/>
    <w:rsid w:val="5D962247"/>
    <w:rsid w:val="5DA0445A"/>
    <w:rsid w:val="5DBE1D25"/>
    <w:rsid w:val="5DCA54ED"/>
    <w:rsid w:val="5DDC7A8A"/>
    <w:rsid w:val="5DF040EE"/>
    <w:rsid w:val="5DF254FF"/>
    <w:rsid w:val="5E63441E"/>
    <w:rsid w:val="5E7B54F5"/>
    <w:rsid w:val="5E863B92"/>
    <w:rsid w:val="5EC25014"/>
    <w:rsid w:val="5EC409A7"/>
    <w:rsid w:val="5EC94D02"/>
    <w:rsid w:val="5EE8057B"/>
    <w:rsid w:val="5F0F339A"/>
    <w:rsid w:val="5F1F0FB6"/>
    <w:rsid w:val="5F292686"/>
    <w:rsid w:val="5F351B48"/>
    <w:rsid w:val="5F5B1FDF"/>
    <w:rsid w:val="5F6F1D92"/>
    <w:rsid w:val="5F7D704B"/>
    <w:rsid w:val="5F7F6AAD"/>
    <w:rsid w:val="5F90190B"/>
    <w:rsid w:val="5F9250B9"/>
    <w:rsid w:val="5FA63899"/>
    <w:rsid w:val="5FC92A70"/>
    <w:rsid w:val="5FE67991"/>
    <w:rsid w:val="600B3829"/>
    <w:rsid w:val="6027503C"/>
    <w:rsid w:val="60447C80"/>
    <w:rsid w:val="607B5C80"/>
    <w:rsid w:val="60864EAC"/>
    <w:rsid w:val="60883EF9"/>
    <w:rsid w:val="608B2FE2"/>
    <w:rsid w:val="608E7EDD"/>
    <w:rsid w:val="609760AF"/>
    <w:rsid w:val="60B34E4F"/>
    <w:rsid w:val="611430BA"/>
    <w:rsid w:val="6118527D"/>
    <w:rsid w:val="61A412B2"/>
    <w:rsid w:val="61AB19E5"/>
    <w:rsid w:val="61B73575"/>
    <w:rsid w:val="61C9127E"/>
    <w:rsid w:val="61EE15AE"/>
    <w:rsid w:val="62285FC6"/>
    <w:rsid w:val="623A1413"/>
    <w:rsid w:val="625F4A81"/>
    <w:rsid w:val="62AC3ECF"/>
    <w:rsid w:val="62B9483E"/>
    <w:rsid w:val="63363B4D"/>
    <w:rsid w:val="634379A6"/>
    <w:rsid w:val="634433E1"/>
    <w:rsid w:val="636F2CD9"/>
    <w:rsid w:val="6384309D"/>
    <w:rsid w:val="63982397"/>
    <w:rsid w:val="63D148C2"/>
    <w:rsid w:val="63F810BC"/>
    <w:rsid w:val="641E13A4"/>
    <w:rsid w:val="643721BE"/>
    <w:rsid w:val="6445580E"/>
    <w:rsid w:val="645E4F6D"/>
    <w:rsid w:val="647C6D79"/>
    <w:rsid w:val="649C2CFD"/>
    <w:rsid w:val="64A216CA"/>
    <w:rsid w:val="64A461C0"/>
    <w:rsid w:val="64A47259"/>
    <w:rsid w:val="64A82DBC"/>
    <w:rsid w:val="64AC465A"/>
    <w:rsid w:val="64AE685E"/>
    <w:rsid w:val="64F17521"/>
    <w:rsid w:val="653D52B2"/>
    <w:rsid w:val="655C6DF1"/>
    <w:rsid w:val="655F188C"/>
    <w:rsid w:val="658B1A84"/>
    <w:rsid w:val="65E75AA3"/>
    <w:rsid w:val="65FA7647"/>
    <w:rsid w:val="66435D55"/>
    <w:rsid w:val="664A2D9D"/>
    <w:rsid w:val="6672404B"/>
    <w:rsid w:val="669C6028"/>
    <w:rsid w:val="66A92479"/>
    <w:rsid w:val="66B1373B"/>
    <w:rsid w:val="66DA52B9"/>
    <w:rsid w:val="66DB0425"/>
    <w:rsid w:val="67226E55"/>
    <w:rsid w:val="675B2D96"/>
    <w:rsid w:val="67721931"/>
    <w:rsid w:val="67CE103C"/>
    <w:rsid w:val="67CF0BBF"/>
    <w:rsid w:val="67D92E2D"/>
    <w:rsid w:val="67E95142"/>
    <w:rsid w:val="67F325A0"/>
    <w:rsid w:val="680B6D43"/>
    <w:rsid w:val="68152516"/>
    <w:rsid w:val="68163604"/>
    <w:rsid w:val="68172C9F"/>
    <w:rsid w:val="68212C69"/>
    <w:rsid w:val="68300124"/>
    <w:rsid w:val="68537D7E"/>
    <w:rsid w:val="685D346D"/>
    <w:rsid w:val="68666C94"/>
    <w:rsid w:val="6869747B"/>
    <w:rsid w:val="6870599E"/>
    <w:rsid w:val="6873240F"/>
    <w:rsid w:val="68752FB5"/>
    <w:rsid w:val="68753EC0"/>
    <w:rsid w:val="68757459"/>
    <w:rsid w:val="68AE28A9"/>
    <w:rsid w:val="68F81240"/>
    <w:rsid w:val="6915029D"/>
    <w:rsid w:val="691519F4"/>
    <w:rsid w:val="693843ED"/>
    <w:rsid w:val="693A0FE4"/>
    <w:rsid w:val="6965127B"/>
    <w:rsid w:val="69794B56"/>
    <w:rsid w:val="698472C0"/>
    <w:rsid w:val="69CC30A8"/>
    <w:rsid w:val="69D824A3"/>
    <w:rsid w:val="69E64581"/>
    <w:rsid w:val="6A1F58CE"/>
    <w:rsid w:val="6A3550F2"/>
    <w:rsid w:val="6A661A2B"/>
    <w:rsid w:val="6A697E13"/>
    <w:rsid w:val="6A7C590E"/>
    <w:rsid w:val="6A9516EC"/>
    <w:rsid w:val="6A9A4F55"/>
    <w:rsid w:val="6AB25EA4"/>
    <w:rsid w:val="6AB44A88"/>
    <w:rsid w:val="6AD56708"/>
    <w:rsid w:val="6AE02C49"/>
    <w:rsid w:val="6AE2417B"/>
    <w:rsid w:val="6B0D47A7"/>
    <w:rsid w:val="6B2671A1"/>
    <w:rsid w:val="6B3B4BF5"/>
    <w:rsid w:val="6B3C5998"/>
    <w:rsid w:val="6B544A69"/>
    <w:rsid w:val="6B6B2ECA"/>
    <w:rsid w:val="6B7C355E"/>
    <w:rsid w:val="6B7E0D84"/>
    <w:rsid w:val="6BA63BC6"/>
    <w:rsid w:val="6BB37F1B"/>
    <w:rsid w:val="6BB87D88"/>
    <w:rsid w:val="6BED2FCB"/>
    <w:rsid w:val="6C3F2D87"/>
    <w:rsid w:val="6C552E96"/>
    <w:rsid w:val="6C702411"/>
    <w:rsid w:val="6C745D41"/>
    <w:rsid w:val="6C872D86"/>
    <w:rsid w:val="6C886390"/>
    <w:rsid w:val="6CA200F0"/>
    <w:rsid w:val="6CCE7840"/>
    <w:rsid w:val="6CEB21E0"/>
    <w:rsid w:val="6D0938B4"/>
    <w:rsid w:val="6D140FEE"/>
    <w:rsid w:val="6D486EEA"/>
    <w:rsid w:val="6D721480"/>
    <w:rsid w:val="6D91271A"/>
    <w:rsid w:val="6DBD6B19"/>
    <w:rsid w:val="6DC376FD"/>
    <w:rsid w:val="6E046593"/>
    <w:rsid w:val="6E2901B3"/>
    <w:rsid w:val="6E4D28F0"/>
    <w:rsid w:val="6E6B10E2"/>
    <w:rsid w:val="6E7D53C4"/>
    <w:rsid w:val="6E970A2F"/>
    <w:rsid w:val="6EAD12BB"/>
    <w:rsid w:val="6EDC531E"/>
    <w:rsid w:val="6EDF562C"/>
    <w:rsid w:val="6EE4442A"/>
    <w:rsid w:val="6EFA1157"/>
    <w:rsid w:val="6F012FA0"/>
    <w:rsid w:val="6F3239AE"/>
    <w:rsid w:val="6F3D2C22"/>
    <w:rsid w:val="6F44130E"/>
    <w:rsid w:val="6F455042"/>
    <w:rsid w:val="6F4778EA"/>
    <w:rsid w:val="6F4F3FCD"/>
    <w:rsid w:val="6F881820"/>
    <w:rsid w:val="6F944668"/>
    <w:rsid w:val="6FAA27F8"/>
    <w:rsid w:val="6FCD1928"/>
    <w:rsid w:val="7007302D"/>
    <w:rsid w:val="700D58FE"/>
    <w:rsid w:val="70145DD1"/>
    <w:rsid w:val="70243420"/>
    <w:rsid w:val="7034208E"/>
    <w:rsid w:val="7067066A"/>
    <w:rsid w:val="70815BB8"/>
    <w:rsid w:val="70C4391F"/>
    <w:rsid w:val="711A0DAE"/>
    <w:rsid w:val="711A6178"/>
    <w:rsid w:val="71213AE5"/>
    <w:rsid w:val="71604478"/>
    <w:rsid w:val="71883D59"/>
    <w:rsid w:val="71946BA2"/>
    <w:rsid w:val="71AB2E25"/>
    <w:rsid w:val="725105EF"/>
    <w:rsid w:val="726019E4"/>
    <w:rsid w:val="7260609B"/>
    <w:rsid w:val="727D3192"/>
    <w:rsid w:val="72826237"/>
    <w:rsid w:val="729D1FDE"/>
    <w:rsid w:val="72AB56B1"/>
    <w:rsid w:val="72ED68F0"/>
    <w:rsid w:val="730438B3"/>
    <w:rsid w:val="731E3CED"/>
    <w:rsid w:val="73274501"/>
    <w:rsid w:val="732F143C"/>
    <w:rsid w:val="735C1231"/>
    <w:rsid w:val="735C549D"/>
    <w:rsid w:val="73974727"/>
    <w:rsid w:val="73B02A99"/>
    <w:rsid w:val="73C82B32"/>
    <w:rsid w:val="73D72923"/>
    <w:rsid w:val="74054612"/>
    <w:rsid w:val="74314C49"/>
    <w:rsid w:val="7437195F"/>
    <w:rsid w:val="74380971"/>
    <w:rsid w:val="745B7503"/>
    <w:rsid w:val="749A63B4"/>
    <w:rsid w:val="74A1571D"/>
    <w:rsid w:val="74F13593"/>
    <w:rsid w:val="74F54AFA"/>
    <w:rsid w:val="757726B5"/>
    <w:rsid w:val="758E3404"/>
    <w:rsid w:val="75963088"/>
    <w:rsid w:val="759E470E"/>
    <w:rsid w:val="75AB251D"/>
    <w:rsid w:val="75FD32B9"/>
    <w:rsid w:val="7605036D"/>
    <w:rsid w:val="76735B9E"/>
    <w:rsid w:val="767C1642"/>
    <w:rsid w:val="76AF3B36"/>
    <w:rsid w:val="76D417EE"/>
    <w:rsid w:val="76D7317F"/>
    <w:rsid w:val="76D86933"/>
    <w:rsid w:val="77206893"/>
    <w:rsid w:val="7735253B"/>
    <w:rsid w:val="778B00FF"/>
    <w:rsid w:val="77C12705"/>
    <w:rsid w:val="781B422D"/>
    <w:rsid w:val="782F13D2"/>
    <w:rsid w:val="789904FC"/>
    <w:rsid w:val="78FC0C0E"/>
    <w:rsid w:val="7905136D"/>
    <w:rsid w:val="790B1130"/>
    <w:rsid w:val="79231B0D"/>
    <w:rsid w:val="79327236"/>
    <w:rsid w:val="794B223C"/>
    <w:rsid w:val="795245FA"/>
    <w:rsid w:val="795E27B4"/>
    <w:rsid w:val="797D4DFA"/>
    <w:rsid w:val="79802641"/>
    <w:rsid w:val="7999405F"/>
    <w:rsid w:val="79C142AC"/>
    <w:rsid w:val="79D42231"/>
    <w:rsid w:val="79E31E9B"/>
    <w:rsid w:val="79EE293D"/>
    <w:rsid w:val="79F205CB"/>
    <w:rsid w:val="7A0524FC"/>
    <w:rsid w:val="7A0D74F1"/>
    <w:rsid w:val="7A3C1B84"/>
    <w:rsid w:val="7AB047F3"/>
    <w:rsid w:val="7ABE1639"/>
    <w:rsid w:val="7AC15E07"/>
    <w:rsid w:val="7AD718AD"/>
    <w:rsid w:val="7AEF44E6"/>
    <w:rsid w:val="7AF55E3D"/>
    <w:rsid w:val="7B04686A"/>
    <w:rsid w:val="7B09415C"/>
    <w:rsid w:val="7B193C74"/>
    <w:rsid w:val="7B2C7682"/>
    <w:rsid w:val="7B4F68A2"/>
    <w:rsid w:val="7B563F88"/>
    <w:rsid w:val="7B656EB9"/>
    <w:rsid w:val="7BC57015"/>
    <w:rsid w:val="7BF324B6"/>
    <w:rsid w:val="7BF5648F"/>
    <w:rsid w:val="7C0A34BA"/>
    <w:rsid w:val="7C272438"/>
    <w:rsid w:val="7C3A20F4"/>
    <w:rsid w:val="7C533EBD"/>
    <w:rsid w:val="7C5A7A95"/>
    <w:rsid w:val="7C731BDD"/>
    <w:rsid w:val="7CB53E5D"/>
    <w:rsid w:val="7CDE19AE"/>
    <w:rsid w:val="7CEF1130"/>
    <w:rsid w:val="7D33180A"/>
    <w:rsid w:val="7D3D7314"/>
    <w:rsid w:val="7D8E6B9B"/>
    <w:rsid w:val="7DD42A4D"/>
    <w:rsid w:val="7DDD3A6A"/>
    <w:rsid w:val="7DE93DD1"/>
    <w:rsid w:val="7DF212AA"/>
    <w:rsid w:val="7E0E3931"/>
    <w:rsid w:val="7E21080B"/>
    <w:rsid w:val="7E2D63B4"/>
    <w:rsid w:val="7E521976"/>
    <w:rsid w:val="7E580B57"/>
    <w:rsid w:val="7E6B10F7"/>
    <w:rsid w:val="7E7C30A8"/>
    <w:rsid w:val="7E9C7095"/>
    <w:rsid w:val="7EAB38F7"/>
    <w:rsid w:val="7EB54B2D"/>
    <w:rsid w:val="7EC643F5"/>
    <w:rsid w:val="7EF7756F"/>
    <w:rsid w:val="7EFF74BD"/>
    <w:rsid w:val="7F295A65"/>
    <w:rsid w:val="7F2D4191"/>
    <w:rsid w:val="7F340631"/>
    <w:rsid w:val="7F4339B5"/>
    <w:rsid w:val="7F7B4EFD"/>
    <w:rsid w:val="7FCB5853"/>
    <w:rsid w:val="7FDA7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Lines/>
      <w:widowControl w:val="0"/>
      <w:spacing w:line="360" w:lineRule="auto"/>
    </w:pPr>
    <w:rPr>
      <w:rFonts w:eastAsia="宋体" w:asciiTheme="minorHAnsi" w:hAnsiTheme="minorHAnsi" w:cstheme="minorBidi"/>
      <w:kern w:val="2"/>
      <w:sz w:val="24"/>
      <w:szCs w:val="24"/>
      <w:lang w:val="en-US" w:eastAsia="zh-CN" w:bidi="ar-SA"/>
    </w:rPr>
  </w:style>
  <w:style w:type="paragraph" w:styleId="3">
    <w:name w:val="heading 1"/>
    <w:basedOn w:val="1"/>
    <w:next w:val="1"/>
    <w:qFormat/>
    <w:uiPriority w:val="0"/>
    <w:pPr>
      <w:keepNext/>
      <w:jc w:val="center"/>
      <w:outlineLvl w:val="0"/>
    </w:pPr>
    <w:rPr>
      <w:b/>
      <w:kern w:val="44"/>
      <w:sz w:val="32"/>
    </w:rPr>
  </w:style>
  <w:style w:type="paragraph" w:styleId="2">
    <w:name w:val="heading 2"/>
    <w:basedOn w:val="1"/>
    <w:next w:val="1"/>
    <w:unhideWhenUsed/>
    <w:qFormat/>
    <w:uiPriority w:val="0"/>
    <w:pPr>
      <w:keepLines w:val="0"/>
      <w:outlineLvl w:val="1"/>
    </w:pPr>
    <w:rPr>
      <w:rFonts w:ascii="Arial" w:hAnsi="Arial"/>
      <w:b/>
      <w:sz w:val="28"/>
    </w:rPr>
  </w:style>
  <w:style w:type="paragraph" w:styleId="4">
    <w:name w:val="heading 3"/>
    <w:basedOn w:val="1"/>
    <w:next w:val="1"/>
    <w:unhideWhenUsed/>
    <w:qFormat/>
    <w:uiPriority w:val="0"/>
    <w:pPr>
      <w:keepNext/>
      <w:outlineLvl w:val="2"/>
    </w:pPr>
    <w:rPr>
      <w:b/>
    </w:rPr>
  </w:style>
  <w:style w:type="character" w:default="1" w:styleId="33">
    <w:name w:val="Default Paragraph Font"/>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qFormat/>
    <w:uiPriority w:val="0"/>
    <w:pPr>
      <w:ind w:left="2520" w:leftChars="1200"/>
    </w:pPr>
  </w:style>
  <w:style w:type="paragraph" w:styleId="6">
    <w:name w:val="Normal Indent"/>
    <w:basedOn w:val="1"/>
    <w:next w:val="1"/>
    <w:qFormat/>
    <w:uiPriority w:val="0"/>
    <w:rPr>
      <w:rFonts w:ascii="仿宋_GB2312" w:hAnsi="仿宋_GB2312"/>
    </w:rPr>
  </w:style>
  <w:style w:type="paragraph" w:styleId="7">
    <w:name w:val="caption"/>
    <w:basedOn w:val="1"/>
    <w:next w:val="1"/>
    <w:unhideWhenUsed/>
    <w:qFormat/>
    <w:uiPriority w:val="0"/>
    <w:rPr>
      <w:rFonts w:ascii="Arial" w:hAnsi="Arial" w:eastAsia="黑体"/>
      <w:sz w:val="20"/>
    </w:rPr>
  </w:style>
  <w:style w:type="paragraph" w:styleId="8">
    <w:name w:val="annotation text"/>
    <w:basedOn w:val="1"/>
    <w:link w:val="39"/>
    <w:qFormat/>
    <w:uiPriority w:val="0"/>
  </w:style>
  <w:style w:type="paragraph" w:styleId="9">
    <w:name w:val="Salutation"/>
    <w:basedOn w:val="1"/>
    <w:next w:val="1"/>
    <w:qFormat/>
    <w:uiPriority w:val="0"/>
  </w:style>
  <w:style w:type="paragraph" w:styleId="10">
    <w:name w:val="Body Text"/>
    <w:basedOn w:val="1"/>
    <w:next w:val="9"/>
    <w:qFormat/>
    <w:uiPriority w:val="0"/>
    <w:pPr>
      <w:spacing w:after="120"/>
    </w:pPr>
  </w:style>
  <w:style w:type="paragraph" w:styleId="11">
    <w:name w:val="Body Text Indent"/>
    <w:basedOn w:val="1"/>
    <w:next w:val="12"/>
    <w:qFormat/>
    <w:uiPriority w:val="0"/>
    <w:pPr>
      <w:spacing w:after="120"/>
    </w:pPr>
  </w:style>
  <w:style w:type="paragraph" w:styleId="12">
    <w:name w:val="Body Text First Indent 2"/>
    <w:basedOn w:val="11"/>
    <w:unhideWhenUsed/>
    <w:qFormat/>
    <w:uiPriority w:val="99"/>
    <w:pPr>
      <w:ind w:firstLine="420" w:firstLineChars="200"/>
    </w:pPr>
  </w:style>
  <w:style w:type="paragraph" w:styleId="13">
    <w:name w:val="toc 5"/>
    <w:basedOn w:val="1"/>
    <w:next w:val="1"/>
    <w:qFormat/>
    <w:uiPriority w:val="0"/>
    <w:pPr>
      <w:ind w:left="1680" w:leftChars="800"/>
    </w:pPr>
  </w:style>
  <w:style w:type="paragraph" w:styleId="14">
    <w:name w:val="toc 3"/>
    <w:basedOn w:val="1"/>
    <w:next w:val="1"/>
    <w:qFormat/>
    <w:uiPriority w:val="0"/>
    <w:pPr>
      <w:ind w:left="840" w:leftChars="400"/>
    </w:pPr>
  </w:style>
  <w:style w:type="paragraph" w:styleId="15">
    <w:name w:val="toc 8"/>
    <w:basedOn w:val="1"/>
    <w:next w:val="1"/>
    <w:qFormat/>
    <w:uiPriority w:val="0"/>
    <w:pPr>
      <w:ind w:left="2940" w:leftChars="1400"/>
    </w:pPr>
  </w:style>
  <w:style w:type="paragraph" w:styleId="16">
    <w:name w:val="Date"/>
    <w:basedOn w:val="1"/>
    <w:next w:val="1"/>
    <w:link w:val="46"/>
    <w:qFormat/>
    <w:uiPriority w:val="0"/>
    <w:pPr>
      <w:ind w:left="100" w:leftChars="2500"/>
    </w:pPr>
  </w:style>
  <w:style w:type="paragraph" w:styleId="17">
    <w:name w:val="Body Text Indent 2"/>
    <w:basedOn w:val="1"/>
    <w:qFormat/>
    <w:uiPriority w:val="0"/>
    <w:pPr>
      <w:spacing w:line="540" w:lineRule="exact"/>
      <w:ind w:firstLine="627"/>
    </w:pPr>
    <w:rPr>
      <w:rFonts w:eastAsia="方正仿宋简体"/>
      <w:sz w:val="28"/>
    </w:rPr>
  </w:style>
  <w:style w:type="paragraph" w:styleId="18">
    <w:name w:val="Balloon Text"/>
    <w:basedOn w:val="1"/>
    <w:link w:val="41"/>
    <w:qFormat/>
    <w:uiPriority w:val="0"/>
    <w:pPr>
      <w:spacing w:line="240" w:lineRule="auto"/>
    </w:pPr>
    <w:rPr>
      <w:sz w:val="18"/>
      <w:szCs w:val="18"/>
    </w:rPr>
  </w:style>
  <w:style w:type="paragraph" w:styleId="19">
    <w:name w:val="footer"/>
    <w:basedOn w:val="1"/>
    <w:qFormat/>
    <w:uiPriority w:val="0"/>
    <w:pPr>
      <w:tabs>
        <w:tab w:val="center" w:pos="4153"/>
        <w:tab w:val="right" w:pos="8306"/>
      </w:tabs>
      <w:snapToGrid w:val="0"/>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0"/>
  </w:style>
  <w:style w:type="paragraph" w:styleId="22">
    <w:name w:val="toc 4"/>
    <w:basedOn w:val="1"/>
    <w:next w:val="1"/>
    <w:qFormat/>
    <w:uiPriority w:val="0"/>
    <w:pPr>
      <w:ind w:left="1260" w:leftChars="600"/>
    </w:pPr>
  </w:style>
  <w:style w:type="paragraph" w:styleId="23">
    <w:name w:val="Subtitle"/>
    <w:basedOn w:val="1"/>
    <w:next w:val="1"/>
    <w:qFormat/>
    <w:uiPriority w:val="0"/>
    <w:pPr>
      <w:spacing w:line="360" w:lineRule="auto"/>
      <w:ind w:firstLine="0" w:firstLineChars="0"/>
      <w:jc w:val="left"/>
      <w:outlineLvl w:val="1"/>
    </w:pPr>
    <w:rPr>
      <w:rFonts w:eastAsia="黑体" w:cs="Times New Roman"/>
      <w:bCs/>
      <w:kern w:val="28"/>
      <w:sz w:val="32"/>
      <w:szCs w:val="32"/>
    </w:rPr>
  </w:style>
  <w:style w:type="paragraph" w:styleId="24">
    <w:name w:val="toc 6"/>
    <w:basedOn w:val="1"/>
    <w:next w:val="1"/>
    <w:qFormat/>
    <w:uiPriority w:val="0"/>
    <w:pPr>
      <w:ind w:left="2100" w:leftChars="1000"/>
    </w:pPr>
  </w:style>
  <w:style w:type="paragraph" w:styleId="25">
    <w:name w:val="Body Text Indent 3"/>
    <w:basedOn w:val="1"/>
    <w:qFormat/>
    <w:uiPriority w:val="0"/>
    <w:pPr>
      <w:spacing w:after="120"/>
      <w:ind w:left="420" w:leftChars="200"/>
    </w:pPr>
    <w:rPr>
      <w:sz w:val="16"/>
      <w:szCs w:val="16"/>
    </w:rPr>
  </w:style>
  <w:style w:type="paragraph" w:styleId="26">
    <w:name w:val="toc 2"/>
    <w:basedOn w:val="1"/>
    <w:next w:val="1"/>
    <w:qFormat/>
    <w:uiPriority w:val="0"/>
    <w:pPr>
      <w:ind w:left="420" w:leftChars="200"/>
    </w:pPr>
  </w:style>
  <w:style w:type="paragraph" w:styleId="27">
    <w:name w:val="toc 9"/>
    <w:basedOn w:val="1"/>
    <w:next w:val="1"/>
    <w:qFormat/>
    <w:uiPriority w:val="0"/>
    <w:pPr>
      <w:ind w:left="3360" w:leftChars="1600"/>
    </w:pPr>
  </w:style>
  <w:style w:type="paragraph" w:styleId="28">
    <w:name w:val="Normal (Web)"/>
    <w:basedOn w:val="1"/>
    <w:qFormat/>
    <w:uiPriority w:val="0"/>
    <w:pPr>
      <w:widowControl/>
      <w:spacing w:before="100" w:beforeAutospacing="1" w:after="100" w:afterAutospacing="1"/>
      <w:jc w:val="left"/>
    </w:pPr>
    <w:rPr>
      <w:rFonts w:ascii="宋体" w:hAnsi="宋体"/>
      <w:kern w:val="0"/>
      <w:sz w:val="24"/>
    </w:rPr>
  </w:style>
  <w:style w:type="paragraph" w:styleId="29">
    <w:name w:val="annotation subject"/>
    <w:basedOn w:val="8"/>
    <w:next w:val="8"/>
    <w:link w:val="40"/>
    <w:qFormat/>
    <w:uiPriority w:val="0"/>
    <w:rPr>
      <w:b/>
      <w:bCs/>
    </w:rPr>
  </w:style>
  <w:style w:type="paragraph" w:styleId="30">
    <w:name w:val="Body Text First Indent"/>
    <w:basedOn w:val="1"/>
    <w:next w:val="1"/>
    <w:qFormat/>
    <w:uiPriority w:val="0"/>
    <w:pPr>
      <w:keepLines w:val="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page number"/>
    <w:basedOn w:val="33"/>
    <w:qFormat/>
    <w:uiPriority w:val="0"/>
  </w:style>
  <w:style w:type="character" w:styleId="35">
    <w:name w:val="annotation reference"/>
    <w:basedOn w:val="33"/>
    <w:qFormat/>
    <w:uiPriority w:val="0"/>
    <w:rPr>
      <w:sz w:val="21"/>
      <w:szCs w:val="21"/>
    </w:rPr>
  </w:style>
  <w:style w:type="paragraph" w:customStyle="1" w:styleId="36">
    <w:name w:val="Default"/>
    <w:next w:val="1"/>
    <w:qFormat/>
    <w:uiPriority w:val="0"/>
    <w:pPr>
      <w:widowControl w:val="0"/>
      <w:autoSpaceDE w:val="0"/>
      <w:autoSpaceDN w:val="0"/>
      <w:adjustRightInd w:val="0"/>
    </w:pPr>
    <w:rPr>
      <w:rFonts w:ascii="Arial Unicode MS" w:hAnsi="Arial Unicode MS" w:eastAsia="宋体" w:cs="Arial Unicode MS"/>
      <w:color w:val="000000"/>
      <w:sz w:val="24"/>
      <w:szCs w:val="24"/>
      <w:lang w:val="en-US" w:eastAsia="zh-CN" w:bidi="ar-SA"/>
    </w:rPr>
  </w:style>
  <w:style w:type="paragraph" w:customStyle="1" w:styleId="37">
    <w:name w:val="首行缩进"/>
    <w:basedOn w:val="1"/>
    <w:next w:val="1"/>
    <w:link w:val="38"/>
    <w:qFormat/>
    <w:uiPriority w:val="0"/>
    <w:pPr>
      <w:ind w:firstLine="640" w:firstLineChars="200"/>
    </w:pPr>
    <w:rPr>
      <w:rFonts w:ascii="Times New Roman" w:hAnsi="Times New Roman"/>
    </w:rPr>
  </w:style>
  <w:style w:type="character" w:customStyle="1" w:styleId="38">
    <w:name w:val="首行缩进 Char"/>
    <w:link w:val="37"/>
    <w:qFormat/>
    <w:uiPriority w:val="0"/>
    <w:rPr>
      <w:rFonts w:ascii="Times New Roman" w:hAnsi="Times New Roman" w:eastAsia="宋体"/>
    </w:rPr>
  </w:style>
  <w:style w:type="character" w:customStyle="1" w:styleId="39">
    <w:name w:val="批注文字 Char"/>
    <w:basedOn w:val="33"/>
    <w:link w:val="8"/>
    <w:qFormat/>
    <w:uiPriority w:val="0"/>
    <w:rPr>
      <w:rFonts w:eastAsia="宋体"/>
      <w:kern w:val="2"/>
      <w:sz w:val="24"/>
      <w:szCs w:val="24"/>
    </w:rPr>
  </w:style>
  <w:style w:type="character" w:customStyle="1" w:styleId="40">
    <w:name w:val="批注主题 Char"/>
    <w:basedOn w:val="39"/>
    <w:link w:val="29"/>
    <w:qFormat/>
    <w:uiPriority w:val="0"/>
    <w:rPr>
      <w:rFonts w:eastAsia="宋体"/>
      <w:b/>
      <w:bCs/>
      <w:kern w:val="2"/>
      <w:sz w:val="24"/>
      <w:szCs w:val="24"/>
    </w:rPr>
  </w:style>
  <w:style w:type="character" w:customStyle="1" w:styleId="41">
    <w:name w:val="批注框文本 Char"/>
    <w:basedOn w:val="33"/>
    <w:link w:val="18"/>
    <w:qFormat/>
    <w:uiPriority w:val="0"/>
    <w:rPr>
      <w:rFonts w:eastAsia="宋体"/>
      <w:kern w:val="2"/>
      <w:sz w:val="18"/>
      <w:szCs w:val="18"/>
    </w:rPr>
  </w:style>
  <w:style w:type="paragraph" w:customStyle="1" w:styleId="42">
    <w:name w:val="日期1"/>
    <w:basedOn w:val="1"/>
    <w:next w:val="1"/>
    <w:qFormat/>
    <w:uiPriority w:val="0"/>
    <w:pPr>
      <w:keepLines w:val="0"/>
      <w:spacing w:line="240" w:lineRule="auto"/>
      <w:jc w:val="right"/>
    </w:pPr>
    <w:rPr>
      <w:rFonts w:ascii="Times New Roman" w:hAnsi="Times New Roman" w:cs="Times New Roman"/>
      <w:color w:val="5590CC"/>
    </w:rPr>
  </w:style>
  <w:style w:type="paragraph" w:customStyle="1" w:styleId="43">
    <w:name w:val="Contact Details"/>
    <w:basedOn w:val="1"/>
    <w:qFormat/>
    <w:uiPriority w:val="0"/>
    <w:pPr>
      <w:keepLines w:val="0"/>
      <w:spacing w:line="240" w:lineRule="auto"/>
      <w:jc w:val="both"/>
    </w:pPr>
    <w:rPr>
      <w:rFonts w:ascii="Times New Roman" w:hAnsi="Times New Roman" w:cs="Times New Roman"/>
      <w:color w:val="FFFFFF"/>
      <w:sz w:val="16"/>
      <w:szCs w:val="14"/>
    </w:rPr>
  </w:style>
  <w:style w:type="paragraph" w:customStyle="1" w:styleId="44">
    <w:name w:val="Organization"/>
    <w:basedOn w:val="1"/>
    <w:qFormat/>
    <w:uiPriority w:val="0"/>
    <w:pPr>
      <w:keepLines w:val="0"/>
      <w:spacing w:line="600" w:lineRule="exact"/>
      <w:jc w:val="both"/>
    </w:pPr>
    <w:rPr>
      <w:rFonts w:ascii="Calibri" w:hAnsi="Calibri" w:cs="Times New Roman"/>
      <w:color w:val="FFFFFF"/>
      <w:sz w:val="56"/>
      <w:szCs w:val="36"/>
    </w:rPr>
  </w:style>
  <w:style w:type="paragraph" w:customStyle="1" w:styleId="45">
    <w:name w:val="无间隔1"/>
    <w:qFormat/>
    <w:uiPriority w:val="0"/>
    <w:rPr>
      <w:rFonts w:ascii="Times New Roman" w:hAnsi="Times New Roman" w:eastAsia="宋体" w:cs="Times New Roman"/>
      <w:sz w:val="22"/>
      <w:lang w:val="en-US" w:eastAsia="zh-CN" w:bidi="ar-SA"/>
    </w:rPr>
  </w:style>
  <w:style w:type="character" w:customStyle="1" w:styleId="46">
    <w:name w:val="日期 Char"/>
    <w:basedOn w:val="33"/>
    <w:link w:val="16"/>
    <w:qFormat/>
    <w:uiPriority w:val="0"/>
    <w:rPr>
      <w:rFonts w:asciiTheme="minorHAnsi" w:hAnsiTheme="minorHAnsi" w:cstheme="minorBidi"/>
      <w:kern w:val="2"/>
      <w:sz w:val="24"/>
      <w:szCs w:val="24"/>
    </w:rPr>
  </w:style>
  <w:style w:type="paragraph" w:customStyle="1" w:styleId="47">
    <w:name w:val="样式 首行缩进:  2 字符1"/>
    <w:basedOn w:val="1"/>
    <w:qFormat/>
    <w:uiPriority w:val="0"/>
    <w:pPr>
      <w:spacing w:line="360" w:lineRule="auto"/>
      <w:ind w:firstLine="200" w:firstLineChars="200"/>
    </w:pPr>
    <w:rPr>
      <w:rFonts w:cs="宋体"/>
      <w:sz w:val="24"/>
    </w:rPr>
  </w:style>
  <w:style w:type="paragraph" w:customStyle="1" w:styleId="48">
    <w:name w:val="Table Paragraph"/>
    <w:basedOn w:val="1"/>
    <w:qFormat/>
    <w:uiPriority w:val="0"/>
    <w:pPr>
      <w:jc w:val="left"/>
    </w:pPr>
    <w:rPr>
      <w:kern w:val="0"/>
      <w:sz w:val="22"/>
      <w:szCs w:val="22"/>
    </w:rPr>
  </w:style>
  <w:style w:type="character" w:customStyle="1" w:styleId="49">
    <w:name w:val="fontstyle01"/>
    <w:basedOn w:val="33"/>
    <w:qFormat/>
    <w:uiPriority w:val="0"/>
    <w:rPr>
      <w:rFonts w:ascii="仿宋_GB2312" w:hAnsi="仿宋_GB2312" w:eastAsia="仿宋_GB2312" w:cs="仿宋_GB2312"/>
      <w:color w:val="000000"/>
      <w:sz w:val="52"/>
      <w:szCs w:val="52"/>
    </w:rPr>
  </w:style>
  <w:style w:type="paragraph" w:styleId="50">
    <w:name w:val="List Paragraph"/>
    <w:basedOn w:val="1"/>
    <w:qFormat/>
    <w:uiPriority w:val="34"/>
    <w:pPr>
      <w:ind w:firstLine="420" w:firstLineChars="200"/>
    </w:pPr>
  </w:style>
  <w:style w:type="paragraph" w:customStyle="1" w:styleId="51">
    <w:name w:val="表格"/>
    <w:basedOn w:val="28"/>
    <w:next w:val="1"/>
    <w:qFormat/>
    <w:uiPriority w:val="0"/>
    <w:pPr>
      <w:adjustRightInd w:val="0"/>
      <w:snapToGrid w:val="0"/>
      <w:spacing w:beforeLines="10" w:afterLines="10" w:line="259" w:lineRule="auto"/>
      <w:jc w:val="center"/>
    </w:pPr>
    <w:rPr>
      <w:rFonts w:ascii="宋体"/>
      <w:kern w:val="0"/>
      <w:sz w:val="20"/>
      <w:szCs w:val="21"/>
    </w:rPr>
  </w:style>
  <w:style w:type="paragraph" w:customStyle="1" w:styleId="52">
    <w:name w:val="表头"/>
    <w:basedOn w:val="53"/>
    <w:next w:val="1"/>
    <w:qFormat/>
    <w:uiPriority w:val="0"/>
    <w:pPr>
      <w:adjustRightInd w:val="0"/>
      <w:snapToGrid w:val="0"/>
      <w:spacing w:line="480" w:lineRule="exact"/>
      <w:ind w:firstLine="0" w:firstLineChars="0"/>
    </w:pPr>
    <w:rPr>
      <w:rFonts w:hAnsi="宋体"/>
      <w:szCs w:val="28"/>
    </w:rPr>
  </w:style>
  <w:style w:type="paragraph" w:customStyle="1" w:styleId="53">
    <w:name w:val="表外"/>
    <w:basedOn w:val="1"/>
    <w:qFormat/>
    <w:uiPriority w:val="0"/>
    <w:pPr>
      <w:ind w:firstLine="0" w:firstLineChars="0"/>
    </w:pPr>
    <w:rPr>
      <w:rFonts w:ascii="Times New Roman"/>
      <w:b/>
      <w:sz w:val="32"/>
    </w:rPr>
  </w:style>
  <w:style w:type="paragraph" w:customStyle="1" w:styleId="54">
    <w:name w:val=" Char Char Char Char Char Char Char Char Char Char Char Char Char Char Char Char Char Char"/>
    <w:basedOn w:val="1"/>
    <w:qFormat/>
    <w:uiPriority w:val="0"/>
  </w:style>
  <w:style w:type="paragraph" w:customStyle="1" w:styleId="55">
    <w:name w:val="报告书正文"/>
    <w:basedOn w:val="1"/>
    <w:qFormat/>
    <w:uiPriority w:val="0"/>
    <w:pPr>
      <w:spacing w:line="300" w:lineRule="auto"/>
      <w:ind w:firstLine="200" w:firstLineChars="200"/>
    </w:pPr>
    <w:rPr>
      <w:sz w:val="24"/>
    </w:rPr>
  </w:style>
  <w:style w:type="paragraph" w:customStyle="1" w:styleId="56">
    <w:name w:val="表格头"/>
    <w:qFormat/>
    <w:uiPriority w:val="0"/>
    <w:pPr>
      <w:spacing w:before="120" w:after="120" w:line="480" w:lineRule="atLeast"/>
      <w:jc w:val="center"/>
    </w:pPr>
    <w:rPr>
      <w:rFonts w:ascii="Times New Roman" w:hAnsi="Times New Roman" w:eastAsia="宋体" w:cs="Times New Roman"/>
      <w:sz w:val="24"/>
      <w:szCs w:val="24"/>
      <w:lang w:val="en-US" w:eastAsia="zh-CN" w:bidi="ar-SA"/>
    </w:rPr>
  </w:style>
  <w:style w:type="character" w:customStyle="1" w:styleId="57">
    <w:name w:val="font21"/>
    <w:basedOn w:val="33"/>
    <w:qFormat/>
    <w:uiPriority w:val="0"/>
    <w:rPr>
      <w:rFonts w:hint="default" w:ascii="Times New Roman" w:hAnsi="Times New Roman" w:cs="Times New Roman"/>
      <w:b/>
      <w:bCs/>
      <w:color w:val="000000"/>
      <w:sz w:val="18"/>
      <w:szCs w:val="18"/>
      <w:u w:val="none"/>
    </w:rPr>
  </w:style>
  <w:style w:type="character" w:customStyle="1" w:styleId="58">
    <w:name w:val="font31"/>
    <w:basedOn w:val="33"/>
    <w:qFormat/>
    <w:uiPriority w:val="0"/>
    <w:rPr>
      <w:rFonts w:hint="eastAsia" w:ascii="宋体" w:hAnsi="宋体" w:eastAsia="宋体" w:cs="宋体"/>
      <w:b/>
      <w:bCs/>
      <w:color w:val="000000"/>
      <w:sz w:val="18"/>
      <w:szCs w:val="18"/>
      <w:u w:val="none"/>
    </w:rPr>
  </w:style>
  <w:style w:type="character" w:customStyle="1" w:styleId="59">
    <w:name w:val="font41"/>
    <w:basedOn w:val="33"/>
    <w:qFormat/>
    <w:uiPriority w:val="0"/>
    <w:rPr>
      <w:rFonts w:hint="default" w:ascii="Times New Roman" w:hAnsi="Times New Roman" w:cs="Times New Roman"/>
      <w:color w:val="000000"/>
      <w:sz w:val="21"/>
      <w:szCs w:val="21"/>
      <w:u w:val="none"/>
    </w:rPr>
  </w:style>
  <w:style w:type="character" w:customStyle="1" w:styleId="60">
    <w:name w:val="font01"/>
    <w:basedOn w:val="33"/>
    <w:qFormat/>
    <w:uiPriority w:val="0"/>
    <w:rPr>
      <w:rFonts w:hint="eastAsia" w:ascii="宋体" w:hAnsi="宋体" w:eastAsia="宋体" w:cs="宋体"/>
      <w:color w:val="000000"/>
      <w:sz w:val="21"/>
      <w:szCs w:val="21"/>
      <w:u w:val="none"/>
    </w:rPr>
  </w:style>
  <w:style w:type="paragraph" w:customStyle="1" w:styleId="61">
    <w:name w:val="text"/>
    <w:basedOn w:val="1"/>
    <w:qFormat/>
    <w:uiPriority w:val="0"/>
    <w:pPr>
      <w:widowControl/>
      <w:spacing w:before="100" w:beforeLines="0" w:beforeAutospacing="1" w:after="100" w:afterLines="0" w:afterAutospacing="1"/>
      <w:jc w:val="left"/>
    </w:pPr>
    <w:rPr>
      <w:rFonts w:ascii="宋体" w:hAnsi="宋体"/>
      <w:kern w:val="0"/>
      <w:sz w:val="17"/>
      <w:szCs w:val="17"/>
    </w:rPr>
  </w:style>
  <w:style w:type="paragraph" w:customStyle="1" w:styleId="62">
    <w:name w:val="正文3"/>
    <w:basedOn w:val="1"/>
    <w:qFormat/>
    <w:uiPriority w:val="0"/>
    <w:pPr>
      <w:keepNext w:val="0"/>
      <w:keepLines w:val="0"/>
      <w:widowControl w:val="0"/>
      <w:suppressLineNumbers w:val="0"/>
      <w:suppressAutoHyphens/>
      <w:overflowPunct w:val="0"/>
      <w:topLinePunct/>
      <w:spacing w:before="0" w:beforeAutospacing="0" w:after="0" w:afterAutospacing="0" w:line="480" w:lineRule="exact"/>
      <w:ind w:left="0" w:right="0" w:firstLine="200" w:firstLineChars="200"/>
      <w:jc w:val="both"/>
    </w:pPr>
    <w:rPr>
      <w:rFonts w:hint="eastAsia" w:ascii="宋体" w:hAnsi="宋体" w:eastAsia="宋体" w:cs="宋体"/>
      <w:kern w:val="0"/>
      <w:sz w:val="24"/>
      <w:szCs w:val="24"/>
      <w:lang w:val="en-US" w:eastAsia="zh-CN" w:bidi="ar"/>
    </w:rPr>
  </w:style>
  <w:style w:type="paragraph" w:customStyle="1" w:styleId="63">
    <w:name w:val="表标题h"/>
    <w:next w:val="1"/>
    <w:qFormat/>
    <w:uiPriority w:val="0"/>
    <w:pPr>
      <w:snapToGrid w:val="0"/>
      <w:spacing w:line="360" w:lineRule="auto"/>
      <w:jc w:val="center"/>
    </w:pPr>
    <w:rPr>
      <w:rFonts w:ascii="Times New Roman" w:hAnsi="Times New Roman" w:eastAsia="黑体" w:cs="Courier New"/>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0.jpeg"/><Relationship Id="rId24" Type="http://schemas.openxmlformats.org/officeDocument/2006/relationships/image" Target="media/image9.jpeg"/><Relationship Id="rId23" Type="http://schemas.openxmlformats.org/officeDocument/2006/relationships/image" Target="media/image8.jpeg"/><Relationship Id="rId22" Type="http://schemas.openxmlformats.org/officeDocument/2006/relationships/image" Target="media/image7.jpeg"/><Relationship Id="rId21" Type="http://schemas.openxmlformats.org/officeDocument/2006/relationships/image" Target="media/image6.jpeg"/><Relationship Id="rId20" Type="http://schemas.openxmlformats.org/officeDocument/2006/relationships/image" Target="media/image5.jpe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jpe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rgbClr val="000000"/>
          </a:solidFill>
          <a:prstDash val="solid"/>
          <a:tailEnd type="arrow" w="med" len="med"/>
        </a:ln>
      </a:spPr>
      <a:bodyPr/>
      <a:lstStyle/>
      <a:style>
        <a:lnRef idx="1">
          <a:schemeClr val="dk1"/>
        </a:lnRef>
        <a:fillRef idx="0">
          <a:schemeClr val="dk1"/>
        </a:fillRef>
        <a:effectRef idx="0">
          <a:schemeClr val="dk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1F6FFA-60FE-41CF-B54F-77653A802418}">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22980</Words>
  <Characters>24677</Characters>
  <Lines>37</Lines>
  <Paragraphs>31</Paragraphs>
  <TotalTime>6</TotalTime>
  <ScaleCrop>false</ScaleCrop>
  <LinksUpToDate>false</LinksUpToDate>
  <CharactersWithSpaces>25049</CharactersWithSpaces>
  <Application>WPS Office_11.1.0.13607_F1E327BC-269C-435d-A152-05C5408002CA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2017-07-17T07:44:00Z</dcterms:created>
  <dc:creator>Administrator</dc:creator>
  <cp:lastModifiedBy>秋秋</cp:lastModifiedBy>
  <cp:lastPrinted>2019-04-26T03:22:00Z</cp:lastPrinted>
  <dcterms:modified xsi:type="dcterms:W3CDTF">2022-12-11T03:55:23Z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2052-11.1.0.13607</vt:lpwstr>
  </property>
  <property fmtid="{D5CDD505-2E9C-101B-9397-08002B2CF9AE}" pid="3" name="ICV">
    <vt:lpwstr>B2A8871BE5B54F229EBD55507E4CC404</vt:lpwstr>
  </property>
</Properties>
</file>