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eastAsia="宋体"/>
          <w:b/>
          <w:color w:val="333333"/>
          <w:sz w:val="36"/>
          <w:szCs w:val="36"/>
          <w:lang w:eastAsia="zh-CN"/>
        </w:rPr>
      </w:pPr>
      <w:r>
        <w:rPr>
          <w:rFonts w:hint="eastAsia"/>
          <w:b/>
          <w:color w:val="333333"/>
          <w:sz w:val="36"/>
          <w:szCs w:val="36"/>
          <w:lang w:eastAsia="zh-CN"/>
        </w:rPr>
        <w:t>青岛利宇新材料有限公司</w:t>
      </w:r>
    </w:p>
    <w:p>
      <w:pPr>
        <w:snapToGrid w:val="0"/>
        <w:spacing w:line="560" w:lineRule="exact"/>
        <w:jc w:val="center"/>
        <w:rPr>
          <w:rFonts w:hint="eastAsia" w:eastAsia="宋体"/>
          <w:b/>
          <w:color w:val="333333"/>
          <w:sz w:val="36"/>
          <w:szCs w:val="36"/>
          <w:lang w:eastAsia="zh-CN"/>
        </w:rPr>
      </w:pPr>
      <w:r>
        <w:rPr>
          <w:rFonts w:hint="eastAsia"/>
          <w:b/>
          <w:color w:val="333333"/>
          <w:sz w:val="36"/>
          <w:szCs w:val="36"/>
          <w:lang w:eastAsia="zh-CN"/>
        </w:rPr>
        <w:t>水性油墨生产项目</w:t>
      </w:r>
    </w:p>
    <w:p>
      <w:pPr>
        <w:snapToGrid w:val="0"/>
        <w:spacing w:line="560" w:lineRule="exact"/>
        <w:jc w:val="center"/>
        <w:rPr>
          <w:b/>
          <w:color w:val="333333"/>
          <w:sz w:val="36"/>
          <w:szCs w:val="36"/>
        </w:rPr>
      </w:pPr>
      <w:r>
        <w:rPr>
          <w:b/>
          <w:color w:val="333333"/>
          <w:sz w:val="36"/>
          <w:szCs w:val="36"/>
        </w:rPr>
        <w:t>竣工环境保护验收意见</w:t>
      </w:r>
    </w:p>
    <w:p>
      <w:pPr>
        <w:pStyle w:val="16"/>
        <w:rPr>
          <w:rFonts w:ascii="Times New Roman" w:hAnsi="Times New Roman"/>
        </w:rPr>
      </w:pPr>
    </w:p>
    <w:p>
      <w:pPr>
        <w:spacing w:line="560" w:lineRule="exact"/>
        <w:ind w:firstLine="640" w:firstLineChars="200"/>
        <w:rPr>
          <w:rFonts w:eastAsia="仿宋_GB2312"/>
          <w:sz w:val="32"/>
          <w:szCs w:val="32"/>
        </w:rPr>
      </w:pPr>
      <w:r>
        <w:rPr>
          <w:rFonts w:eastAsia="仿宋_GB2312"/>
          <w:sz w:val="32"/>
          <w:szCs w:val="32"/>
        </w:rPr>
        <w:t>202</w:t>
      </w:r>
      <w:r>
        <w:rPr>
          <w:rFonts w:hint="eastAsia" w:eastAsia="仿宋_GB2312"/>
          <w:sz w:val="32"/>
          <w:szCs w:val="32"/>
          <w:lang w:val="en-US" w:eastAsia="zh-CN"/>
        </w:rPr>
        <w:t>2</w:t>
      </w:r>
      <w:r>
        <w:rPr>
          <w:rFonts w:eastAsia="仿宋_GB2312"/>
          <w:sz w:val="32"/>
          <w:szCs w:val="32"/>
        </w:rPr>
        <w:t>年</w:t>
      </w:r>
      <w:r>
        <w:rPr>
          <w:rFonts w:hint="eastAsia" w:eastAsia="仿宋_GB2312"/>
          <w:sz w:val="32"/>
          <w:szCs w:val="32"/>
          <w:lang w:val="en-US" w:eastAsia="zh-CN"/>
        </w:rPr>
        <w:t>12</w:t>
      </w:r>
      <w:r>
        <w:rPr>
          <w:rFonts w:eastAsia="仿宋_GB2312"/>
          <w:sz w:val="32"/>
          <w:szCs w:val="32"/>
        </w:rPr>
        <w:t>月</w:t>
      </w:r>
      <w:r>
        <w:rPr>
          <w:rFonts w:hint="eastAsia" w:eastAsia="仿宋_GB2312"/>
          <w:sz w:val="32"/>
          <w:szCs w:val="32"/>
          <w:lang w:val="en-US" w:eastAsia="zh-CN"/>
        </w:rPr>
        <w:t>3</w:t>
      </w:r>
      <w:r>
        <w:rPr>
          <w:rFonts w:eastAsia="仿宋_GB2312"/>
          <w:sz w:val="32"/>
          <w:szCs w:val="32"/>
        </w:rPr>
        <w:t>日，</w:t>
      </w:r>
      <w:r>
        <w:rPr>
          <w:rFonts w:hint="eastAsia" w:eastAsia="仿宋_GB2312"/>
          <w:sz w:val="32"/>
          <w:szCs w:val="32"/>
          <w:lang w:eastAsia="zh-CN"/>
        </w:rPr>
        <w:t>青岛利宇新材料有限公司</w:t>
      </w:r>
      <w:r>
        <w:rPr>
          <w:rFonts w:eastAsia="仿宋_GB2312"/>
          <w:sz w:val="32"/>
          <w:szCs w:val="32"/>
        </w:rPr>
        <w:t>组织召开了“</w:t>
      </w:r>
      <w:r>
        <w:rPr>
          <w:rFonts w:hint="eastAsia" w:eastAsia="仿宋_GB2312"/>
          <w:sz w:val="32"/>
          <w:szCs w:val="32"/>
          <w:lang w:eastAsia="zh-CN"/>
        </w:rPr>
        <w:t>水性油墨生产项目</w:t>
      </w:r>
      <w:r>
        <w:rPr>
          <w:rFonts w:eastAsia="仿宋_GB2312"/>
          <w:sz w:val="32"/>
          <w:szCs w:val="32"/>
        </w:rPr>
        <w:t>”竣工环境保护验收会议。建设单位暨《验收监测报告》编制单</w:t>
      </w:r>
      <w:r>
        <w:rPr>
          <w:rFonts w:eastAsia="仿宋_GB2312"/>
          <w:color w:val="auto"/>
          <w:sz w:val="32"/>
          <w:szCs w:val="32"/>
        </w:rPr>
        <w:t>位组成验收组。验收组查看</w:t>
      </w:r>
      <w:r>
        <w:rPr>
          <w:rFonts w:eastAsia="仿宋_GB2312"/>
          <w:sz w:val="32"/>
          <w:szCs w:val="32"/>
        </w:rPr>
        <w:t>了项目现场、环保设施及周边环境，并根据《</w:t>
      </w:r>
      <w:r>
        <w:rPr>
          <w:rFonts w:hint="eastAsia" w:eastAsia="仿宋_GB2312"/>
          <w:sz w:val="32"/>
          <w:szCs w:val="32"/>
          <w:lang w:eastAsia="zh-CN"/>
        </w:rPr>
        <w:t>青岛利宇新材料有限公司水性油墨生产项目</w:t>
      </w:r>
      <w:r>
        <w:rPr>
          <w:rFonts w:eastAsia="仿宋_GB2312"/>
          <w:sz w:val="32"/>
          <w:szCs w:val="32"/>
        </w:rPr>
        <w:t>竣工环境保护验收报告》，严格依照国家有关法律法规、建设项目阶段性竣工环境保护验收技术规范/指南、本项目环境影响评价报告表和审批部门审批决定等要求对本项目进行验收。</w:t>
      </w:r>
    </w:p>
    <w:p>
      <w:pPr>
        <w:snapToGrid w:val="0"/>
        <w:spacing w:line="560" w:lineRule="exact"/>
        <w:rPr>
          <w:rFonts w:ascii="黑体" w:hAnsi="黑体" w:eastAsia="黑体"/>
          <w:sz w:val="32"/>
          <w:szCs w:val="32"/>
        </w:rPr>
      </w:pPr>
      <w:r>
        <w:rPr>
          <w:rFonts w:hint="eastAsia" w:ascii="黑体" w:hAnsi="黑体" w:eastAsia="黑体"/>
          <w:sz w:val="32"/>
          <w:szCs w:val="32"/>
        </w:rPr>
        <w:t xml:space="preserve">     </w:t>
      </w:r>
      <w:r>
        <w:rPr>
          <w:rFonts w:ascii="黑体" w:hAnsi="黑体" w:eastAsia="黑体"/>
          <w:sz w:val="32"/>
          <w:szCs w:val="32"/>
        </w:rPr>
        <w:t>一、工程建设基本情况</w:t>
      </w:r>
    </w:p>
    <w:p>
      <w:pPr>
        <w:spacing w:line="560" w:lineRule="exact"/>
        <w:ind w:firstLine="640" w:firstLineChars="200"/>
        <w:rPr>
          <w:rFonts w:eastAsia="仿宋_GB2312"/>
          <w:sz w:val="32"/>
          <w:szCs w:val="32"/>
        </w:rPr>
      </w:pPr>
      <w:r>
        <w:rPr>
          <w:rFonts w:eastAsia="仿宋_GB2312"/>
          <w:sz w:val="32"/>
          <w:szCs w:val="32"/>
        </w:rPr>
        <w:t>1、建设地点、规模、主要建设内容</w:t>
      </w:r>
    </w:p>
    <w:p>
      <w:pPr>
        <w:spacing w:line="560" w:lineRule="exact"/>
        <w:ind w:firstLine="640" w:firstLineChars="200"/>
        <w:rPr>
          <w:rFonts w:eastAsia="仿宋_GB2312"/>
          <w:kern w:val="0"/>
          <w:sz w:val="32"/>
          <w:szCs w:val="32"/>
        </w:rPr>
      </w:pPr>
      <w:r>
        <w:rPr>
          <w:rFonts w:hint="eastAsia" w:eastAsia="仿宋_GB2312"/>
          <w:kern w:val="0"/>
          <w:sz w:val="32"/>
          <w:szCs w:val="32"/>
          <w:lang w:eastAsia="zh-CN"/>
        </w:rPr>
        <w:t>青岛利宇新材料有限公司</w:t>
      </w:r>
      <w:r>
        <w:rPr>
          <w:rFonts w:eastAsia="仿宋_GB2312"/>
          <w:kern w:val="0"/>
          <w:sz w:val="32"/>
          <w:szCs w:val="32"/>
        </w:rPr>
        <w:t>位于</w:t>
      </w:r>
      <w:r>
        <w:rPr>
          <w:rFonts w:hint="eastAsia" w:eastAsia="仿宋_GB2312"/>
          <w:kern w:val="0"/>
          <w:sz w:val="32"/>
          <w:szCs w:val="32"/>
          <w:lang w:val="en-US" w:eastAsia="zh-CN"/>
        </w:rPr>
        <w:t>青岛市</w:t>
      </w:r>
      <w:r>
        <w:rPr>
          <w:rFonts w:hint="eastAsia" w:eastAsia="仿宋_GB2312"/>
          <w:kern w:val="0"/>
          <w:sz w:val="32"/>
          <w:szCs w:val="32"/>
        </w:rPr>
        <w:t>即墨区龙山街道办事处北葛村安和二路北</w:t>
      </w:r>
      <w:r>
        <w:rPr>
          <w:rFonts w:eastAsia="仿宋_GB2312"/>
          <w:kern w:val="0"/>
          <w:sz w:val="32"/>
          <w:szCs w:val="32"/>
        </w:rPr>
        <w:t>，</w:t>
      </w:r>
      <w:r>
        <w:rPr>
          <w:rFonts w:hint="eastAsia" w:eastAsia="仿宋_GB2312"/>
          <w:kern w:val="0"/>
          <w:sz w:val="32"/>
          <w:szCs w:val="32"/>
        </w:rPr>
        <w:t>项目总占地面积3251平方米，建筑面积2557平方米</w:t>
      </w:r>
      <w:r>
        <w:rPr>
          <w:rFonts w:hint="eastAsia" w:eastAsia="仿宋_GB2312"/>
          <w:kern w:val="0"/>
          <w:sz w:val="32"/>
          <w:szCs w:val="32"/>
          <w:lang w:eastAsia="zh-CN"/>
        </w:rPr>
        <w:t>。年产水性油墨2000吨</w:t>
      </w:r>
      <w:r>
        <w:rPr>
          <w:rFonts w:eastAsia="仿宋_GB2312"/>
          <w:kern w:val="0"/>
          <w:sz w:val="32"/>
          <w:szCs w:val="32"/>
        </w:rPr>
        <w:t>。</w:t>
      </w:r>
    </w:p>
    <w:p>
      <w:pPr>
        <w:spacing w:line="560" w:lineRule="exact"/>
        <w:ind w:firstLine="640" w:firstLineChars="200"/>
        <w:rPr>
          <w:rFonts w:eastAsia="仿宋_GB2312"/>
          <w:kern w:val="0"/>
          <w:sz w:val="32"/>
          <w:szCs w:val="32"/>
        </w:rPr>
      </w:pPr>
      <w:r>
        <w:rPr>
          <w:rFonts w:eastAsia="仿宋_GB2312"/>
          <w:kern w:val="0"/>
          <w:sz w:val="32"/>
          <w:szCs w:val="32"/>
        </w:rPr>
        <w:t>主要原辅材料及消耗：</w:t>
      </w:r>
      <w:r>
        <w:rPr>
          <w:rFonts w:hint="eastAsia" w:eastAsia="仿宋_GB2312"/>
          <w:kern w:val="0"/>
          <w:sz w:val="32"/>
          <w:szCs w:val="32"/>
        </w:rPr>
        <w:t>丙烯酸乳液</w:t>
      </w:r>
      <w:r>
        <w:rPr>
          <w:rFonts w:hint="eastAsia" w:eastAsia="仿宋_GB2312"/>
          <w:kern w:val="0"/>
          <w:sz w:val="32"/>
          <w:szCs w:val="32"/>
          <w:lang w:val="en-US" w:eastAsia="zh-CN"/>
        </w:rPr>
        <w:t>12</w:t>
      </w:r>
      <w:r>
        <w:rPr>
          <w:rFonts w:eastAsia="仿宋_GB2312"/>
          <w:kern w:val="0"/>
          <w:sz w:val="32"/>
          <w:szCs w:val="32"/>
        </w:rPr>
        <w:t>00t/a、</w:t>
      </w:r>
      <w:r>
        <w:rPr>
          <w:rFonts w:hint="eastAsia" w:eastAsia="仿宋_GB2312"/>
          <w:kern w:val="0"/>
          <w:sz w:val="32"/>
          <w:szCs w:val="32"/>
        </w:rPr>
        <w:t>颜料</w:t>
      </w:r>
      <w:r>
        <w:rPr>
          <w:rFonts w:hint="eastAsia" w:eastAsia="仿宋_GB2312"/>
          <w:kern w:val="0"/>
          <w:sz w:val="32"/>
          <w:szCs w:val="32"/>
          <w:lang w:val="en-US" w:eastAsia="zh-CN"/>
        </w:rPr>
        <w:t>1</w:t>
      </w:r>
      <w:r>
        <w:rPr>
          <w:rFonts w:eastAsia="仿宋_GB2312"/>
          <w:kern w:val="0"/>
          <w:sz w:val="32"/>
          <w:szCs w:val="32"/>
        </w:rPr>
        <w:t>20t/a、</w:t>
      </w:r>
      <w:r>
        <w:rPr>
          <w:rFonts w:hint="eastAsia" w:eastAsia="仿宋_GB2312"/>
          <w:kern w:val="0"/>
          <w:sz w:val="32"/>
          <w:szCs w:val="32"/>
        </w:rPr>
        <w:t>消泡剂</w:t>
      </w:r>
      <w:r>
        <w:rPr>
          <w:rFonts w:eastAsia="仿宋_GB2312"/>
          <w:kern w:val="0"/>
          <w:sz w:val="32"/>
          <w:szCs w:val="32"/>
        </w:rPr>
        <w:t>1</w:t>
      </w:r>
      <w:r>
        <w:rPr>
          <w:rFonts w:hint="eastAsia" w:eastAsia="仿宋_GB2312"/>
          <w:kern w:val="0"/>
          <w:sz w:val="32"/>
          <w:szCs w:val="32"/>
          <w:lang w:val="en-US" w:eastAsia="zh-CN"/>
        </w:rPr>
        <w:t>0</w:t>
      </w:r>
      <w:r>
        <w:rPr>
          <w:rFonts w:eastAsia="仿宋_GB2312"/>
          <w:kern w:val="0"/>
          <w:sz w:val="32"/>
          <w:szCs w:val="32"/>
        </w:rPr>
        <w:t>0t/a、</w:t>
      </w:r>
      <w:r>
        <w:rPr>
          <w:rFonts w:hint="default" w:eastAsia="仿宋_GB2312"/>
          <w:kern w:val="0"/>
          <w:sz w:val="32"/>
          <w:szCs w:val="32"/>
        </w:rPr>
        <w:t>流平剂</w:t>
      </w:r>
      <w:r>
        <w:rPr>
          <w:rFonts w:eastAsia="仿宋_GB2312"/>
          <w:kern w:val="0"/>
          <w:sz w:val="32"/>
          <w:szCs w:val="32"/>
        </w:rPr>
        <w:t>20t/a、</w:t>
      </w:r>
      <w:r>
        <w:rPr>
          <w:rFonts w:hint="eastAsia" w:eastAsia="仿宋_GB2312"/>
          <w:kern w:val="0"/>
          <w:sz w:val="32"/>
          <w:szCs w:val="32"/>
        </w:rPr>
        <w:t>分散剂</w:t>
      </w:r>
      <w:r>
        <w:rPr>
          <w:rFonts w:hint="eastAsia" w:eastAsia="仿宋_GB2312"/>
          <w:kern w:val="0"/>
          <w:sz w:val="32"/>
          <w:szCs w:val="32"/>
          <w:lang w:val="en-US" w:eastAsia="zh-CN"/>
        </w:rPr>
        <w:t>40</w:t>
      </w:r>
      <w:r>
        <w:rPr>
          <w:rFonts w:eastAsia="仿宋_GB2312"/>
          <w:kern w:val="0"/>
          <w:sz w:val="32"/>
          <w:szCs w:val="32"/>
        </w:rPr>
        <w:t>t/a</w:t>
      </w:r>
      <w:r>
        <w:rPr>
          <w:rFonts w:hint="eastAsia" w:eastAsia="仿宋_GB2312"/>
          <w:kern w:val="0"/>
          <w:sz w:val="32"/>
          <w:szCs w:val="32"/>
          <w:lang w:eastAsia="zh-CN"/>
        </w:rPr>
        <w:t>、纯化水</w:t>
      </w:r>
      <w:r>
        <w:rPr>
          <w:rFonts w:hint="eastAsia" w:eastAsia="仿宋_GB2312"/>
          <w:kern w:val="0"/>
          <w:sz w:val="32"/>
          <w:szCs w:val="32"/>
          <w:lang w:val="en-US" w:eastAsia="zh-CN"/>
        </w:rPr>
        <w:t>100</w:t>
      </w:r>
      <w:r>
        <w:rPr>
          <w:rFonts w:eastAsia="仿宋_GB2312"/>
          <w:kern w:val="0"/>
          <w:sz w:val="32"/>
          <w:szCs w:val="32"/>
        </w:rPr>
        <w:t>t/a。</w:t>
      </w:r>
    </w:p>
    <w:p>
      <w:pPr>
        <w:spacing w:line="560" w:lineRule="exact"/>
        <w:ind w:firstLine="640" w:firstLineChars="200"/>
        <w:rPr>
          <w:rFonts w:eastAsia="仿宋_GB2312"/>
          <w:kern w:val="0"/>
          <w:sz w:val="32"/>
          <w:szCs w:val="32"/>
        </w:rPr>
      </w:pPr>
      <w:r>
        <w:rPr>
          <w:rFonts w:hint="eastAsia" w:eastAsia="仿宋_GB2312"/>
          <w:kern w:val="0"/>
          <w:sz w:val="32"/>
          <w:szCs w:val="32"/>
        </w:rPr>
        <w:t>原料储罐2台、产品储罐8台、空压机2台、研磨机8台、分散机6台、拉缸20台、储水罐配套水泵2台、包装机1台、纯水设备1台</w:t>
      </w:r>
      <w:r>
        <w:rPr>
          <w:rFonts w:eastAsia="仿宋_GB2312"/>
          <w:kern w:val="0"/>
          <w:sz w:val="32"/>
          <w:szCs w:val="32"/>
        </w:rPr>
        <w:t>。</w:t>
      </w:r>
    </w:p>
    <w:p>
      <w:pPr>
        <w:spacing w:line="560" w:lineRule="exact"/>
        <w:ind w:firstLine="640" w:firstLineChars="200"/>
        <w:rPr>
          <w:rFonts w:eastAsia="仿宋_GB2312"/>
          <w:kern w:val="0"/>
          <w:sz w:val="32"/>
          <w:szCs w:val="32"/>
          <w:highlight w:val="none"/>
        </w:rPr>
      </w:pPr>
      <w:r>
        <w:rPr>
          <w:rFonts w:eastAsia="仿宋_GB2312"/>
          <w:kern w:val="0"/>
          <w:sz w:val="32"/>
          <w:szCs w:val="32"/>
          <w:highlight w:val="none"/>
        </w:rPr>
        <w:t>环保设备与设施：</w:t>
      </w:r>
      <w:r>
        <w:rPr>
          <w:rFonts w:hint="eastAsia" w:eastAsia="仿宋_GB2312"/>
          <w:kern w:val="0"/>
          <w:sz w:val="32"/>
          <w:szCs w:val="32"/>
          <w:highlight w:val="none"/>
          <w:lang w:val="en-US" w:eastAsia="zh-CN"/>
        </w:rPr>
        <w:t>活性炭吸附装置1套</w:t>
      </w:r>
      <w:r>
        <w:rPr>
          <w:rFonts w:eastAsia="仿宋_GB2312"/>
          <w:kern w:val="0"/>
          <w:sz w:val="32"/>
          <w:szCs w:val="32"/>
          <w:highlight w:val="none"/>
        </w:rPr>
        <w:t>、</w:t>
      </w:r>
      <w:r>
        <w:rPr>
          <w:rFonts w:hint="eastAsia" w:eastAsia="仿宋_GB2312"/>
          <w:kern w:val="0"/>
          <w:sz w:val="32"/>
          <w:szCs w:val="32"/>
          <w:highlight w:val="none"/>
          <w:lang w:val="en-US" w:eastAsia="zh-CN"/>
        </w:rPr>
        <w:t>布袋除尘器1套</w:t>
      </w:r>
      <w:r>
        <w:rPr>
          <w:rFonts w:eastAsia="仿宋_GB2312"/>
          <w:kern w:val="0"/>
          <w:sz w:val="32"/>
          <w:szCs w:val="32"/>
          <w:highlight w:val="none"/>
        </w:rPr>
        <w:t>、</w:t>
      </w:r>
      <w:r>
        <w:rPr>
          <w:rFonts w:hint="eastAsia" w:eastAsia="仿宋_GB2312"/>
          <w:kern w:val="0"/>
          <w:sz w:val="32"/>
          <w:szCs w:val="32"/>
          <w:highlight w:val="none"/>
          <w:lang w:val="en-US" w:eastAsia="zh-CN"/>
        </w:rPr>
        <w:t>4</w:t>
      </w:r>
      <w:r>
        <w:rPr>
          <w:rFonts w:eastAsia="仿宋_GB2312"/>
          <w:kern w:val="0"/>
          <w:sz w:val="32"/>
          <w:szCs w:val="32"/>
          <w:highlight w:val="none"/>
        </w:rPr>
        <w:t>0m</w:t>
      </w:r>
      <w:r>
        <w:rPr>
          <w:rFonts w:eastAsia="仿宋_GB2312"/>
          <w:kern w:val="0"/>
          <w:sz w:val="32"/>
          <w:szCs w:val="32"/>
          <w:highlight w:val="none"/>
          <w:vertAlign w:val="superscript"/>
        </w:rPr>
        <w:t>2</w:t>
      </w:r>
      <w:r>
        <w:rPr>
          <w:rFonts w:eastAsia="仿宋_GB2312"/>
          <w:kern w:val="0"/>
          <w:sz w:val="32"/>
          <w:szCs w:val="32"/>
          <w:highlight w:val="none"/>
        </w:rPr>
        <w:t>危废暂存间1间。</w:t>
      </w:r>
    </w:p>
    <w:p>
      <w:pPr>
        <w:spacing w:line="560" w:lineRule="exact"/>
        <w:ind w:firstLine="640" w:firstLineChars="200"/>
        <w:rPr>
          <w:rFonts w:eastAsia="仿宋_GB2312"/>
          <w:sz w:val="32"/>
          <w:szCs w:val="32"/>
        </w:rPr>
      </w:pPr>
      <w:r>
        <w:rPr>
          <w:rFonts w:eastAsia="仿宋_GB2312"/>
          <w:sz w:val="32"/>
          <w:szCs w:val="32"/>
        </w:rPr>
        <w:t>2、建设过程及环保审批情况</w:t>
      </w:r>
    </w:p>
    <w:p>
      <w:pPr>
        <w:spacing w:line="560" w:lineRule="exact"/>
        <w:ind w:firstLine="640" w:firstLineChars="200"/>
        <w:rPr>
          <w:rFonts w:eastAsia="仿宋_GB2312"/>
          <w:kern w:val="0"/>
          <w:sz w:val="32"/>
          <w:szCs w:val="32"/>
        </w:rPr>
      </w:pPr>
      <w:r>
        <w:rPr>
          <w:rFonts w:hint="eastAsia" w:eastAsia="仿宋_GB2312"/>
          <w:kern w:val="0"/>
          <w:sz w:val="32"/>
          <w:szCs w:val="32"/>
        </w:rPr>
        <w:t>2021年10月，青岛蓝霖环保科技有限公司编制完成《青岛利宇新材料有限公司水性油墨生产项目环境影响报告表》。项目于2021年12月1日取得青岛市生态环境局即墨分局审批意见（青环即审[2021]255号）</w:t>
      </w:r>
      <w:r>
        <w:rPr>
          <w:rFonts w:eastAsia="仿宋_GB2312"/>
          <w:kern w:val="0"/>
          <w:sz w:val="32"/>
          <w:szCs w:val="32"/>
        </w:rPr>
        <w:t>。</w:t>
      </w:r>
    </w:p>
    <w:p>
      <w:pPr>
        <w:spacing w:line="560" w:lineRule="exact"/>
        <w:ind w:firstLine="640" w:firstLineChars="200"/>
        <w:rPr>
          <w:rFonts w:eastAsia="仿宋_GB2312"/>
          <w:sz w:val="32"/>
          <w:szCs w:val="32"/>
        </w:rPr>
      </w:pPr>
      <w:r>
        <w:rPr>
          <w:rFonts w:eastAsia="仿宋_GB2312"/>
          <w:sz w:val="32"/>
          <w:szCs w:val="32"/>
        </w:rPr>
        <w:t>项目于202</w:t>
      </w:r>
      <w:r>
        <w:rPr>
          <w:rFonts w:hint="eastAsia" w:eastAsia="仿宋_GB2312"/>
          <w:sz w:val="32"/>
          <w:szCs w:val="32"/>
          <w:lang w:val="en-US" w:eastAsia="zh-CN"/>
        </w:rPr>
        <w:t>2</w:t>
      </w:r>
      <w:r>
        <w:rPr>
          <w:rFonts w:eastAsia="仿宋_GB2312"/>
          <w:sz w:val="32"/>
          <w:szCs w:val="32"/>
        </w:rPr>
        <w:t>年</w:t>
      </w:r>
      <w:r>
        <w:rPr>
          <w:rFonts w:hint="eastAsia" w:eastAsia="仿宋_GB2312"/>
          <w:sz w:val="32"/>
          <w:szCs w:val="32"/>
          <w:lang w:val="en-US" w:eastAsia="zh-CN"/>
        </w:rPr>
        <w:t>6</w:t>
      </w:r>
      <w:r>
        <w:rPr>
          <w:rFonts w:eastAsia="仿宋_GB2312"/>
          <w:sz w:val="32"/>
          <w:szCs w:val="32"/>
        </w:rPr>
        <w:t>月建成投产。</w:t>
      </w:r>
    </w:p>
    <w:p>
      <w:pPr>
        <w:spacing w:line="560" w:lineRule="exact"/>
        <w:ind w:firstLine="640" w:firstLineChars="200"/>
        <w:rPr>
          <w:rFonts w:eastAsia="仿宋_GB2312"/>
          <w:sz w:val="32"/>
          <w:szCs w:val="32"/>
        </w:rPr>
      </w:pPr>
      <w:r>
        <w:rPr>
          <w:rFonts w:eastAsia="仿宋_GB2312"/>
          <w:sz w:val="32"/>
          <w:szCs w:val="32"/>
        </w:rPr>
        <w:t>3、投资情况</w:t>
      </w:r>
    </w:p>
    <w:p>
      <w:pPr>
        <w:spacing w:line="560" w:lineRule="exact"/>
        <w:ind w:firstLine="640" w:firstLineChars="200"/>
        <w:rPr>
          <w:rFonts w:eastAsia="仿宋_GB2312"/>
          <w:sz w:val="32"/>
          <w:szCs w:val="32"/>
        </w:rPr>
      </w:pPr>
      <w:r>
        <w:rPr>
          <w:rFonts w:eastAsia="仿宋_GB2312"/>
          <w:sz w:val="32"/>
          <w:szCs w:val="32"/>
        </w:rPr>
        <w:t>实际项目总投资</w:t>
      </w:r>
      <w:r>
        <w:rPr>
          <w:rFonts w:hint="eastAsia" w:eastAsia="仿宋_GB2312"/>
          <w:sz w:val="32"/>
          <w:szCs w:val="32"/>
          <w:lang w:val="en-US" w:eastAsia="zh-CN"/>
        </w:rPr>
        <w:t>300</w:t>
      </w:r>
      <w:r>
        <w:rPr>
          <w:rFonts w:eastAsia="仿宋_GB2312"/>
          <w:sz w:val="32"/>
          <w:szCs w:val="32"/>
        </w:rPr>
        <w:t>万元，其中环保投资</w:t>
      </w:r>
      <w:r>
        <w:rPr>
          <w:rFonts w:hint="eastAsia" w:eastAsia="仿宋_GB2312"/>
          <w:sz w:val="32"/>
          <w:szCs w:val="32"/>
          <w:lang w:val="en-US" w:eastAsia="zh-CN"/>
        </w:rPr>
        <w:t>2</w:t>
      </w:r>
      <w:r>
        <w:rPr>
          <w:rFonts w:eastAsia="仿宋_GB2312"/>
          <w:sz w:val="32"/>
          <w:szCs w:val="32"/>
        </w:rPr>
        <w:t>0万元，占总投资的</w:t>
      </w:r>
      <w:r>
        <w:rPr>
          <w:rFonts w:hint="eastAsia" w:eastAsia="仿宋_GB2312"/>
          <w:sz w:val="32"/>
          <w:szCs w:val="32"/>
          <w:lang w:val="en-US" w:eastAsia="zh-CN"/>
        </w:rPr>
        <w:t>6.6</w:t>
      </w:r>
      <w:r>
        <w:rPr>
          <w:rFonts w:eastAsia="仿宋_GB2312"/>
          <w:sz w:val="32"/>
          <w:szCs w:val="32"/>
        </w:rPr>
        <w:t>%。</w:t>
      </w:r>
    </w:p>
    <w:p>
      <w:pPr>
        <w:pStyle w:val="10"/>
        <w:spacing w:before="0" w:beforeAutospacing="0" w:after="0" w:afterAutospacing="0"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二、工程变动情况</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项目实际建设内容与环境影响报告表及其审批意见内容一致。</w:t>
      </w:r>
    </w:p>
    <w:p>
      <w:pPr>
        <w:pStyle w:val="17"/>
        <w:spacing w:line="560" w:lineRule="exact"/>
        <w:rPr>
          <w:rFonts w:ascii="黑体" w:hAnsi="黑体" w:eastAsia="黑体" w:cs="Times New Roman"/>
          <w:bCs/>
          <w:sz w:val="32"/>
          <w:szCs w:val="32"/>
        </w:rPr>
      </w:pPr>
      <w:r>
        <w:rPr>
          <w:rFonts w:hint="eastAsia" w:ascii="Times New Roman" w:eastAsia="仿宋_GB2312" w:cs="Times New Roman"/>
          <w:b/>
          <w:bCs/>
          <w:sz w:val="32"/>
          <w:szCs w:val="32"/>
        </w:rPr>
        <w:t xml:space="preserve"> </w:t>
      </w:r>
      <w:r>
        <w:rPr>
          <w:rFonts w:hint="eastAsia" w:ascii="黑体" w:hAnsi="黑体" w:eastAsia="黑体" w:cs="Times New Roman"/>
          <w:bCs/>
          <w:sz w:val="32"/>
          <w:szCs w:val="32"/>
        </w:rPr>
        <w:t xml:space="preserve">   </w:t>
      </w:r>
      <w:r>
        <w:rPr>
          <w:rFonts w:ascii="黑体" w:hAnsi="黑体" w:eastAsia="黑体" w:cs="Times New Roman"/>
          <w:bCs/>
          <w:sz w:val="32"/>
          <w:szCs w:val="32"/>
        </w:rPr>
        <w:t>三、环境保护设施建设情况</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1、废水</w:t>
      </w:r>
    </w:p>
    <w:p>
      <w:pPr>
        <w:spacing w:line="560" w:lineRule="exact"/>
        <w:ind w:firstLine="640" w:firstLineChars="200"/>
        <w:rPr>
          <w:rFonts w:eastAsia="仿宋_GB2312"/>
          <w:sz w:val="32"/>
          <w:szCs w:val="32"/>
        </w:rPr>
      </w:pPr>
      <w:r>
        <w:rPr>
          <w:rFonts w:hint="eastAsia" w:eastAsia="仿宋_GB2312"/>
          <w:sz w:val="32"/>
          <w:szCs w:val="32"/>
        </w:rPr>
        <w:t>设备清洗废水作为危险废物，委托</w:t>
      </w:r>
      <w:r>
        <w:rPr>
          <w:rFonts w:hint="eastAsia" w:eastAsia="仿宋_GB2312"/>
          <w:sz w:val="32"/>
          <w:szCs w:val="32"/>
          <w:lang w:val="en-US" w:eastAsia="zh-CN"/>
        </w:rPr>
        <w:t>有</w:t>
      </w:r>
      <w:r>
        <w:rPr>
          <w:rFonts w:hint="eastAsia" w:eastAsia="仿宋_GB2312"/>
          <w:sz w:val="32"/>
          <w:szCs w:val="32"/>
        </w:rPr>
        <w:t>资质单位处置；纯水制备浓水用于</w:t>
      </w:r>
      <w:r>
        <w:rPr>
          <w:rFonts w:hint="eastAsia" w:eastAsia="仿宋_GB2312"/>
          <w:sz w:val="32"/>
          <w:szCs w:val="32"/>
          <w:lang w:val="en-US" w:eastAsia="zh-CN"/>
        </w:rPr>
        <w:t>厂区</w:t>
      </w:r>
      <w:r>
        <w:rPr>
          <w:rFonts w:hint="eastAsia" w:eastAsia="仿宋_GB2312"/>
          <w:sz w:val="32"/>
          <w:szCs w:val="32"/>
        </w:rPr>
        <w:t>绿化；生活污水、间接冷却废水经化粪池处理后排入市政污水管网，最终进入即墨区污水处理有限公司进一步处理</w:t>
      </w:r>
      <w:r>
        <w:rPr>
          <w:rFonts w:eastAsia="仿宋_GB2312"/>
          <w:sz w:val="32"/>
          <w:szCs w:val="32"/>
        </w:rPr>
        <w:t>。</w:t>
      </w:r>
    </w:p>
    <w:p>
      <w:pPr>
        <w:pStyle w:val="17"/>
        <w:numPr>
          <w:ilvl w:val="0"/>
          <w:numId w:val="2"/>
        </w:numPr>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废气</w:t>
      </w:r>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项目生产车间整体密闭，生产过程产生的VOCs经负压收集+活性炭吸附装置通过15米高排气筒排放。</w:t>
      </w:r>
    </w:p>
    <w:p>
      <w:pPr>
        <w:pStyle w:val="17"/>
        <w:spacing w:line="560" w:lineRule="exact"/>
        <w:ind w:firstLine="640" w:firstLineChars="200"/>
        <w:rPr>
          <w:rFonts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投料时产生颗粒物经负压收集通入布袋除尘器处理后于生产车间无组织排放</w:t>
      </w:r>
      <w:r>
        <w:rPr>
          <w:rFonts w:ascii="Times New Roman" w:eastAsia="仿宋_GB2312" w:cs="Times New Roman"/>
          <w:color w:val="auto"/>
          <w:kern w:val="2"/>
          <w:sz w:val="32"/>
          <w:szCs w:val="32"/>
        </w:rPr>
        <w:t>。</w:t>
      </w:r>
    </w:p>
    <w:p>
      <w:pPr>
        <w:pStyle w:val="17"/>
        <w:numPr>
          <w:ilvl w:val="0"/>
          <w:numId w:val="2"/>
        </w:numPr>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噪声</w:t>
      </w:r>
    </w:p>
    <w:p>
      <w:pPr>
        <w:spacing w:line="560" w:lineRule="exact"/>
        <w:ind w:firstLine="640" w:firstLineChars="200"/>
        <w:rPr>
          <w:rFonts w:eastAsia="仿宋_GB2312"/>
          <w:sz w:val="32"/>
          <w:szCs w:val="32"/>
        </w:rPr>
      </w:pPr>
      <w:r>
        <w:rPr>
          <w:rFonts w:eastAsia="仿宋_GB2312"/>
          <w:sz w:val="32"/>
          <w:szCs w:val="32"/>
        </w:rPr>
        <w:t>采取选用低噪声设备，厂房隔声、减</w:t>
      </w:r>
      <w:r>
        <w:rPr>
          <w:rFonts w:hint="eastAsia" w:eastAsia="仿宋_GB2312"/>
          <w:sz w:val="32"/>
          <w:szCs w:val="32"/>
        </w:rPr>
        <w:t>振</w:t>
      </w:r>
      <w:r>
        <w:rPr>
          <w:rFonts w:eastAsia="仿宋_GB2312"/>
          <w:sz w:val="32"/>
          <w:szCs w:val="32"/>
        </w:rPr>
        <w:t>底座和减</w:t>
      </w:r>
      <w:r>
        <w:rPr>
          <w:rFonts w:hint="eastAsia" w:eastAsia="仿宋_GB2312"/>
          <w:sz w:val="32"/>
          <w:szCs w:val="32"/>
        </w:rPr>
        <w:t>振</w:t>
      </w:r>
      <w:r>
        <w:rPr>
          <w:rFonts w:eastAsia="仿宋_GB2312"/>
          <w:sz w:val="32"/>
          <w:szCs w:val="32"/>
        </w:rPr>
        <w:t>垫等措施进行噪声治理。</w:t>
      </w:r>
    </w:p>
    <w:p>
      <w:pPr>
        <w:pStyle w:val="17"/>
        <w:spacing w:line="560" w:lineRule="exact"/>
        <w:ind w:firstLine="640" w:firstLineChars="200"/>
        <w:rPr>
          <w:rFonts w:ascii="Times New Roman" w:eastAsia="仿宋_GB2312" w:cs="Times New Roman"/>
          <w:color w:val="auto"/>
          <w:kern w:val="2"/>
          <w:sz w:val="32"/>
          <w:szCs w:val="32"/>
        </w:rPr>
      </w:pPr>
      <w:r>
        <w:rPr>
          <w:rFonts w:ascii="Times New Roman" w:eastAsia="仿宋_GB2312" w:cs="Times New Roman"/>
          <w:color w:val="auto"/>
          <w:kern w:val="2"/>
          <w:sz w:val="32"/>
          <w:szCs w:val="32"/>
        </w:rPr>
        <w:t>4、固体废物</w:t>
      </w:r>
    </w:p>
    <w:p>
      <w:pPr>
        <w:pStyle w:val="17"/>
        <w:spacing w:line="560" w:lineRule="exact"/>
        <w:ind w:firstLine="640" w:firstLineChars="200"/>
        <w:rPr>
          <w:rFonts w:hint="eastAsia"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废离子树脂、除尘灰收集后外售综合利用；原料贮存区设危废间1座（40m</w:t>
      </w:r>
      <w:r>
        <w:rPr>
          <w:rFonts w:hint="eastAsia" w:ascii="Times New Roman" w:eastAsia="仿宋_GB2312" w:cs="Times New Roman"/>
          <w:color w:val="auto"/>
          <w:kern w:val="2"/>
          <w:sz w:val="32"/>
          <w:szCs w:val="32"/>
          <w:vertAlign w:val="superscript"/>
        </w:rPr>
        <w:t>2</w:t>
      </w:r>
      <w:r>
        <w:rPr>
          <w:rFonts w:hint="eastAsia" w:ascii="Times New Roman" w:eastAsia="仿宋_GB2312" w:cs="Times New Roman"/>
          <w:color w:val="auto"/>
          <w:kern w:val="2"/>
          <w:sz w:val="32"/>
          <w:szCs w:val="32"/>
        </w:rPr>
        <w:t>），危险废物</w:t>
      </w:r>
      <w:r>
        <w:rPr>
          <w:rFonts w:hint="eastAsia" w:ascii="Times New Roman" w:eastAsia="仿宋_GB2312" w:cs="Times New Roman"/>
          <w:color w:val="auto"/>
          <w:kern w:val="2"/>
          <w:sz w:val="32"/>
          <w:szCs w:val="32"/>
          <w:lang w:eastAsia="zh-CN"/>
        </w:rPr>
        <w:t>（废活性炭、废机油、废液压油、废油桶、废油墨、设备清洗废水、废包装、含水性油墨抹布）</w:t>
      </w:r>
      <w:r>
        <w:rPr>
          <w:rFonts w:hint="eastAsia" w:ascii="Times New Roman" w:eastAsia="仿宋_GB2312" w:cs="Times New Roman"/>
          <w:color w:val="auto"/>
          <w:kern w:val="2"/>
          <w:sz w:val="32"/>
          <w:szCs w:val="32"/>
        </w:rPr>
        <w:t>分类收集暂存，定期委托烟台新世纪环保科技有限公司处置。</w:t>
      </w:r>
    </w:p>
    <w:p>
      <w:pPr>
        <w:pStyle w:val="17"/>
        <w:spacing w:line="560" w:lineRule="exact"/>
        <w:ind w:firstLine="640" w:firstLineChars="200"/>
        <w:rPr>
          <w:rFonts w:ascii="Times New Roman" w:eastAsia="仿宋_GB2312" w:cs="Times New Roman"/>
          <w:color w:val="auto"/>
          <w:kern w:val="2"/>
          <w:sz w:val="32"/>
          <w:szCs w:val="32"/>
        </w:rPr>
      </w:pPr>
      <w:r>
        <w:rPr>
          <w:rFonts w:hint="eastAsia" w:ascii="Times New Roman" w:eastAsia="仿宋_GB2312" w:cs="Times New Roman"/>
          <w:color w:val="auto"/>
          <w:kern w:val="2"/>
          <w:sz w:val="32"/>
          <w:szCs w:val="32"/>
        </w:rPr>
        <w:t>含油废抹布混入生活垃圾，生活垃圾由环卫部门定期清理。</w:t>
      </w:r>
    </w:p>
    <w:p>
      <w:pPr>
        <w:spacing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四、环境保护设施调试效果</w:t>
      </w:r>
    </w:p>
    <w:p>
      <w:pPr>
        <w:pStyle w:val="17"/>
        <w:spacing w:line="560" w:lineRule="exact"/>
        <w:ind w:firstLine="632" w:firstLineChars="200"/>
        <w:rPr>
          <w:rFonts w:ascii="Times New Roman" w:eastAsia="仿宋_GB2312" w:cs="Times New Roman"/>
          <w:color w:val="auto"/>
          <w:kern w:val="2"/>
          <w:sz w:val="32"/>
          <w:szCs w:val="32"/>
        </w:rPr>
      </w:pPr>
      <w:r>
        <w:rPr>
          <w:rFonts w:hint="eastAsia" w:ascii="Times New Roman" w:eastAsia="仿宋_GB2312" w:cs="Times New Roman"/>
          <w:color w:val="auto"/>
          <w:spacing w:val="-2"/>
          <w:sz w:val="32"/>
          <w:szCs w:val="32"/>
        </w:rPr>
        <w:t>山东潍州检测有限公司</w:t>
      </w:r>
      <w:r>
        <w:rPr>
          <w:rFonts w:ascii="Times New Roman" w:eastAsia="仿宋_GB2312" w:cs="Times New Roman"/>
          <w:color w:val="auto"/>
          <w:spacing w:val="-2"/>
          <w:sz w:val="32"/>
          <w:szCs w:val="32"/>
        </w:rPr>
        <w:t>检测报告（</w:t>
      </w:r>
      <w:r>
        <w:rPr>
          <w:rFonts w:hint="eastAsia" w:ascii="Times New Roman" w:eastAsia="仿宋_GB2312" w:cs="Times New Roman"/>
          <w:color w:val="auto"/>
          <w:spacing w:val="-2"/>
          <w:sz w:val="32"/>
          <w:szCs w:val="32"/>
        </w:rPr>
        <w:t>H220728-008</w:t>
      </w:r>
      <w:r>
        <w:rPr>
          <w:rFonts w:ascii="Times New Roman" w:eastAsia="仿宋_GB2312" w:cs="Times New Roman"/>
          <w:color w:val="auto"/>
          <w:spacing w:val="-2"/>
          <w:sz w:val="32"/>
          <w:szCs w:val="32"/>
        </w:rPr>
        <w:t>）</w:t>
      </w:r>
      <w:r>
        <w:rPr>
          <w:rFonts w:ascii="Times New Roman" w:eastAsia="仿宋_GB2312" w:cs="Times New Roman"/>
          <w:color w:val="auto"/>
          <w:kern w:val="2"/>
          <w:sz w:val="32"/>
          <w:szCs w:val="32"/>
        </w:rPr>
        <w:t>表明，验收监测期间：</w:t>
      </w:r>
    </w:p>
    <w:p>
      <w:pPr>
        <w:adjustRightInd w:val="0"/>
        <w:spacing w:line="560" w:lineRule="exact"/>
        <w:ind w:firstLine="640" w:firstLineChars="200"/>
        <w:rPr>
          <w:rFonts w:eastAsia="仿宋_GB2312"/>
          <w:sz w:val="32"/>
          <w:szCs w:val="32"/>
        </w:rPr>
      </w:pPr>
      <w:r>
        <w:rPr>
          <w:rFonts w:hint="eastAsia" w:eastAsia="仿宋_GB2312"/>
          <w:sz w:val="32"/>
          <w:szCs w:val="32"/>
        </w:rPr>
        <w:t>1、</w:t>
      </w:r>
      <w:r>
        <w:rPr>
          <w:rFonts w:eastAsia="仿宋_GB2312"/>
          <w:spacing w:val="-2"/>
          <w:sz w:val="32"/>
          <w:szCs w:val="32"/>
        </w:rPr>
        <w:t>项目废水排放满足《污水排入城镇下水道水质标准》（GB/T31962-2015）表 1中 B 等级标准限值要求</w:t>
      </w:r>
      <w:r>
        <w:rPr>
          <w:rFonts w:eastAsia="仿宋_GB2312"/>
          <w:sz w:val="32"/>
          <w:szCs w:val="32"/>
        </w:rPr>
        <w:t>。</w:t>
      </w:r>
    </w:p>
    <w:p>
      <w:pPr>
        <w:spacing w:line="560" w:lineRule="exact"/>
        <w:ind w:firstLine="640" w:firstLineChars="200"/>
        <w:outlineLvl w:val="1"/>
        <w:rPr>
          <w:rFonts w:hint="eastAsia" w:eastAsia="仿宋_GB2312"/>
          <w:sz w:val="32"/>
          <w:szCs w:val="32"/>
          <w:lang w:val="en-US" w:eastAsia="zh-CN"/>
        </w:rPr>
      </w:pPr>
      <w:r>
        <w:rPr>
          <w:rFonts w:hint="eastAsia" w:eastAsia="仿宋_GB2312"/>
          <w:sz w:val="32"/>
          <w:szCs w:val="32"/>
        </w:rPr>
        <w:t>2、</w:t>
      </w:r>
      <w:r>
        <w:rPr>
          <w:rFonts w:hint="eastAsia" w:eastAsia="仿宋_GB2312"/>
          <w:sz w:val="32"/>
          <w:szCs w:val="32"/>
          <w:lang w:val="en-US" w:eastAsia="zh-CN"/>
        </w:rPr>
        <w:t>工艺废气排气筒 P1的VOCs排放浓度及排放速率均满足《挥发性有机物排放标准第6部分：有机化工行业》（DB37/2801.6-2018）中表1标准要求。</w:t>
      </w:r>
    </w:p>
    <w:p>
      <w:pPr>
        <w:spacing w:line="560" w:lineRule="exact"/>
        <w:ind w:firstLine="640" w:firstLineChars="200"/>
        <w:outlineLvl w:val="1"/>
        <w:rPr>
          <w:rFonts w:eastAsia="仿宋_GB2312"/>
          <w:sz w:val="32"/>
          <w:szCs w:val="32"/>
        </w:rPr>
      </w:pPr>
      <w:r>
        <w:rPr>
          <w:rFonts w:hint="eastAsia" w:eastAsia="仿宋_GB2312"/>
          <w:sz w:val="32"/>
          <w:szCs w:val="32"/>
          <w:lang w:val="en-US" w:eastAsia="zh-CN"/>
        </w:rPr>
        <w:t>颗粒物无组织排放厂界监控浓度满足《大气污染物综合排放标准》（GB16297-1996）表2中无组织排放监控浓度限值要求；VOCs无组织排放厂界监控浓度满足《挥发性有机物排放标准第6部分：有机化工行业》（DB37/2801.6-2018）表3中厂界监控点浓度限值要求。厂区内挥发性有机物无组织排放监控点浓度执行《挥发性有机物无组织排放控制标准》（GB37822-2019）附录A表A.1中特别排放限值</w:t>
      </w:r>
      <w:r>
        <w:rPr>
          <w:rFonts w:eastAsia="仿宋_GB2312"/>
          <w:sz w:val="32"/>
          <w:szCs w:val="32"/>
        </w:rPr>
        <w:t>。</w:t>
      </w:r>
    </w:p>
    <w:p>
      <w:pPr>
        <w:spacing w:line="560" w:lineRule="exact"/>
        <w:ind w:firstLine="640" w:firstLineChars="200"/>
        <w:outlineLvl w:val="1"/>
        <w:rPr>
          <w:rFonts w:eastAsia="仿宋_GB2312"/>
          <w:sz w:val="32"/>
          <w:szCs w:val="32"/>
        </w:rPr>
      </w:pPr>
      <w:r>
        <w:rPr>
          <w:rFonts w:hint="eastAsia" w:eastAsia="仿宋_GB2312"/>
          <w:sz w:val="32"/>
          <w:szCs w:val="32"/>
        </w:rPr>
        <w:t>3、</w:t>
      </w:r>
      <w:r>
        <w:rPr>
          <w:rFonts w:eastAsia="仿宋_GB2312"/>
          <w:sz w:val="32"/>
          <w:szCs w:val="32"/>
        </w:rPr>
        <w:t>厂界噪声满足《工业企业厂界环境噪声排放标准》（GB 12348-2008）中的2类声环境功能区标准。</w:t>
      </w:r>
    </w:p>
    <w:p>
      <w:pPr>
        <w:spacing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五</w:t>
      </w:r>
      <w:r>
        <w:rPr>
          <w:rFonts w:hint="eastAsia" w:ascii="黑体" w:hAnsi="黑体" w:eastAsia="黑体"/>
          <w:sz w:val="32"/>
          <w:szCs w:val="32"/>
        </w:rPr>
        <w:t>、</w:t>
      </w:r>
      <w:r>
        <w:rPr>
          <w:rFonts w:ascii="黑体" w:hAnsi="黑体" w:eastAsia="黑体"/>
          <w:sz w:val="32"/>
          <w:szCs w:val="32"/>
        </w:rPr>
        <w:t>验收监测结论</w:t>
      </w:r>
    </w:p>
    <w:p>
      <w:pPr>
        <w:pStyle w:val="18"/>
        <w:widowControl w:val="0"/>
        <w:adjustRightInd w:val="0"/>
        <w:spacing w:before="0" w:beforeAutospacing="0" w:after="0" w:afterAutospacing="0" w:line="560" w:lineRule="exact"/>
        <w:ind w:firstLine="640" w:firstLineChars="200"/>
        <w:jc w:val="both"/>
        <w:outlineLvl w:val="0"/>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验收组经现场检查并审阅有关资料，经认真讨论，认为</w:t>
      </w:r>
      <w:r>
        <w:rPr>
          <w:rFonts w:hint="eastAsia" w:ascii="Times New Roman" w:hAnsi="Times New Roman" w:eastAsia="仿宋_GB2312" w:cs="Times New Roman"/>
          <w:kern w:val="2"/>
          <w:sz w:val="32"/>
          <w:szCs w:val="32"/>
          <w:lang w:eastAsia="zh-CN"/>
        </w:rPr>
        <w:t>青岛利宇新材料有限公司水性油墨生产项目</w:t>
      </w:r>
      <w:r>
        <w:rPr>
          <w:rFonts w:ascii="Times New Roman" w:hAnsi="Times New Roman" w:eastAsia="仿宋_GB2312" w:cs="Times New Roman"/>
          <w:kern w:val="2"/>
          <w:sz w:val="32"/>
          <w:szCs w:val="32"/>
        </w:rPr>
        <w:t>，环评审批手续齐全，主要污染防治设施已建成，验收监测结果合格，通过竣工环保验收。</w:t>
      </w:r>
    </w:p>
    <w:p>
      <w:pPr>
        <w:spacing w:line="560" w:lineRule="exact"/>
        <w:rPr>
          <w:rFonts w:ascii="黑体" w:hAnsi="黑体" w:eastAsia="黑体"/>
          <w:sz w:val="32"/>
          <w:szCs w:val="32"/>
        </w:rPr>
      </w:pPr>
      <w:r>
        <w:rPr>
          <w:rFonts w:hint="eastAsia" w:eastAsia="仿宋_GB2312"/>
          <w:b/>
          <w:sz w:val="32"/>
          <w:szCs w:val="32"/>
        </w:rPr>
        <w:t xml:space="preserve">   </w:t>
      </w:r>
      <w:r>
        <w:rPr>
          <w:rFonts w:ascii="黑体" w:hAnsi="黑体" w:eastAsia="黑体"/>
          <w:sz w:val="32"/>
          <w:szCs w:val="32"/>
        </w:rPr>
        <w:t>六</w:t>
      </w:r>
      <w:r>
        <w:rPr>
          <w:rFonts w:hint="eastAsia" w:ascii="黑体" w:hAnsi="黑体" w:eastAsia="黑体"/>
          <w:sz w:val="32"/>
          <w:szCs w:val="32"/>
        </w:rPr>
        <w:t>、</w:t>
      </w:r>
      <w:r>
        <w:rPr>
          <w:rFonts w:ascii="黑体" w:hAnsi="黑体" w:eastAsia="黑体"/>
          <w:sz w:val="32"/>
          <w:szCs w:val="32"/>
        </w:rPr>
        <w:t>建议和要求</w:t>
      </w:r>
    </w:p>
    <w:p>
      <w:pPr>
        <w:spacing w:line="560" w:lineRule="exact"/>
        <w:ind w:firstLine="640" w:firstLineChars="200"/>
        <w:outlineLvl w:val="1"/>
        <w:rPr>
          <w:rFonts w:eastAsia="仿宋_GB2312"/>
          <w:sz w:val="32"/>
          <w:szCs w:val="32"/>
        </w:rPr>
      </w:pPr>
      <w:r>
        <w:rPr>
          <w:rFonts w:eastAsia="仿宋_GB2312"/>
          <w:sz w:val="32"/>
          <w:szCs w:val="32"/>
        </w:rPr>
        <w:t>1、加强对废水、废气污染防治设施运行、维护的管理，确保废水、废气污染物稳定达标排放。</w:t>
      </w:r>
    </w:p>
    <w:p>
      <w:pPr>
        <w:spacing w:line="560" w:lineRule="exact"/>
        <w:ind w:firstLine="640" w:firstLineChars="200"/>
        <w:outlineLvl w:val="1"/>
        <w:rPr>
          <w:rFonts w:eastAsia="仿宋_GB2312"/>
          <w:sz w:val="32"/>
          <w:szCs w:val="32"/>
        </w:rPr>
      </w:pPr>
      <w:r>
        <w:rPr>
          <w:rFonts w:eastAsia="仿宋_GB2312"/>
          <w:sz w:val="32"/>
          <w:szCs w:val="32"/>
        </w:rPr>
        <w:t>2、按《排污单位自行监测技术指南-总则》（HJ819-2017）要求，自主进行污染源监测，并做好记录。</w:t>
      </w:r>
    </w:p>
    <w:p>
      <w:pPr>
        <w:spacing w:line="560" w:lineRule="exact"/>
        <w:ind w:firstLine="640" w:firstLineChars="200"/>
        <w:outlineLvl w:val="1"/>
        <w:rPr>
          <w:rFonts w:eastAsia="仿宋_GB2312"/>
          <w:sz w:val="32"/>
          <w:szCs w:val="32"/>
        </w:rPr>
      </w:pPr>
      <w:r>
        <w:rPr>
          <w:rFonts w:eastAsia="仿宋_GB2312"/>
          <w:sz w:val="32"/>
          <w:szCs w:val="32"/>
        </w:rPr>
        <w:t>3、规范危险废物收集、暂存和处置管理，做好台账记录。</w:t>
      </w:r>
    </w:p>
    <w:p>
      <w:pPr>
        <w:pStyle w:val="10"/>
        <w:spacing w:before="0" w:beforeAutospacing="0" w:after="0" w:afterAutospacing="0" w:line="560" w:lineRule="exact"/>
        <w:ind w:firstLine="636" w:firstLineChars="199"/>
        <w:rPr>
          <w:rFonts w:eastAsia="仿宋_GB2312"/>
          <w:bCs/>
          <w:kern w:val="2"/>
          <w:sz w:val="32"/>
          <w:szCs w:val="32"/>
        </w:rPr>
      </w:pPr>
    </w:p>
    <w:p>
      <w:pPr>
        <w:spacing w:line="560" w:lineRule="exact"/>
        <w:jc w:val="right"/>
        <w:rPr>
          <w:rFonts w:eastAsia="仿宋_GB2312"/>
          <w:color w:val="000000"/>
          <w:sz w:val="32"/>
          <w:szCs w:val="32"/>
        </w:rPr>
      </w:pPr>
    </w:p>
    <w:p>
      <w:pPr>
        <w:pStyle w:val="17"/>
        <w:spacing w:line="560" w:lineRule="exact"/>
        <w:rPr>
          <w:rFonts w:ascii="Times New Roman"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7"/>
        <w:spacing w:line="560" w:lineRule="exact"/>
        <w:rPr>
          <w:rFonts w:hint="eastAsia" w:ascii="仿宋_GB2312" w:eastAsia="仿宋_GB2312" w:cs="Times New Roman"/>
          <w:sz w:val="32"/>
          <w:szCs w:val="32"/>
        </w:rPr>
      </w:pPr>
    </w:p>
    <w:p>
      <w:pPr>
        <w:pStyle w:val="18"/>
        <w:spacing w:before="0" w:beforeAutospacing="0" w:after="0" w:afterAutospacing="0" w:line="560" w:lineRule="exact"/>
        <w:jc w:val="both"/>
        <w:outlineLvl w:val="0"/>
        <w:rPr>
          <w:rFonts w:ascii="黑体" w:hAnsi="黑体" w:eastAsia="黑体" w:cs="仿宋"/>
          <w:sz w:val="32"/>
          <w:szCs w:val="32"/>
        </w:rPr>
      </w:pPr>
      <w:r>
        <w:rPr>
          <w:rFonts w:hint="eastAsia" w:ascii="黑体" w:hAnsi="黑体" w:eastAsia="黑体" w:cs="Times New Roman"/>
          <w:kern w:val="2"/>
          <w:sz w:val="32"/>
          <w:szCs w:val="32"/>
        </w:rPr>
        <w:t>七、验收人员信息</w:t>
      </w:r>
    </w:p>
    <w:tbl>
      <w:tblPr>
        <w:tblStyle w:val="12"/>
        <w:tblW w:w="832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1" w:type="dxa"/>
          <w:bottom w:w="0" w:type="dxa"/>
          <w:right w:w="51" w:type="dxa"/>
        </w:tblCellMar>
      </w:tblPr>
      <w:tblGrid>
        <w:gridCol w:w="1572"/>
        <w:gridCol w:w="1264"/>
        <w:gridCol w:w="2847"/>
        <w:gridCol w:w="1205"/>
        <w:gridCol w:w="14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737" w:hRule="atLeast"/>
          <w:jc w:val="center"/>
        </w:trPr>
        <w:tc>
          <w:tcPr>
            <w:tcW w:w="1572"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类别</w:t>
            </w:r>
          </w:p>
        </w:tc>
        <w:tc>
          <w:tcPr>
            <w:tcW w:w="1264"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姓  名</w:t>
            </w:r>
          </w:p>
        </w:tc>
        <w:tc>
          <w:tcPr>
            <w:tcW w:w="2847"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单      位</w:t>
            </w:r>
          </w:p>
        </w:tc>
        <w:tc>
          <w:tcPr>
            <w:tcW w:w="1205"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职务/</w:t>
            </w:r>
          </w:p>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职称</w:t>
            </w:r>
          </w:p>
        </w:tc>
        <w:tc>
          <w:tcPr>
            <w:tcW w:w="1437" w:type="dxa"/>
            <w:tcBorders>
              <w:top w:val="single" w:color="auto" w:sz="8" w:space="0"/>
            </w:tcBorders>
            <w:vAlign w:val="center"/>
          </w:tcPr>
          <w:p>
            <w:pPr>
              <w:snapToGrid w:val="0"/>
              <w:jc w:val="center"/>
              <w:rPr>
                <w:rFonts w:ascii="宋体" w:hAnsi="宋体" w:cs="宋体"/>
                <w:b/>
                <w:snapToGrid w:val="0"/>
                <w:kern w:val="0"/>
                <w:sz w:val="32"/>
                <w:szCs w:val="32"/>
                <w:lang w:bidi="he-IL"/>
              </w:rPr>
            </w:pPr>
            <w:r>
              <w:rPr>
                <w:rFonts w:hint="eastAsia" w:ascii="宋体" w:hAnsi="宋体" w:cs="宋体"/>
                <w:b/>
                <w:snapToGrid w:val="0"/>
                <w:kern w:val="0"/>
                <w:sz w:val="32"/>
                <w:szCs w:val="32"/>
                <w:lang w:bidi="he-IL"/>
              </w:rPr>
              <w:t>签  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验收负责人/建设</w:t>
            </w:r>
          </w:p>
          <w:p>
            <w:pPr>
              <w:snapToGrid w:val="0"/>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单位</w:t>
            </w:r>
          </w:p>
        </w:tc>
        <w:tc>
          <w:tcPr>
            <w:tcW w:w="1264" w:type="dxa"/>
            <w:vAlign w:val="center"/>
          </w:tcPr>
          <w:p>
            <w:pPr>
              <w:snapToGrid w:val="0"/>
              <w:spacing w:line="360" w:lineRule="exact"/>
              <w:jc w:val="center"/>
              <w:rPr>
                <w:rFonts w:ascii="宋体" w:hAnsi="宋体" w:cs="宋体"/>
                <w:snapToGrid w:val="0"/>
                <w:kern w:val="0"/>
                <w:sz w:val="32"/>
                <w:szCs w:val="32"/>
                <w:lang w:bidi="he-IL"/>
              </w:rPr>
            </w:pPr>
          </w:p>
        </w:tc>
        <w:tc>
          <w:tcPr>
            <w:tcW w:w="2847" w:type="dxa"/>
            <w:vAlign w:val="center"/>
          </w:tcPr>
          <w:p>
            <w:pPr>
              <w:snapToGrid w:val="0"/>
              <w:spacing w:line="360" w:lineRule="exact"/>
              <w:jc w:val="center"/>
              <w:rPr>
                <w:rFonts w:hint="eastAsia" w:ascii="宋体" w:hAnsi="宋体" w:eastAsia="宋体" w:cs="宋体"/>
                <w:bCs/>
                <w:sz w:val="30"/>
                <w:szCs w:val="30"/>
                <w:lang w:eastAsia="zh-CN"/>
              </w:rPr>
            </w:pPr>
            <w:r>
              <w:rPr>
                <w:rFonts w:hint="eastAsia" w:ascii="宋体" w:hAnsi="宋体" w:cs="宋体"/>
                <w:bCs/>
                <w:sz w:val="30"/>
                <w:szCs w:val="30"/>
                <w:lang w:eastAsia="zh-CN"/>
              </w:rPr>
              <w:t>青岛利宇新材料有限公司</w:t>
            </w:r>
          </w:p>
        </w:tc>
        <w:tc>
          <w:tcPr>
            <w:tcW w:w="1205" w:type="dxa"/>
            <w:vAlign w:val="center"/>
          </w:tcPr>
          <w:p>
            <w:pPr>
              <w:snapToGrid w:val="0"/>
              <w:spacing w:line="360" w:lineRule="exact"/>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总经理</w:t>
            </w: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877" w:hRule="atLeast"/>
          <w:jc w:val="center"/>
        </w:trPr>
        <w:tc>
          <w:tcPr>
            <w:tcW w:w="1572" w:type="dxa"/>
            <w:vAlign w:val="center"/>
          </w:tcPr>
          <w:p>
            <w:pPr>
              <w:snapToGrid w:val="0"/>
              <w:jc w:val="center"/>
              <w:rPr>
                <w:rFonts w:ascii="宋体" w:hAnsi="宋体" w:cs="宋体"/>
                <w:snapToGrid w:val="0"/>
                <w:kern w:val="0"/>
                <w:sz w:val="32"/>
                <w:szCs w:val="32"/>
                <w:lang w:bidi="he-IL"/>
              </w:rPr>
            </w:pPr>
            <w:r>
              <w:rPr>
                <w:rFonts w:hint="eastAsia" w:ascii="宋体" w:hAnsi="宋体" w:cs="宋体"/>
                <w:snapToGrid w:val="0"/>
                <w:kern w:val="0"/>
                <w:sz w:val="32"/>
                <w:szCs w:val="32"/>
                <w:lang w:bidi="he-IL"/>
              </w:rPr>
              <w:t>验收监测报告编制单位</w:t>
            </w:r>
          </w:p>
        </w:tc>
        <w:tc>
          <w:tcPr>
            <w:tcW w:w="1264" w:type="dxa"/>
            <w:vAlign w:val="center"/>
          </w:tcPr>
          <w:p>
            <w:pPr>
              <w:snapToGrid w:val="0"/>
              <w:spacing w:line="360" w:lineRule="exact"/>
              <w:jc w:val="center"/>
              <w:rPr>
                <w:rFonts w:ascii="宋体" w:hAnsi="宋体" w:cs="宋体"/>
                <w:snapToGrid w:val="0"/>
                <w:kern w:val="0"/>
                <w:sz w:val="32"/>
                <w:szCs w:val="32"/>
                <w:lang w:val="en-GB" w:bidi="he-IL"/>
              </w:rPr>
            </w:pPr>
          </w:p>
        </w:tc>
        <w:tc>
          <w:tcPr>
            <w:tcW w:w="2847" w:type="dxa"/>
            <w:vAlign w:val="center"/>
          </w:tcPr>
          <w:p>
            <w:pPr>
              <w:snapToGrid w:val="0"/>
              <w:spacing w:line="360" w:lineRule="exact"/>
              <w:jc w:val="center"/>
              <w:rPr>
                <w:rFonts w:hint="eastAsia" w:ascii="宋体" w:hAnsi="宋体" w:eastAsia="宋体" w:cs="宋体"/>
                <w:bCs/>
                <w:sz w:val="30"/>
                <w:szCs w:val="30"/>
                <w:lang w:val="en-GB" w:eastAsia="zh-CN"/>
              </w:rPr>
            </w:pPr>
            <w:r>
              <w:rPr>
                <w:rFonts w:hint="eastAsia" w:ascii="宋体" w:hAnsi="宋体" w:cs="宋体"/>
                <w:bCs/>
                <w:sz w:val="30"/>
                <w:szCs w:val="30"/>
                <w:lang w:eastAsia="zh-CN"/>
              </w:rPr>
              <w:t>青岛利宇新材料有限公司</w:t>
            </w:r>
          </w:p>
        </w:tc>
        <w:tc>
          <w:tcPr>
            <w:tcW w:w="1205" w:type="dxa"/>
            <w:vAlign w:val="center"/>
          </w:tcPr>
          <w:p>
            <w:pPr>
              <w:snapToGrid w:val="0"/>
              <w:spacing w:line="360" w:lineRule="exact"/>
              <w:jc w:val="center"/>
              <w:rPr>
                <w:rFonts w:ascii="宋体" w:hAnsi="宋体" w:cs="宋体"/>
                <w:snapToGrid w:val="0"/>
                <w:kern w:val="0"/>
                <w:sz w:val="32"/>
                <w:szCs w:val="32"/>
                <w:lang w:val="en-GB" w:bidi="he-IL"/>
              </w:rPr>
            </w:pPr>
            <w:r>
              <w:rPr>
                <w:rFonts w:hint="eastAsia" w:ascii="宋体" w:hAnsi="宋体" w:cs="宋体"/>
                <w:snapToGrid w:val="0"/>
                <w:kern w:val="0"/>
                <w:sz w:val="32"/>
                <w:szCs w:val="32"/>
                <w:lang w:val="en-GB" w:bidi="he-IL"/>
              </w:rPr>
              <w:t>环保负责人</w:t>
            </w: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1" w:type="dxa"/>
            <w:bottom w:w="0" w:type="dxa"/>
            <w:right w:w="51" w:type="dxa"/>
          </w:tblCellMar>
        </w:tblPrEx>
        <w:trPr>
          <w:trHeight w:val="737" w:hRule="atLeast"/>
          <w:jc w:val="center"/>
        </w:trPr>
        <w:tc>
          <w:tcPr>
            <w:tcW w:w="1572" w:type="dxa"/>
            <w:vAlign w:val="center"/>
          </w:tcPr>
          <w:p>
            <w:pPr>
              <w:snapToGrid w:val="0"/>
              <w:jc w:val="center"/>
              <w:rPr>
                <w:rFonts w:ascii="宋体" w:hAnsi="宋体" w:cs="宋体"/>
                <w:snapToGrid w:val="0"/>
                <w:kern w:val="0"/>
                <w:sz w:val="32"/>
                <w:szCs w:val="32"/>
                <w:lang w:bidi="he-IL"/>
              </w:rPr>
            </w:pPr>
          </w:p>
        </w:tc>
        <w:tc>
          <w:tcPr>
            <w:tcW w:w="1264" w:type="dxa"/>
            <w:vAlign w:val="center"/>
          </w:tcPr>
          <w:p>
            <w:pPr>
              <w:snapToGrid w:val="0"/>
              <w:spacing w:line="360" w:lineRule="exact"/>
              <w:jc w:val="center"/>
              <w:rPr>
                <w:rFonts w:ascii="宋体" w:hAnsi="宋体" w:cs="宋体"/>
                <w:bCs/>
                <w:sz w:val="30"/>
                <w:szCs w:val="30"/>
              </w:rPr>
            </w:pPr>
          </w:p>
        </w:tc>
        <w:tc>
          <w:tcPr>
            <w:tcW w:w="2847" w:type="dxa"/>
            <w:vAlign w:val="center"/>
          </w:tcPr>
          <w:p>
            <w:pPr>
              <w:snapToGrid w:val="0"/>
              <w:spacing w:line="360" w:lineRule="exact"/>
              <w:jc w:val="center"/>
              <w:rPr>
                <w:rFonts w:ascii="宋体" w:hAnsi="宋体" w:cs="宋体"/>
                <w:bCs/>
                <w:sz w:val="30"/>
                <w:szCs w:val="30"/>
              </w:rPr>
            </w:pPr>
          </w:p>
        </w:tc>
        <w:tc>
          <w:tcPr>
            <w:tcW w:w="1205" w:type="dxa"/>
            <w:vAlign w:val="center"/>
          </w:tcPr>
          <w:p>
            <w:pPr>
              <w:snapToGrid w:val="0"/>
              <w:spacing w:line="360" w:lineRule="exact"/>
              <w:jc w:val="center"/>
              <w:rPr>
                <w:rFonts w:ascii="宋体" w:hAnsi="宋体" w:cs="宋体"/>
                <w:bCs/>
                <w:sz w:val="30"/>
                <w:szCs w:val="30"/>
              </w:rPr>
            </w:pPr>
          </w:p>
        </w:tc>
        <w:tc>
          <w:tcPr>
            <w:tcW w:w="1437" w:type="dxa"/>
            <w:vAlign w:val="center"/>
          </w:tcPr>
          <w:p>
            <w:pPr>
              <w:snapToGrid w:val="0"/>
              <w:jc w:val="center"/>
              <w:rPr>
                <w:rFonts w:ascii="宋体" w:hAnsi="宋体" w:cs="宋体"/>
                <w:snapToGrid w:val="0"/>
                <w:kern w:val="0"/>
                <w:sz w:val="32"/>
                <w:szCs w:val="32"/>
                <w:lang w:bidi="he-IL"/>
              </w:rPr>
            </w:pPr>
          </w:p>
        </w:tc>
      </w:tr>
    </w:tbl>
    <w:p>
      <w:pPr>
        <w:pStyle w:val="6"/>
        <w:numPr>
          <w:ilvl w:val="0"/>
          <w:numId w:val="0"/>
        </w:numPr>
      </w:pPr>
    </w:p>
    <w:p>
      <w:pPr>
        <w:pStyle w:val="9"/>
        <w:jc w:val="center"/>
        <w:rPr>
          <w:rFonts w:ascii="Times New Roman"/>
          <w:sz w:val="24"/>
        </w:rPr>
      </w:pPr>
    </w:p>
    <w:p>
      <w:pPr>
        <w:rPr>
          <w:rFonts w:hint="eastAsia" w:ascii="仿宋_GB2312" w:hAnsi="宋体" w:eastAsia="仿宋_GB2312" w:cs="宋体"/>
          <w:bCs/>
          <w:sz w:val="32"/>
          <w:szCs w:val="32"/>
          <w:lang w:eastAsia="zh-CN"/>
        </w:rPr>
      </w:pPr>
      <w:r>
        <w:rPr>
          <w:rFonts w:hint="eastAsia" w:ascii="宋体" w:hAnsi="宋体" w:cs="宋体"/>
          <w:bCs/>
          <w:sz w:val="30"/>
          <w:szCs w:val="30"/>
        </w:rPr>
        <w:t xml:space="preserve">                            </w:t>
      </w:r>
      <w:r>
        <w:rPr>
          <w:rFonts w:hint="eastAsia" w:ascii="仿宋_GB2312" w:hAnsi="宋体" w:eastAsia="仿宋_GB2312" w:cs="宋体"/>
          <w:bCs/>
          <w:sz w:val="32"/>
          <w:szCs w:val="32"/>
        </w:rPr>
        <w:t xml:space="preserve"> </w:t>
      </w:r>
      <w:r>
        <w:rPr>
          <w:rFonts w:hint="eastAsia" w:ascii="仿宋_GB2312" w:hAnsi="宋体" w:eastAsia="仿宋_GB2312" w:cs="宋体"/>
          <w:bCs/>
          <w:sz w:val="32"/>
          <w:szCs w:val="32"/>
          <w:lang w:eastAsia="zh-CN"/>
        </w:rPr>
        <w:t>青岛利宇新材料有限公司</w:t>
      </w:r>
    </w:p>
    <w:p>
      <w:pPr>
        <w:pStyle w:val="2"/>
        <w:ind w:firstLine="640"/>
        <w:rPr>
          <w:rFonts w:eastAsia="仿宋_GB2312"/>
          <w:sz w:val="32"/>
          <w:szCs w:val="32"/>
        </w:rPr>
      </w:pPr>
      <w:r>
        <w:rPr>
          <w:rFonts w:hint="eastAsia" w:eastAsia="仿宋_GB2312"/>
          <w:sz w:val="32"/>
          <w:szCs w:val="32"/>
        </w:rPr>
        <w:t xml:space="preserve">                         </w:t>
      </w:r>
      <w:r>
        <w:rPr>
          <w:rFonts w:eastAsia="仿宋_GB2312"/>
          <w:sz w:val="32"/>
          <w:szCs w:val="32"/>
        </w:rPr>
        <w:t>202</w:t>
      </w:r>
      <w:r>
        <w:rPr>
          <w:rFonts w:hint="eastAsia" w:eastAsia="仿宋_GB2312"/>
          <w:sz w:val="32"/>
          <w:szCs w:val="32"/>
          <w:lang w:val="en-US" w:eastAsia="zh-CN"/>
        </w:rPr>
        <w:t>2</w:t>
      </w:r>
      <w:r>
        <w:rPr>
          <w:rFonts w:eastAsia="仿宋_GB2312"/>
          <w:sz w:val="32"/>
          <w:szCs w:val="32"/>
        </w:rPr>
        <w:t>年</w:t>
      </w:r>
      <w:r>
        <w:rPr>
          <w:rFonts w:hint="eastAsia" w:eastAsia="仿宋_GB2312"/>
          <w:sz w:val="32"/>
          <w:szCs w:val="32"/>
          <w:lang w:val="en-US" w:eastAsia="zh-CN"/>
        </w:rPr>
        <w:t>12</w:t>
      </w:r>
      <w:r>
        <w:rPr>
          <w:rFonts w:eastAsia="仿宋_GB2312"/>
          <w:sz w:val="32"/>
          <w:szCs w:val="32"/>
        </w:rPr>
        <w:t>月</w:t>
      </w:r>
      <w:r>
        <w:rPr>
          <w:rFonts w:hint="eastAsia" w:eastAsia="仿宋_GB2312"/>
          <w:sz w:val="32"/>
          <w:szCs w:val="32"/>
          <w:lang w:val="en-US" w:eastAsia="zh-CN"/>
        </w:rPr>
        <w:t>3</w:t>
      </w:r>
      <w:bookmarkStart w:id="0" w:name="_GoBack"/>
      <w:bookmarkEnd w:id="0"/>
      <w:r>
        <w:rPr>
          <w:rFonts w:eastAsia="仿宋_GB2312"/>
          <w:sz w:val="32"/>
          <w:szCs w:val="32"/>
        </w:rPr>
        <w:t>日</w:t>
      </w:r>
    </w:p>
    <w:p>
      <w:pPr>
        <w:pStyle w:val="2"/>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eastAsia="宋体"/>
        <w:sz w:val="21"/>
        <w:szCs w:val="21"/>
      </w:rPr>
    </w:pPr>
    <w:r>
      <w:pict>
        <v:shape id="文本框 7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path/>
          <v:fill on="f" focussize="0,0"/>
          <v:stroke on="f" weight="0.5pt" joinstyle="miter"/>
          <v:imagedata o:title=""/>
          <o:lock v:ext="edit"/>
          <v:textbox inset="0mm,0mm,0mm,0mm" style="mso-fit-shape-to-text:t;">
            <w:txbxContent>
              <w:p>
                <w:pPr>
                  <w:pStyle w:val="7"/>
                  <w:rPr>
                    <w:rFonts w:eastAsia="宋体"/>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5F8AD7"/>
    <w:multiLevelType w:val="singleLevel"/>
    <w:tmpl w:val="9D5F8AD7"/>
    <w:lvl w:ilvl="0" w:tentative="0">
      <w:start w:val="2"/>
      <w:numFmt w:val="decimal"/>
      <w:suff w:val="nothing"/>
      <w:lvlText w:val="%1、"/>
      <w:lvlJc w:val="left"/>
    </w:lvl>
  </w:abstractNum>
  <w:abstractNum w:abstractNumId="1">
    <w:nsid w:val="519AF733"/>
    <w:multiLevelType w:val="singleLevel"/>
    <w:tmpl w:val="519AF733"/>
    <w:lvl w:ilvl="0" w:tentative="0">
      <w:start w:val="1"/>
      <w:numFmt w:val="bullet"/>
      <w:pStyle w:val="6"/>
      <w:lvlText w:val=""/>
      <w:lvlJc w:val="left"/>
      <w:pPr>
        <w:tabs>
          <w:tab w:val="left" w:pos="2040"/>
        </w:tabs>
        <w:ind w:left="20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ExNWFkOTVjNWNhNTY5NWJiMWQzMmI3MTI5MDJlMTYifQ=="/>
  </w:docVars>
  <w:rsids>
    <w:rsidRoot w:val="00664F5D"/>
    <w:rsid w:val="00042A7F"/>
    <w:rsid w:val="0017542D"/>
    <w:rsid w:val="001F104C"/>
    <w:rsid w:val="00320723"/>
    <w:rsid w:val="005E7632"/>
    <w:rsid w:val="00664F5D"/>
    <w:rsid w:val="00716A3B"/>
    <w:rsid w:val="00A61A61"/>
    <w:rsid w:val="00C662F7"/>
    <w:rsid w:val="00D20E92"/>
    <w:rsid w:val="11C22BED"/>
    <w:rsid w:val="203E5DA7"/>
    <w:rsid w:val="24024950"/>
    <w:rsid w:val="25A34CFA"/>
    <w:rsid w:val="2A613A45"/>
    <w:rsid w:val="2BD4702C"/>
    <w:rsid w:val="2DD616B4"/>
    <w:rsid w:val="346E13DB"/>
    <w:rsid w:val="34FA62E8"/>
    <w:rsid w:val="411955F3"/>
    <w:rsid w:val="467059FB"/>
    <w:rsid w:val="4FCE23B2"/>
    <w:rsid w:val="5C3050A3"/>
    <w:rsid w:val="65F416EA"/>
    <w:rsid w:val="69403D28"/>
    <w:rsid w:val="6CC866AB"/>
    <w:rsid w:val="75885AC2"/>
    <w:rsid w:val="7B442584"/>
    <w:rsid w:val="7C1F1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120" w:line="240" w:lineRule="auto"/>
      <w:ind w:left="420" w:leftChars="200" w:firstLine="420"/>
    </w:pPr>
    <w:rPr>
      <w:sz w:val="21"/>
    </w:rPr>
  </w:style>
  <w:style w:type="paragraph" w:styleId="3">
    <w:name w:val="Body Text Indent"/>
    <w:basedOn w:val="1"/>
    <w:next w:val="4"/>
    <w:qFormat/>
    <w:uiPriority w:val="0"/>
    <w:pPr>
      <w:adjustRightInd w:val="0"/>
      <w:spacing w:line="500" w:lineRule="exact"/>
      <w:ind w:firstLine="480" w:firstLineChars="200"/>
      <w:textAlignment w:val="baseline"/>
    </w:pPr>
    <w:rPr>
      <w:sz w:val="24"/>
      <w:szCs w:val="20"/>
    </w:rPr>
  </w:style>
  <w:style w:type="paragraph" w:customStyle="1" w:styleId="4">
    <w:name w:val="TOC 31"/>
    <w:next w:val="1"/>
    <w:qFormat/>
    <w:uiPriority w:val="0"/>
    <w:pPr>
      <w:wordWrap w:val="0"/>
      <w:ind w:left="850"/>
      <w:jc w:val="both"/>
    </w:pPr>
    <w:rPr>
      <w:rFonts w:ascii="Times New Roman" w:hAnsi="Times New Roman" w:eastAsia="宋体" w:cs="Times New Roman"/>
      <w:sz w:val="21"/>
      <w:szCs w:val="22"/>
      <w:lang w:val="en-US" w:eastAsia="zh-CN" w:bidi="ar-SA"/>
    </w:rPr>
  </w:style>
  <w:style w:type="paragraph" w:styleId="5">
    <w:name w:val="Body Text"/>
    <w:basedOn w:val="1"/>
    <w:next w:val="6"/>
    <w:qFormat/>
    <w:uiPriority w:val="0"/>
    <w:pPr>
      <w:adjustRightInd w:val="0"/>
      <w:spacing w:after="120" w:line="500" w:lineRule="exact"/>
      <w:ind w:firstLine="200" w:firstLineChars="200"/>
      <w:textAlignment w:val="baseline"/>
    </w:pPr>
    <w:rPr>
      <w:sz w:val="24"/>
      <w:szCs w:val="20"/>
    </w:rPr>
  </w:style>
  <w:style w:type="paragraph" w:styleId="6">
    <w:name w:val="List Bullet 5"/>
    <w:basedOn w:val="1"/>
    <w:qFormat/>
    <w:uiPriority w:val="0"/>
    <w:pPr>
      <w:numPr>
        <w:ilvl w:val="0"/>
        <w:numId w:val="1"/>
      </w:numPr>
    </w:pPr>
  </w:style>
  <w:style w:type="paragraph" w:styleId="7">
    <w:name w:val="footer"/>
    <w:basedOn w:val="1"/>
    <w:qFormat/>
    <w:uiPriority w:val="99"/>
    <w:pPr>
      <w:tabs>
        <w:tab w:val="center" w:pos="4153"/>
        <w:tab w:val="right" w:pos="8306"/>
      </w:tabs>
      <w:snapToGrid w:val="0"/>
      <w:jc w:val="left"/>
    </w:pPr>
    <w:rPr>
      <w:rFonts w:eastAsia="Times New Roman"/>
      <w:sz w:val="18"/>
      <w:szCs w:val="18"/>
    </w:rPr>
  </w:style>
  <w:style w:type="paragraph" w:styleId="8">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rPr>
      <w:rFonts w:ascii="宋体"/>
      <w:b/>
      <w:bCs/>
      <w:color w:val="000000"/>
      <w:sz w:val="28"/>
    </w:rPr>
  </w:style>
  <w:style w:type="paragraph" w:styleId="10">
    <w:name w:val="Normal (Web)"/>
    <w:basedOn w:val="1"/>
    <w:qFormat/>
    <w:uiPriority w:val="0"/>
    <w:pPr>
      <w:spacing w:before="100" w:beforeAutospacing="1" w:after="100" w:afterAutospacing="1"/>
      <w:jc w:val="left"/>
    </w:pPr>
    <w:rPr>
      <w:kern w:val="0"/>
      <w:sz w:val="24"/>
    </w:rPr>
  </w:style>
  <w:style w:type="paragraph" w:styleId="11">
    <w:name w:val="Body Text First Indent"/>
    <w:basedOn w:val="5"/>
    <w:next w:val="1"/>
    <w:qFormat/>
    <w:uiPriority w:val="0"/>
    <w:pPr>
      <w:ind w:firstLine="420"/>
    </w:pPr>
    <w:rPr>
      <w:lang w:val="zh-CN"/>
    </w:rPr>
  </w:style>
  <w:style w:type="paragraph" w:customStyle="1" w:styleId="14">
    <w:name w:val="样式 正文文本缩进 + 行距: 1.5 倍行距"/>
    <w:basedOn w:val="15"/>
    <w:qFormat/>
    <w:uiPriority w:val="0"/>
    <w:pPr>
      <w:spacing w:line="360" w:lineRule="auto"/>
      <w:ind w:left="90" w:leftChars="32" w:firstLine="560" w:firstLineChars="200"/>
    </w:pPr>
    <w:rPr>
      <w:rFonts w:cs="宋体"/>
    </w:rPr>
  </w:style>
  <w:style w:type="paragraph" w:customStyle="1" w:styleId="15">
    <w:name w:val="正文文本缩进1"/>
    <w:basedOn w:val="1"/>
    <w:next w:val="14"/>
    <w:qFormat/>
    <w:uiPriority w:val="0"/>
    <w:pPr>
      <w:spacing w:after="120"/>
      <w:ind w:left="420" w:leftChars="200"/>
    </w:pPr>
    <w:rPr>
      <w:sz w:val="24"/>
    </w:rPr>
  </w:style>
  <w:style w:type="paragraph" w:customStyle="1" w:styleId="16">
    <w:name w:val="标号正文"/>
    <w:basedOn w:val="1"/>
    <w:next w:val="1"/>
    <w:qFormat/>
    <w:uiPriority w:val="0"/>
    <w:pPr>
      <w:tabs>
        <w:tab w:val="left" w:pos="1540"/>
      </w:tabs>
      <w:overflowPunct w:val="0"/>
      <w:snapToGrid w:val="0"/>
      <w:spacing w:line="360" w:lineRule="auto"/>
      <w:ind w:firstLine="1040"/>
      <w:jc w:val="left"/>
    </w:pPr>
    <w:rPr>
      <w:rFonts w:ascii="Arial" w:hAnsi="Arial"/>
      <w:sz w:val="24"/>
      <w:szCs w:val="20"/>
    </w:rPr>
  </w:style>
  <w:style w:type="paragraph" w:customStyle="1" w:styleId="1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
    <w:name w:val="普通(网站)1"/>
    <w:basedOn w:val="1"/>
    <w:qFormat/>
    <w:uiPriority w:val="0"/>
    <w:pPr>
      <w:widowControl/>
      <w:spacing w:before="100" w:beforeAutospacing="1" w:after="100" w:afterAutospacing="1"/>
      <w:jc w:val="left"/>
    </w:pPr>
    <w:rPr>
      <w:rFonts w:ascii="宋体" w:hAnsi="宋体" w:cs="宋体"/>
      <w:kern w:val="0"/>
      <w:sz w:val="24"/>
    </w:rPr>
  </w:style>
  <w:style w:type="character" w:customStyle="1" w:styleId="19">
    <w:name w:val="页眉 Char"/>
    <w:basedOn w:val="13"/>
    <w:link w:val="8"/>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Pages>
  <Words>1626</Words>
  <Characters>1811</Characters>
  <Lines>14</Lines>
  <Paragraphs>4</Paragraphs>
  <TotalTime>2</TotalTime>
  <ScaleCrop>false</ScaleCrop>
  <LinksUpToDate>false</LinksUpToDate>
  <CharactersWithSpaces>1908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2022-01-11T12:39:00Z</dcterms:created>
  <dc:creator>Administrator</dc:creator>
  <cp:lastModifiedBy>c</cp:lastModifiedBy>
  <dcterms:modified xsi:type="dcterms:W3CDTF">2022-12-12T05:57:21Z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9F45FA2860534ACB963A5817A7FC01CF</vt:lpwstr>
  </property>
</Properties>
</file>