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b/>
          <w:color w:val="333333"/>
          <w:sz w:val="36"/>
          <w:szCs w:val="36"/>
          <w:lang w:eastAsia="zh-CN"/>
        </w:rPr>
      </w:pPr>
      <w:r>
        <w:rPr>
          <w:rFonts w:hint="eastAsia"/>
          <w:b/>
          <w:color w:val="333333"/>
          <w:sz w:val="36"/>
          <w:szCs w:val="36"/>
          <w:lang w:eastAsia="zh-CN"/>
        </w:rPr>
        <w:t>青岛新希望和润生物科技有限公司</w:t>
      </w:r>
    </w:p>
    <w:p>
      <w:pPr>
        <w:snapToGrid w:val="0"/>
        <w:spacing w:line="560" w:lineRule="exact"/>
        <w:jc w:val="center"/>
        <w:rPr>
          <w:rFonts w:hint="eastAsia" w:eastAsia="宋体"/>
          <w:b/>
          <w:color w:val="333333"/>
          <w:sz w:val="36"/>
          <w:szCs w:val="36"/>
          <w:lang w:eastAsia="zh-CN"/>
        </w:rPr>
      </w:pPr>
      <w:r>
        <w:rPr>
          <w:rFonts w:hint="eastAsia"/>
          <w:b/>
          <w:color w:val="333333"/>
          <w:sz w:val="36"/>
          <w:szCs w:val="36"/>
          <w:lang w:eastAsia="zh-CN"/>
        </w:rPr>
        <w:t>平度新希望六和动物蛋白生产项目</w:t>
      </w:r>
    </w:p>
    <w:p>
      <w:pPr>
        <w:snapToGrid w:val="0"/>
        <w:spacing w:line="560" w:lineRule="exact"/>
        <w:jc w:val="center"/>
        <w:rPr>
          <w:b/>
          <w:color w:val="333333"/>
          <w:sz w:val="36"/>
          <w:szCs w:val="36"/>
        </w:rPr>
      </w:pPr>
      <w:r>
        <w:rPr>
          <w:b/>
          <w:color w:val="333333"/>
          <w:sz w:val="36"/>
          <w:szCs w:val="36"/>
        </w:rPr>
        <w:t>竣工环境保护验收意见</w:t>
      </w:r>
    </w:p>
    <w:p>
      <w:pPr>
        <w:pStyle w:val="16"/>
        <w:rPr>
          <w:rFonts w:ascii="Times New Roman" w:hAnsi="Times New Roman"/>
        </w:rPr>
      </w:pPr>
    </w:p>
    <w:p>
      <w:pPr>
        <w:spacing w:line="560" w:lineRule="exact"/>
        <w:ind w:firstLine="640" w:firstLineChars="200"/>
        <w:rPr>
          <w:rFonts w:eastAsia="仿宋_GB2312"/>
          <w:sz w:val="32"/>
          <w:szCs w:val="32"/>
        </w:rPr>
      </w:pPr>
      <w:r>
        <w:rPr>
          <w:rFonts w:eastAsia="仿宋_GB2312"/>
          <w:color w:val="auto"/>
          <w:sz w:val="32"/>
          <w:szCs w:val="32"/>
        </w:rPr>
        <w:t>202</w:t>
      </w:r>
      <w:r>
        <w:rPr>
          <w:rFonts w:hint="eastAsia" w:eastAsia="仿宋_GB2312"/>
          <w:color w:val="auto"/>
          <w:sz w:val="32"/>
          <w:szCs w:val="32"/>
          <w:lang w:val="en-US" w:eastAsia="zh-CN"/>
        </w:rPr>
        <w:t>2</w:t>
      </w:r>
      <w:r>
        <w:rPr>
          <w:rFonts w:eastAsia="仿宋_GB2312"/>
          <w:color w:val="auto"/>
          <w:sz w:val="32"/>
          <w:szCs w:val="32"/>
        </w:rPr>
        <w:t>年</w:t>
      </w:r>
      <w:r>
        <w:rPr>
          <w:rFonts w:hint="eastAsia" w:eastAsia="仿宋_GB2312"/>
          <w:color w:val="auto"/>
          <w:sz w:val="32"/>
          <w:szCs w:val="32"/>
          <w:lang w:val="en-US" w:eastAsia="zh-CN"/>
        </w:rPr>
        <w:t>12</w:t>
      </w:r>
      <w:r>
        <w:rPr>
          <w:rFonts w:eastAsia="仿宋_GB2312"/>
          <w:color w:val="auto"/>
          <w:sz w:val="32"/>
          <w:szCs w:val="32"/>
        </w:rPr>
        <w:t>月</w:t>
      </w:r>
      <w:r>
        <w:rPr>
          <w:rFonts w:hint="eastAsia" w:eastAsia="仿宋_GB2312"/>
          <w:color w:val="auto"/>
          <w:sz w:val="32"/>
          <w:szCs w:val="32"/>
          <w:lang w:val="en-US" w:eastAsia="zh-CN"/>
        </w:rPr>
        <w:t>10</w:t>
      </w:r>
      <w:r>
        <w:rPr>
          <w:rFonts w:eastAsia="仿宋_GB2312"/>
          <w:color w:val="auto"/>
          <w:sz w:val="32"/>
          <w:szCs w:val="32"/>
        </w:rPr>
        <w:t>日，</w:t>
      </w:r>
      <w:r>
        <w:rPr>
          <w:rFonts w:hint="eastAsia" w:eastAsia="仿宋_GB2312"/>
          <w:color w:val="auto"/>
          <w:sz w:val="32"/>
          <w:szCs w:val="32"/>
          <w:lang w:eastAsia="zh-CN"/>
        </w:rPr>
        <w:t>青岛新希望和润生物科技有限公司</w:t>
      </w:r>
      <w:r>
        <w:rPr>
          <w:rFonts w:eastAsia="仿宋_GB2312"/>
          <w:sz w:val="32"/>
          <w:szCs w:val="32"/>
        </w:rPr>
        <w:t>组织召开了“</w:t>
      </w:r>
      <w:r>
        <w:rPr>
          <w:rFonts w:hint="eastAsia" w:eastAsia="仿宋_GB2312"/>
          <w:sz w:val="32"/>
          <w:szCs w:val="32"/>
          <w:lang w:eastAsia="zh-CN"/>
        </w:rPr>
        <w:t>平度新希望六和动物蛋白生产项目</w:t>
      </w:r>
      <w:r>
        <w:rPr>
          <w:rFonts w:eastAsia="仿宋_GB2312"/>
          <w:sz w:val="32"/>
          <w:szCs w:val="32"/>
        </w:rPr>
        <w:t>”竣工环境保护验收会议。建设单位暨《验收监测报告》编制</w:t>
      </w:r>
      <w:r>
        <w:rPr>
          <w:rFonts w:eastAsia="仿宋_GB2312"/>
          <w:color w:val="auto"/>
          <w:sz w:val="32"/>
          <w:szCs w:val="32"/>
        </w:rPr>
        <w:t>单位组成验收组。验收组查看了项目现场、环保设施及周边环</w:t>
      </w:r>
      <w:r>
        <w:rPr>
          <w:rFonts w:eastAsia="仿宋_GB2312"/>
          <w:sz w:val="32"/>
          <w:szCs w:val="32"/>
        </w:rPr>
        <w:t>境，并根据《</w:t>
      </w:r>
      <w:r>
        <w:rPr>
          <w:rFonts w:hint="eastAsia" w:eastAsia="仿宋_GB2312"/>
          <w:sz w:val="32"/>
          <w:szCs w:val="32"/>
          <w:lang w:eastAsia="zh-CN"/>
        </w:rPr>
        <w:t>青岛新希望和润生物科技有限公司平度新希望六和动物蛋白生产项目</w:t>
      </w:r>
      <w:r>
        <w:rPr>
          <w:rFonts w:eastAsia="仿宋_GB2312"/>
          <w:sz w:val="32"/>
          <w:szCs w:val="32"/>
        </w:rPr>
        <w:t>竣工环境保护验收报告》，严格依照国家有关法律法规、建设项目阶段性竣工环境保护验收技术规范/指南、本项目环境影响评价报告表和审批部门审批决定等要求对本项目进行验收。</w:t>
      </w:r>
    </w:p>
    <w:p>
      <w:pPr>
        <w:snapToGrid w:val="0"/>
        <w:spacing w:line="560" w:lineRule="exact"/>
        <w:rPr>
          <w:rFonts w:ascii="黑体" w:hAnsi="黑体" w:eastAsia="黑体"/>
          <w:sz w:val="32"/>
          <w:szCs w:val="32"/>
        </w:rPr>
      </w:pPr>
      <w:r>
        <w:rPr>
          <w:rFonts w:hint="eastAsia" w:ascii="黑体" w:hAnsi="黑体" w:eastAsia="黑体"/>
          <w:sz w:val="32"/>
          <w:szCs w:val="32"/>
        </w:rPr>
        <w:t xml:space="preserve">     </w:t>
      </w:r>
      <w:r>
        <w:rPr>
          <w:rFonts w:ascii="黑体" w:hAnsi="黑体" w:eastAsia="黑体"/>
          <w:sz w:val="32"/>
          <w:szCs w:val="32"/>
        </w:rPr>
        <w:t>一、工程建设基本情况</w:t>
      </w:r>
    </w:p>
    <w:p>
      <w:pPr>
        <w:spacing w:line="560" w:lineRule="exact"/>
        <w:ind w:firstLine="640" w:firstLineChars="200"/>
        <w:rPr>
          <w:rFonts w:eastAsia="仿宋_GB2312"/>
          <w:sz w:val="32"/>
          <w:szCs w:val="32"/>
        </w:rPr>
      </w:pPr>
      <w:r>
        <w:rPr>
          <w:rFonts w:eastAsia="仿宋_GB2312"/>
          <w:sz w:val="32"/>
          <w:szCs w:val="32"/>
        </w:rPr>
        <w:t>1、建设地点、规模、主要建设内容</w:t>
      </w:r>
    </w:p>
    <w:p>
      <w:pPr>
        <w:spacing w:line="560" w:lineRule="exact"/>
        <w:ind w:firstLine="640" w:firstLineChars="200"/>
        <w:rPr>
          <w:rFonts w:eastAsia="仿宋_GB2312"/>
          <w:kern w:val="0"/>
          <w:sz w:val="32"/>
          <w:szCs w:val="32"/>
        </w:rPr>
      </w:pPr>
      <w:r>
        <w:rPr>
          <w:rFonts w:hint="eastAsia" w:eastAsia="仿宋_GB2312"/>
          <w:kern w:val="0"/>
          <w:sz w:val="32"/>
          <w:szCs w:val="32"/>
          <w:lang w:eastAsia="zh-CN"/>
        </w:rPr>
        <w:t>青岛新希望和润生物科技有限公司</w:t>
      </w:r>
      <w:r>
        <w:rPr>
          <w:rFonts w:eastAsia="仿宋_GB2312"/>
          <w:kern w:val="0"/>
          <w:sz w:val="32"/>
          <w:szCs w:val="32"/>
        </w:rPr>
        <w:t>位于</w:t>
      </w:r>
      <w:r>
        <w:rPr>
          <w:rFonts w:hint="eastAsia" w:eastAsia="仿宋_GB2312"/>
          <w:kern w:val="0"/>
          <w:sz w:val="32"/>
          <w:szCs w:val="32"/>
        </w:rPr>
        <w:t>青岛市平度市崔家集镇青年路北侧</w:t>
      </w:r>
      <w:r>
        <w:rPr>
          <w:rFonts w:eastAsia="仿宋_GB2312"/>
          <w:kern w:val="0"/>
          <w:sz w:val="32"/>
          <w:szCs w:val="32"/>
        </w:rPr>
        <w:t>，</w:t>
      </w:r>
      <w:r>
        <w:rPr>
          <w:rFonts w:hint="eastAsia" w:eastAsia="仿宋_GB2312"/>
          <w:kern w:val="0"/>
          <w:sz w:val="32"/>
          <w:szCs w:val="32"/>
        </w:rPr>
        <w:t>项目总占地面积16428平方米，建筑面积8721.1平方米</w:t>
      </w:r>
      <w:r>
        <w:rPr>
          <w:rFonts w:eastAsia="仿宋_GB2312"/>
          <w:kern w:val="0"/>
          <w:sz w:val="32"/>
          <w:szCs w:val="32"/>
        </w:rPr>
        <w:t>。</w:t>
      </w:r>
      <w:r>
        <w:rPr>
          <w:rFonts w:hint="eastAsia" w:eastAsia="仿宋_GB2312"/>
          <w:kern w:val="0"/>
          <w:sz w:val="32"/>
          <w:szCs w:val="32"/>
        </w:rPr>
        <w:t>年产动物蛋白3万吨、动物油脂0.6万吨</w:t>
      </w:r>
      <w:r>
        <w:rPr>
          <w:rFonts w:eastAsia="仿宋_GB2312"/>
          <w:kern w:val="0"/>
          <w:sz w:val="32"/>
          <w:szCs w:val="32"/>
        </w:rPr>
        <w:t>。</w:t>
      </w:r>
    </w:p>
    <w:p>
      <w:pPr>
        <w:spacing w:line="560" w:lineRule="exact"/>
        <w:ind w:firstLine="640" w:firstLineChars="200"/>
        <w:rPr>
          <w:rFonts w:eastAsia="仿宋_GB2312"/>
          <w:kern w:val="0"/>
          <w:sz w:val="32"/>
          <w:szCs w:val="32"/>
        </w:rPr>
      </w:pPr>
      <w:r>
        <w:rPr>
          <w:rFonts w:eastAsia="仿宋_GB2312"/>
          <w:kern w:val="0"/>
          <w:sz w:val="32"/>
          <w:szCs w:val="32"/>
        </w:rPr>
        <w:t>主要原辅材料及消耗：</w:t>
      </w:r>
      <w:r>
        <w:rPr>
          <w:rFonts w:hint="eastAsia" w:eastAsia="仿宋_GB2312"/>
          <w:kern w:val="0"/>
          <w:sz w:val="32"/>
          <w:szCs w:val="32"/>
        </w:rPr>
        <w:t>鸡架1.5</w:t>
      </w:r>
      <w:r>
        <w:rPr>
          <w:rFonts w:hint="eastAsia" w:eastAsia="仿宋_GB2312"/>
          <w:kern w:val="0"/>
          <w:sz w:val="32"/>
          <w:szCs w:val="32"/>
          <w:lang w:val="en-US" w:eastAsia="zh-CN"/>
        </w:rPr>
        <w:t>万</w:t>
      </w:r>
      <w:r>
        <w:rPr>
          <w:rFonts w:eastAsia="仿宋_GB2312"/>
          <w:kern w:val="0"/>
          <w:sz w:val="32"/>
          <w:szCs w:val="32"/>
        </w:rPr>
        <w:t>t/a、</w:t>
      </w:r>
      <w:r>
        <w:rPr>
          <w:rFonts w:hint="eastAsia" w:eastAsia="仿宋_GB2312"/>
          <w:kern w:val="0"/>
          <w:sz w:val="32"/>
          <w:szCs w:val="32"/>
        </w:rPr>
        <w:t>鸭架</w:t>
      </w:r>
      <w:r>
        <w:rPr>
          <w:rFonts w:hint="eastAsia" w:eastAsia="仿宋_GB2312"/>
          <w:kern w:val="0"/>
          <w:sz w:val="32"/>
          <w:szCs w:val="32"/>
          <w:lang w:val="en-US" w:eastAsia="zh-CN"/>
        </w:rPr>
        <w:t>4万</w:t>
      </w:r>
      <w:r>
        <w:rPr>
          <w:rFonts w:eastAsia="仿宋_GB2312"/>
          <w:kern w:val="0"/>
          <w:sz w:val="32"/>
          <w:szCs w:val="32"/>
        </w:rPr>
        <w:t>t/a、</w:t>
      </w:r>
      <w:r>
        <w:rPr>
          <w:rFonts w:hint="eastAsia" w:eastAsia="仿宋_GB2312"/>
          <w:kern w:val="0"/>
          <w:sz w:val="32"/>
          <w:szCs w:val="32"/>
        </w:rPr>
        <w:t>鸡肠</w:t>
      </w:r>
      <w:r>
        <w:rPr>
          <w:rFonts w:hint="eastAsia" w:eastAsia="仿宋_GB2312"/>
          <w:kern w:val="0"/>
          <w:sz w:val="32"/>
          <w:szCs w:val="32"/>
          <w:lang w:val="en-US" w:eastAsia="zh-CN"/>
        </w:rPr>
        <w:t>1.5万</w:t>
      </w:r>
      <w:r>
        <w:rPr>
          <w:rFonts w:eastAsia="仿宋_GB2312"/>
          <w:kern w:val="0"/>
          <w:sz w:val="32"/>
          <w:szCs w:val="32"/>
        </w:rPr>
        <w:t>t/a、</w:t>
      </w:r>
      <w:r>
        <w:rPr>
          <w:rFonts w:hint="eastAsia" w:eastAsia="仿宋_GB2312"/>
          <w:kern w:val="0"/>
          <w:sz w:val="32"/>
          <w:szCs w:val="32"/>
        </w:rPr>
        <w:t>碎皮下脚料</w:t>
      </w:r>
      <w:r>
        <w:rPr>
          <w:rFonts w:hint="eastAsia" w:eastAsia="仿宋_GB2312"/>
          <w:kern w:val="0"/>
          <w:sz w:val="32"/>
          <w:szCs w:val="32"/>
          <w:lang w:val="en-US" w:eastAsia="zh-CN"/>
        </w:rPr>
        <w:t>1万</w:t>
      </w:r>
      <w:r>
        <w:rPr>
          <w:rFonts w:eastAsia="仿宋_GB2312"/>
          <w:kern w:val="0"/>
          <w:sz w:val="32"/>
          <w:szCs w:val="32"/>
        </w:rPr>
        <w:t>t/a、</w:t>
      </w:r>
      <w:r>
        <w:rPr>
          <w:rFonts w:hint="eastAsia" w:eastAsia="仿宋_GB2312"/>
          <w:kern w:val="0"/>
          <w:sz w:val="32"/>
          <w:szCs w:val="32"/>
        </w:rPr>
        <w:t>食品抗氧化剂</w:t>
      </w:r>
      <w:r>
        <w:rPr>
          <w:rFonts w:hint="eastAsia" w:eastAsia="仿宋_GB2312"/>
          <w:kern w:val="0"/>
          <w:sz w:val="32"/>
          <w:szCs w:val="32"/>
          <w:lang w:val="en-US" w:eastAsia="zh-CN"/>
        </w:rPr>
        <w:t>3</w:t>
      </w:r>
      <w:r>
        <w:rPr>
          <w:rFonts w:eastAsia="仿宋_GB2312"/>
          <w:kern w:val="0"/>
          <w:sz w:val="32"/>
          <w:szCs w:val="32"/>
        </w:rPr>
        <w:t>t/a。</w:t>
      </w:r>
    </w:p>
    <w:p>
      <w:pPr>
        <w:spacing w:line="560" w:lineRule="exact"/>
        <w:ind w:firstLine="640" w:firstLineChars="200"/>
        <w:rPr>
          <w:rFonts w:eastAsia="仿宋_GB2312"/>
          <w:kern w:val="0"/>
          <w:sz w:val="32"/>
          <w:szCs w:val="32"/>
        </w:rPr>
      </w:pPr>
      <w:r>
        <w:rPr>
          <w:rFonts w:eastAsia="仿宋_GB2312"/>
          <w:kern w:val="0"/>
          <w:sz w:val="32"/>
          <w:szCs w:val="32"/>
        </w:rPr>
        <w:t>主要生产设备：</w:t>
      </w:r>
      <w:r>
        <w:rPr>
          <w:rFonts w:hint="eastAsia" w:eastAsia="仿宋_GB2312"/>
          <w:kern w:val="0"/>
          <w:sz w:val="32"/>
          <w:szCs w:val="32"/>
        </w:rPr>
        <w:t>撕碎机1套、原料仓2套、金属探测器1台、蒸煮机1套、压榨机1台、添加剂料仓1台、干燥机2套、水冷冷却机1套、粉碎机1套、成品粉仓1套、混合机1套、自动打包机1套、自动码垛机1套、冷却塔3台、空压机1套、加热桶1个、汁液桶2个、热水桶1个、卧式离心机1套、蛋白水桶3台、缓存方箱2台、加热器2台、6500双效浓缩1套、浓缩冷凝器1套、冷藏柜1套、蒸汽发生器1组、变压器1套、地磅1台、高压清洗机1台、离心泵8套、泥浆泵8套、齿轮泵5套、绞龙 5套、325主分气缸1台、成品储罐3个</w:t>
      </w:r>
      <w:r>
        <w:rPr>
          <w:rFonts w:eastAsia="仿宋_GB2312"/>
          <w:kern w:val="0"/>
          <w:sz w:val="32"/>
          <w:szCs w:val="32"/>
        </w:rPr>
        <w:t>。</w:t>
      </w:r>
    </w:p>
    <w:p>
      <w:pPr>
        <w:spacing w:line="560" w:lineRule="exact"/>
        <w:ind w:firstLine="640" w:firstLineChars="200"/>
        <w:rPr>
          <w:rFonts w:eastAsia="仿宋_GB2312"/>
          <w:kern w:val="0"/>
          <w:sz w:val="32"/>
          <w:szCs w:val="32"/>
        </w:rPr>
      </w:pPr>
      <w:r>
        <w:rPr>
          <w:rFonts w:eastAsia="仿宋_GB2312"/>
          <w:kern w:val="0"/>
          <w:sz w:val="32"/>
          <w:szCs w:val="32"/>
        </w:rPr>
        <w:t>环保设备与设施：</w:t>
      </w:r>
      <w:r>
        <w:rPr>
          <w:rFonts w:hint="eastAsia" w:eastAsia="仿宋_GB2312"/>
          <w:kern w:val="0"/>
          <w:sz w:val="32"/>
          <w:szCs w:val="32"/>
          <w:lang w:val="en-US" w:eastAsia="zh-CN"/>
        </w:rPr>
        <w:t>“</w:t>
      </w:r>
      <w:r>
        <w:rPr>
          <w:rFonts w:hint="eastAsia" w:eastAsia="仿宋_GB2312"/>
          <w:kern w:val="0"/>
          <w:sz w:val="32"/>
          <w:szCs w:val="32"/>
        </w:rPr>
        <w:t>三效除臭冷凝器+除臭喷淋塔+干式过滤箱+活性炭吸附箱</w:t>
      </w:r>
      <w:r>
        <w:rPr>
          <w:rFonts w:hint="eastAsia" w:eastAsia="仿宋_GB2312"/>
          <w:kern w:val="0"/>
          <w:sz w:val="32"/>
          <w:szCs w:val="32"/>
          <w:lang w:val="en-US" w:eastAsia="zh-CN"/>
        </w:rPr>
        <w:t>+P1排气筒”</w:t>
      </w:r>
      <w:r>
        <w:rPr>
          <w:rFonts w:eastAsia="仿宋_GB2312"/>
          <w:kern w:val="0"/>
          <w:sz w:val="32"/>
          <w:szCs w:val="32"/>
        </w:rPr>
        <w:t>1</w:t>
      </w:r>
      <w:r>
        <w:rPr>
          <w:rFonts w:hint="eastAsia" w:eastAsia="仿宋_GB2312"/>
          <w:kern w:val="0"/>
          <w:sz w:val="32"/>
          <w:szCs w:val="32"/>
          <w:lang w:val="en-US" w:eastAsia="zh-CN"/>
        </w:rPr>
        <w:t>套</w:t>
      </w:r>
      <w:r>
        <w:rPr>
          <w:rFonts w:eastAsia="仿宋_GB2312"/>
          <w:kern w:val="0"/>
          <w:sz w:val="32"/>
          <w:szCs w:val="32"/>
        </w:rPr>
        <w:t>、</w:t>
      </w:r>
      <w:r>
        <w:rPr>
          <w:rFonts w:hint="eastAsia" w:eastAsia="仿宋_GB2312"/>
          <w:kern w:val="0"/>
          <w:sz w:val="32"/>
          <w:szCs w:val="32"/>
          <w:lang w:eastAsia="zh-CN"/>
        </w:rPr>
        <w:t>“旋风除尘+布袋除尘</w:t>
      </w:r>
      <w:r>
        <w:rPr>
          <w:rFonts w:hint="eastAsia" w:eastAsia="仿宋_GB2312"/>
          <w:kern w:val="0"/>
          <w:sz w:val="32"/>
          <w:szCs w:val="32"/>
          <w:lang w:val="en-US" w:eastAsia="zh-CN"/>
        </w:rPr>
        <w:t>+P2排气筒</w:t>
      </w:r>
      <w:r>
        <w:rPr>
          <w:rFonts w:hint="eastAsia" w:eastAsia="仿宋_GB2312"/>
          <w:kern w:val="0"/>
          <w:sz w:val="32"/>
          <w:szCs w:val="32"/>
          <w:lang w:eastAsia="zh-CN"/>
        </w:rPr>
        <w:t>”</w:t>
      </w:r>
      <w:r>
        <w:rPr>
          <w:rFonts w:hint="eastAsia" w:eastAsia="仿宋_GB2312"/>
          <w:kern w:val="0"/>
          <w:sz w:val="32"/>
          <w:szCs w:val="32"/>
          <w:lang w:val="en-US" w:eastAsia="zh-CN"/>
        </w:rPr>
        <w:t>1套、</w:t>
      </w:r>
      <w:r>
        <w:rPr>
          <w:rFonts w:eastAsia="仿宋_GB2312"/>
          <w:kern w:val="0"/>
          <w:sz w:val="32"/>
          <w:szCs w:val="32"/>
        </w:rPr>
        <w:t>污水处理站1座、</w:t>
      </w:r>
      <w:r>
        <w:rPr>
          <w:rFonts w:hint="eastAsia" w:eastAsia="仿宋_GB2312"/>
          <w:kern w:val="0"/>
          <w:sz w:val="32"/>
          <w:szCs w:val="32"/>
          <w:lang w:val="en-US" w:eastAsia="zh-CN"/>
        </w:rPr>
        <w:t>2</w:t>
      </w:r>
      <w:r>
        <w:rPr>
          <w:rFonts w:eastAsia="仿宋_GB2312"/>
          <w:kern w:val="0"/>
          <w:sz w:val="32"/>
          <w:szCs w:val="32"/>
        </w:rPr>
        <w:t>0m</w:t>
      </w:r>
      <w:r>
        <w:rPr>
          <w:rFonts w:eastAsia="仿宋_GB2312"/>
          <w:kern w:val="0"/>
          <w:sz w:val="32"/>
          <w:szCs w:val="32"/>
          <w:vertAlign w:val="superscript"/>
        </w:rPr>
        <w:t>2</w:t>
      </w:r>
      <w:r>
        <w:rPr>
          <w:rFonts w:eastAsia="仿宋_GB2312"/>
          <w:kern w:val="0"/>
          <w:sz w:val="32"/>
          <w:szCs w:val="32"/>
        </w:rPr>
        <w:t>危废暂存间1间</w:t>
      </w:r>
      <w:r>
        <w:rPr>
          <w:rFonts w:hint="eastAsia" w:eastAsia="仿宋_GB2312"/>
          <w:kern w:val="0"/>
          <w:sz w:val="32"/>
          <w:szCs w:val="32"/>
          <w:lang w:eastAsia="zh-CN"/>
        </w:rPr>
        <w:t>、10</w:t>
      </w:r>
      <w:r>
        <w:rPr>
          <w:rFonts w:eastAsia="仿宋_GB2312"/>
          <w:kern w:val="0"/>
          <w:sz w:val="32"/>
          <w:szCs w:val="32"/>
        </w:rPr>
        <w:t>m</w:t>
      </w:r>
      <w:r>
        <w:rPr>
          <w:rFonts w:eastAsia="仿宋_GB2312"/>
          <w:kern w:val="0"/>
          <w:sz w:val="32"/>
          <w:szCs w:val="32"/>
          <w:vertAlign w:val="superscript"/>
        </w:rPr>
        <w:t>2</w:t>
      </w:r>
      <w:r>
        <w:rPr>
          <w:rFonts w:hint="eastAsia" w:eastAsia="仿宋_GB2312"/>
          <w:kern w:val="0"/>
          <w:sz w:val="32"/>
          <w:szCs w:val="32"/>
          <w:lang w:eastAsia="zh-CN"/>
        </w:rPr>
        <w:t>一般固废暂存区</w:t>
      </w:r>
      <w:r>
        <w:rPr>
          <w:rFonts w:eastAsia="仿宋_GB2312"/>
          <w:kern w:val="0"/>
          <w:sz w:val="32"/>
          <w:szCs w:val="32"/>
        </w:rPr>
        <w:t>。</w:t>
      </w:r>
    </w:p>
    <w:p>
      <w:pPr>
        <w:spacing w:line="560" w:lineRule="exact"/>
        <w:ind w:firstLine="640" w:firstLineChars="200"/>
        <w:rPr>
          <w:rFonts w:eastAsia="仿宋_GB2312"/>
          <w:color w:val="FF0000"/>
          <w:kern w:val="0"/>
          <w:sz w:val="32"/>
          <w:szCs w:val="32"/>
        </w:rPr>
      </w:pPr>
      <w:r>
        <w:rPr>
          <w:rFonts w:eastAsia="仿宋_GB2312"/>
          <w:sz w:val="32"/>
          <w:szCs w:val="32"/>
        </w:rPr>
        <w:t>2、建设过程及环保审批情况</w:t>
      </w:r>
    </w:p>
    <w:p>
      <w:pPr>
        <w:spacing w:line="560" w:lineRule="exact"/>
        <w:ind w:firstLine="640" w:firstLineChars="200"/>
        <w:rPr>
          <w:rFonts w:eastAsia="仿宋_GB2312"/>
          <w:kern w:val="0"/>
          <w:sz w:val="32"/>
          <w:szCs w:val="32"/>
        </w:rPr>
      </w:pPr>
      <w:r>
        <w:rPr>
          <w:rFonts w:hint="eastAsia" w:eastAsia="仿宋_GB2312"/>
          <w:kern w:val="0"/>
          <w:sz w:val="32"/>
          <w:szCs w:val="32"/>
        </w:rPr>
        <w:t>2021年8月，潍坊晟新项目管理有限公司编制完成《青岛新希望和润生物科技有限公司平度新希望六和动物蛋白生产项目环境影响报告表》。项目于2021年9月14日取得青岛市生态环境局平度分局审批意见，文号为平环审[2021]197号</w:t>
      </w:r>
      <w:r>
        <w:rPr>
          <w:rFonts w:eastAsia="仿宋_GB2312"/>
          <w:kern w:val="0"/>
          <w:sz w:val="32"/>
          <w:szCs w:val="32"/>
        </w:rPr>
        <w:t>。</w:t>
      </w:r>
    </w:p>
    <w:p>
      <w:pPr>
        <w:spacing w:line="560" w:lineRule="exact"/>
        <w:ind w:firstLine="640" w:firstLineChars="200"/>
        <w:rPr>
          <w:rFonts w:eastAsia="仿宋_GB2312"/>
          <w:sz w:val="32"/>
          <w:szCs w:val="32"/>
        </w:rPr>
      </w:pPr>
      <w:r>
        <w:rPr>
          <w:rFonts w:eastAsia="仿宋_GB2312"/>
          <w:sz w:val="32"/>
          <w:szCs w:val="32"/>
        </w:rPr>
        <w:t>项目于2021年1</w:t>
      </w:r>
      <w:r>
        <w:rPr>
          <w:rFonts w:hint="eastAsia" w:eastAsia="仿宋_GB2312"/>
          <w:sz w:val="32"/>
          <w:szCs w:val="32"/>
          <w:lang w:val="en-US" w:eastAsia="zh-CN"/>
        </w:rPr>
        <w:t>0</w:t>
      </w:r>
      <w:r>
        <w:rPr>
          <w:rFonts w:eastAsia="仿宋_GB2312"/>
          <w:sz w:val="32"/>
          <w:szCs w:val="32"/>
        </w:rPr>
        <w:t>月</w:t>
      </w:r>
      <w:r>
        <w:rPr>
          <w:rFonts w:hint="eastAsia" w:eastAsia="仿宋_GB2312"/>
          <w:sz w:val="32"/>
          <w:szCs w:val="32"/>
          <w:lang w:val="en-US" w:eastAsia="zh-CN"/>
        </w:rPr>
        <w:t>开工建设，2022年5月</w:t>
      </w:r>
      <w:r>
        <w:rPr>
          <w:rFonts w:eastAsia="仿宋_GB2312"/>
          <w:sz w:val="32"/>
          <w:szCs w:val="32"/>
        </w:rPr>
        <w:t>建成投产。</w:t>
      </w:r>
    </w:p>
    <w:p>
      <w:pPr>
        <w:spacing w:line="560" w:lineRule="exact"/>
        <w:ind w:firstLine="640" w:firstLineChars="200"/>
        <w:rPr>
          <w:rFonts w:eastAsia="仿宋_GB2312"/>
          <w:sz w:val="32"/>
          <w:szCs w:val="32"/>
        </w:rPr>
      </w:pPr>
      <w:r>
        <w:rPr>
          <w:rFonts w:eastAsia="仿宋_GB2312"/>
          <w:sz w:val="32"/>
          <w:szCs w:val="32"/>
        </w:rPr>
        <w:t>3、投资情况</w:t>
      </w:r>
    </w:p>
    <w:p>
      <w:pPr>
        <w:spacing w:line="560" w:lineRule="exact"/>
        <w:ind w:firstLine="640" w:firstLineChars="200"/>
        <w:rPr>
          <w:rFonts w:eastAsia="仿宋_GB2312"/>
          <w:sz w:val="32"/>
          <w:szCs w:val="32"/>
        </w:rPr>
      </w:pPr>
      <w:r>
        <w:rPr>
          <w:rFonts w:eastAsia="仿宋_GB2312"/>
          <w:sz w:val="32"/>
          <w:szCs w:val="32"/>
        </w:rPr>
        <w:t>实际项目总投资</w:t>
      </w:r>
      <w:r>
        <w:rPr>
          <w:rFonts w:hint="eastAsia" w:eastAsia="仿宋_GB2312"/>
          <w:sz w:val="32"/>
          <w:szCs w:val="32"/>
          <w:lang w:val="en-US" w:eastAsia="zh-CN"/>
        </w:rPr>
        <w:t>3905</w:t>
      </w:r>
      <w:r>
        <w:rPr>
          <w:rFonts w:eastAsia="仿宋_GB2312"/>
          <w:sz w:val="32"/>
          <w:szCs w:val="32"/>
        </w:rPr>
        <w:t>万元，其中环保投资10</w:t>
      </w:r>
      <w:r>
        <w:rPr>
          <w:rFonts w:hint="eastAsia" w:eastAsia="仿宋_GB2312"/>
          <w:sz w:val="32"/>
          <w:szCs w:val="32"/>
          <w:lang w:val="en-US" w:eastAsia="zh-CN"/>
        </w:rPr>
        <w:t>0</w:t>
      </w:r>
      <w:r>
        <w:rPr>
          <w:rFonts w:eastAsia="仿宋_GB2312"/>
          <w:sz w:val="32"/>
          <w:szCs w:val="32"/>
        </w:rPr>
        <w:t>万元，占总投资的2</w:t>
      </w:r>
      <w:r>
        <w:rPr>
          <w:rFonts w:hint="eastAsia" w:eastAsia="仿宋_GB2312"/>
          <w:sz w:val="32"/>
          <w:szCs w:val="32"/>
          <w:lang w:val="en-US" w:eastAsia="zh-CN"/>
        </w:rPr>
        <w:t>.56</w:t>
      </w:r>
      <w:r>
        <w:rPr>
          <w:rFonts w:eastAsia="仿宋_GB2312"/>
          <w:sz w:val="32"/>
          <w:szCs w:val="32"/>
        </w:rPr>
        <w:t>%。</w:t>
      </w:r>
    </w:p>
    <w:p>
      <w:pPr>
        <w:pStyle w:val="11"/>
        <w:spacing w:before="0" w:beforeAutospacing="0" w:after="0" w:afterAutospacing="0"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二、工程变动情况</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项目实际建设内容与环境影响报告表及其审批意见内容一致。</w:t>
      </w:r>
    </w:p>
    <w:p>
      <w:pPr>
        <w:pStyle w:val="17"/>
        <w:spacing w:line="560" w:lineRule="exact"/>
        <w:rPr>
          <w:rFonts w:ascii="黑体" w:hAnsi="黑体" w:eastAsia="黑体" w:cs="Times New Roman"/>
          <w:bCs/>
          <w:sz w:val="32"/>
          <w:szCs w:val="32"/>
        </w:rPr>
      </w:pPr>
      <w:r>
        <w:rPr>
          <w:rFonts w:hint="eastAsia" w:ascii="Times New Roman" w:eastAsia="仿宋_GB2312" w:cs="Times New Roman"/>
          <w:b/>
          <w:bCs/>
          <w:sz w:val="32"/>
          <w:szCs w:val="32"/>
        </w:rPr>
        <w:t xml:space="preserve"> </w:t>
      </w:r>
      <w:r>
        <w:rPr>
          <w:rFonts w:hint="eastAsia" w:ascii="黑体" w:hAnsi="黑体" w:eastAsia="黑体" w:cs="Times New Roman"/>
          <w:bCs/>
          <w:sz w:val="32"/>
          <w:szCs w:val="32"/>
        </w:rPr>
        <w:t xml:space="preserve">   </w:t>
      </w:r>
      <w:r>
        <w:rPr>
          <w:rFonts w:ascii="黑体" w:hAnsi="黑体" w:eastAsia="黑体" w:cs="Times New Roman"/>
          <w:bCs/>
          <w:sz w:val="32"/>
          <w:szCs w:val="32"/>
        </w:rPr>
        <w:t>三、环境保护设施建设情况</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1、废水</w:t>
      </w:r>
    </w:p>
    <w:p>
      <w:pPr>
        <w:spacing w:line="560" w:lineRule="exact"/>
        <w:ind w:firstLine="640" w:firstLineChars="200"/>
        <w:rPr>
          <w:rFonts w:eastAsia="仿宋_GB2312"/>
          <w:color w:val="auto"/>
          <w:sz w:val="32"/>
          <w:szCs w:val="32"/>
        </w:rPr>
      </w:pPr>
      <w:r>
        <w:rPr>
          <w:rFonts w:hint="eastAsia" w:eastAsia="仿宋_GB2312"/>
          <w:sz w:val="32"/>
          <w:szCs w:val="32"/>
        </w:rPr>
        <w:t>厂区内建设占地面积241平方米污水处理站，项目生产废水及生活废水进入厂区污水处理站处理，处理量为400m³/d，处理工艺为格栅+调节+隔油+IC+A/O生物滤池+沉淀消毒。处理后的废水经污水管网排入崔家集污水处理厂进一步处理</w:t>
      </w:r>
      <w:r>
        <w:rPr>
          <w:rFonts w:hint="eastAsia" w:eastAsia="仿宋_GB2312"/>
          <w:color w:val="auto"/>
          <w:sz w:val="32"/>
          <w:szCs w:val="32"/>
        </w:rPr>
        <w:t>。目前，由于崔家集污水处理厂还未投入运行，废水暂时存储于厂区的废水</w:t>
      </w:r>
      <w:r>
        <w:rPr>
          <w:rFonts w:hint="eastAsia" w:eastAsia="仿宋_GB2312"/>
          <w:color w:val="auto"/>
          <w:sz w:val="32"/>
          <w:szCs w:val="32"/>
          <w:lang w:val="en-US" w:eastAsia="zh-CN"/>
        </w:rPr>
        <w:t>暂存罐</w:t>
      </w:r>
      <w:r>
        <w:rPr>
          <w:rFonts w:hint="eastAsia" w:eastAsia="仿宋_GB2312"/>
          <w:color w:val="auto"/>
          <w:sz w:val="32"/>
          <w:szCs w:val="32"/>
        </w:rPr>
        <w:t>中</w:t>
      </w:r>
      <w:r>
        <w:rPr>
          <w:rFonts w:eastAsia="仿宋_GB2312"/>
          <w:color w:val="auto"/>
          <w:sz w:val="32"/>
          <w:szCs w:val="32"/>
        </w:rPr>
        <w:t>。</w:t>
      </w:r>
    </w:p>
    <w:p>
      <w:pPr>
        <w:pStyle w:val="17"/>
        <w:numPr>
          <w:ilvl w:val="0"/>
          <w:numId w:val="2"/>
        </w:numPr>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废气</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蒸煮废气、压榨废气、干燥废气、油水预处理废气经密闭管线引入双效冷凝器冷凝，双效冷凝器不凝废气经密闭管线收集输送至除臭系统（三效除臭冷凝器+除臭喷淋塔+干式过滤箱+活性炭吸附箱）处理后经排气筒P1排放。</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撕碎废气、车间臭气收集后经除臭系统（三效除臭冷凝器+除臭喷淋塔+干式过滤箱+活性炭吸附箱）处理通过15米高排气筒P1排放。</w:t>
      </w:r>
      <w:bookmarkStart w:id="0" w:name="_GoBack"/>
      <w:bookmarkEnd w:id="0"/>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包装废气经集气罩收集，包装废气经旋风除尘+布袋除尘处理后通过15m高的排气筒P1排放。</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污水处理站密闭设置，在污水处理站地上部分设置集气管道等设施，对污水处理站产生的臭气进行集中收集，污水处理站废气经二级活性炭吸附装置处理后通过15m高的排气筒P2排放。</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蒸汽发生器采用低氮燃烧技术，燃烧废气经排气筒P3排放。</w:t>
      </w:r>
    </w:p>
    <w:p>
      <w:pPr>
        <w:pStyle w:val="17"/>
        <w:spacing w:line="560" w:lineRule="exact"/>
        <w:ind w:firstLine="640" w:firstLineChars="200"/>
        <w:rPr>
          <w:rFonts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项目生产车间密闭，门、窗户采用密封条密封，车间出入口加装风幕，项目生产时车间将门、窗关闭，实行全封闭，同时通过给排风系统使整个车间形成微负压，防止臭气外溢</w:t>
      </w:r>
      <w:r>
        <w:rPr>
          <w:rFonts w:ascii="Times New Roman" w:eastAsia="仿宋_GB2312" w:cs="Times New Roman"/>
          <w:color w:val="auto"/>
          <w:kern w:val="2"/>
          <w:sz w:val="32"/>
          <w:szCs w:val="32"/>
        </w:rPr>
        <w:t>。</w:t>
      </w:r>
    </w:p>
    <w:p>
      <w:pPr>
        <w:pStyle w:val="17"/>
        <w:numPr>
          <w:ilvl w:val="0"/>
          <w:numId w:val="2"/>
        </w:numPr>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噪声</w:t>
      </w:r>
    </w:p>
    <w:p>
      <w:pPr>
        <w:spacing w:line="560" w:lineRule="exact"/>
        <w:ind w:firstLine="640" w:firstLineChars="200"/>
        <w:rPr>
          <w:rFonts w:eastAsia="仿宋_GB2312"/>
          <w:sz w:val="32"/>
          <w:szCs w:val="32"/>
        </w:rPr>
      </w:pPr>
      <w:r>
        <w:rPr>
          <w:rFonts w:eastAsia="仿宋_GB2312"/>
          <w:sz w:val="32"/>
          <w:szCs w:val="32"/>
        </w:rPr>
        <w:t>采取选用低噪声设备，</w:t>
      </w:r>
      <w:r>
        <w:rPr>
          <w:rFonts w:hint="eastAsia" w:eastAsia="仿宋_GB2312"/>
          <w:sz w:val="32"/>
          <w:szCs w:val="32"/>
        </w:rPr>
        <w:t>设备加减振垫、车间隔音</w:t>
      </w:r>
      <w:r>
        <w:rPr>
          <w:rFonts w:eastAsia="仿宋_GB2312"/>
          <w:sz w:val="32"/>
          <w:szCs w:val="32"/>
        </w:rPr>
        <w:t>。</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4、固体废物</w:t>
      </w:r>
    </w:p>
    <w:p>
      <w:pPr>
        <w:pStyle w:val="17"/>
        <w:spacing w:line="560" w:lineRule="exact"/>
        <w:ind w:firstLine="640" w:firstLineChars="200"/>
        <w:rPr>
          <w:rFonts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废包装材料、污水处理站产生的污泥、格栅渣、隔油池废油，除尘器尘渣、废离子交换树脂集中收集由相关物资回收单位回收利用</w:t>
      </w:r>
      <w:r>
        <w:rPr>
          <w:rFonts w:ascii="Times New Roman" w:eastAsia="仿宋_GB2312" w:cs="Times New Roman"/>
          <w:color w:val="auto"/>
          <w:kern w:val="2"/>
          <w:sz w:val="32"/>
          <w:szCs w:val="32"/>
        </w:rPr>
        <w:t>；</w:t>
      </w:r>
      <w:r>
        <w:rPr>
          <w:rFonts w:hint="eastAsia" w:ascii="Times New Roman" w:eastAsia="仿宋_GB2312" w:cs="Times New Roman"/>
          <w:color w:val="auto"/>
          <w:kern w:val="2"/>
          <w:sz w:val="32"/>
          <w:szCs w:val="32"/>
        </w:rPr>
        <w:t>原料区设危废间1座（20m</w:t>
      </w:r>
      <w:r>
        <w:rPr>
          <w:rFonts w:hint="eastAsia" w:ascii="Times New Roman" w:eastAsia="仿宋_GB2312" w:cs="Times New Roman"/>
          <w:color w:val="auto"/>
          <w:kern w:val="2"/>
          <w:sz w:val="32"/>
          <w:szCs w:val="32"/>
          <w:vertAlign w:val="superscript"/>
        </w:rPr>
        <w:t>2</w:t>
      </w:r>
      <w:r>
        <w:rPr>
          <w:rFonts w:hint="eastAsia" w:ascii="Times New Roman" w:eastAsia="仿宋_GB2312" w:cs="Times New Roman"/>
          <w:color w:val="auto"/>
          <w:kern w:val="2"/>
          <w:sz w:val="32"/>
          <w:szCs w:val="32"/>
        </w:rPr>
        <w:t>）</w:t>
      </w:r>
      <w:r>
        <w:rPr>
          <w:rFonts w:hint="eastAsia" w:ascii="Times New Roman" w:eastAsia="仿宋_GB2312" w:cs="Times New Roman"/>
          <w:color w:val="auto"/>
          <w:kern w:val="2"/>
          <w:sz w:val="32"/>
          <w:szCs w:val="32"/>
          <w:lang w:eastAsia="zh-CN"/>
        </w:rPr>
        <w:t>，</w:t>
      </w:r>
      <w:r>
        <w:rPr>
          <w:rFonts w:hint="eastAsia" w:ascii="Times New Roman" w:eastAsia="仿宋_GB2312" w:cs="Times New Roman"/>
          <w:color w:val="auto"/>
          <w:kern w:val="2"/>
          <w:sz w:val="32"/>
          <w:szCs w:val="32"/>
          <w:lang w:val="en-US" w:eastAsia="zh-CN"/>
        </w:rPr>
        <w:t>废活性炭、废润滑油、废润滑油桶</w:t>
      </w:r>
      <w:r>
        <w:rPr>
          <w:rFonts w:ascii="Times New Roman" w:eastAsia="仿宋_GB2312" w:cs="Times New Roman"/>
          <w:color w:val="auto"/>
          <w:kern w:val="2"/>
          <w:sz w:val="32"/>
          <w:szCs w:val="32"/>
        </w:rPr>
        <w:t>分类收集暂存，</w:t>
      </w:r>
      <w:r>
        <w:rPr>
          <w:rFonts w:hint="eastAsia" w:ascii="Times New Roman" w:eastAsia="仿宋_GB2312" w:cs="Times New Roman"/>
          <w:color w:val="auto"/>
          <w:kern w:val="2"/>
          <w:sz w:val="32"/>
          <w:szCs w:val="32"/>
        </w:rPr>
        <w:t>委托青岛海湾新材料科技有限公司处置</w:t>
      </w:r>
      <w:r>
        <w:rPr>
          <w:rFonts w:ascii="Times New Roman" w:eastAsia="仿宋_GB2312" w:cs="Times New Roman"/>
          <w:color w:val="auto"/>
          <w:kern w:val="2"/>
          <w:sz w:val="32"/>
          <w:szCs w:val="32"/>
        </w:rPr>
        <w:t>。</w:t>
      </w:r>
    </w:p>
    <w:p>
      <w:pPr>
        <w:pStyle w:val="17"/>
        <w:spacing w:line="560" w:lineRule="exact"/>
        <w:ind w:firstLine="640" w:firstLineChars="200"/>
        <w:rPr>
          <w:rFonts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生活垃圾由环卫部门定期清运处理。</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5、排污许可</w:t>
      </w:r>
    </w:p>
    <w:p>
      <w:pPr>
        <w:pStyle w:val="17"/>
        <w:spacing w:line="560" w:lineRule="exact"/>
        <w:ind w:left="420" w:leftChars="200"/>
        <w:rPr>
          <w:rFonts w:ascii="Times New Roman" w:eastAsia="仿宋_GB2312" w:cs="Times New Roman"/>
          <w:color w:val="auto"/>
          <w:kern w:val="2"/>
          <w:sz w:val="32"/>
          <w:szCs w:val="32"/>
        </w:rPr>
      </w:pPr>
      <w:r>
        <w:rPr>
          <w:rFonts w:hint="eastAsia" w:ascii="Times New Roman" w:eastAsia="仿宋_GB2312" w:cs="Times New Roman"/>
          <w:kern w:val="2"/>
          <w:sz w:val="32"/>
          <w:szCs w:val="32"/>
        </w:rPr>
        <w:t>2022年9月取得排污许可</w:t>
      </w:r>
      <w:r>
        <w:rPr>
          <w:rFonts w:hint="eastAsia" w:ascii="Times New Roman" w:eastAsia="仿宋_GB2312" w:cs="Times New Roman"/>
          <w:kern w:val="2"/>
          <w:sz w:val="32"/>
          <w:szCs w:val="32"/>
          <w:lang w:val="en-US" w:eastAsia="zh-CN"/>
        </w:rPr>
        <w:t>证</w:t>
      </w:r>
      <w:r>
        <w:rPr>
          <w:rFonts w:hint="eastAsia" w:ascii="Times New Roman" w:eastAsia="仿宋_GB2312" w:cs="Times New Roman"/>
          <w:kern w:val="2"/>
          <w:sz w:val="32"/>
          <w:szCs w:val="32"/>
          <w:lang w:eastAsia="zh-CN"/>
        </w:rPr>
        <w:t>（</w:t>
      </w:r>
      <w:r>
        <w:rPr>
          <w:rFonts w:hint="eastAsia" w:ascii="Times New Roman" w:eastAsia="仿宋_GB2312" w:cs="Times New Roman"/>
          <w:kern w:val="2"/>
          <w:sz w:val="32"/>
          <w:szCs w:val="32"/>
        </w:rPr>
        <w:t>91370283MA94989M53001Z</w:t>
      </w:r>
      <w:r>
        <w:rPr>
          <w:rFonts w:hint="eastAsia" w:ascii="Times New Roman" w:eastAsia="仿宋_GB2312" w:cs="Times New Roman"/>
          <w:kern w:val="2"/>
          <w:sz w:val="32"/>
          <w:szCs w:val="32"/>
          <w:lang w:eastAsia="zh-CN"/>
        </w:rPr>
        <w:t>）</w:t>
      </w:r>
      <w:r>
        <w:rPr>
          <w:rFonts w:ascii="Times New Roman" w:eastAsia="仿宋_GB2312" w:cs="Times New Roman"/>
          <w:kern w:val="2"/>
          <w:sz w:val="32"/>
          <w:szCs w:val="32"/>
        </w:rPr>
        <w:t>。</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四、环境保护设施调试效果</w:t>
      </w:r>
    </w:p>
    <w:p>
      <w:pPr>
        <w:pStyle w:val="17"/>
        <w:spacing w:line="560" w:lineRule="exact"/>
        <w:ind w:firstLine="632" w:firstLineChars="200"/>
        <w:rPr>
          <w:rFonts w:ascii="Times New Roman" w:eastAsia="仿宋_GB2312" w:cs="Times New Roman"/>
          <w:color w:val="auto"/>
          <w:kern w:val="2"/>
          <w:sz w:val="32"/>
          <w:szCs w:val="32"/>
        </w:rPr>
      </w:pPr>
      <w:r>
        <w:rPr>
          <w:rFonts w:hint="eastAsia" w:ascii="Times New Roman" w:eastAsia="仿宋_GB2312" w:cs="Times New Roman"/>
          <w:color w:val="auto"/>
          <w:spacing w:val="-2"/>
          <w:sz w:val="32"/>
          <w:szCs w:val="32"/>
        </w:rPr>
        <w:t>山东潍州检测有限公司</w:t>
      </w:r>
      <w:r>
        <w:rPr>
          <w:rFonts w:ascii="Times New Roman" w:eastAsia="仿宋_GB2312" w:cs="Times New Roman"/>
          <w:color w:val="auto"/>
          <w:spacing w:val="-2"/>
          <w:sz w:val="32"/>
          <w:szCs w:val="32"/>
        </w:rPr>
        <w:t>检测报告（优邦（H检）字20210854号）</w:t>
      </w:r>
      <w:r>
        <w:rPr>
          <w:rFonts w:ascii="Times New Roman" w:eastAsia="仿宋_GB2312" w:cs="Times New Roman"/>
          <w:color w:val="auto"/>
          <w:kern w:val="2"/>
          <w:sz w:val="32"/>
          <w:szCs w:val="32"/>
        </w:rPr>
        <w:t>表明，验收监测期间：</w:t>
      </w:r>
    </w:p>
    <w:p>
      <w:pPr>
        <w:adjustRightInd w:val="0"/>
        <w:spacing w:line="560" w:lineRule="exact"/>
        <w:ind w:firstLine="640" w:firstLineChars="200"/>
        <w:rPr>
          <w:rFonts w:eastAsia="仿宋_GB2312"/>
          <w:sz w:val="32"/>
          <w:szCs w:val="32"/>
        </w:rPr>
      </w:pPr>
      <w:r>
        <w:rPr>
          <w:rFonts w:hint="eastAsia" w:eastAsia="仿宋_GB2312"/>
          <w:sz w:val="32"/>
          <w:szCs w:val="32"/>
        </w:rPr>
        <w:t>1、</w:t>
      </w:r>
      <w:r>
        <w:rPr>
          <w:rFonts w:eastAsia="仿宋_GB2312"/>
          <w:spacing w:val="-2"/>
          <w:sz w:val="32"/>
          <w:szCs w:val="32"/>
        </w:rPr>
        <w:t>项目废水排放满足《污水排入城镇下水道水质标准》（GB/T31962-2015）表 1中 B 等级标准限值要求</w:t>
      </w:r>
      <w:r>
        <w:rPr>
          <w:rFonts w:eastAsia="仿宋_GB2312"/>
          <w:sz w:val="32"/>
          <w:szCs w:val="32"/>
        </w:rPr>
        <w:t>。</w:t>
      </w:r>
    </w:p>
    <w:p>
      <w:pPr>
        <w:spacing w:line="560" w:lineRule="exact"/>
        <w:ind w:firstLine="640" w:firstLineChars="200"/>
        <w:rPr>
          <w:rFonts w:hint="eastAsia" w:eastAsia="仿宋_GB2312"/>
          <w:sz w:val="32"/>
          <w:szCs w:val="32"/>
        </w:rPr>
      </w:pPr>
      <w:r>
        <w:rPr>
          <w:rFonts w:hint="eastAsia" w:eastAsia="仿宋_GB2312"/>
          <w:sz w:val="32"/>
          <w:szCs w:val="32"/>
        </w:rPr>
        <w:t>2、排气筒 P1的颗粒物有组织排放浓度满足《区域性大气污染物综合排放标准》（DB37/2376-2019）表1重点控制区标准排放浓度限值；排放速率满足《大气污染物综合排放标准》（GB16297-1996）表2中二级标准要求。</w:t>
      </w:r>
    </w:p>
    <w:p>
      <w:pPr>
        <w:spacing w:line="560" w:lineRule="exact"/>
        <w:ind w:firstLine="640" w:firstLineChars="200"/>
        <w:rPr>
          <w:rFonts w:hint="eastAsia" w:eastAsia="仿宋_GB2312"/>
          <w:sz w:val="32"/>
          <w:szCs w:val="32"/>
        </w:rPr>
      </w:pPr>
      <w:r>
        <w:rPr>
          <w:rFonts w:hint="eastAsia" w:eastAsia="仿宋_GB2312"/>
          <w:sz w:val="32"/>
          <w:szCs w:val="32"/>
        </w:rPr>
        <w:t>排气筒 P1的挥发性有机物（油烟）有组织排放浓度、排放速率满足《挥发性有机物排放标准 第7部分：其它行业》（DB37/2801.7-2019）中表1标准要求。</w:t>
      </w:r>
    </w:p>
    <w:p>
      <w:pPr>
        <w:spacing w:line="560" w:lineRule="exact"/>
        <w:ind w:firstLine="640" w:firstLineChars="200"/>
        <w:rPr>
          <w:rFonts w:hint="eastAsia" w:eastAsia="仿宋_GB2312"/>
          <w:sz w:val="32"/>
          <w:szCs w:val="32"/>
        </w:rPr>
      </w:pPr>
      <w:r>
        <w:rPr>
          <w:rFonts w:hint="eastAsia" w:eastAsia="仿宋_GB2312"/>
          <w:sz w:val="32"/>
          <w:szCs w:val="32"/>
        </w:rPr>
        <w:t>排气筒 P1、P2的硫化氢、氨臭气浓度有组织排放满足《恶臭污染物排放标准》（GB14554-93）表2中限值要求。</w:t>
      </w:r>
    </w:p>
    <w:p>
      <w:pPr>
        <w:spacing w:line="560" w:lineRule="exact"/>
        <w:ind w:firstLine="640" w:firstLineChars="200"/>
        <w:rPr>
          <w:rFonts w:hint="eastAsia" w:eastAsia="仿宋_GB2312"/>
          <w:sz w:val="32"/>
          <w:szCs w:val="32"/>
        </w:rPr>
      </w:pPr>
      <w:r>
        <w:rPr>
          <w:rFonts w:hint="eastAsia" w:eastAsia="仿宋_GB2312"/>
          <w:sz w:val="32"/>
          <w:szCs w:val="32"/>
        </w:rPr>
        <w:t>天然气燃烧废气排气筒 P3排放的颗粒物、二氧化硫、氮氧化物、烟气林格曼黑度满足《锅炉大气污染物排放标准》（DB37/2374-2018）表2中重点控制区标准要求。</w:t>
      </w:r>
    </w:p>
    <w:p>
      <w:pPr>
        <w:spacing w:line="560" w:lineRule="exact"/>
        <w:ind w:firstLine="640" w:firstLineChars="200"/>
        <w:rPr>
          <w:rFonts w:eastAsia="仿宋_GB2312"/>
          <w:sz w:val="32"/>
          <w:szCs w:val="32"/>
        </w:rPr>
      </w:pPr>
      <w:r>
        <w:rPr>
          <w:rFonts w:hint="eastAsia" w:eastAsia="仿宋_GB2312"/>
          <w:sz w:val="32"/>
          <w:szCs w:val="32"/>
        </w:rPr>
        <w:t>颗粒物无组织排放厂界监控浓度满足《大气污染物综合排放标准》（GB16297-1996）表2中无组织排放监控浓度限值要求。挥发性有机物无组织排放厂界监控浓度满足《挥发性有机物排放标准第7部分：其他行业》（DB37/2801.7-2019）表2中厂界监控点浓度限值要求。无组织排放的氨、硫化氢满足《恶臭污染物排放标准》（GB14554-93）表1中二级标准限值要求。厂界无组织排放臭气浓度按摩足《挥发性有机物排放标准第7部分：其他行业》（DB37/2801.7-2019）表2中厂界监控点浓度限值要求。厂区内挥发性有机物无组织排放监控点浓度执行《挥发性有机物无组织排放控制标准》（GB37822-2019）附录A表A.1中特别排放限值</w:t>
      </w:r>
      <w:r>
        <w:rPr>
          <w:rFonts w:eastAsia="仿宋_GB2312"/>
          <w:sz w:val="32"/>
          <w:szCs w:val="32"/>
        </w:rPr>
        <w:t>。</w:t>
      </w:r>
    </w:p>
    <w:p>
      <w:pPr>
        <w:spacing w:line="560" w:lineRule="exact"/>
        <w:ind w:firstLine="640" w:firstLineChars="200"/>
        <w:outlineLvl w:val="1"/>
        <w:rPr>
          <w:rFonts w:eastAsia="仿宋_GB2312"/>
          <w:sz w:val="32"/>
          <w:szCs w:val="32"/>
        </w:rPr>
      </w:pPr>
      <w:r>
        <w:rPr>
          <w:rFonts w:hint="eastAsia" w:eastAsia="仿宋_GB2312"/>
          <w:sz w:val="32"/>
          <w:szCs w:val="32"/>
        </w:rPr>
        <w:t>3、</w:t>
      </w:r>
      <w:r>
        <w:rPr>
          <w:rFonts w:eastAsia="仿宋_GB2312"/>
          <w:sz w:val="32"/>
          <w:szCs w:val="32"/>
        </w:rPr>
        <w:t>厂界噪声满足《工业企业厂界环境噪声排放标准》（GB 12348-2008）中的2类声环境功能区标准。</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五</w:t>
      </w:r>
      <w:r>
        <w:rPr>
          <w:rFonts w:hint="eastAsia" w:ascii="黑体" w:hAnsi="黑体" w:eastAsia="黑体"/>
          <w:sz w:val="32"/>
          <w:szCs w:val="32"/>
        </w:rPr>
        <w:t>、</w:t>
      </w:r>
      <w:r>
        <w:rPr>
          <w:rFonts w:ascii="黑体" w:hAnsi="黑体" w:eastAsia="黑体"/>
          <w:sz w:val="32"/>
          <w:szCs w:val="32"/>
        </w:rPr>
        <w:t>验收监测结论</w:t>
      </w:r>
    </w:p>
    <w:p>
      <w:pPr>
        <w:pStyle w:val="18"/>
        <w:widowControl w:val="0"/>
        <w:adjustRightInd w:val="0"/>
        <w:spacing w:before="0" w:beforeAutospacing="0" w:after="0" w:afterAutospacing="0" w:line="560" w:lineRule="exact"/>
        <w:ind w:firstLine="640" w:firstLineChars="200"/>
        <w:jc w:val="both"/>
        <w:outlineLvl w:val="0"/>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验收组经现场检查并审阅有关资料，经认真讨论，认为</w:t>
      </w:r>
      <w:r>
        <w:rPr>
          <w:rFonts w:hint="eastAsia" w:ascii="Times New Roman" w:hAnsi="Times New Roman" w:eastAsia="仿宋_GB2312" w:cs="Times New Roman"/>
          <w:kern w:val="2"/>
          <w:sz w:val="32"/>
          <w:szCs w:val="32"/>
          <w:lang w:eastAsia="zh-CN"/>
        </w:rPr>
        <w:t>青岛新希望和润生物科技有限公司平度新希望六和动物蛋白生产项目</w:t>
      </w:r>
      <w:r>
        <w:rPr>
          <w:rFonts w:ascii="Times New Roman" w:hAnsi="Times New Roman" w:eastAsia="仿宋_GB2312" w:cs="Times New Roman"/>
          <w:kern w:val="2"/>
          <w:sz w:val="32"/>
          <w:szCs w:val="32"/>
        </w:rPr>
        <w:t>，环评审批手续齐全，主要污染防治设施已建成，验收监测结果合格，通过竣工环保验收。</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六</w:t>
      </w:r>
      <w:r>
        <w:rPr>
          <w:rFonts w:hint="eastAsia" w:ascii="黑体" w:hAnsi="黑体" w:eastAsia="黑体"/>
          <w:sz w:val="32"/>
          <w:szCs w:val="32"/>
        </w:rPr>
        <w:t>、</w:t>
      </w:r>
      <w:r>
        <w:rPr>
          <w:rFonts w:ascii="黑体" w:hAnsi="黑体" w:eastAsia="黑体"/>
          <w:sz w:val="32"/>
          <w:szCs w:val="32"/>
        </w:rPr>
        <w:t>建议和要求</w:t>
      </w:r>
    </w:p>
    <w:p>
      <w:pPr>
        <w:spacing w:line="560" w:lineRule="exact"/>
        <w:ind w:firstLine="640" w:firstLineChars="200"/>
        <w:outlineLvl w:val="1"/>
        <w:rPr>
          <w:rFonts w:eastAsia="仿宋_GB2312"/>
          <w:sz w:val="32"/>
          <w:szCs w:val="32"/>
        </w:rPr>
      </w:pPr>
      <w:r>
        <w:rPr>
          <w:rFonts w:eastAsia="仿宋_GB2312"/>
          <w:sz w:val="32"/>
          <w:szCs w:val="32"/>
        </w:rPr>
        <w:t>1、加强对废水、废气污染防治设施运行、维护的管理，确保废水、废气污染物稳定达标排放。</w:t>
      </w:r>
    </w:p>
    <w:p>
      <w:pPr>
        <w:spacing w:line="560" w:lineRule="exact"/>
        <w:ind w:firstLine="640" w:firstLineChars="200"/>
        <w:outlineLvl w:val="1"/>
        <w:rPr>
          <w:rFonts w:eastAsia="仿宋_GB2312"/>
          <w:sz w:val="32"/>
          <w:szCs w:val="32"/>
        </w:rPr>
      </w:pPr>
      <w:r>
        <w:rPr>
          <w:rFonts w:eastAsia="仿宋_GB2312"/>
          <w:sz w:val="32"/>
          <w:szCs w:val="32"/>
        </w:rPr>
        <w:t>2、按《排污单位自行监测技术指南-总则》（HJ819-2017）要求，自主进行污染源监测，并做好记录。</w:t>
      </w:r>
    </w:p>
    <w:p>
      <w:pPr>
        <w:spacing w:line="560" w:lineRule="exact"/>
        <w:ind w:firstLine="640" w:firstLineChars="200"/>
        <w:outlineLvl w:val="1"/>
        <w:rPr>
          <w:rFonts w:eastAsia="仿宋_GB2312"/>
          <w:sz w:val="32"/>
          <w:szCs w:val="32"/>
        </w:rPr>
      </w:pPr>
      <w:r>
        <w:rPr>
          <w:rFonts w:eastAsia="仿宋_GB2312"/>
          <w:sz w:val="32"/>
          <w:szCs w:val="32"/>
        </w:rPr>
        <w:t>3、规范危险废物收集、暂存和处置管理，做好台账记录。</w:t>
      </w:r>
    </w:p>
    <w:p>
      <w:pPr>
        <w:pStyle w:val="11"/>
        <w:spacing w:before="0" w:beforeAutospacing="0" w:after="0" w:afterAutospacing="0" w:line="560" w:lineRule="exact"/>
        <w:ind w:firstLine="636" w:firstLineChars="199"/>
        <w:rPr>
          <w:rFonts w:eastAsia="仿宋_GB2312"/>
          <w:bCs/>
          <w:kern w:val="2"/>
          <w:sz w:val="32"/>
          <w:szCs w:val="32"/>
        </w:rPr>
      </w:pPr>
    </w:p>
    <w:p>
      <w:pPr>
        <w:spacing w:line="560" w:lineRule="exact"/>
        <w:jc w:val="right"/>
        <w:rPr>
          <w:rFonts w:eastAsia="仿宋_GB2312"/>
          <w:color w:val="000000"/>
          <w:sz w:val="32"/>
          <w:szCs w:val="32"/>
        </w:rPr>
      </w:pPr>
    </w:p>
    <w:p>
      <w:pPr>
        <w:pStyle w:val="17"/>
        <w:spacing w:line="560" w:lineRule="exact"/>
        <w:rPr>
          <w:rFonts w:ascii="Times New Roman"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8"/>
        <w:spacing w:before="0" w:beforeAutospacing="0" w:after="0" w:afterAutospacing="0" w:line="560" w:lineRule="exact"/>
        <w:jc w:val="both"/>
        <w:outlineLvl w:val="0"/>
        <w:rPr>
          <w:rFonts w:ascii="黑体" w:hAnsi="黑体" w:eastAsia="黑体" w:cs="仿宋"/>
          <w:sz w:val="32"/>
          <w:szCs w:val="32"/>
        </w:rPr>
      </w:pPr>
      <w:r>
        <w:rPr>
          <w:rFonts w:hint="eastAsia" w:ascii="黑体" w:hAnsi="黑体" w:eastAsia="黑体" w:cs="Times New Roman"/>
          <w:kern w:val="2"/>
          <w:sz w:val="32"/>
          <w:szCs w:val="32"/>
        </w:rPr>
        <w:t>七、验收人员信息</w:t>
      </w:r>
    </w:p>
    <w:tbl>
      <w:tblPr>
        <w:tblStyle w:val="13"/>
        <w:tblW w:w="832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1" w:type="dxa"/>
          <w:bottom w:w="0" w:type="dxa"/>
          <w:right w:w="51" w:type="dxa"/>
        </w:tblCellMar>
      </w:tblPr>
      <w:tblGrid>
        <w:gridCol w:w="1572"/>
        <w:gridCol w:w="1264"/>
        <w:gridCol w:w="2847"/>
        <w:gridCol w:w="1205"/>
        <w:gridCol w:w="14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类别</w:t>
            </w:r>
          </w:p>
        </w:tc>
        <w:tc>
          <w:tcPr>
            <w:tcW w:w="1264"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姓  名</w:t>
            </w:r>
          </w:p>
        </w:tc>
        <w:tc>
          <w:tcPr>
            <w:tcW w:w="2847"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单      位</w:t>
            </w:r>
          </w:p>
        </w:tc>
        <w:tc>
          <w:tcPr>
            <w:tcW w:w="1205"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职务/</w:t>
            </w:r>
          </w:p>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职称</w:t>
            </w:r>
          </w:p>
        </w:tc>
        <w:tc>
          <w:tcPr>
            <w:tcW w:w="1437"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签  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验收负责人/建设</w:t>
            </w:r>
          </w:p>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单位</w:t>
            </w:r>
          </w:p>
        </w:tc>
        <w:tc>
          <w:tcPr>
            <w:tcW w:w="1264" w:type="dxa"/>
            <w:vAlign w:val="center"/>
          </w:tcPr>
          <w:p>
            <w:pPr>
              <w:snapToGrid w:val="0"/>
              <w:spacing w:line="360" w:lineRule="exact"/>
              <w:jc w:val="center"/>
              <w:rPr>
                <w:rFonts w:ascii="宋体" w:hAnsi="宋体" w:cs="宋体"/>
                <w:snapToGrid w:val="0"/>
                <w:kern w:val="0"/>
                <w:sz w:val="32"/>
                <w:szCs w:val="32"/>
                <w:lang w:bidi="he-IL"/>
              </w:rPr>
            </w:pPr>
          </w:p>
        </w:tc>
        <w:tc>
          <w:tcPr>
            <w:tcW w:w="2847" w:type="dxa"/>
            <w:vAlign w:val="center"/>
          </w:tcPr>
          <w:p>
            <w:pPr>
              <w:snapToGrid w:val="0"/>
              <w:spacing w:line="360" w:lineRule="exact"/>
              <w:jc w:val="center"/>
              <w:rPr>
                <w:rFonts w:hint="eastAsia" w:ascii="宋体" w:hAnsi="宋体" w:eastAsia="宋体" w:cs="宋体"/>
                <w:bCs/>
                <w:sz w:val="30"/>
                <w:szCs w:val="30"/>
                <w:lang w:eastAsia="zh-CN"/>
              </w:rPr>
            </w:pPr>
            <w:r>
              <w:rPr>
                <w:rFonts w:hint="eastAsia" w:ascii="宋体" w:hAnsi="宋体" w:cs="宋体"/>
                <w:bCs/>
                <w:sz w:val="30"/>
                <w:szCs w:val="30"/>
                <w:lang w:eastAsia="zh-CN"/>
              </w:rPr>
              <w:t>青岛新希望和润生物科技有限公司</w:t>
            </w:r>
          </w:p>
        </w:tc>
        <w:tc>
          <w:tcPr>
            <w:tcW w:w="1205" w:type="dxa"/>
            <w:vAlign w:val="center"/>
          </w:tcPr>
          <w:p>
            <w:pPr>
              <w:snapToGrid w:val="0"/>
              <w:spacing w:line="360" w:lineRule="exact"/>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总经理</w:t>
            </w: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877" w:hRule="atLeast"/>
          <w:jc w:val="center"/>
        </w:trPr>
        <w:tc>
          <w:tcPr>
            <w:tcW w:w="1572" w:type="dxa"/>
            <w:vAlign w:val="center"/>
          </w:tcPr>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验收监测报告编制单位</w:t>
            </w:r>
          </w:p>
        </w:tc>
        <w:tc>
          <w:tcPr>
            <w:tcW w:w="1264" w:type="dxa"/>
            <w:vAlign w:val="center"/>
          </w:tcPr>
          <w:p>
            <w:pPr>
              <w:snapToGrid w:val="0"/>
              <w:spacing w:line="360" w:lineRule="exact"/>
              <w:jc w:val="center"/>
              <w:rPr>
                <w:rFonts w:ascii="宋体" w:hAnsi="宋体" w:cs="宋体"/>
                <w:snapToGrid w:val="0"/>
                <w:kern w:val="0"/>
                <w:sz w:val="32"/>
                <w:szCs w:val="32"/>
                <w:lang w:val="en-GB" w:bidi="he-IL"/>
              </w:rPr>
            </w:pPr>
          </w:p>
        </w:tc>
        <w:tc>
          <w:tcPr>
            <w:tcW w:w="2847" w:type="dxa"/>
            <w:vAlign w:val="center"/>
          </w:tcPr>
          <w:p>
            <w:pPr>
              <w:snapToGrid w:val="0"/>
              <w:spacing w:line="360" w:lineRule="exact"/>
              <w:jc w:val="center"/>
              <w:rPr>
                <w:rFonts w:hint="eastAsia" w:ascii="宋体" w:hAnsi="宋体" w:eastAsia="宋体" w:cs="宋体"/>
                <w:bCs/>
                <w:sz w:val="30"/>
                <w:szCs w:val="30"/>
                <w:lang w:val="en-GB" w:eastAsia="zh-CN"/>
              </w:rPr>
            </w:pPr>
            <w:r>
              <w:rPr>
                <w:rFonts w:hint="eastAsia" w:ascii="宋体" w:hAnsi="宋体" w:cs="宋体"/>
                <w:bCs/>
                <w:sz w:val="30"/>
                <w:szCs w:val="30"/>
                <w:lang w:eastAsia="zh-CN"/>
              </w:rPr>
              <w:t>青岛新希望和润生物科技有限公司</w:t>
            </w:r>
          </w:p>
        </w:tc>
        <w:tc>
          <w:tcPr>
            <w:tcW w:w="1205" w:type="dxa"/>
            <w:vAlign w:val="center"/>
          </w:tcPr>
          <w:p>
            <w:pPr>
              <w:snapToGrid w:val="0"/>
              <w:spacing w:line="360" w:lineRule="exact"/>
              <w:jc w:val="center"/>
              <w:rPr>
                <w:rFonts w:ascii="宋体" w:hAnsi="宋体" w:cs="宋体"/>
                <w:snapToGrid w:val="0"/>
                <w:kern w:val="0"/>
                <w:sz w:val="32"/>
                <w:szCs w:val="32"/>
                <w:lang w:val="en-GB" w:bidi="he-IL"/>
              </w:rPr>
            </w:pPr>
            <w:r>
              <w:rPr>
                <w:rFonts w:hint="eastAsia" w:ascii="宋体" w:hAnsi="宋体" w:cs="宋体"/>
                <w:snapToGrid w:val="0"/>
                <w:kern w:val="0"/>
                <w:sz w:val="32"/>
                <w:szCs w:val="32"/>
                <w:lang w:val="en-GB" w:bidi="he-IL"/>
              </w:rPr>
              <w:t>环保负责人</w:t>
            </w: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bl>
    <w:p>
      <w:pPr>
        <w:pStyle w:val="7"/>
        <w:numPr>
          <w:ilvl w:val="0"/>
          <w:numId w:val="0"/>
        </w:numPr>
      </w:pPr>
    </w:p>
    <w:p>
      <w:pPr>
        <w:pStyle w:val="10"/>
        <w:jc w:val="center"/>
        <w:rPr>
          <w:rFonts w:ascii="Times New Roman"/>
          <w:sz w:val="24"/>
        </w:rPr>
      </w:pPr>
    </w:p>
    <w:p>
      <w:pPr>
        <w:rPr>
          <w:rFonts w:hint="eastAsia" w:ascii="仿宋_GB2312" w:hAnsi="宋体" w:eastAsia="仿宋_GB2312" w:cs="宋体"/>
          <w:bCs/>
          <w:sz w:val="32"/>
          <w:szCs w:val="32"/>
          <w:lang w:eastAsia="zh-CN"/>
        </w:rPr>
      </w:pPr>
      <w:r>
        <w:rPr>
          <w:rFonts w:hint="eastAsia" w:ascii="宋体" w:hAnsi="宋体" w:cs="宋体"/>
          <w:bCs/>
          <w:sz w:val="30"/>
          <w:szCs w:val="30"/>
        </w:rPr>
        <w:t xml:space="preserve">                       </w:t>
      </w:r>
      <w:r>
        <w:rPr>
          <w:rFonts w:hint="eastAsia" w:ascii="仿宋_GB2312" w:hAnsi="宋体" w:eastAsia="仿宋_GB2312" w:cs="宋体"/>
          <w:bCs/>
          <w:sz w:val="32"/>
          <w:szCs w:val="32"/>
          <w:lang w:eastAsia="zh-CN"/>
        </w:rPr>
        <w:t>青岛新希望和润生物科技有限公司</w:t>
      </w:r>
    </w:p>
    <w:p>
      <w:pPr>
        <w:pStyle w:val="2"/>
        <w:ind w:firstLine="640"/>
        <w:rPr>
          <w:rFonts w:eastAsia="仿宋_GB2312"/>
          <w:sz w:val="32"/>
          <w:szCs w:val="32"/>
        </w:rPr>
      </w:pPr>
      <w:r>
        <w:rPr>
          <w:rFonts w:hint="eastAsia" w:eastAsia="仿宋_GB2312"/>
          <w:sz w:val="32"/>
          <w:szCs w:val="32"/>
        </w:rPr>
        <w:t xml:space="preserve">                         </w:t>
      </w:r>
      <w:r>
        <w:rPr>
          <w:rFonts w:eastAsia="仿宋_GB2312"/>
          <w:sz w:val="32"/>
          <w:szCs w:val="32"/>
        </w:rPr>
        <w:t>202</w:t>
      </w:r>
      <w:r>
        <w:rPr>
          <w:rFonts w:hint="eastAsia" w:eastAsia="仿宋_GB2312"/>
          <w:sz w:val="32"/>
          <w:szCs w:val="32"/>
          <w:lang w:val="en-US" w:eastAsia="zh-CN"/>
        </w:rPr>
        <w:t>2</w:t>
      </w:r>
      <w:r>
        <w:rPr>
          <w:rFonts w:eastAsia="仿宋_GB2312"/>
          <w:sz w:val="32"/>
          <w:szCs w:val="32"/>
        </w:rPr>
        <w:t>年</w:t>
      </w:r>
      <w:r>
        <w:rPr>
          <w:rFonts w:hint="eastAsia" w:eastAsia="仿宋_GB2312"/>
          <w:sz w:val="32"/>
          <w:szCs w:val="32"/>
          <w:lang w:val="en-US" w:eastAsia="zh-CN"/>
        </w:rPr>
        <w:t>12</w:t>
      </w:r>
      <w:r>
        <w:rPr>
          <w:rFonts w:eastAsia="仿宋_GB2312"/>
          <w:sz w:val="32"/>
          <w:szCs w:val="32"/>
        </w:rPr>
        <w:t>月</w:t>
      </w:r>
      <w:r>
        <w:rPr>
          <w:rFonts w:hint="eastAsia" w:eastAsia="仿宋_GB2312"/>
          <w:sz w:val="32"/>
          <w:szCs w:val="32"/>
          <w:lang w:val="en-US" w:eastAsia="zh-CN"/>
        </w:rPr>
        <w:t>10</w:t>
      </w:r>
      <w:r>
        <w:rPr>
          <w:rFonts w:eastAsia="仿宋_GB2312"/>
          <w:sz w:val="32"/>
          <w:szCs w:val="32"/>
        </w:rPr>
        <w:t>日</w:t>
      </w:r>
    </w:p>
    <w:p>
      <w:pPr>
        <w:pStyle w:val="2"/>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eastAsia="宋体"/>
        <w:sz w:val="21"/>
        <w:szCs w:val="21"/>
      </w:rPr>
    </w:pPr>
    <w:r>
      <w:pict>
        <v:shape id="文本框 7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path/>
          <v:fill on="f" focussize="0,0"/>
          <v:stroke on="f" weight="0.5pt" joinstyle="miter"/>
          <v:imagedata o:title=""/>
          <o:lock v:ext="edit"/>
          <v:textbox inset="0mm,0mm,0mm,0mm" style="mso-fit-shape-to-text:t;">
            <w:txbxContent>
              <w:p>
                <w:pPr>
                  <w:pStyle w:val="8"/>
                  <w:rPr>
                    <w:rFonts w:eastAsia="宋体"/>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5F8AD7"/>
    <w:multiLevelType w:val="singleLevel"/>
    <w:tmpl w:val="9D5F8AD7"/>
    <w:lvl w:ilvl="0" w:tentative="0">
      <w:start w:val="2"/>
      <w:numFmt w:val="decimal"/>
      <w:suff w:val="nothing"/>
      <w:lvlText w:val="%1、"/>
      <w:lvlJc w:val="left"/>
    </w:lvl>
  </w:abstractNum>
  <w:abstractNum w:abstractNumId="1">
    <w:nsid w:val="519AF733"/>
    <w:multiLevelType w:val="singleLevel"/>
    <w:tmpl w:val="519AF733"/>
    <w:lvl w:ilvl="0" w:tentative="0">
      <w:start w:val="1"/>
      <w:numFmt w:val="bullet"/>
      <w:pStyle w:val="7"/>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xNWFkOTVjNWNhNTY5NWJiMWQzMmI3MTI5MDJlMTYifQ=="/>
  </w:docVars>
  <w:rsids>
    <w:rsidRoot w:val="00664F5D"/>
    <w:rsid w:val="00042A7F"/>
    <w:rsid w:val="0017542D"/>
    <w:rsid w:val="001F104C"/>
    <w:rsid w:val="00320723"/>
    <w:rsid w:val="005E7632"/>
    <w:rsid w:val="00664F5D"/>
    <w:rsid w:val="00716A3B"/>
    <w:rsid w:val="00A61A61"/>
    <w:rsid w:val="00C662F7"/>
    <w:rsid w:val="00D20E92"/>
    <w:rsid w:val="11C22BED"/>
    <w:rsid w:val="17C3470F"/>
    <w:rsid w:val="1BC704D8"/>
    <w:rsid w:val="203E5DA7"/>
    <w:rsid w:val="24024950"/>
    <w:rsid w:val="2A613A45"/>
    <w:rsid w:val="2BD4702C"/>
    <w:rsid w:val="2DD616B4"/>
    <w:rsid w:val="2E566DAC"/>
    <w:rsid w:val="334B6F23"/>
    <w:rsid w:val="346E13DB"/>
    <w:rsid w:val="34FA62E8"/>
    <w:rsid w:val="3CA57E7E"/>
    <w:rsid w:val="411955F3"/>
    <w:rsid w:val="467059FB"/>
    <w:rsid w:val="4FCE23B2"/>
    <w:rsid w:val="5A6B7EE1"/>
    <w:rsid w:val="69403D28"/>
    <w:rsid w:val="6CC866AB"/>
    <w:rsid w:val="75885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420"/>
    </w:pPr>
    <w:rPr>
      <w:sz w:val="21"/>
    </w:rPr>
  </w:style>
  <w:style w:type="paragraph" w:styleId="3">
    <w:name w:val="Body Text Indent"/>
    <w:basedOn w:val="1"/>
    <w:next w:val="4"/>
    <w:qFormat/>
    <w:uiPriority w:val="0"/>
    <w:pPr>
      <w:adjustRightInd w:val="0"/>
      <w:spacing w:line="500" w:lineRule="exact"/>
      <w:ind w:firstLine="480" w:firstLineChars="200"/>
      <w:textAlignment w:val="baseline"/>
    </w:pPr>
    <w:rPr>
      <w:sz w:val="24"/>
      <w:szCs w:val="20"/>
    </w:rPr>
  </w:style>
  <w:style w:type="paragraph" w:customStyle="1" w:styleId="4">
    <w:name w:val="样式 正文文本缩进 + 行距: 1.5 倍行距"/>
    <w:basedOn w:val="5"/>
    <w:next w:val="1"/>
    <w:qFormat/>
    <w:uiPriority w:val="0"/>
    <w:pPr>
      <w:spacing w:line="360" w:lineRule="auto"/>
      <w:ind w:left="90" w:leftChars="32" w:firstLine="560" w:firstLineChars="200"/>
    </w:pPr>
    <w:rPr>
      <w:rFonts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w:basedOn w:val="1"/>
    <w:next w:val="7"/>
    <w:qFormat/>
    <w:uiPriority w:val="0"/>
    <w:pPr>
      <w:adjustRightInd w:val="0"/>
      <w:spacing w:after="120" w:line="500" w:lineRule="exact"/>
      <w:ind w:firstLine="200" w:firstLineChars="200"/>
      <w:textAlignment w:val="baseline"/>
    </w:pPr>
    <w:rPr>
      <w:sz w:val="24"/>
      <w:szCs w:val="20"/>
    </w:rPr>
  </w:style>
  <w:style w:type="paragraph" w:styleId="7">
    <w:name w:val="List Bullet 5"/>
    <w:basedOn w:val="1"/>
    <w:qFormat/>
    <w:uiPriority w:val="0"/>
    <w:pPr>
      <w:numPr>
        <w:ilvl w:val="0"/>
        <w:numId w:val="1"/>
      </w:numPr>
    </w:pPr>
  </w:style>
  <w:style w:type="paragraph" w:styleId="8">
    <w:name w:val="footer"/>
    <w:basedOn w:val="1"/>
    <w:qFormat/>
    <w:uiPriority w:val="99"/>
    <w:pPr>
      <w:tabs>
        <w:tab w:val="center" w:pos="4153"/>
        <w:tab w:val="right" w:pos="8306"/>
      </w:tabs>
      <w:snapToGrid w:val="0"/>
      <w:jc w:val="left"/>
    </w:pPr>
    <w:rPr>
      <w:rFonts w:eastAsia="Times New Roman"/>
      <w:sz w:val="18"/>
      <w:szCs w:val="18"/>
    </w:rPr>
  </w:style>
  <w:style w:type="paragraph" w:styleId="9">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0"/>
    <w:rPr>
      <w:rFonts w:ascii="宋体"/>
      <w:b/>
      <w:bCs/>
      <w:color w:val="000000"/>
      <w:sz w:val="28"/>
    </w:rPr>
  </w:style>
  <w:style w:type="paragraph" w:styleId="11">
    <w:name w:val="Normal (Web)"/>
    <w:basedOn w:val="1"/>
    <w:qFormat/>
    <w:uiPriority w:val="0"/>
    <w:pPr>
      <w:spacing w:before="100" w:beforeAutospacing="1" w:after="100" w:afterAutospacing="1"/>
      <w:jc w:val="left"/>
    </w:pPr>
    <w:rPr>
      <w:kern w:val="0"/>
      <w:sz w:val="24"/>
    </w:rPr>
  </w:style>
  <w:style w:type="paragraph" w:styleId="12">
    <w:name w:val="Body Text First Indent"/>
    <w:basedOn w:val="6"/>
    <w:next w:val="1"/>
    <w:qFormat/>
    <w:uiPriority w:val="0"/>
    <w:pPr>
      <w:ind w:firstLine="420"/>
    </w:pPr>
    <w:rPr>
      <w:lang w:val="zh-CN"/>
    </w:rPr>
  </w:style>
  <w:style w:type="paragraph" w:customStyle="1" w:styleId="15">
    <w:name w:val="正文文本缩进1"/>
    <w:basedOn w:val="1"/>
    <w:next w:val="4"/>
    <w:qFormat/>
    <w:uiPriority w:val="0"/>
    <w:pPr>
      <w:spacing w:after="120"/>
      <w:ind w:left="420" w:leftChars="200"/>
    </w:pPr>
    <w:rPr>
      <w:sz w:val="24"/>
    </w:rPr>
  </w:style>
  <w:style w:type="paragraph" w:customStyle="1" w:styleId="16">
    <w:name w:val="标号正文"/>
    <w:basedOn w:val="1"/>
    <w:next w:val="1"/>
    <w:qFormat/>
    <w:uiPriority w:val="0"/>
    <w:pPr>
      <w:tabs>
        <w:tab w:val="left" w:pos="1540"/>
      </w:tabs>
      <w:overflowPunct w:val="0"/>
      <w:snapToGrid w:val="0"/>
      <w:spacing w:line="360" w:lineRule="auto"/>
      <w:ind w:firstLine="1040"/>
      <w:jc w:val="left"/>
    </w:pPr>
    <w:rPr>
      <w:rFonts w:ascii="Arial" w:hAnsi="Arial"/>
      <w:sz w:val="24"/>
      <w:szCs w:val="20"/>
    </w:r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19">
    <w:name w:val="页眉 Char"/>
    <w:basedOn w:val="14"/>
    <w:link w:val="9"/>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Pages>
  <Words>2599</Words>
  <Characters>2898</Characters>
  <Lines>14</Lines>
  <Paragraphs>4</Paragraphs>
  <TotalTime>4</TotalTime>
  <ScaleCrop>false</ScaleCrop>
  <LinksUpToDate>false</LinksUpToDate>
  <CharactersWithSpaces>2990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2022-01-11T12:39:00Z</dcterms:created>
  <dc:creator>Administrator</dc:creator>
  <cp:lastModifiedBy>c</cp:lastModifiedBy>
  <dcterms:modified xsi:type="dcterms:W3CDTF">2022-12-13T03:13:40Z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9F45FA2860534ACB963A5817A7FC01CF</vt:lpwstr>
  </property>
</Properties>
</file>