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_GB2312" w:eastAsia="仿宋_GB2312"/>
          <w:color w:val="000000"/>
          <w:sz w:val="21"/>
          <w:szCs w:val="21"/>
        </w:rPr>
      </w:pPr>
    </w:p>
    <w:p>
      <w:pPr>
        <w:spacing w:line="360" w:lineRule="auto"/>
        <w:jc w:val="both"/>
        <w:rPr>
          <w:rFonts w:ascii="仿宋_GB2312" w:eastAsia="仿宋_GB2312"/>
          <w:color w:val="000000"/>
          <w:sz w:val="21"/>
          <w:szCs w:val="21"/>
        </w:rPr>
      </w:pPr>
    </w:p>
    <w:p>
      <w:pPr>
        <w:spacing w:line="360" w:lineRule="auto"/>
        <w:jc w:val="both"/>
        <w:rPr>
          <w:rFonts w:ascii="仿宋_GB2312" w:eastAsia="仿宋_GB2312"/>
          <w:color w:val="000000"/>
          <w:sz w:val="21"/>
          <w:szCs w:val="21"/>
        </w:rPr>
      </w:pPr>
    </w:p>
    <w:p>
      <w:pPr>
        <w:jc w:val="center"/>
        <w:rPr>
          <w:rFonts w:hint="eastAsia" w:ascii="Times New Roman" w:hAnsi="Times New Roman" w:eastAsia="宋体" w:cs="Times New Roman"/>
          <w:b/>
          <w:bCs/>
          <w:sz w:val="50"/>
          <w:lang w:eastAsia="zh-CN"/>
        </w:rPr>
      </w:pPr>
      <w:r>
        <w:rPr>
          <w:rFonts w:hint="eastAsia" w:ascii="Times New Roman" w:hAnsi="Times New Roman" w:eastAsia="宋体" w:cs="Times New Roman"/>
          <w:b/>
          <w:bCs/>
          <w:sz w:val="50"/>
          <w:lang w:eastAsia="zh-CN"/>
        </w:rPr>
        <w:t>杭州普力材料科技有限公司PPC可降解</w:t>
      </w:r>
    </w:p>
    <w:p>
      <w:pPr>
        <w:jc w:val="center"/>
        <w:rPr>
          <w:rFonts w:hint="eastAsia" w:ascii="Times New Roman" w:hAnsi="Times New Roman" w:eastAsia="宋体" w:cs="Times New Roman"/>
          <w:b/>
          <w:bCs/>
          <w:sz w:val="50"/>
          <w:lang w:eastAsia="zh-CN"/>
        </w:rPr>
      </w:pPr>
      <w:r>
        <w:rPr>
          <w:rFonts w:hint="eastAsia" w:ascii="Times New Roman" w:hAnsi="Times New Roman" w:eastAsia="宋体" w:cs="Times New Roman"/>
          <w:b/>
          <w:bCs/>
          <w:sz w:val="50"/>
          <w:lang w:eastAsia="zh-CN"/>
        </w:rPr>
        <w:t>材料及多元醇研发实验室项目</w:t>
      </w:r>
    </w:p>
    <w:p>
      <w:pPr>
        <w:jc w:val="center"/>
        <w:rPr>
          <w:rFonts w:hint="default" w:ascii="Times New Roman" w:hAnsi="Times New Roman" w:eastAsia="宋体" w:cs="Times New Roman"/>
          <w:b/>
          <w:bCs/>
          <w:sz w:val="50"/>
          <w:lang w:val="en-US" w:eastAsia="zh-CN"/>
        </w:rPr>
      </w:pPr>
      <w:r>
        <w:rPr>
          <w:rFonts w:hint="default" w:ascii="Times New Roman" w:hAnsi="Times New Roman" w:eastAsia="宋体" w:cs="Times New Roman"/>
          <w:b/>
          <w:bCs/>
          <w:sz w:val="50"/>
          <w:lang w:eastAsia="zh-CN"/>
        </w:rPr>
        <w:t>竣工环境保护验收监测报告</w:t>
      </w:r>
      <w:r>
        <w:rPr>
          <w:rFonts w:hint="eastAsia" w:ascii="Times New Roman" w:hAnsi="Times New Roman" w:eastAsia="宋体" w:cs="Times New Roman"/>
          <w:b/>
          <w:bCs/>
          <w:sz w:val="50"/>
          <w:lang w:val="en-US" w:eastAsia="zh-CN"/>
        </w:rPr>
        <w:t xml:space="preserve"> </w:t>
      </w:r>
    </w:p>
    <w:p>
      <w:pPr>
        <w:jc w:val="center"/>
        <w:rPr>
          <w:rFonts w:hint="default" w:ascii="Times New Roman" w:hAnsi="Times New Roman" w:eastAsia="楷体_GB2312" w:cs="Times New Roman"/>
          <w:b/>
          <w:bCs/>
          <w:sz w:val="21"/>
          <w:szCs w:val="21"/>
        </w:rPr>
      </w:pPr>
    </w:p>
    <w:p>
      <w:pPr>
        <w:jc w:val="center"/>
        <w:rPr>
          <w:rFonts w:hint="default" w:ascii="Times New Roman" w:hAnsi="Times New Roman" w:eastAsia="楷体_GB2312" w:cs="Times New Roman"/>
          <w:b/>
          <w:bCs/>
          <w:sz w:val="21"/>
          <w:szCs w:val="21"/>
        </w:rPr>
      </w:pPr>
    </w:p>
    <w:p>
      <w:pPr>
        <w:jc w:val="center"/>
        <w:rPr>
          <w:rFonts w:hint="default" w:ascii="Times New Roman" w:hAnsi="Times New Roman" w:eastAsia="楷体_GB2312" w:cs="Times New Roman"/>
          <w:b/>
          <w:bCs/>
          <w:sz w:val="21"/>
          <w:szCs w:val="21"/>
        </w:rPr>
      </w:pPr>
    </w:p>
    <w:p>
      <w:pPr>
        <w:jc w:val="center"/>
        <w:rPr>
          <w:rFonts w:hint="default" w:ascii="Times New Roman" w:hAnsi="Times New Roman" w:eastAsia="仿宋" w:cs="Times New Roman"/>
          <w:sz w:val="21"/>
          <w:szCs w:val="21"/>
        </w:rPr>
      </w:pPr>
    </w:p>
    <w:p>
      <w:pPr>
        <w:jc w:val="center"/>
        <w:rPr>
          <w:rFonts w:hint="default" w:ascii="Times New Roman" w:hAnsi="Times New Roman" w:eastAsia="仿宋" w:cs="Times New Roman"/>
          <w:sz w:val="21"/>
          <w:szCs w:val="21"/>
        </w:rPr>
      </w:pPr>
    </w:p>
    <w:p>
      <w:pPr>
        <w:jc w:val="center"/>
        <w:rPr>
          <w:rFonts w:hint="default" w:ascii="Times New Roman" w:hAnsi="Times New Roman" w:eastAsia="仿宋" w:cs="Times New Roman"/>
          <w:sz w:val="21"/>
          <w:szCs w:val="21"/>
        </w:rPr>
      </w:pPr>
    </w:p>
    <w:p>
      <w:pPr>
        <w:jc w:val="both"/>
        <w:rPr>
          <w:rFonts w:hint="default" w:ascii="Times New Roman" w:hAnsi="Times New Roman" w:eastAsia="宋体" w:cs="Times New Roman"/>
          <w:b/>
          <w:bCs/>
          <w:color w:val="000000"/>
          <w:sz w:val="32"/>
          <w:szCs w:val="32"/>
          <w:u w:val="none"/>
          <w:lang w:eastAsia="zh-CN"/>
        </w:rPr>
      </w:pPr>
    </w:p>
    <w:p>
      <w:pPr>
        <w:jc w:val="both"/>
        <w:rPr>
          <w:rFonts w:hint="default" w:ascii="Times New Roman" w:hAnsi="Times New Roman" w:eastAsia="宋体" w:cs="Times New Roman"/>
          <w:b/>
          <w:bCs/>
          <w:color w:val="000000"/>
          <w:sz w:val="32"/>
          <w:szCs w:val="32"/>
          <w:u w:val="none"/>
          <w:lang w:eastAsia="zh-CN"/>
        </w:rPr>
      </w:pPr>
    </w:p>
    <w:p>
      <w:pPr>
        <w:ind w:firstLine="1606" w:firstLineChars="500"/>
        <w:jc w:val="both"/>
        <w:rPr>
          <w:rFonts w:hint="default" w:ascii="Times New Roman" w:hAnsi="Times New Roman" w:eastAsia="宋体" w:cs="Times New Roman"/>
          <w:b/>
          <w:bCs/>
          <w:color w:val="000000"/>
          <w:sz w:val="32"/>
          <w:szCs w:val="32"/>
          <w:u w:val="none"/>
          <w:lang w:eastAsia="zh-CN"/>
        </w:rPr>
      </w:pPr>
    </w:p>
    <w:p>
      <w:pPr>
        <w:ind w:firstLine="1606" w:firstLineChars="500"/>
        <w:jc w:val="both"/>
        <w:rPr>
          <w:rFonts w:hint="default" w:ascii="Times New Roman" w:hAnsi="Times New Roman" w:eastAsia="宋体" w:cs="Times New Roman"/>
          <w:b/>
          <w:bCs/>
          <w:color w:val="000000"/>
          <w:sz w:val="32"/>
          <w:szCs w:val="32"/>
          <w:u w:val="none"/>
          <w:lang w:eastAsia="zh-CN"/>
        </w:rPr>
      </w:pPr>
    </w:p>
    <w:p>
      <w:pPr>
        <w:ind w:firstLine="1606" w:firstLineChars="500"/>
        <w:jc w:val="both"/>
        <w:rPr>
          <w:rFonts w:hint="default" w:ascii="Times New Roman" w:hAnsi="Times New Roman" w:eastAsia="宋体" w:cs="Times New Roman"/>
          <w:b/>
          <w:bCs/>
          <w:color w:val="000000"/>
          <w:sz w:val="32"/>
          <w:szCs w:val="32"/>
          <w:u w:val="none"/>
          <w:lang w:eastAsia="zh-CN"/>
        </w:rPr>
      </w:pPr>
    </w:p>
    <w:p>
      <w:pPr>
        <w:ind w:firstLine="1606" w:firstLineChars="500"/>
        <w:jc w:val="both"/>
        <w:rPr>
          <w:rFonts w:hint="default" w:ascii="Times New Roman" w:hAnsi="Times New Roman" w:eastAsia="宋体" w:cs="Times New Roman"/>
          <w:b/>
          <w:bCs/>
          <w:color w:val="000000"/>
          <w:sz w:val="32"/>
          <w:szCs w:val="32"/>
          <w:u w:val="none"/>
          <w:lang w:eastAsia="zh-CN"/>
        </w:rPr>
      </w:pPr>
    </w:p>
    <w:p>
      <w:pPr>
        <w:jc w:val="center"/>
        <w:rPr>
          <w:rFonts w:hint="default" w:ascii="Times New Roman" w:hAnsi="Times New Roman" w:eastAsia="宋体" w:cs="Times New Roman"/>
          <w:sz w:val="21"/>
          <w:szCs w:val="21"/>
        </w:rPr>
      </w:pPr>
      <w:r>
        <w:rPr>
          <w:rFonts w:hint="default" w:ascii="Times New Roman" w:hAnsi="Times New Roman" w:eastAsia="宋体" w:cs="Times New Roman"/>
          <w:b/>
          <w:bCs/>
          <w:color w:val="000000"/>
          <w:sz w:val="32"/>
          <w:szCs w:val="32"/>
          <w:u w:val="none"/>
          <w:lang w:eastAsia="zh-CN"/>
        </w:rPr>
        <w:t>建设单位：</w:t>
      </w:r>
      <w:r>
        <w:rPr>
          <w:rFonts w:hint="eastAsia" w:ascii="Times New Roman" w:hAnsi="Times New Roman" w:eastAsia="宋体" w:cs="Times New Roman"/>
          <w:b/>
          <w:bCs/>
          <w:color w:val="000000"/>
          <w:sz w:val="32"/>
          <w:szCs w:val="32"/>
          <w:u w:val="none"/>
          <w:lang w:eastAsia="zh-CN"/>
        </w:rPr>
        <w:t>杭州普力材料科技有限公司</w:t>
      </w:r>
    </w:p>
    <w:p>
      <w:pPr>
        <w:jc w:val="center"/>
        <w:rPr>
          <w:rFonts w:hint="eastAsia" w:ascii="华文新魏" w:eastAsia="华文新魏"/>
          <w:color w:val="000000"/>
          <w:sz w:val="21"/>
          <w:szCs w:val="21"/>
        </w:rPr>
      </w:pPr>
      <w:r>
        <w:rPr>
          <w:rFonts w:hint="eastAsia" w:ascii="Times New Roman" w:hAnsi="Times New Roman" w:eastAsia="宋体"/>
          <w:b/>
          <w:bCs/>
          <w:sz w:val="30"/>
          <w:szCs w:val="30"/>
        </w:rPr>
        <w:t>2022年</w:t>
      </w:r>
      <w:r>
        <w:rPr>
          <w:rFonts w:hint="eastAsia" w:ascii="Times New Roman" w:hAnsi="Times New Roman" w:eastAsia="宋体"/>
          <w:b/>
          <w:bCs/>
          <w:sz w:val="30"/>
          <w:szCs w:val="30"/>
          <w:lang w:val="en-US" w:eastAsia="zh-CN"/>
        </w:rPr>
        <w:t>12</w:t>
      </w:r>
      <w:r>
        <w:rPr>
          <w:rFonts w:hint="eastAsia" w:ascii="Times New Roman" w:hAnsi="Times New Roman" w:eastAsia="宋体"/>
          <w:b/>
          <w:bCs/>
          <w:sz w:val="30"/>
          <w:szCs w:val="30"/>
        </w:rPr>
        <w:t>月</w:t>
      </w:r>
    </w:p>
    <w:p>
      <w:pPr>
        <w:pStyle w:val="13"/>
        <w:ind w:firstLine="0" w:firstLineChars="0"/>
        <w:rPr>
          <w:rFonts w:hint="eastAsia" w:ascii="Times New Roman" w:hAnsi="Times New Roman" w:eastAsia="宋体" w:cs="Times New Roman"/>
          <w:sz w:val="32"/>
          <w:szCs w:val="32"/>
          <w:lang w:eastAsia="zh-CN"/>
        </w:rPr>
      </w:pPr>
      <w:r>
        <w:rPr>
          <w:rFonts w:ascii="仿宋_GB2312" w:eastAsia="仿宋_GB2312"/>
          <w:color w:val="000000"/>
          <w:sz w:val="21"/>
          <w:szCs w:val="21"/>
        </w:rPr>
        <w:br w:type="page"/>
      </w:r>
    </w:p>
    <w:p>
      <w:pPr>
        <w:pStyle w:val="13"/>
        <w:ind w:firstLine="0" w:firstLineChars="0"/>
        <w:rPr>
          <w:rFonts w:hint="default" w:ascii="Times New Roman" w:hAnsi="Times New Roman" w:eastAsia="宋体" w:cs="Times New Roman"/>
          <w:sz w:val="32"/>
          <w:szCs w:val="32"/>
          <w:lang w:eastAsia="zh-CN"/>
        </w:rPr>
      </w:pPr>
    </w:p>
    <w:p>
      <w:pPr>
        <w:rPr>
          <w:rFonts w:hint="default" w:ascii="Times New Roman" w:hAnsi="Times New Roman" w:eastAsia="宋体" w:cs="Times New Roman"/>
          <w:sz w:val="21"/>
          <w:szCs w:val="21"/>
        </w:rPr>
      </w:pPr>
    </w:p>
    <w:p>
      <w:pPr>
        <w:rPr>
          <w:rFonts w:hint="default" w:ascii="Times New Roman" w:hAnsi="Times New Roman" w:eastAsia="宋体" w:cs="Times New Roman"/>
          <w:sz w:val="21"/>
          <w:szCs w:val="21"/>
        </w:rPr>
      </w:pPr>
    </w:p>
    <w:p>
      <w:pPr>
        <w:pStyle w:val="13"/>
        <w:ind w:firstLine="0" w:firstLineChars="0"/>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t>建设单位：</w:t>
      </w:r>
      <w:r>
        <w:rPr>
          <w:rFonts w:hint="eastAsia" w:ascii="Times New Roman" w:hAnsi="Times New Roman" w:eastAsia="宋体" w:cs="Times New Roman"/>
          <w:b/>
          <w:bCs/>
          <w:szCs w:val="28"/>
          <w:lang w:eastAsia="zh-CN"/>
        </w:rPr>
        <w:t>杭州普力材料科技有限公司</w:t>
      </w:r>
      <w:r>
        <w:rPr>
          <w:rFonts w:hint="default" w:ascii="Times New Roman" w:hAnsi="Times New Roman" w:eastAsia="宋体" w:cs="Times New Roman"/>
          <w:b/>
          <w:bCs/>
          <w:szCs w:val="28"/>
          <w:lang w:eastAsia="zh-CN"/>
        </w:rPr>
        <w:t xml:space="preserve">               </w:t>
      </w:r>
    </w:p>
    <w:p>
      <w:pPr>
        <w:pStyle w:val="13"/>
        <w:ind w:firstLine="0" w:firstLineChars="0"/>
        <w:rPr>
          <w:rFonts w:hint="eastAsia" w:ascii="Times New Roman" w:hAnsi="Times New Roman" w:eastAsia="宋体"/>
          <w:b/>
          <w:bCs/>
          <w:szCs w:val="28"/>
          <w:lang w:val="en-US" w:eastAsia="zh-CN"/>
        </w:rPr>
      </w:pPr>
      <w:r>
        <w:rPr>
          <w:rFonts w:hint="eastAsia" w:ascii="Times New Roman" w:hAnsi="Times New Roman" w:eastAsia="宋体"/>
          <w:b/>
          <w:bCs/>
          <w:szCs w:val="28"/>
        </w:rPr>
        <w:t>单位联系人</w:t>
      </w:r>
      <w:r>
        <w:rPr>
          <w:rFonts w:ascii="Times New Roman" w:hAnsi="Times New Roman" w:eastAsia="宋体"/>
          <w:b/>
          <w:bCs/>
          <w:szCs w:val="28"/>
        </w:rPr>
        <w:t>：</w:t>
      </w:r>
      <w:r>
        <w:rPr>
          <w:rFonts w:hint="eastAsia" w:ascii="Times New Roman" w:hAnsi="Times New Roman" w:eastAsia="宋体"/>
          <w:b/>
          <w:bCs/>
          <w:szCs w:val="28"/>
          <w:lang w:eastAsia="zh-CN"/>
        </w:rPr>
        <w:t>王自修</w:t>
      </w:r>
    </w:p>
    <w:p>
      <w:pPr>
        <w:pStyle w:val="13"/>
        <w:ind w:firstLine="0" w:firstLineChars="0"/>
        <w:rPr>
          <w:rFonts w:hint="default" w:ascii="Times New Roman" w:hAnsi="Times New Roman" w:eastAsia="宋体" w:cs="Times New Roman"/>
          <w:b/>
          <w:bCs/>
          <w:szCs w:val="28"/>
          <w:lang w:val="en-US" w:eastAsia="zh-CN"/>
        </w:rPr>
      </w:pPr>
      <w:r>
        <w:rPr>
          <w:rFonts w:hint="default" w:ascii="Times New Roman" w:hAnsi="Times New Roman" w:eastAsia="宋体" w:cs="Times New Roman"/>
          <w:b/>
          <w:bCs/>
          <w:szCs w:val="28"/>
          <w:lang w:eastAsia="zh-CN"/>
        </w:rPr>
        <w:t>电话：</w:t>
      </w:r>
      <w:r>
        <w:rPr>
          <w:rFonts w:hint="eastAsia" w:ascii="Times New Roman" w:hAnsi="Times New Roman" w:eastAsia="宋体" w:cs="Times New Roman"/>
          <w:b/>
          <w:bCs/>
          <w:szCs w:val="28"/>
          <w:lang w:val="en-US" w:eastAsia="zh-CN"/>
        </w:rPr>
        <w:t>15757122161</w:t>
      </w:r>
    </w:p>
    <w:p>
      <w:pPr>
        <w:pStyle w:val="13"/>
        <w:ind w:firstLine="0" w:firstLineChars="0"/>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t xml:space="preserve">传真：  </w:t>
      </w:r>
      <w:r>
        <w:rPr>
          <w:rFonts w:hint="eastAsia" w:ascii="Times New Roman" w:hAnsi="Times New Roman" w:eastAsia="宋体" w:cs="Times New Roman"/>
          <w:b/>
          <w:bCs/>
          <w:szCs w:val="28"/>
          <w:lang w:val="en-US" w:eastAsia="zh-CN"/>
        </w:rPr>
        <w:t>/</w:t>
      </w:r>
      <w:r>
        <w:rPr>
          <w:rFonts w:hint="default" w:ascii="Times New Roman" w:hAnsi="Times New Roman" w:eastAsia="宋体" w:cs="Times New Roman"/>
          <w:b/>
          <w:bCs/>
          <w:szCs w:val="28"/>
          <w:lang w:eastAsia="zh-CN"/>
        </w:rPr>
        <w:t xml:space="preserve">                      </w:t>
      </w:r>
    </w:p>
    <w:p>
      <w:pPr>
        <w:pStyle w:val="13"/>
        <w:ind w:firstLine="0" w:firstLineChars="0"/>
        <w:rPr>
          <w:rFonts w:hint="default" w:ascii="Times New Roman" w:hAnsi="Times New Roman" w:eastAsia="宋体" w:cs="Times New Roman"/>
          <w:b/>
          <w:bCs/>
          <w:szCs w:val="28"/>
          <w:lang w:val="en-US" w:eastAsia="zh-CN"/>
        </w:rPr>
      </w:pPr>
      <w:r>
        <w:rPr>
          <w:rFonts w:hint="default" w:ascii="Times New Roman" w:hAnsi="Times New Roman" w:eastAsia="宋体" w:cs="Times New Roman"/>
          <w:b/>
          <w:bCs/>
          <w:szCs w:val="28"/>
          <w:lang w:eastAsia="zh-CN"/>
        </w:rPr>
        <w:t>邮编：</w:t>
      </w:r>
      <w:r>
        <w:rPr>
          <w:rFonts w:hint="eastAsia" w:ascii="Times New Roman" w:hAnsi="Times New Roman" w:eastAsia="宋体" w:cs="Times New Roman"/>
          <w:b/>
          <w:bCs/>
          <w:szCs w:val="28"/>
          <w:lang w:eastAsia="zh-CN"/>
        </w:rPr>
        <w:t>311113</w:t>
      </w:r>
    </w:p>
    <w:p>
      <w:pPr>
        <w:pStyle w:val="13"/>
        <w:ind w:firstLine="0" w:firstLineChars="0"/>
        <w:rPr>
          <w:rFonts w:hint="default" w:ascii="Times New Roman" w:hAnsi="Times New Roman" w:eastAsia="宋体" w:cs="Times New Roman"/>
          <w:b/>
          <w:bCs/>
          <w:szCs w:val="28"/>
          <w:lang w:val="en-US" w:eastAsia="zh-CN"/>
        </w:rPr>
      </w:pPr>
      <w:r>
        <w:rPr>
          <w:rFonts w:hint="default" w:ascii="Times New Roman" w:hAnsi="Times New Roman" w:eastAsia="宋体" w:cs="Times New Roman"/>
          <w:b/>
          <w:bCs/>
          <w:szCs w:val="28"/>
          <w:lang w:eastAsia="zh-CN"/>
        </w:rPr>
        <w:t>地址：</w:t>
      </w:r>
      <w:r>
        <w:rPr>
          <w:rFonts w:hint="eastAsia" w:ascii="Times New Roman" w:hAnsi="Times New Roman" w:eastAsia="宋体" w:cs="Times New Roman"/>
          <w:b/>
          <w:bCs/>
          <w:szCs w:val="28"/>
          <w:lang w:eastAsia="zh-CN"/>
        </w:rPr>
        <w:t>浙江省杭州市余杭区良渚街道纳贤街2号10号楼6楼</w:t>
      </w:r>
    </w:p>
    <w:p>
      <w:pPr>
        <w:pStyle w:val="13"/>
        <w:ind w:firstLine="0" w:firstLineChars="0"/>
        <w:rPr>
          <w:rFonts w:hint="default" w:ascii="Times New Roman" w:hAnsi="Times New Roman" w:eastAsia="宋体" w:cs="Times New Roman"/>
          <w:b/>
          <w:bCs/>
          <w:szCs w:val="28"/>
          <w:lang w:eastAsia="zh-CN"/>
        </w:rPr>
      </w:pPr>
    </w:p>
    <w:p>
      <w:pPr>
        <w:pStyle w:val="13"/>
        <w:ind w:firstLine="0" w:firstLineChars="0"/>
        <w:rPr>
          <w:rFonts w:hint="default" w:ascii="Times New Roman" w:hAnsi="Times New Roman" w:eastAsia="宋体" w:cs="Times New Roman"/>
          <w:b/>
          <w:bCs/>
          <w:szCs w:val="28"/>
          <w:lang w:eastAsia="zh-CN"/>
        </w:rPr>
      </w:pPr>
    </w:p>
    <w:p>
      <w:pPr>
        <w:pStyle w:val="13"/>
        <w:ind w:firstLine="0" w:firstLineChars="0"/>
        <w:rPr>
          <w:rFonts w:hint="default" w:ascii="Times New Roman" w:hAnsi="Times New Roman" w:eastAsia="宋体" w:cs="Times New Roman"/>
          <w:b/>
          <w:bCs/>
          <w:szCs w:val="28"/>
          <w:lang w:eastAsia="zh-CN"/>
        </w:rPr>
      </w:pPr>
    </w:p>
    <w:p>
      <w:pPr>
        <w:pStyle w:val="13"/>
        <w:ind w:firstLine="0" w:firstLineChars="0"/>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t>编制单位：</w:t>
      </w:r>
      <w:r>
        <w:rPr>
          <w:rFonts w:hint="eastAsia" w:ascii="Times New Roman" w:hAnsi="Times New Roman" w:eastAsia="宋体" w:cs="Times New Roman"/>
          <w:b/>
          <w:bCs/>
          <w:szCs w:val="28"/>
          <w:lang w:eastAsia="zh-CN"/>
        </w:rPr>
        <w:t>杭州普力材料科技有限公司</w:t>
      </w:r>
      <w:r>
        <w:rPr>
          <w:rFonts w:hint="default" w:ascii="Times New Roman" w:hAnsi="Times New Roman" w:eastAsia="宋体" w:cs="Times New Roman"/>
          <w:b/>
          <w:bCs/>
          <w:szCs w:val="28"/>
          <w:lang w:eastAsia="zh-CN"/>
        </w:rPr>
        <w:t xml:space="preserve">               </w:t>
      </w:r>
    </w:p>
    <w:p>
      <w:pPr>
        <w:pStyle w:val="13"/>
        <w:ind w:firstLine="0" w:firstLineChars="0"/>
        <w:rPr>
          <w:rFonts w:hint="eastAsia" w:ascii="Times New Roman" w:hAnsi="Times New Roman" w:eastAsia="宋体"/>
          <w:b/>
          <w:bCs/>
          <w:szCs w:val="28"/>
          <w:lang w:val="en-US" w:eastAsia="zh-CN"/>
        </w:rPr>
      </w:pPr>
      <w:r>
        <w:rPr>
          <w:rFonts w:hint="eastAsia" w:ascii="Times New Roman" w:hAnsi="Times New Roman" w:eastAsia="宋体"/>
          <w:b/>
          <w:bCs/>
          <w:szCs w:val="28"/>
        </w:rPr>
        <w:t>单位联系人</w:t>
      </w:r>
      <w:r>
        <w:rPr>
          <w:rFonts w:ascii="Times New Roman" w:hAnsi="Times New Roman" w:eastAsia="宋体"/>
          <w:b/>
          <w:bCs/>
          <w:szCs w:val="28"/>
        </w:rPr>
        <w:t>：</w:t>
      </w:r>
      <w:r>
        <w:rPr>
          <w:rFonts w:hint="eastAsia" w:ascii="Times New Roman" w:hAnsi="Times New Roman" w:eastAsia="宋体"/>
          <w:b/>
          <w:bCs/>
          <w:szCs w:val="28"/>
          <w:lang w:eastAsia="zh-CN"/>
        </w:rPr>
        <w:t>王自修</w:t>
      </w:r>
    </w:p>
    <w:p>
      <w:pPr>
        <w:pStyle w:val="13"/>
        <w:ind w:firstLine="0" w:firstLineChars="0"/>
        <w:rPr>
          <w:rFonts w:hint="default" w:ascii="Times New Roman" w:hAnsi="Times New Roman" w:eastAsia="宋体" w:cs="Times New Roman"/>
          <w:b/>
          <w:bCs/>
          <w:szCs w:val="28"/>
          <w:lang w:val="en-US" w:eastAsia="zh-CN"/>
        </w:rPr>
      </w:pPr>
      <w:r>
        <w:rPr>
          <w:rFonts w:hint="default" w:ascii="Times New Roman" w:hAnsi="Times New Roman" w:eastAsia="宋体" w:cs="Times New Roman"/>
          <w:b/>
          <w:bCs/>
          <w:szCs w:val="28"/>
          <w:lang w:eastAsia="zh-CN"/>
        </w:rPr>
        <w:t>电话：</w:t>
      </w:r>
      <w:r>
        <w:rPr>
          <w:rFonts w:hint="eastAsia" w:ascii="Times New Roman" w:hAnsi="Times New Roman" w:eastAsia="宋体" w:cs="Times New Roman"/>
          <w:b/>
          <w:bCs/>
          <w:szCs w:val="28"/>
          <w:lang w:val="en-US" w:eastAsia="zh-CN"/>
        </w:rPr>
        <w:t>15757122161</w:t>
      </w:r>
    </w:p>
    <w:p>
      <w:pPr>
        <w:pStyle w:val="13"/>
        <w:ind w:firstLine="0" w:firstLineChars="0"/>
        <w:rPr>
          <w:rFonts w:hint="default" w:ascii="Times New Roman" w:hAnsi="Times New Roman" w:eastAsia="宋体" w:cs="Times New Roman"/>
          <w:b/>
          <w:bCs/>
          <w:szCs w:val="28"/>
          <w:lang w:eastAsia="zh-CN"/>
        </w:rPr>
      </w:pPr>
      <w:r>
        <w:rPr>
          <w:rFonts w:hint="default" w:ascii="Times New Roman" w:hAnsi="Times New Roman" w:eastAsia="宋体" w:cs="Times New Roman"/>
          <w:b/>
          <w:bCs/>
          <w:szCs w:val="28"/>
          <w:lang w:eastAsia="zh-CN"/>
        </w:rPr>
        <w:t xml:space="preserve">传真：  </w:t>
      </w:r>
      <w:r>
        <w:rPr>
          <w:rFonts w:hint="eastAsia" w:ascii="Times New Roman" w:hAnsi="Times New Roman" w:eastAsia="宋体" w:cs="Times New Roman"/>
          <w:b/>
          <w:bCs/>
          <w:szCs w:val="28"/>
          <w:lang w:val="en-US" w:eastAsia="zh-CN"/>
        </w:rPr>
        <w:t>/</w:t>
      </w:r>
      <w:r>
        <w:rPr>
          <w:rFonts w:hint="default" w:ascii="Times New Roman" w:hAnsi="Times New Roman" w:eastAsia="宋体" w:cs="Times New Roman"/>
          <w:b/>
          <w:bCs/>
          <w:szCs w:val="28"/>
          <w:lang w:eastAsia="zh-CN"/>
        </w:rPr>
        <w:t xml:space="preserve">                      </w:t>
      </w:r>
    </w:p>
    <w:p>
      <w:pPr>
        <w:pStyle w:val="13"/>
        <w:ind w:firstLine="0" w:firstLineChars="0"/>
        <w:rPr>
          <w:rFonts w:hint="default" w:ascii="Times New Roman" w:hAnsi="Times New Roman" w:eastAsia="宋体" w:cs="Times New Roman"/>
          <w:b/>
          <w:bCs/>
          <w:szCs w:val="28"/>
          <w:lang w:val="en-US" w:eastAsia="zh-CN"/>
        </w:rPr>
      </w:pPr>
      <w:r>
        <w:rPr>
          <w:rFonts w:hint="default" w:ascii="Times New Roman" w:hAnsi="Times New Roman" w:eastAsia="宋体" w:cs="Times New Roman"/>
          <w:b/>
          <w:bCs/>
          <w:szCs w:val="28"/>
          <w:lang w:eastAsia="zh-CN"/>
        </w:rPr>
        <w:t>邮编：</w:t>
      </w:r>
      <w:r>
        <w:rPr>
          <w:rFonts w:hint="eastAsia" w:ascii="Times New Roman" w:hAnsi="Times New Roman" w:eastAsia="宋体" w:cs="Times New Roman"/>
          <w:b/>
          <w:bCs/>
          <w:szCs w:val="28"/>
          <w:lang w:eastAsia="zh-CN"/>
        </w:rPr>
        <w:t>311113</w:t>
      </w:r>
    </w:p>
    <w:p>
      <w:pPr>
        <w:pStyle w:val="13"/>
        <w:ind w:firstLine="0" w:firstLineChars="0"/>
        <w:rPr>
          <w:rFonts w:hint="default" w:ascii="Times New Roman" w:hAnsi="Times New Roman" w:eastAsia="宋体" w:cs="Times New Roman"/>
          <w:b/>
          <w:bCs/>
          <w:szCs w:val="28"/>
          <w:lang w:eastAsia="zh-CN"/>
        </w:rPr>
        <w:sectPr>
          <w:headerReference r:id="rId4" w:type="default"/>
          <w:pgSz w:w="11906" w:h="16838"/>
          <w:pgMar w:top="1440" w:right="1469"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eastAsia="宋体" w:cs="Times New Roman"/>
          <w:b/>
          <w:bCs/>
          <w:szCs w:val="28"/>
          <w:lang w:eastAsia="zh-CN"/>
        </w:rPr>
        <w:t>地址：</w:t>
      </w:r>
      <w:r>
        <w:rPr>
          <w:rFonts w:hint="eastAsia" w:ascii="Times New Roman" w:hAnsi="Times New Roman" w:eastAsia="宋体" w:cs="Times New Roman"/>
          <w:b/>
          <w:bCs/>
          <w:szCs w:val="28"/>
          <w:lang w:eastAsia="zh-CN"/>
        </w:rPr>
        <w:t>浙江省杭州市余杭区良渚街道纳贤街2号10号楼6楼</w:t>
      </w:r>
    </w:p>
    <w:p>
      <w:pPr>
        <w:spacing w:after="0" w:afterLines="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表一</w:t>
      </w:r>
    </w:p>
    <w:tbl>
      <w:tblPr>
        <w:tblStyle w:val="19"/>
        <w:tblW w:w="916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07"/>
        <w:gridCol w:w="1782"/>
        <w:gridCol w:w="1926"/>
        <w:gridCol w:w="1109"/>
        <w:gridCol w:w="765"/>
        <w:gridCol w:w="127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建设项目名称</w:t>
            </w:r>
          </w:p>
        </w:tc>
        <w:tc>
          <w:tcPr>
            <w:tcW w:w="6859" w:type="dxa"/>
            <w:gridSpan w:val="5"/>
            <w:vAlign w:val="center"/>
          </w:tcPr>
          <w:p>
            <w:pPr>
              <w:keepNext w:val="0"/>
              <w:keepLines w:val="0"/>
              <w:widowControl/>
              <w:suppressLineNumbers w:val="0"/>
              <w:spacing w:before="0" w:beforeAutospacing="0" w:after="0" w:afterLines="0" w:afterAutospacing="0"/>
              <w:ind w:left="0" w:right="0"/>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杭州普力材料科技有限公司PPC可降解材料及多元醇研发实验室项目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建设单位名称</w:t>
            </w:r>
          </w:p>
        </w:tc>
        <w:tc>
          <w:tcPr>
            <w:tcW w:w="6859" w:type="dxa"/>
            <w:gridSpan w:val="5"/>
            <w:vAlign w:val="center"/>
          </w:tcPr>
          <w:p>
            <w:pPr>
              <w:keepNext w:val="0"/>
              <w:keepLines w:val="0"/>
              <w:widowControl/>
              <w:suppressLineNumbers w:val="0"/>
              <w:spacing w:before="0" w:beforeAutospacing="0" w:after="0" w:afterLines="0" w:afterAutospacing="0"/>
              <w:ind w:left="0" w:right="0"/>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杭州普力材料科技有限公司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建设项目性质</w:t>
            </w:r>
          </w:p>
        </w:tc>
        <w:tc>
          <w:tcPr>
            <w:tcW w:w="6859" w:type="dxa"/>
            <w:gridSpan w:val="5"/>
            <w:vAlign w:val="center"/>
          </w:tcPr>
          <w:p>
            <w:pPr>
              <w:keepNext w:val="0"/>
              <w:keepLines w:val="0"/>
              <w:widowControl/>
              <w:suppressLineNumbers w:val="0"/>
              <w:spacing w:before="0" w:beforeAutospacing="0" w:after="0" w:afterLines="0" w:afterAutospacing="0"/>
              <w:ind w:left="0" w:right="0"/>
              <w:jc w:val="both"/>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新建</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color w:val="000000"/>
                <w:sz w:val="21"/>
                <w:szCs w:val="21"/>
              </w:rPr>
              <w:t xml:space="preserve">  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建设地点</w:t>
            </w:r>
          </w:p>
        </w:tc>
        <w:tc>
          <w:tcPr>
            <w:tcW w:w="6859" w:type="dxa"/>
            <w:gridSpan w:val="5"/>
            <w:vAlign w:val="center"/>
          </w:tcPr>
          <w:p>
            <w:pPr>
              <w:keepNext w:val="0"/>
              <w:keepLines w:val="0"/>
              <w:widowControl/>
              <w:suppressLineNumbers w:val="0"/>
              <w:spacing w:before="0" w:beforeAutospacing="0" w:after="0" w:afterLines="0" w:afterAutospacing="0"/>
              <w:ind w:left="0" w:right="0"/>
              <w:jc w:val="left"/>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浙江省杭州市余杭区良渚街道纳贤街2号10号楼6楼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主要产品名称</w:t>
            </w:r>
          </w:p>
        </w:tc>
        <w:tc>
          <w:tcPr>
            <w:tcW w:w="6859" w:type="dxa"/>
            <w:gridSpan w:val="5"/>
            <w:vAlign w:val="center"/>
          </w:tcPr>
          <w:p>
            <w:pPr>
              <w:keepNext w:val="0"/>
              <w:keepLines w:val="0"/>
              <w:widowControl/>
              <w:suppressLineNumbers w:val="0"/>
              <w:spacing w:before="0" w:beforeAutospacing="0" w:after="0" w:afterLines="0" w:afterAutospacing="0"/>
              <w:ind w:left="0" w:right="0"/>
              <w:jc w:val="both"/>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设计生产能力</w:t>
            </w:r>
          </w:p>
        </w:tc>
        <w:tc>
          <w:tcPr>
            <w:tcW w:w="6859" w:type="dxa"/>
            <w:gridSpan w:val="5"/>
            <w:vAlign w:val="center"/>
          </w:tcPr>
          <w:p>
            <w:pPr>
              <w:keepNext w:val="0"/>
              <w:keepLines w:val="0"/>
              <w:widowControl/>
              <w:suppressLineNumbers w:val="0"/>
              <w:spacing w:before="0" w:beforeAutospacing="0" w:after="0" w:afterLines="0" w:afterAutospacing="0"/>
              <w:ind w:left="0" w:right="0"/>
              <w:jc w:val="both"/>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实际生产能力</w:t>
            </w:r>
          </w:p>
        </w:tc>
        <w:tc>
          <w:tcPr>
            <w:tcW w:w="6859" w:type="dxa"/>
            <w:gridSpan w:val="5"/>
            <w:vAlign w:val="center"/>
          </w:tcPr>
          <w:p>
            <w:pPr>
              <w:keepNext w:val="0"/>
              <w:keepLines w:val="0"/>
              <w:widowControl/>
              <w:suppressLineNumbers w:val="0"/>
              <w:spacing w:before="0" w:beforeAutospacing="0" w:after="0" w:afterLines="0" w:afterAutospacing="0"/>
              <w:ind w:left="0" w:right="0"/>
              <w:jc w:val="both"/>
              <w:rPr>
                <w:rFonts w:hint="default"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sz w:val="21"/>
                <w:szCs w:val="21"/>
              </w:rPr>
              <w:t>建设项目环评</w:t>
            </w:r>
            <w:r>
              <w:rPr>
                <w:rFonts w:hint="eastAsia" w:ascii="Times New Roman" w:hAnsi="Times New Roman" w:eastAsia="宋体"/>
                <w:sz w:val="21"/>
                <w:szCs w:val="21"/>
              </w:rPr>
              <w:t>批复</w:t>
            </w:r>
            <w:r>
              <w:rPr>
                <w:rFonts w:hint="default" w:ascii="Times New Roman" w:hAnsi="Times New Roman" w:eastAsia="宋体"/>
                <w:sz w:val="21"/>
                <w:szCs w:val="21"/>
              </w:rPr>
              <w:t>时间</w:t>
            </w:r>
          </w:p>
        </w:tc>
        <w:tc>
          <w:tcPr>
            <w:tcW w:w="1782"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2022年11月</w:t>
            </w:r>
          </w:p>
        </w:tc>
        <w:tc>
          <w:tcPr>
            <w:tcW w:w="1926"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开工建设时间</w:t>
            </w:r>
          </w:p>
        </w:tc>
        <w:tc>
          <w:tcPr>
            <w:tcW w:w="3151" w:type="dxa"/>
            <w:gridSpan w:val="3"/>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2022年10月8日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试生产</w:t>
            </w:r>
            <w:r>
              <w:rPr>
                <w:rFonts w:hint="default" w:ascii="Times New Roman" w:hAnsi="Times New Roman" w:eastAsia="宋体" w:cs="Times New Roman"/>
                <w:color w:val="000000"/>
                <w:sz w:val="21"/>
                <w:szCs w:val="21"/>
              </w:rPr>
              <w:t>时间</w:t>
            </w:r>
          </w:p>
        </w:tc>
        <w:tc>
          <w:tcPr>
            <w:tcW w:w="1782"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2022年12月10日</w:t>
            </w:r>
          </w:p>
        </w:tc>
        <w:tc>
          <w:tcPr>
            <w:tcW w:w="1926"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验收现场监测时间</w:t>
            </w:r>
          </w:p>
        </w:tc>
        <w:tc>
          <w:tcPr>
            <w:tcW w:w="3151" w:type="dxa"/>
            <w:gridSpan w:val="3"/>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2022</w:t>
            </w:r>
            <w:r>
              <w:rPr>
                <w:rFonts w:hint="default" w:ascii="Times New Roman" w:hAnsi="Times New Roman" w:eastAsia="宋体" w:cs="Times New Roman"/>
                <w:color w:val="000000"/>
                <w:sz w:val="21"/>
                <w:szCs w:val="21"/>
                <w:lang w:val="en-US" w:eastAsia="zh-CN"/>
              </w:rPr>
              <w:t>年</w:t>
            </w:r>
            <w:r>
              <w:rPr>
                <w:rFonts w:hint="eastAsia" w:ascii="Times New Roman" w:hAnsi="Times New Roman" w:eastAsia="宋体" w:cs="Times New Roman"/>
                <w:color w:val="000000"/>
                <w:sz w:val="21"/>
                <w:szCs w:val="21"/>
                <w:lang w:val="en-US" w:eastAsia="zh-CN"/>
              </w:rPr>
              <w:t>12</w:t>
            </w:r>
            <w:r>
              <w:rPr>
                <w:rFonts w:hint="default" w:ascii="Times New Roman" w:hAnsi="Times New Roman" w:eastAsia="宋体" w:cs="Times New Roman"/>
                <w:color w:val="000000"/>
                <w:sz w:val="21"/>
                <w:szCs w:val="21"/>
                <w:lang w:val="en-US" w:eastAsia="zh-CN"/>
              </w:rPr>
              <w:t>月</w:t>
            </w:r>
            <w:r>
              <w:rPr>
                <w:rFonts w:hint="eastAsia" w:ascii="Times New Roman" w:hAnsi="Times New Roman" w:eastAsia="宋体" w:cs="Times New Roman"/>
                <w:color w:val="000000"/>
                <w:sz w:val="21"/>
                <w:szCs w:val="21"/>
                <w:lang w:val="en-US" w:eastAsia="zh-CN"/>
              </w:rPr>
              <w:t>6</w:t>
            </w:r>
            <w:r>
              <w:rPr>
                <w:rFonts w:hint="default" w:ascii="Times New Roman" w:hAnsi="Times New Roman" w:eastAsia="宋体" w:cs="Times New Roman"/>
                <w:color w:val="000000"/>
                <w:sz w:val="21"/>
                <w:szCs w:val="21"/>
                <w:lang w:val="en-US" w:eastAsia="zh-CN"/>
              </w:rPr>
              <w:t>日、</w:t>
            </w:r>
            <w:r>
              <w:rPr>
                <w:rFonts w:hint="eastAsia" w:ascii="Times New Roman" w:hAnsi="Times New Roman" w:eastAsia="宋体" w:cs="Times New Roman"/>
                <w:color w:val="000000"/>
                <w:sz w:val="21"/>
                <w:szCs w:val="21"/>
                <w:lang w:val="en-US" w:eastAsia="zh-CN"/>
              </w:rPr>
              <w:t>12</w:t>
            </w:r>
            <w:r>
              <w:rPr>
                <w:rFonts w:hint="default" w:ascii="Times New Roman" w:hAnsi="Times New Roman" w:eastAsia="宋体" w:cs="Times New Roman"/>
                <w:color w:val="000000"/>
                <w:sz w:val="21"/>
                <w:szCs w:val="21"/>
                <w:lang w:val="en-US" w:eastAsia="zh-CN"/>
              </w:rPr>
              <w:t>月</w:t>
            </w:r>
            <w:r>
              <w:rPr>
                <w:rFonts w:hint="eastAsia" w:ascii="Times New Roman" w:hAnsi="Times New Roman" w:eastAsia="宋体" w:cs="Times New Roman"/>
                <w:color w:val="000000"/>
                <w:sz w:val="21"/>
                <w:szCs w:val="21"/>
                <w:lang w:val="en-US" w:eastAsia="zh-CN"/>
              </w:rPr>
              <w:t>7</w:t>
            </w:r>
            <w:r>
              <w:rPr>
                <w:rFonts w:hint="default" w:ascii="Times New Roman" w:hAnsi="Times New Roman" w:eastAsia="宋体" w:cs="Times New Roman"/>
                <w:color w:val="000000"/>
                <w:sz w:val="21"/>
                <w:szCs w:val="21"/>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rPr>
              <w:t>环评</w:t>
            </w:r>
            <w:r>
              <w:rPr>
                <w:rFonts w:hint="eastAsia" w:ascii="Times New Roman" w:hAnsi="Times New Roman" w:eastAsia="宋体" w:cs="Times New Roman"/>
                <w:color w:val="000000"/>
                <w:sz w:val="21"/>
                <w:szCs w:val="21"/>
                <w:lang w:eastAsia="zh-CN"/>
              </w:rPr>
              <w:t>报告表</w:t>
            </w:r>
          </w:p>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审批</w:t>
            </w:r>
            <w:r>
              <w:rPr>
                <w:rFonts w:hint="default" w:ascii="Times New Roman" w:hAnsi="Times New Roman" w:eastAsia="宋体" w:cs="Times New Roman"/>
                <w:color w:val="000000"/>
                <w:sz w:val="21"/>
                <w:szCs w:val="21"/>
              </w:rPr>
              <w:t>部门</w:t>
            </w:r>
          </w:p>
        </w:tc>
        <w:tc>
          <w:tcPr>
            <w:tcW w:w="1782"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highlight w:val="none"/>
                <w:lang w:eastAsia="zh-CN"/>
              </w:rPr>
              <w:t>杭州市生态环境局</w:t>
            </w:r>
          </w:p>
        </w:tc>
        <w:tc>
          <w:tcPr>
            <w:tcW w:w="1926" w:type="dxa"/>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rPr>
              <w:t>环评</w:t>
            </w:r>
            <w:r>
              <w:rPr>
                <w:rFonts w:hint="eastAsia" w:ascii="Times New Roman" w:hAnsi="Times New Roman" w:eastAsia="宋体" w:cs="Times New Roman"/>
                <w:color w:val="000000"/>
                <w:sz w:val="21"/>
                <w:szCs w:val="21"/>
                <w:lang w:eastAsia="zh-CN"/>
              </w:rPr>
              <w:t>报告表</w:t>
            </w:r>
          </w:p>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highlight w:val="none"/>
              </w:rPr>
              <w:t>编制单位</w:t>
            </w:r>
          </w:p>
        </w:tc>
        <w:tc>
          <w:tcPr>
            <w:tcW w:w="3151" w:type="dxa"/>
            <w:gridSpan w:val="3"/>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浙江裕腾百诺环保科技股份有限公司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环保设施设计单位</w:t>
            </w:r>
          </w:p>
        </w:tc>
        <w:tc>
          <w:tcPr>
            <w:tcW w:w="1782"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杭州那山那水环保科技有限公司</w:t>
            </w:r>
          </w:p>
        </w:tc>
        <w:tc>
          <w:tcPr>
            <w:tcW w:w="1926"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环保设施施工单位</w:t>
            </w:r>
          </w:p>
        </w:tc>
        <w:tc>
          <w:tcPr>
            <w:tcW w:w="3151" w:type="dxa"/>
            <w:gridSpan w:val="3"/>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杭州那山那水环保科技有限公司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投资总概算</w:t>
            </w:r>
          </w:p>
        </w:tc>
        <w:tc>
          <w:tcPr>
            <w:tcW w:w="1782" w:type="dxa"/>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500万元</w:t>
            </w:r>
          </w:p>
        </w:tc>
        <w:tc>
          <w:tcPr>
            <w:tcW w:w="1926"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环保投资总概算</w:t>
            </w:r>
          </w:p>
        </w:tc>
        <w:tc>
          <w:tcPr>
            <w:tcW w:w="1109" w:type="dxa"/>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32万元</w:t>
            </w:r>
          </w:p>
        </w:tc>
        <w:tc>
          <w:tcPr>
            <w:tcW w:w="765"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比例</w:t>
            </w:r>
          </w:p>
        </w:tc>
        <w:tc>
          <w:tcPr>
            <w:tcW w:w="127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6.4</w:t>
            </w:r>
            <w:r>
              <w:rPr>
                <w:rFonts w:hint="default" w:ascii="Times New Roman" w:hAnsi="Times New Roman" w:eastAsia="宋体" w:cs="Times New Roman"/>
                <w:color w:val="00000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实际总概算</w:t>
            </w:r>
          </w:p>
        </w:tc>
        <w:tc>
          <w:tcPr>
            <w:tcW w:w="1782" w:type="dxa"/>
            <w:vAlign w:val="center"/>
          </w:tcPr>
          <w:p>
            <w:pPr>
              <w:keepNext w:val="0"/>
              <w:keepLines w:val="0"/>
              <w:widowControl/>
              <w:suppressLineNumbers w:val="0"/>
              <w:spacing w:before="0" w:beforeAutospacing="0" w:after="0" w:afterLines="0" w:afterAutospacing="0"/>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000000"/>
                <w:sz w:val="21"/>
                <w:szCs w:val="21"/>
                <w:lang w:val="en-US" w:eastAsia="zh-CN"/>
              </w:rPr>
              <w:t>800万元</w:t>
            </w:r>
          </w:p>
        </w:tc>
        <w:tc>
          <w:tcPr>
            <w:tcW w:w="1926" w:type="dxa"/>
            <w:vAlign w:val="center"/>
          </w:tcPr>
          <w:p>
            <w:pPr>
              <w:keepNext w:val="0"/>
              <w:keepLines w:val="0"/>
              <w:widowControl/>
              <w:suppressLineNumbers w:val="0"/>
              <w:spacing w:before="0" w:beforeAutospacing="0" w:after="0" w:afterLines="0" w:afterAutospacing="0"/>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环保投资总概算</w:t>
            </w:r>
          </w:p>
        </w:tc>
        <w:tc>
          <w:tcPr>
            <w:tcW w:w="1109" w:type="dxa"/>
            <w:vAlign w:val="center"/>
          </w:tcPr>
          <w:p>
            <w:pPr>
              <w:keepNext w:val="0"/>
              <w:keepLines w:val="0"/>
              <w:widowControl/>
              <w:suppressLineNumbers w:val="0"/>
              <w:spacing w:before="0" w:beforeAutospacing="0" w:after="0" w:afterLines="0" w:afterAutospacing="0"/>
              <w:ind w:left="0" w:leftChars="0" w:right="0" w:rightChars="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11万元</w:t>
            </w:r>
          </w:p>
        </w:tc>
        <w:tc>
          <w:tcPr>
            <w:tcW w:w="765" w:type="dxa"/>
            <w:vAlign w:val="center"/>
          </w:tcPr>
          <w:p>
            <w:pPr>
              <w:keepNext w:val="0"/>
              <w:keepLines w:val="0"/>
              <w:widowControl/>
              <w:suppressLineNumbers w:val="0"/>
              <w:spacing w:before="0" w:beforeAutospacing="0" w:after="0" w:afterLines="0" w:afterAutospacing="0"/>
              <w:ind w:left="0" w:leftChars="0" w:right="0" w:rightChars="0"/>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比例</w:t>
            </w:r>
          </w:p>
        </w:tc>
        <w:tc>
          <w:tcPr>
            <w:tcW w:w="1277" w:type="dxa"/>
            <w:vAlign w:val="center"/>
          </w:tcPr>
          <w:p>
            <w:pPr>
              <w:keepNext w:val="0"/>
              <w:keepLines w:val="0"/>
              <w:widowControl/>
              <w:suppressLineNumbers w:val="0"/>
              <w:spacing w:before="0" w:beforeAutospacing="0" w:after="0" w:afterLines="0" w:afterAutospacing="0"/>
              <w:ind w:left="0" w:leftChars="0" w:right="0" w:rightChars="0"/>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1.4</w:t>
            </w:r>
            <w:r>
              <w:rPr>
                <w:rFonts w:hint="default" w:ascii="Times New Roman" w:hAnsi="Times New Roman" w:eastAsia="宋体" w:cs="Times New Roman"/>
                <w:color w:val="00000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29" w:hRule="atLeast"/>
          <w:jc w:val="center"/>
        </w:trPr>
        <w:tc>
          <w:tcPr>
            <w:tcW w:w="2307" w:type="dxa"/>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验收监测依据</w:t>
            </w:r>
          </w:p>
        </w:tc>
        <w:tc>
          <w:tcPr>
            <w:tcW w:w="6859" w:type="dxa"/>
            <w:gridSpan w:val="5"/>
            <w:vAlign w:val="center"/>
          </w:tcPr>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s="Times New Roman"/>
                <w:color w:val="000000"/>
                <w:sz w:val="21"/>
                <w:szCs w:val="21"/>
                <w:lang w:val="en-US" w:eastAsia="zh-CN"/>
              </w:rPr>
              <w:t>1、</w:t>
            </w:r>
            <w:r>
              <w:rPr>
                <w:rFonts w:hint="eastAsia" w:ascii="Times New Roman" w:hAnsi="Times New Roman" w:eastAsia="宋体"/>
                <w:color w:val="000000"/>
                <w:sz w:val="21"/>
                <w:szCs w:val="21"/>
              </w:rPr>
              <w:t>《中华人民共和国环境保护法》，2015年1月1日施行；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2、《中华人民共和国大气污染防治法》，2018年10月26日施行；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3、《中华人民共和国水污染防治法》，2018年1月1日施行；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4、《中华人民共和国固体废物污染环境防治法》，2020年9月1日施行；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5、《中华人民共和国土壤污染防治法》，2019年1月1日实施；</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6、《中华人民共和国突发事件应对法》，2007年8月30日施行；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7、《建设项目环境保护管理条例》，2017年10月1日施行；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8、《排污许可管理条例》，2021年3月1日施行；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9、《建设项目竣工环境保护验收暂行办法》（国环规环评〔2017〕4号）；</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10、《浙江省建设项目环境保护管理办法》，2018年3月1日起施行；</w:t>
            </w:r>
          </w:p>
          <w:p>
            <w:pPr>
              <w:keepNext w:val="0"/>
              <w:keepLines w:val="0"/>
              <w:widowControl/>
              <w:suppressLineNumbers w:val="0"/>
              <w:spacing w:before="0" w:beforeAutospacing="0" w:afterAutospacing="0" w:line="360" w:lineRule="auto"/>
              <w:ind w:left="0" w:right="0"/>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11、《浙江省大气污染防治条例（2020年修正文本）》，2021年1月15日施行；</w:t>
            </w:r>
          </w:p>
          <w:p>
            <w:pPr>
              <w:keepNext w:val="0"/>
              <w:keepLines w:val="0"/>
              <w:widowControl/>
              <w:suppressLineNumbers w:val="0"/>
              <w:spacing w:before="0" w:beforeAutospacing="0" w:afterAutospacing="0" w:line="360" w:lineRule="auto"/>
              <w:ind w:left="0" w:right="0"/>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12、《浙江省水污染防治条例（2020年修正三）》，2020年11月27日施行；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13、《浙江省固体废物污染环境防治条例（2017年修正）》，2017年9月30日施行；</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eastAsia" w:ascii="Times New Roman" w:hAnsi="Times New Roman" w:eastAsia="宋体"/>
                <w:color w:val="000000"/>
                <w:sz w:val="21"/>
                <w:szCs w:val="21"/>
              </w:rPr>
              <w:t>14、《建设项目竣工环境保护验收技术指南污染影响类》，生态环境部办公厅2018年5月16日印发；</w:t>
            </w:r>
          </w:p>
          <w:p>
            <w:pPr>
              <w:keepNext w:val="0"/>
              <w:keepLines w:val="0"/>
              <w:widowControl/>
              <w:suppressLineNumbers w:val="0"/>
              <w:spacing w:before="0" w:beforeAutospacing="0" w:afterAutospacing="0" w:line="360" w:lineRule="auto"/>
              <w:ind w:left="0" w:right="0"/>
              <w:rPr>
                <w:rFonts w:hint="default" w:ascii="Times New Roman" w:hAnsi="Times New Roman" w:eastAsia="宋体"/>
                <w:sz w:val="21"/>
                <w:szCs w:val="21"/>
              </w:rPr>
            </w:pPr>
            <w:r>
              <w:rPr>
                <w:rFonts w:hint="eastAsia" w:ascii="Times New Roman" w:hAnsi="Times New Roman" w:eastAsia="宋体"/>
                <w:color w:val="000000"/>
                <w:sz w:val="21"/>
                <w:szCs w:val="21"/>
              </w:rPr>
              <w:t>1</w:t>
            </w:r>
            <w:r>
              <w:rPr>
                <w:rFonts w:hint="default" w:ascii="Times New Roman" w:hAnsi="Times New Roman" w:eastAsia="宋体"/>
                <w:color w:val="000000"/>
                <w:sz w:val="21"/>
                <w:szCs w:val="21"/>
              </w:rPr>
              <w:t>5</w:t>
            </w:r>
            <w:r>
              <w:rPr>
                <w:rFonts w:hint="eastAsia" w:ascii="Times New Roman" w:hAnsi="Times New Roman" w:eastAsia="宋体"/>
                <w:color w:val="000000"/>
                <w:sz w:val="21"/>
                <w:szCs w:val="21"/>
                <w:highlight w:val="none"/>
              </w:rPr>
              <w:t>、</w:t>
            </w:r>
            <w:r>
              <w:rPr>
                <w:rFonts w:hint="eastAsia" w:ascii="Times New Roman" w:hAnsi="Times New Roman" w:eastAsia="宋体"/>
                <w:color w:val="000000"/>
                <w:sz w:val="21"/>
                <w:szCs w:val="21"/>
                <w:highlight w:val="none"/>
                <w:lang w:eastAsia="zh-CN"/>
              </w:rPr>
              <w:t>浙江裕腾百诺环保科技股份有限公司</w:t>
            </w:r>
            <w:r>
              <w:rPr>
                <w:rFonts w:hint="eastAsia" w:ascii="Times New Roman" w:hAnsi="Times New Roman" w:eastAsia="宋体"/>
                <w:color w:val="000000"/>
                <w:sz w:val="21"/>
                <w:szCs w:val="21"/>
              </w:rPr>
              <w:t>《</w:t>
            </w:r>
            <w:r>
              <w:rPr>
                <w:rFonts w:hint="eastAsia" w:ascii="Times New Roman" w:hAnsi="Times New Roman" w:eastAsia="宋体" w:cs="Times New Roman"/>
                <w:color w:val="000000"/>
                <w:sz w:val="21"/>
                <w:szCs w:val="21"/>
                <w:lang w:eastAsia="zh-CN"/>
              </w:rPr>
              <w:t>杭州普力材料科技有限公司PPC可降解材料及多元醇研发实验室项目</w:t>
            </w:r>
            <w:r>
              <w:rPr>
                <w:rFonts w:hint="eastAsia" w:ascii="Times New Roman" w:hAnsi="Times New Roman" w:eastAsia="宋体"/>
                <w:color w:val="000000"/>
                <w:sz w:val="21"/>
                <w:szCs w:val="21"/>
                <w:highlight w:val="none"/>
              </w:rPr>
              <w:t>环境影响</w:t>
            </w:r>
            <w:r>
              <w:rPr>
                <w:rFonts w:hint="eastAsia" w:ascii="Times New Roman" w:hAnsi="Times New Roman" w:eastAsia="宋体"/>
                <w:color w:val="000000"/>
                <w:sz w:val="21"/>
                <w:szCs w:val="21"/>
                <w:highlight w:val="none"/>
                <w:lang w:eastAsia="zh-CN"/>
              </w:rPr>
              <w:t>报告表</w:t>
            </w:r>
            <w:r>
              <w:rPr>
                <w:rFonts w:hint="eastAsia" w:ascii="Times New Roman" w:hAnsi="Times New Roman" w:eastAsia="宋体"/>
                <w:sz w:val="21"/>
                <w:szCs w:val="21"/>
                <w:highlight w:val="none"/>
              </w:rPr>
              <w:t>》（</w:t>
            </w:r>
            <w:r>
              <w:rPr>
                <w:rFonts w:hint="eastAsia" w:ascii="Times New Roman" w:hAnsi="Times New Roman" w:eastAsia="宋体"/>
                <w:sz w:val="21"/>
                <w:szCs w:val="21"/>
                <w:highlight w:val="none"/>
                <w:lang w:eastAsia="zh-CN"/>
              </w:rPr>
              <w:t>2022年11月</w:t>
            </w:r>
            <w:r>
              <w:rPr>
                <w:rFonts w:hint="eastAsia" w:ascii="Times New Roman" w:hAnsi="Times New Roman" w:eastAsia="宋体"/>
                <w:sz w:val="21"/>
                <w:szCs w:val="21"/>
                <w:highlight w:val="none"/>
              </w:rPr>
              <w:t>）；</w:t>
            </w:r>
            <w:r>
              <w:rPr>
                <w:rFonts w:hint="eastAsia" w:ascii="Times New Roman" w:hAnsi="Times New Roman" w:eastAsia="宋体"/>
                <w:sz w:val="21"/>
                <w:szCs w:val="21"/>
                <w:highlight w:val="none"/>
                <w:lang w:eastAsia="zh-CN"/>
              </w:rPr>
              <w:t>杭州市生态环境局</w:t>
            </w:r>
            <w:r>
              <w:rPr>
                <w:rFonts w:hint="default" w:ascii="Times New Roman" w:hAnsi="Times New Roman" w:eastAsia="宋体"/>
                <w:sz w:val="21"/>
                <w:szCs w:val="21"/>
                <w:highlight w:val="none"/>
              </w:rPr>
              <w:t>的</w:t>
            </w:r>
            <w:r>
              <w:rPr>
                <w:rFonts w:hint="eastAsia" w:ascii="Times New Roman" w:hAnsi="Times New Roman" w:eastAsia="宋体"/>
                <w:sz w:val="21"/>
                <w:szCs w:val="21"/>
                <w:highlight w:val="none"/>
                <w:lang w:eastAsia="zh-CN"/>
              </w:rPr>
              <w:t>审批</w:t>
            </w:r>
            <w:r>
              <w:rPr>
                <w:rFonts w:hint="default" w:ascii="Times New Roman" w:hAnsi="Times New Roman" w:eastAsia="宋体"/>
                <w:sz w:val="21"/>
                <w:szCs w:val="21"/>
                <w:highlight w:val="none"/>
              </w:rPr>
              <w:t>意见（</w:t>
            </w:r>
            <w:r>
              <w:rPr>
                <w:rFonts w:hint="eastAsia" w:ascii="Times New Roman" w:hAnsi="Times New Roman" w:eastAsia="宋体"/>
                <w:sz w:val="21"/>
                <w:szCs w:val="21"/>
                <w:highlight w:val="none"/>
                <w:lang w:eastAsia="zh-CN"/>
              </w:rPr>
              <w:t>环评批复[2022]76号</w:t>
            </w:r>
            <w:r>
              <w:rPr>
                <w:rFonts w:hint="default" w:ascii="Times New Roman" w:hAnsi="Times New Roman" w:eastAsia="宋体"/>
                <w:sz w:val="21"/>
                <w:szCs w:val="21"/>
                <w:highlight w:val="none"/>
              </w:rPr>
              <w:t>）</w:t>
            </w:r>
            <w:r>
              <w:rPr>
                <w:rFonts w:hint="default" w:ascii="Times New Roman" w:hAnsi="Times New Roman" w:eastAsia="宋体"/>
                <w:sz w:val="21"/>
                <w:szCs w:val="21"/>
              </w:rPr>
              <w:t>；</w:t>
            </w:r>
          </w:p>
          <w:p>
            <w:pPr>
              <w:keepNext w:val="0"/>
              <w:keepLines w:val="0"/>
              <w:widowControl/>
              <w:suppressLineNumbers w:val="0"/>
              <w:spacing w:before="0" w:beforeAutospacing="0" w:afterAutospacing="0" w:line="360" w:lineRule="auto"/>
              <w:ind w:left="0" w:right="0"/>
              <w:rPr>
                <w:rFonts w:hint="default" w:ascii="Times New Roman" w:hAnsi="Times New Roman" w:eastAsia="宋体"/>
                <w:color w:val="000000"/>
                <w:sz w:val="21"/>
                <w:szCs w:val="21"/>
              </w:rPr>
            </w:pPr>
            <w:r>
              <w:rPr>
                <w:rFonts w:hint="default" w:ascii="Times New Roman" w:hAnsi="Times New Roman" w:eastAsia="宋体"/>
                <w:sz w:val="21"/>
                <w:szCs w:val="21"/>
              </w:rPr>
              <w:t>16</w:t>
            </w:r>
            <w:r>
              <w:rPr>
                <w:rFonts w:hint="eastAsia" w:ascii="Times New Roman" w:hAnsi="Times New Roman" w:eastAsia="宋体"/>
                <w:sz w:val="21"/>
                <w:szCs w:val="21"/>
              </w:rPr>
              <w:t>、</w:t>
            </w:r>
            <w:r>
              <w:rPr>
                <w:rFonts w:hint="eastAsia" w:ascii="Times New Roman" w:hAnsi="Times New Roman" w:eastAsia="宋体" w:cs="Times New Roman"/>
                <w:color w:val="000000"/>
                <w:sz w:val="21"/>
                <w:szCs w:val="21"/>
                <w:lang w:eastAsia="zh-CN"/>
              </w:rPr>
              <w:t>杭州普力材料科技有限公司PPC可降解材料及多元醇研发实验室项目</w:t>
            </w:r>
            <w:r>
              <w:rPr>
                <w:rFonts w:hint="default" w:ascii="Times New Roman" w:hAnsi="Times New Roman" w:eastAsia="宋体"/>
                <w:color w:val="000000"/>
                <w:sz w:val="21"/>
                <w:szCs w:val="21"/>
              </w:rPr>
              <w:t>竣工环境保护验收监测委托书；</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color w:val="000000"/>
                <w:sz w:val="21"/>
                <w:szCs w:val="21"/>
                <w:lang w:eastAsia="zh-CN"/>
              </w:rPr>
            </w:pPr>
            <w:r>
              <w:rPr>
                <w:rFonts w:hint="default" w:ascii="Times New Roman" w:hAnsi="Times New Roman" w:eastAsia="宋体"/>
                <w:color w:val="000000"/>
                <w:sz w:val="21"/>
                <w:szCs w:val="21"/>
              </w:rPr>
              <w:t>17</w:t>
            </w:r>
            <w:r>
              <w:rPr>
                <w:rFonts w:hint="eastAsia" w:ascii="Times New Roman" w:hAnsi="Times New Roman" w:eastAsia="宋体"/>
                <w:color w:val="000000"/>
                <w:sz w:val="21"/>
                <w:szCs w:val="21"/>
              </w:rPr>
              <w:t>、</w:t>
            </w:r>
            <w:r>
              <w:rPr>
                <w:rFonts w:hint="default" w:ascii="Times New Roman" w:hAnsi="Times New Roman" w:eastAsia="宋体"/>
                <w:color w:val="000000"/>
                <w:sz w:val="21"/>
                <w:szCs w:val="21"/>
              </w:rPr>
              <w:t>浙江华标检测技术有限公司《检测报告》（2022H</w:t>
            </w:r>
            <w:r>
              <w:rPr>
                <w:rFonts w:hint="eastAsia" w:ascii="Times New Roman" w:hAnsi="Times New Roman" w:eastAsia="宋体"/>
                <w:color w:val="000000"/>
                <w:sz w:val="21"/>
                <w:szCs w:val="21"/>
                <w:lang w:val="en-US" w:eastAsia="zh-CN"/>
              </w:rPr>
              <w:t>12193</w:t>
            </w:r>
            <w:r>
              <w:rPr>
                <w:rFonts w:hint="default" w:ascii="Times New Roman" w:hAnsi="Times New Roman" w:eastAsia="宋体"/>
                <w:color w:val="000000"/>
                <w:sz w:val="21"/>
                <w:szCs w:val="21"/>
              </w:rPr>
              <w:t>）</w:t>
            </w:r>
            <w:r>
              <w:rPr>
                <w:rFonts w:hint="eastAsia" w:ascii="Times New Roman" w:hAnsi="Times New Roman" w:eastAsia="宋体" w:cs="Times New Roman"/>
                <w:color w:val="000000"/>
                <w:sz w:val="21"/>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64" w:hRule="atLeast"/>
          <w:jc w:val="center"/>
        </w:trPr>
        <w:tc>
          <w:tcPr>
            <w:tcW w:w="2307" w:type="dxa"/>
            <w:vAlign w:val="center"/>
          </w:tcPr>
          <w:p>
            <w:pPr>
              <w:keepNext w:val="0"/>
              <w:keepLines w:val="0"/>
              <w:widowControl/>
              <w:suppressLineNumbers w:val="0"/>
              <w:spacing w:before="0" w:beforeAutospacing="0" w:after="0" w:afterLines="0" w:afterAutospacing="0"/>
              <w:ind w:left="0" w:right="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验收监测评价标准、标号、级别、限值</w:t>
            </w:r>
          </w:p>
        </w:tc>
        <w:tc>
          <w:tcPr>
            <w:tcW w:w="6859" w:type="dxa"/>
            <w:gridSpan w:val="5"/>
            <w:vAlign w:val="top"/>
          </w:tcPr>
          <w:p>
            <w:pPr>
              <w:keepNext w:val="0"/>
              <w:keepLines w:val="0"/>
              <w:widowControl/>
              <w:suppressLineNumbers w:val="0"/>
              <w:spacing w:before="0" w:beforeAutospacing="0" w:after="0" w:afterLines="0" w:afterAutospacing="0"/>
              <w:ind w:left="0" w:right="0"/>
              <w:rPr>
                <w:rFonts w:hint="default" w:ascii="Times New Roman" w:hAnsi="Times New Roman" w:eastAsia="宋体" w:cs="Times New Roman"/>
                <w:color w:val="000000"/>
                <w:sz w:val="21"/>
                <w:szCs w:val="21"/>
              </w:rPr>
            </w:pP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1、废气</w:t>
            </w:r>
          </w:p>
          <w:p>
            <w:pPr>
              <w:keepNext w:val="0"/>
              <w:keepLines w:val="0"/>
              <w:widowControl/>
              <w:suppressLineNumbers w:val="0"/>
              <w:spacing w:before="0" w:beforeAutospacing="0" w:after="0" w:afterLines="0" w:afterAutospacing="0" w:line="360" w:lineRule="auto"/>
              <w:ind w:left="0" w:right="0" w:firstLine="420" w:firstLineChars="200"/>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本项目实验过程中产生的非甲烷总烃、氯化氢、二氯甲烷排放执行《大气污染物综合排放标准》（GB16297-1996）中表2二级排放标准；厂区内无组织非甲烷总烃执行《挥发性有机物无组织排放控制标准》(GB27822-2019)表A.1厂区内VOCs无组织排放限值中的特别排放限值。具体详见表1-1表1-2。</w:t>
            </w:r>
          </w:p>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表1-1新污染源大气污染物排放二级标准</w:t>
            </w:r>
          </w:p>
          <w:tbl>
            <w:tblPr>
              <w:tblStyle w:val="19"/>
              <w:tblW w:w="4999" w:type="pct"/>
              <w:tblInd w:w="1"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15"/>
              <w:gridCol w:w="1245"/>
              <w:gridCol w:w="1610"/>
              <w:gridCol w:w="1358"/>
              <w:gridCol w:w="121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blHeader/>
              </w:trPr>
              <w:tc>
                <w:tcPr>
                  <w:tcW w:w="915"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污染物</w:t>
                  </w:r>
                </w:p>
              </w:tc>
              <w:tc>
                <w:tcPr>
                  <w:tcW w:w="937"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最高允许排放浓度（mg/m</w:t>
                  </w:r>
                  <w:r>
                    <w:rPr>
                      <w:rFonts w:hint="eastAsia" w:ascii="Times New Roman" w:hAnsi="Times New Roman" w:eastAsia="宋体" w:cs="Times New Roman"/>
                      <w:color w:val="000000"/>
                      <w:sz w:val="21"/>
                      <w:szCs w:val="21"/>
                      <w:vertAlign w:val="superscript"/>
                      <w:lang w:val="en-US" w:eastAsia="zh-CN"/>
                    </w:rPr>
                    <w:t>3</w:t>
                  </w:r>
                  <w:r>
                    <w:rPr>
                      <w:rFonts w:hint="eastAsia" w:ascii="Times New Roman" w:hAnsi="Times New Roman" w:eastAsia="宋体" w:cs="Times New Roman"/>
                      <w:color w:val="000000"/>
                      <w:sz w:val="21"/>
                      <w:szCs w:val="21"/>
                      <w:lang w:val="en-US" w:eastAsia="zh-CN"/>
                    </w:rPr>
                    <w:t>）</w:t>
                  </w:r>
                </w:p>
              </w:tc>
              <w:tc>
                <w:tcPr>
                  <w:tcW w:w="1212"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最高允许排放速率（kg/h）</w:t>
                  </w:r>
                </w:p>
              </w:tc>
              <w:tc>
                <w:tcPr>
                  <w:tcW w:w="1934" w:type="pct"/>
                  <w:gridSpan w:val="2"/>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无组织排放监控浓度限值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blHeader/>
              </w:trPr>
              <w:tc>
                <w:tcPr>
                  <w:tcW w:w="915"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937"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1212"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排气筒高度（m）</w:t>
                  </w:r>
                </w:p>
              </w:tc>
              <w:tc>
                <w:tcPr>
                  <w:tcW w:w="1022"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监测点</w:t>
                  </w:r>
                </w:p>
              </w:tc>
              <w:tc>
                <w:tcPr>
                  <w:tcW w:w="911"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浓度（mg/m</w:t>
                  </w:r>
                  <w:r>
                    <w:rPr>
                      <w:rFonts w:hint="eastAsia" w:ascii="Times New Roman" w:hAnsi="Times New Roman" w:eastAsia="宋体" w:cs="Times New Roman"/>
                      <w:color w:val="000000"/>
                      <w:sz w:val="21"/>
                      <w:szCs w:val="21"/>
                      <w:vertAlign w:val="superscript"/>
                      <w:lang w:val="en-US" w:eastAsia="zh-CN"/>
                    </w:rPr>
                    <w:t>3</w:t>
                  </w:r>
                  <w:r>
                    <w:rPr>
                      <w:rFonts w:hint="eastAsia" w:ascii="Times New Roman" w:hAnsi="Times New Roman" w:eastAsia="宋体" w:cs="Times New Roman"/>
                      <w:color w:val="000000"/>
                      <w:sz w:val="21"/>
                      <w:szCs w:val="21"/>
                      <w:lang w:val="en-US" w:eastAsia="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915"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937"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1212" w:type="pct"/>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w:t>
                  </w:r>
                </w:p>
              </w:tc>
              <w:tc>
                <w:tcPr>
                  <w:tcW w:w="1022"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911"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915"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非甲烷总烃</w:t>
                  </w:r>
                </w:p>
              </w:tc>
              <w:tc>
                <w:tcPr>
                  <w:tcW w:w="937"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120</w:t>
                  </w:r>
                </w:p>
              </w:tc>
              <w:tc>
                <w:tcPr>
                  <w:tcW w:w="1212" w:type="pct"/>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17</w:t>
                  </w:r>
                </w:p>
              </w:tc>
              <w:tc>
                <w:tcPr>
                  <w:tcW w:w="1022"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周界外浓度最高点</w:t>
                  </w:r>
                </w:p>
              </w:tc>
              <w:tc>
                <w:tcPr>
                  <w:tcW w:w="91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915"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氯化氢</w:t>
                  </w:r>
                </w:p>
              </w:tc>
              <w:tc>
                <w:tcPr>
                  <w:tcW w:w="937"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100</w:t>
                  </w:r>
                </w:p>
              </w:tc>
              <w:tc>
                <w:tcPr>
                  <w:tcW w:w="1212" w:type="pct"/>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0.43</w:t>
                  </w:r>
                </w:p>
              </w:tc>
              <w:tc>
                <w:tcPr>
                  <w:tcW w:w="1022"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91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0.2</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915"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二氯甲烷</w:t>
                  </w:r>
                </w:p>
              </w:tc>
              <w:tc>
                <w:tcPr>
                  <w:tcW w:w="937"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200</w:t>
                  </w:r>
                  <w:r>
                    <w:rPr>
                      <w:rFonts w:hint="eastAsia" w:ascii="Times New Roman" w:hAnsi="Times New Roman" w:eastAsia="宋体" w:cs="Times New Roman"/>
                      <w:color w:val="000000"/>
                      <w:sz w:val="21"/>
                      <w:szCs w:val="21"/>
                      <w:vertAlign w:val="superscript"/>
                      <w:lang w:val="en-US" w:eastAsia="zh-CN"/>
                    </w:rPr>
                    <w:t>①</w:t>
                  </w:r>
                </w:p>
              </w:tc>
              <w:tc>
                <w:tcPr>
                  <w:tcW w:w="1212" w:type="pct"/>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4.9</w:t>
                  </w:r>
                  <w:r>
                    <w:rPr>
                      <w:rFonts w:hint="eastAsia" w:ascii="Times New Roman" w:hAnsi="Times New Roman" w:eastAsia="宋体" w:cs="Times New Roman"/>
                      <w:color w:val="000000"/>
                      <w:sz w:val="21"/>
                      <w:szCs w:val="21"/>
                      <w:vertAlign w:val="superscript"/>
                      <w:lang w:val="en-US" w:eastAsia="zh-CN"/>
                    </w:rPr>
                    <w:t>②</w:t>
                  </w:r>
                </w:p>
              </w:tc>
              <w:tc>
                <w:tcPr>
                  <w:tcW w:w="1022"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91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1.9</w:t>
                  </w:r>
                  <w:r>
                    <w:rPr>
                      <w:rFonts w:hint="eastAsia" w:ascii="Times New Roman" w:hAnsi="Times New Roman" w:eastAsia="宋体" w:cs="Times New Roman"/>
                      <w:color w:val="000000"/>
                      <w:sz w:val="21"/>
                      <w:szCs w:val="21"/>
                      <w:vertAlign w:val="superscript"/>
                      <w:lang w:val="en-US" w:eastAsia="zh-CN"/>
                    </w:rPr>
                    <w:t>③</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5000" w:type="pct"/>
                  <w:gridSpan w:val="5"/>
                  <w:noWrap w:val="0"/>
                  <w:vAlign w:val="center"/>
                </w:tcPr>
                <w:p>
                  <w:pPr>
                    <w:keepNext w:val="0"/>
                    <w:keepLines w:val="0"/>
                    <w:widowControl/>
                    <w:suppressLineNumbers w:val="0"/>
                    <w:spacing w:before="0" w:beforeAutospacing="0" w:after="0" w:afterLines="0" w:afterAutospacing="0"/>
                    <w:ind w:left="0" w:right="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注：①二氯甲烷最高允许排放浓度限值参照《工作场所有害因素职业接触限值 化学有害因素》（GBZ2.1-2019）中的PC-TWA值；</w:t>
                  </w:r>
                </w:p>
                <w:p>
                  <w:pPr>
                    <w:keepNext w:val="0"/>
                    <w:keepLines w:val="0"/>
                    <w:widowControl/>
                    <w:suppressLineNumbers w:val="0"/>
                    <w:spacing w:before="0" w:beforeAutospacing="0" w:after="0" w:afterLines="0" w:afterAutospacing="0"/>
                    <w:ind w:left="0" w:right="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②根据《制定地方大气污染物排放标准的技术方法》(GB/T13201-91)，二氯甲烷最高允许排放速率由：Q=CmRKe求得，其中Cm为质量标准一次最大浓度限值0.476mg/m</w:t>
                  </w:r>
                  <w:r>
                    <w:rPr>
                      <w:rFonts w:hint="eastAsia" w:ascii="Times New Roman" w:hAnsi="Times New Roman" w:eastAsia="宋体" w:cs="Times New Roman"/>
                      <w:color w:val="000000"/>
                      <w:sz w:val="21"/>
                      <w:szCs w:val="21"/>
                      <w:vertAlign w:val="superscript"/>
                      <w:lang w:val="en-US" w:eastAsia="zh-CN"/>
                    </w:rPr>
                    <w:t>3</w:t>
                  </w:r>
                  <w:r>
                    <w:rPr>
                      <w:rFonts w:hint="eastAsia" w:ascii="Times New Roman" w:hAnsi="Times New Roman" w:eastAsia="宋体" w:cs="Times New Roman"/>
                      <w:color w:val="000000"/>
                      <w:sz w:val="21"/>
                      <w:szCs w:val="21"/>
                      <w:lang w:val="en-US" w:eastAsia="zh-CN"/>
                    </w:rPr>
                    <w:t>，二类功能区划排气筒高度分别为15米、20米、30米、40米时对应的R取值分别为6、12、32、58，Ke0.5~1.5，本环评取0.85。</w:t>
                  </w:r>
                </w:p>
                <w:p>
                  <w:pPr>
                    <w:keepNext w:val="0"/>
                    <w:keepLines w:val="0"/>
                    <w:widowControl/>
                    <w:suppressLineNumbers w:val="0"/>
                    <w:spacing w:before="0" w:beforeAutospacing="0" w:after="0" w:afterLines="0" w:afterAutospacing="0"/>
                    <w:ind w:left="0" w:right="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③根据《大气污染物综合排放标准详解》，二氯甲烷无组织监控点浓度限值按照环境质量标准一次值的4倍来取值。</w:t>
                  </w:r>
                </w:p>
              </w:tc>
            </w:tr>
          </w:tbl>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表1-2厂区内挥发性有机物（VOCs）无组织排放限值  单位：mg/m</w:t>
            </w:r>
            <w:r>
              <w:rPr>
                <w:rFonts w:hint="eastAsia" w:ascii="Times New Roman" w:hAnsi="Times New Roman" w:eastAsia="宋体" w:cs="Times New Roman"/>
                <w:b/>
                <w:bCs/>
                <w:color w:val="000000"/>
                <w:sz w:val="21"/>
                <w:szCs w:val="21"/>
                <w:highlight w:val="none"/>
                <w:vertAlign w:val="superscript"/>
                <w:lang w:val="en-US" w:eastAsia="zh-CN"/>
              </w:rPr>
              <w:t>3</w:t>
            </w:r>
          </w:p>
          <w:tbl>
            <w:tblPr>
              <w:tblStyle w:val="19"/>
              <w:tblW w:w="4999"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057"/>
              <w:gridCol w:w="1346"/>
              <w:gridCol w:w="2710"/>
              <w:gridCol w:w="152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96"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污染物项目</w:t>
                  </w:r>
                </w:p>
              </w:tc>
              <w:tc>
                <w:tcPr>
                  <w:tcW w:w="101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特别排放限值</w:t>
                  </w:r>
                </w:p>
              </w:tc>
              <w:tc>
                <w:tcPr>
                  <w:tcW w:w="2042"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限值含义</w:t>
                  </w:r>
                </w:p>
              </w:tc>
              <w:tc>
                <w:tcPr>
                  <w:tcW w:w="1147"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无组织排放监控位置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96"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NMHC</w:t>
                  </w:r>
                </w:p>
              </w:tc>
              <w:tc>
                <w:tcPr>
                  <w:tcW w:w="101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w:t>
                  </w:r>
                </w:p>
              </w:tc>
              <w:tc>
                <w:tcPr>
                  <w:tcW w:w="2042"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监控点处1h平均浓度值</w:t>
                  </w:r>
                </w:p>
              </w:tc>
              <w:tc>
                <w:tcPr>
                  <w:tcW w:w="1147"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在厂房外设置监控点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96"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101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w:t>
                  </w:r>
                </w:p>
              </w:tc>
              <w:tc>
                <w:tcPr>
                  <w:tcW w:w="2042"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监控点处任意一次浓度值</w:t>
                  </w:r>
                </w:p>
              </w:tc>
              <w:tc>
                <w:tcPr>
                  <w:tcW w:w="1147"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r>
          </w:tbl>
          <w:p>
            <w:pPr>
              <w:keepNext w:val="0"/>
              <w:keepLines w:val="0"/>
              <w:widowControl/>
              <w:suppressLineNumbers w:val="0"/>
              <w:spacing w:before="0" w:beforeAutospacing="0" w:after="0" w:afterLines="0" w:afterAutospacing="0" w:line="360" w:lineRule="auto"/>
              <w:ind w:left="0" w:right="0"/>
              <w:jc w:val="left"/>
              <w:rPr>
                <w:rFonts w:hint="eastAsia" w:ascii="Times New Roman" w:hAnsi="Times New Roman" w:eastAsia="宋体" w:cs="Times New Roman"/>
                <w:b/>
                <w:bCs/>
                <w:color w:val="000000"/>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2、废水</w:t>
            </w:r>
          </w:p>
          <w:p>
            <w:pPr>
              <w:keepNext w:val="0"/>
              <w:keepLines w:val="0"/>
              <w:widowControl/>
              <w:suppressLineNumbers w:val="0"/>
              <w:spacing w:before="0" w:beforeAutospacing="0" w:after="0" w:afterLines="0" w:afterAutospacing="0" w:line="360" w:lineRule="auto"/>
              <w:ind w:left="0" w:right="0" w:firstLine="420" w:firstLineChars="200"/>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项目废水纳管排放执行，纳管执行《污水综合排放标准》（GB8978-1996）三级标准(其中氨氮、总磷纳管排放参照执行DB 33/887-2013《工业企业废水氮、磷污染物间接排放限值》)，最终经良渚污水处理厂处理达到《城镇污水处理厂污染物排放标准》（GB18918-2002）一级A标准后排放。根据《关于印发&lt;余杭区初始排污权分配与核定实施细则&gt;与&lt;余杭区新、改、扩建项目排污权核定实施细则&gt;的通知》(余环发[2015]61号)，废水类污染物核定方法为：对于纳管企业排放的COD和NH3-N浓度分别按35mg/L和2.5mg/L计。详见下表。</w:t>
            </w:r>
          </w:p>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表1-3废水排放标准 单位：mg/L,除pH外</w:t>
            </w:r>
          </w:p>
          <w:tbl>
            <w:tblPr>
              <w:tblStyle w:val="19"/>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38"/>
              <w:gridCol w:w="630"/>
              <w:gridCol w:w="675"/>
              <w:gridCol w:w="735"/>
              <w:gridCol w:w="570"/>
              <w:gridCol w:w="759"/>
              <w:gridCol w:w="621"/>
              <w:gridCol w:w="154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4" w:hRule="atLeast"/>
                <w:tblHeader/>
                <w:jc w:val="center"/>
              </w:trPr>
              <w:tc>
                <w:tcPr>
                  <w:tcW w:w="1238"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指标</w:t>
                  </w:r>
                </w:p>
              </w:tc>
              <w:tc>
                <w:tcPr>
                  <w:tcW w:w="630"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pH</w:t>
                  </w:r>
                </w:p>
              </w:tc>
              <w:tc>
                <w:tcPr>
                  <w:tcW w:w="67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COD</w:t>
                  </w:r>
                </w:p>
              </w:tc>
              <w:tc>
                <w:tcPr>
                  <w:tcW w:w="73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BOD</w:t>
                  </w:r>
                  <w:r>
                    <w:rPr>
                      <w:rFonts w:hint="default" w:ascii="Times New Roman" w:hAnsi="Times New Roman" w:eastAsia="宋体" w:cs="Times New Roman"/>
                      <w:color w:val="000000"/>
                      <w:sz w:val="21"/>
                      <w:szCs w:val="21"/>
                      <w:vertAlign w:val="subscript"/>
                      <w:lang w:val="en-US" w:eastAsia="zh-CN"/>
                    </w:rPr>
                    <w:t>5</w:t>
                  </w:r>
                </w:p>
              </w:tc>
              <w:tc>
                <w:tcPr>
                  <w:tcW w:w="570"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SS</w:t>
                  </w:r>
                </w:p>
              </w:tc>
              <w:tc>
                <w:tcPr>
                  <w:tcW w:w="759" w:type="dxa"/>
                  <w:tcBorders>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氨氮</w:t>
                  </w:r>
                </w:p>
              </w:tc>
              <w:tc>
                <w:tcPr>
                  <w:tcW w:w="621"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总磷</w:t>
                  </w:r>
                </w:p>
              </w:tc>
              <w:tc>
                <w:tcPr>
                  <w:tcW w:w="1548"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可吸附有机卤化物（</w:t>
                  </w:r>
                  <w:r>
                    <w:rPr>
                      <w:rFonts w:hint="default" w:ascii="Times New Roman" w:hAnsi="Times New Roman" w:eastAsia="宋体" w:cs="Times New Roman"/>
                      <w:color w:val="000000"/>
                      <w:sz w:val="21"/>
                      <w:szCs w:val="21"/>
                      <w:lang w:val="en-US" w:eastAsia="zh-CN"/>
                    </w:rPr>
                    <w:t>AOX</w:t>
                  </w:r>
                  <w:r>
                    <w:rPr>
                      <w:rFonts w:hint="eastAsia" w:ascii="Times New Roman" w:hAnsi="Times New Roman" w:eastAsia="宋体" w:cs="Times New Roman"/>
                      <w:color w:val="000000"/>
                      <w:sz w:val="21"/>
                      <w:szCs w:val="21"/>
                      <w:lang w:val="en-US" w:eastAsia="zh-CN"/>
                    </w:rPr>
                    <w:t>）（以</w:t>
                  </w:r>
                  <w:r>
                    <w:rPr>
                      <w:rFonts w:hint="default" w:ascii="Times New Roman" w:hAnsi="Times New Roman" w:eastAsia="宋体" w:cs="Times New Roman"/>
                      <w:color w:val="000000"/>
                      <w:sz w:val="21"/>
                      <w:szCs w:val="21"/>
                      <w:lang w:val="en-US" w:eastAsia="zh-CN"/>
                    </w:rPr>
                    <w:t>Cl</w:t>
                  </w:r>
                  <w:r>
                    <w:rPr>
                      <w:rFonts w:hint="eastAsia" w:ascii="Times New Roman" w:hAnsi="Times New Roman" w:eastAsia="宋体" w:cs="Times New Roman"/>
                      <w:color w:val="000000"/>
                      <w:sz w:val="21"/>
                      <w:szCs w:val="21"/>
                      <w:lang w:val="en-US" w:eastAsia="zh-CN"/>
                    </w:rPr>
                    <w:t>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0" w:hRule="atLeast"/>
                <w:tblHeader/>
                <w:jc w:val="center"/>
              </w:trPr>
              <w:tc>
                <w:tcPr>
                  <w:tcW w:w="1238"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GB8978-1996三级</w:t>
                  </w:r>
                </w:p>
              </w:tc>
              <w:tc>
                <w:tcPr>
                  <w:tcW w:w="630" w:type="dxa"/>
                  <w:vMerge w:val="restart"/>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6~9</w:t>
                  </w:r>
                </w:p>
              </w:tc>
              <w:tc>
                <w:tcPr>
                  <w:tcW w:w="67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500</w:t>
                  </w:r>
                </w:p>
              </w:tc>
              <w:tc>
                <w:tcPr>
                  <w:tcW w:w="73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300</w:t>
                  </w:r>
                </w:p>
              </w:tc>
              <w:tc>
                <w:tcPr>
                  <w:tcW w:w="570"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400</w:t>
                  </w:r>
                </w:p>
              </w:tc>
              <w:tc>
                <w:tcPr>
                  <w:tcW w:w="759" w:type="dxa"/>
                  <w:tcBorders>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35</w:t>
                  </w:r>
                  <w:r>
                    <w:rPr>
                      <w:rFonts w:hint="eastAsia" w:ascii="Times New Roman" w:hAnsi="Times New Roman" w:eastAsia="宋体" w:cs="Times New Roman"/>
                      <w:color w:val="000000"/>
                      <w:sz w:val="21"/>
                      <w:szCs w:val="21"/>
                      <w:vertAlign w:val="superscript"/>
                      <w:lang w:val="en-US" w:eastAsia="zh-CN"/>
                    </w:rPr>
                    <w:t>①</w:t>
                  </w:r>
                </w:p>
              </w:tc>
              <w:tc>
                <w:tcPr>
                  <w:tcW w:w="621"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w:t>
                  </w:r>
                </w:p>
              </w:tc>
              <w:tc>
                <w:tcPr>
                  <w:tcW w:w="1548"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4" w:hRule="atLeast"/>
                <w:jc w:val="center"/>
              </w:trPr>
              <w:tc>
                <w:tcPr>
                  <w:tcW w:w="1238"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GB18918-2002一级A</w:t>
                  </w:r>
                </w:p>
              </w:tc>
              <w:tc>
                <w:tcPr>
                  <w:tcW w:w="630" w:type="dxa"/>
                  <w:vMerge w:val="continue"/>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p>
              </w:tc>
              <w:tc>
                <w:tcPr>
                  <w:tcW w:w="67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50</w:t>
                  </w:r>
                </w:p>
              </w:tc>
              <w:tc>
                <w:tcPr>
                  <w:tcW w:w="73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c>
                <w:tcPr>
                  <w:tcW w:w="570"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c>
                <w:tcPr>
                  <w:tcW w:w="759" w:type="dxa"/>
                  <w:tcBorders>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5（8）</w:t>
                  </w:r>
                  <w:r>
                    <w:rPr>
                      <w:rFonts w:hint="eastAsia" w:ascii="Times New Roman" w:hAnsi="Times New Roman" w:eastAsia="宋体" w:cs="Times New Roman"/>
                      <w:color w:val="000000"/>
                      <w:sz w:val="21"/>
                      <w:szCs w:val="21"/>
                      <w:vertAlign w:val="superscript"/>
                      <w:lang w:val="en-US" w:eastAsia="zh-CN"/>
                    </w:rPr>
                    <w:t>②</w:t>
                  </w:r>
                </w:p>
              </w:tc>
              <w:tc>
                <w:tcPr>
                  <w:tcW w:w="621"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0.5</w:t>
                  </w:r>
                </w:p>
              </w:tc>
              <w:tc>
                <w:tcPr>
                  <w:tcW w:w="1548"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1238" w:type="dxa"/>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余环发[2015]61号</w:t>
                  </w:r>
                </w:p>
              </w:tc>
              <w:tc>
                <w:tcPr>
                  <w:tcW w:w="630"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67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w:t>
                  </w:r>
                </w:p>
              </w:tc>
              <w:tc>
                <w:tcPr>
                  <w:tcW w:w="735"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sz w:val="21"/>
                      <w:szCs w:val="21"/>
                      <w:lang w:val="en-US" w:eastAsia="zh-CN"/>
                    </w:rPr>
                    <w:t>-</w:t>
                  </w:r>
                </w:p>
              </w:tc>
              <w:tc>
                <w:tcPr>
                  <w:tcW w:w="570" w:type="dxa"/>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759" w:type="dxa"/>
                  <w:tcBorders>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w:t>
                  </w:r>
                </w:p>
              </w:tc>
              <w:tc>
                <w:tcPr>
                  <w:tcW w:w="621"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1548" w:type="dxa"/>
                  <w:tcBorders>
                    <w:lef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90" w:hRule="atLeast"/>
                <w:jc w:val="center"/>
              </w:trPr>
              <w:tc>
                <w:tcPr>
                  <w:tcW w:w="6776" w:type="dxa"/>
                  <w:gridSpan w:val="8"/>
                  <w:tcBorders>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left"/>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注：</w:t>
                  </w: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1 \* GB3 </w:instrText>
                  </w:r>
                  <w:r>
                    <w:rPr>
                      <w:rFonts w:hint="default" w:ascii="Times New Roman" w:hAnsi="Times New Roman" w:eastAsia="宋体" w:cs="Times New Roman"/>
                      <w:color w:val="000000"/>
                      <w:sz w:val="21"/>
                      <w:szCs w:val="21"/>
                      <w:lang w:val="en-US" w:eastAsia="zh-CN"/>
                    </w:rPr>
                    <w:fldChar w:fldCharType="separate"/>
                  </w:r>
                  <w:r>
                    <w:rPr>
                      <w:rFonts w:hint="eastAsia" w:ascii="Times New Roman" w:hAnsi="Times New Roman" w:eastAsia="宋体" w:cs="Times New Roman"/>
                      <w:color w:val="000000"/>
                      <w:sz w:val="21"/>
                      <w:szCs w:val="21"/>
                      <w:lang w:val="en-US" w:eastAsia="zh-CN"/>
                    </w:rPr>
                    <w:t>①</w:t>
                  </w:r>
                  <w:r>
                    <w:rPr>
                      <w:rFonts w:hint="default" w:ascii="Times New Roman" w:hAnsi="Times New Roman" w:eastAsia="宋体" w:cs="Times New Roman"/>
                      <w:color w:val="000000"/>
                      <w:sz w:val="21"/>
                      <w:szCs w:val="21"/>
                      <w:lang w:val="en-US" w:eastAsia="zh-CN"/>
                    </w:rPr>
                    <w:fldChar w:fldCharType="end"/>
                  </w:r>
                  <w:r>
                    <w:rPr>
                      <w:rFonts w:hint="default" w:ascii="Times New Roman" w:hAnsi="Times New Roman" w:eastAsia="宋体" w:cs="Times New Roman"/>
                      <w:color w:val="000000"/>
                      <w:sz w:val="21"/>
                      <w:szCs w:val="21"/>
                      <w:lang w:val="en-US" w:eastAsia="zh-CN"/>
                    </w:rPr>
                    <w:t>氨氮无三级排放标准，参照执行DB33/887-2013《工业企业废水氮磷污染物间接排放限值》；</w:t>
                  </w:r>
                  <w:r>
                    <w:rPr>
                      <w:rFonts w:hint="eastAsia" w:ascii="Times New Roman" w:hAnsi="Times New Roman" w:eastAsia="宋体" w:cs="Times New Roman"/>
                      <w:color w:val="000000"/>
                      <w:sz w:val="21"/>
                      <w:szCs w:val="21"/>
                      <w:lang w:val="en-US" w:eastAsia="zh-CN"/>
                    </w:rPr>
                    <w:t>②</w:t>
                  </w:r>
                  <w:r>
                    <w:rPr>
                      <w:rFonts w:hint="default" w:ascii="Times New Roman" w:hAnsi="Times New Roman" w:eastAsia="宋体" w:cs="Times New Roman"/>
                      <w:color w:val="000000"/>
                      <w:sz w:val="21"/>
                      <w:szCs w:val="21"/>
                      <w:lang w:val="en-US" w:eastAsia="zh-CN"/>
                    </w:rPr>
                    <w:t>括号外数值为水温&gt;12</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sz w:val="21"/>
                      <w:szCs w:val="21"/>
                      <w:lang w:val="en-US" w:eastAsia="zh-CN"/>
                    </w:rPr>
                    <w:t>时的控制指标，括号内数值为水温≤12</w:t>
                  </w: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sz w:val="21"/>
                      <w:szCs w:val="21"/>
                      <w:lang w:val="en-US" w:eastAsia="zh-CN"/>
                    </w:rPr>
                    <w:t>时的控制指标。</w:t>
                  </w:r>
                </w:p>
              </w:tc>
            </w:tr>
          </w:tbl>
          <w:p>
            <w:pPr>
              <w:keepNext w:val="0"/>
              <w:keepLines w:val="0"/>
              <w:widowControl/>
              <w:numPr>
                <w:ilvl w:val="0"/>
                <w:numId w:val="0"/>
              </w:numPr>
              <w:suppressLineNumbers w:val="0"/>
              <w:spacing w:before="0" w:beforeAutospacing="0" w:after="0" w:afterLines="0" w:afterAutospacing="0"/>
              <w:ind w:left="0" w:right="0" w:rightChars="0"/>
              <w:rPr>
                <w:rFonts w:hint="eastAsia" w:ascii="Times New Roman" w:hAnsi="Times New Roman" w:eastAsia="宋体" w:cs="Times New Roman"/>
                <w:b/>
                <w:bCs/>
                <w:color w:val="000000"/>
                <w:sz w:val="21"/>
                <w:szCs w:val="21"/>
                <w:lang w:val="en-US" w:eastAsia="zh-CN" w:bidi="ar-SA"/>
              </w:rPr>
            </w:pPr>
          </w:p>
          <w:p>
            <w:pPr>
              <w:keepNext w:val="0"/>
              <w:keepLines w:val="0"/>
              <w:widowControl/>
              <w:numPr>
                <w:ilvl w:val="0"/>
                <w:numId w:val="0"/>
              </w:numPr>
              <w:suppressLineNumbers w:val="0"/>
              <w:spacing w:before="0" w:beforeAutospacing="0" w:after="0" w:afterLines="0" w:afterAutospacing="0"/>
              <w:ind w:left="0" w:right="0" w:rightChars="0"/>
              <w:rPr>
                <w:rFonts w:hint="eastAsia" w:ascii="Times New Roman" w:hAnsi="Times New Roman" w:eastAsia="宋体" w:cs="Times New Roman"/>
                <w:b/>
                <w:bCs/>
                <w:color w:val="000000"/>
                <w:sz w:val="21"/>
                <w:szCs w:val="21"/>
                <w:lang w:val="en-US" w:eastAsia="zh-CN" w:bidi="ar-SA"/>
              </w:rPr>
            </w:pPr>
            <w:r>
              <w:rPr>
                <w:rFonts w:hint="eastAsia" w:ascii="Times New Roman" w:hAnsi="Times New Roman" w:eastAsia="宋体" w:cs="Times New Roman"/>
                <w:b/>
                <w:bCs/>
                <w:color w:val="000000"/>
                <w:sz w:val="21"/>
                <w:szCs w:val="21"/>
                <w:lang w:val="en-US" w:eastAsia="zh-CN" w:bidi="ar-SA"/>
              </w:rPr>
              <w:t>3、噪声</w:t>
            </w:r>
          </w:p>
          <w:p>
            <w:pPr>
              <w:keepNext w:val="0"/>
              <w:keepLines w:val="0"/>
              <w:widowControl/>
              <w:suppressLineNumbers w:val="0"/>
              <w:spacing w:before="0" w:beforeAutospacing="0" w:after="0" w:afterLines="0" w:afterAutospacing="0" w:line="360" w:lineRule="auto"/>
              <w:ind w:left="0" w:right="0" w:firstLine="420" w:firstLineChars="200"/>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对照《杭州市余杭区声环境功能区划分方案（2021年修订版）》，项目位于3类声环境功能区。项目营运期间，四周厂界噪声执行《工业企业厂界环境噪声排放标准》(GB12348-2008)中的3类标准，具体标准值见下表。</w:t>
            </w:r>
          </w:p>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表1-4 GB12348-2008《工业企业厂界环境噪声排放标准》 单位：dB(A)</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211"/>
              <w:gridCol w:w="2211"/>
              <w:gridCol w:w="2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1667"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类别</w:t>
                  </w:r>
                </w:p>
              </w:tc>
              <w:tc>
                <w:tcPr>
                  <w:tcW w:w="3333"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等效声级Leq</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1667"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c>
                <w:tcPr>
                  <w:tcW w:w="16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昼间</w:t>
                  </w:r>
                </w:p>
              </w:tc>
              <w:tc>
                <w:tcPr>
                  <w:tcW w:w="166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16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3类</w:t>
                  </w:r>
                </w:p>
              </w:tc>
              <w:tc>
                <w:tcPr>
                  <w:tcW w:w="16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65</w:t>
                  </w:r>
                </w:p>
              </w:tc>
              <w:tc>
                <w:tcPr>
                  <w:tcW w:w="166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55</w:t>
                  </w:r>
                </w:p>
              </w:tc>
            </w:tr>
          </w:tbl>
          <w:p>
            <w:pPr>
              <w:keepNext w:val="0"/>
              <w:keepLines w:val="0"/>
              <w:widowControl/>
              <w:numPr>
                <w:ilvl w:val="0"/>
                <w:numId w:val="0"/>
              </w:numPr>
              <w:suppressLineNumbers w:val="0"/>
              <w:spacing w:before="0" w:beforeAutospacing="0" w:after="0" w:afterLines="0" w:afterAutospacing="0"/>
              <w:ind w:left="0" w:right="0"/>
              <w:rPr>
                <w:rFonts w:hint="eastAsia" w:ascii="Times New Roman" w:hAnsi="Times New Roman" w:eastAsia="宋体" w:cs="Times New Roman"/>
                <w:color w:val="000000"/>
                <w:sz w:val="21"/>
                <w:szCs w:val="21"/>
                <w:lang w:val="en-US" w:eastAsia="zh-CN"/>
              </w:rPr>
            </w:pPr>
          </w:p>
          <w:p>
            <w:pPr>
              <w:keepNext w:val="0"/>
              <w:keepLines w:val="0"/>
              <w:widowControl/>
              <w:numPr>
                <w:ilvl w:val="0"/>
                <w:numId w:val="0"/>
              </w:numPr>
              <w:suppressLineNumbers w:val="0"/>
              <w:spacing w:before="0" w:beforeAutospacing="0" w:after="0" w:afterLines="0" w:afterAutospacing="0"/>
              <w:ind w:left="0" w:right="0"/>
              <w:rPr>
                <w:rFonts w:hint="eastAsia" w:ascii="Times New Roman" w:hAnsi="Times New Roman" w:eastAsia="宋体" w:cs="Times New Roman"/>
                <w:color w:val="000000"/>
                <w:sz w:val="21"/>
                <w:szCs w:val="21"/>
                <w:lang w:val="en-US" w:eastAsia="zh-CN"/>
              </w:rPr>
            </w:pPr>
          </w:p>
          <w:p>
            <w:pPr>
              <w:keepNext w:val="0"/>
              <w:keepLines w:val="0"/>
              <w:widowControl/>
              <w:numPr>
                <w:ilvl w:val="0"/>
                <w:numId w:val="0"/>
              </w:numPr>
              <w:suppressLineNumbers w:val="0"/>
              <w:spacing w:before="0" w:beforeAutospacing="0" w:after="0" w:afterLines="0" w:afterAutospacing="0"/>
              <w:ind w:left="0" w:right="0"/>
              <w:rPr>
                <w:rFonts w:hint="eastAsia" w:ascii="Times New Roman" w:hAnsi="Times New Roman" w:eastAsia="宋体" w:cs="Times New Roman"/>
                <w:color w:val="000000"/>
                <w:sz w:val="21"/>
                <w:szCs w:val="21"/>
                <w:lang w:val="en-US" w:eastAsia="zh-CN"/>
              </w:rPr>
            </w:pPr>
          </w:p>
        </w:tc>
      </w:tr>
    </w:tbl>
    <w:p>
      <w:pPr>
        <w:spacing w:after="0" w:afterLines="0" w:line="360" w:lineRule="auto"/>
        <w:rPr>
          <w:rFonts w:hint="eastAsia" w:eastAsia="仿宋_GB2312"/>
          <w:b/>
          <w:color w:val="000000"/>
          <w:sz w:val="21"/>
          <w:szCs w:val="21"/>
        </w:rPr>
      </w:pPr>
      <w:r>
        <w:rPr>
          <w:rFonts w:eastAsia="仿宋_GB2312"/>
          <w:color w:val="000000"/>
          <w:sz w:val="21"/>
          <w:szCs w:val="21"/>
        </w:rPr>
        <w:br w:type="page"/>
      </w:r>
      <w:r>
        <w:rPr>
          <w:rFonts w:eastAsia="仿宋_GB2312"/>
          <w:b/>
          <w:color w:val="000000"/>
          <w:sz w:val="21"/>
          <w:szCs w:val="21"/>
        </w:rPr>
        <w:t>表二</w:t>
      </w:r>
    </w:p>
    <w:tbl>
      <w:tblPr>
        <w:tblStyle w:val="19"/>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17" w:hRule="atLeast"/>
          <w:jc w:val="center"/>
        </w:trPr>
        <w:tc>
          <w:tcPr>
            <w:tcW w:w="9028" w:type="dxa"/>
            <w:vAlign w:val="top"/>
          </w:tcPr>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rPr>
            </w:pPr>
            <w:r>
              <w:rPr>
                <w:rFonts w:hint="eastAsia" w:ascii="Times New Roman" w:hAnsi="Times New Roman" w:eastAsia="宋体" w:cs="Times New Roman"/>
                <w:b/>
                <w:bCs/>
                <w:color w:val="000000"/>
                <w:sz w:val="21"/>
                <w:szCs w:val="21"/>
                <w:lang w:val="en-US" w:eastAsia="zh-CN"/>
              </w:rPr>
              <w:t xml:space="preserve">2.1 </w:t>
            </w:r>
            <w:r>
              <w:rPr>
                <w:rFonts w:hint="eastAsia" w:ascii="Times New Roman" w:hAnsi="Times New Roman" w:eastAsia="宋体" w:cs="Times New Roman"/>
                <w:b/>
                <w:bCs/>
                <w:color w:val="000000"/>
                <w:sz w:val="21"/>
                <w:szCs w:val="21"/>
              </w:rPr>
              <w:t>工程建设内容：</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项目名称：</w:t>
            </w:r>
            <w:r>
              <w:rPr>
                <w:rFonts w:hint="eastAsia" w:ascii="Times New Roman" w:hAnsi="Times New Roman" w:eastAsia="宋体" w:cs="Times New Roman"/>
                <w:color w:val="000000"/>
                <w:sz w:val="21"/>
                <w:szCs w:val="21"/>
                <w:lang w:eastAsia="zh-CN"/>
              </w:rPr>
              <w:t>杭州普力材料科技有限公司PPC可降解材料及多元醇研发实验室项目</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建设性质：</w:t>
            </w:r>
            <w:r>
              <w:rPr>
                <w:rFonts w:hint="eastAsia" w:ascii="Times New Roman" w:hAnsi="Times New Roman" w:eastAsia="宋体" w:cs="Times New Roman"/>
                <w:color w:val="000000"/>
                <w:sz w:val="21"/>
                <w:szCs w:val="21"/>
                <w:lang w:val="en-US" w:eastAsia="zh-CN"/>
              </w:rPr>
              <w:t>新建</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建设单位：</w:t>
            </w:r>
            <w:r>
              <w:rPr>
                <w:rFonts w:hint="eastAsia" w:ascii="Times New Roman" w:hAnsi="Times New Roman" w:eastAsia="宋体" w:cs="Times New Roman"/>
                <w:color w:val="000000"/>
                <w:sz w:val="21"/>
                <w:szCs w:val="21"/>
                <w:lang w:eastAsia="zh-CN"/>
              </w:rPr>
              <w:t>杭州普力材料科技有限公司</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建设地点：</w:t>
            </w:r>
            <w:r>
              <w:rPr>
                <w:rFonts w:hint="eastAsia" w:ascii="Times New Roman" w:hAnsi="Times New Roman" w:eastAsia="宋体" w:cs="Times New Roman"/>
                <w:color w:val="000000"/>
                <w:sz w:val="21"/>
                <w:szCs w:val="21"/>
                <w:lang w:eastAsia="zh-CN"/>
              </w:rPr>
              <w:t>浙江省杭州市余杭区良渚街道纳贤街2号10号楼6楼</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总 投 资</w:t>
            </w:r>
            <w:r>
              <w:rPr>
                <w:rFonts w:hint="eastAsia"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500</w:t>
            </w:r>
            <w:r>
              <w:rPr>
                <w:rFonts w:hint="eastAsia" w:ascii="Times New Roman" w:hAnsi="Times New Roman" w:eastAsia="宋体" w:cs="Times New Roman"/>
                <w:color w:val="000000"/>
                <w:sz w:val="21"/>
                <w:szCs w:val="21"/>
                <w:highlight w:val="none"/>
              </w:rPr>
              <w:t>万元</w:t>
            </w:r>
          </w:p>
          <w:p>
            <w:pPr>
              <w:keepNext w:val="0"/>
              <w:keepLines w:val="0"/>
              <w:widowControl/>
              <w:suppressLineNumbers w:val="0"/>
              <w:spacing w:before="0" w:beforeAutospacing="0" w:after="0" w:afterLines="0" w:afterAutospacing="0" w:line="360" w:lineRule="auto"/>
              <w:ind w:left="0" w:right="0" w:firstLine="420" w:firstLineChars="200"/>
              <w:jc w:val="both"/>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杭州普力材料科技有限公司拟投资500万元租用浙江海虹控股集团有限公司位于在杭州市余杭区良渚街道纳贤街2号10号楼第6层的1022.97m2闲置厂房，购置管式反应器、反应釜、玻璃反应釜等研发设备，开展PPC可降解材料及多元醇等产物的工艺研发。项目工艺特点是采用二氧化碳作为原料，变废为宝，有助于温室气体减排，同时，PPC可降解塑料可在2-6个月自然降解，对于普通塑料替代具有重要意义。项目仅为研发小试，不涉及中试及放大生产。</w:t>
            </w:r>
          </w:p>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表2-1项目研发产物方案一览表</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47"/>
              <w:gridCol w:w="2347"/>
              <w:gridCol w:w="1980"/>
              <w:gridCol w:w="1980"/>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序号</w:t>
                  </w:r>
                </w:p>
              </w:tc>
              <w:tc>
                <w:tcPr>
                  <w:tcW w:w="133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研发产物名称</w:t>
                  </w:r>
                </w:p>
              </w:tc>
              <w:tc>
                <w:tcPr>
                  <w:tcW w:w="1124"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预计研发规模（kg）</w:t>
                  </w:r>
                </w:p>
              </w:tc>
              <w:tc>
                <w:tcPr>
                  <w:tcW w:w="1124"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实际研发规模（kg）</w:t>
                  </w:r>
                </w:p>
              </w:tc>
              <w:tc>
                <w:tcPr>
                  <w:tcW w:w="936"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最终去向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w:t>
                  </w:r>
                </w:p>
              </w:tc>
              <w:tc>
                <w:tcPr>
                  <w:tcW w:w="133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聚酯多元醇</w:t>
                  </w:r>
                </w:p>
              </w:tc>
              <w:tc>
                <w:tcPr>
                  <w:tcW w:w="1124"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400</w:t>
                  </w:r>
                </w:p>
              </w:tc>
              <w:tc>
                <w:tcPr>
                  <w:tcW w:w="1124" w:type="pct"/>
                  <w:noWrap w:val="0"/>
                  <w:vAlign w:val="center"/>
                </w:tcPr>
                <w:p>
                  <w:pPr>
                    <w:keepNext w:val="0"/>
                    <w:keepLines w:val="0"/>
                    <w:widowControl/>
                    <w:suppressLineNumbers w:val="0"/>
                    <w:spacing w:before="0" w:beforeAutospacing="0" w:after="0" w:afterLines="0" w:afterAutospacing="0"/>
                    <w:ind w:left="0" w:leftChars="0" w:right="0" w:rightChars="0"/>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400</w:t>
                  </w:r>
                </w:p>
              </w:tc>
              <w:tc>
                <w:tcPr>
                  <w:tcW w:w="936" w:type="pct"/>
                  <w:vMerge w:val="restar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送下游企业进行试验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w:t>
                  </w:r>
                </w:p>
              </w:tc>
              <w:tc>
                <w:tcPr>
                  <w:tcW w:w="133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聚酯</w:t>
                  </w:r>
                </w:p>
              </w:tc>
              <w:tc>
                <w:tcPr>
                  <w:tcW w:w="1124"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60</w:t>
                  </w:r>
                </w:p>
              </w:tc>
              <w:tc>
                <w:tcPr>
                  <w:tcW w:w="1124" w:type="pct"/>
                  <w:noWrap w:val="0"/>
                  <w:vAlign w:val="center"/>
                </w:tcPr>
                <w:p>
                  <w:pPr>
                    <w:keepNext w:val="0"/>
                    <w:keepLines w:val="0"/>
                    <w:widowControl/>
                    <w:suppressLineNumbers w:val="0"/>
                    <w:spacing w:before="0" w:beforeAutospacing="0" w:after="0" w:afterLines="0" w:afterAutospacing="0"/>
                    <w:ind w:left="0" w:leftChars="0" w:right="0" w:rightChars="0"/>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60</w:t>
                  </w:r>
                </w:p>
              </w:tc>
              <w:tc>
                <w:tcPr>
                  <w:tcW w:w="936"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w:t>
                  </w:r>
                </w:p>
              </w:tc>
              <w:tc>
                <w:tcPr>
                  <w:tcW w:w="133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催化剂</w:t>
                  </w:r>
                </w:p>
              </w:tc>
              <w:tc>
                <w:tcPr>
                  <w:tcW w:w="1124"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w:t>
                  </w:r>
                </w:p>
              </w:tc>
              <w:tc>
                <w:tcPr>
                  <w:tcW w:w="1124" w:type="pct"/>
                  <w:noWrap w:val="0"/>
                  <w:vAlign w:val="center"/>
                </w:tcPr>
                <w:p>
                  <w:pPr>
                    <w:keepNext w:val="0"/>
                    <w:keepLines w:val="0"/>
                    <w:widowControl/>
                    <w:suppressLineNumbers w:val="0"/>
                    <w:spacing w:before="0" w:beforeAutospacing="0" w:after="0" w:afterLines="0" w:afterAutospacing="0"/>
                    <w:ind w:left="0" w:leftChars="0" w:right="0" w:rightChars="0"/>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1</w:t>
                  </w:r>
                </w:p>
              </w:tc>
              <w:tc>
                <w:tcPr>
                  <w:tcW w:w="936"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481"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w:t>
                  </w:r>
                </w:p>
              </w:tc>
              <w:tc>
                <w:tcPr>
                  <w:tcW w:w="1333"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聚氨酯</w:t>
                  </w:r>
                </w:p>
              </w:tc>
              <w:tc>
                <w:tcPr>
                  <w:tcW w:w="1124" w:type="pct"/>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50</w:t>
                  </w:r>
                </w:p>
              </w:tc>
              <w:tc>
                <w:tcPr>
                  <w:tcW w:w="1124" w:type="pct"/>
                  <w:noWrap w:val="0"/>
                  <w:vAlign w:val="center"/>
                </w:tcPr>
                <w:p>
                  <w:pPr>
                    <w:keepNext w:val="0"/>
                    <w:keepLines w:val="0"/>
                    <w:widowControl/>
                    <w:suppressLineNumbers w:val="0"/>
                    <w:spacing w:before="0" w:beforeAutospacing="0" w:after="0" w:afterLines="0" w:afterAutospacing="0"/>
                    <w:ind w:left="0" w:leftChars="0" w:right="0" w:rightChars="0"/>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50</w:t>
                  </w:r>
                </w:p>
              </w:tc>
              <w:tc>
                <w:tcPr>
                  <w:tcW w:w="936" w:type="pct"/>
                  <w:vMerge w:val="continue"/>
                  <w:noWrap w:val="0"/>
                  <w:vAlign w:val="center"/>
                </w:tcPr>
                <w:p>
                  <w:pPr>
                    <w:keepNext w:val="0"/>
                    <w:keepLines w:val="0"/>
                    <w:widowControl/>
                    <w:suppressLineNumbers w:val="0"/>
                    <w:spacing w:before="0" w:beforeAutospacing="0" w:after="0" w:afterLines="0" w:afterAutospacing="0"/>
                    <w:ind w:left="0" w:right="0"/>
                    <w:jc w:val="center"/>
                    <w:rPr>
                      <w:rFonts w:hint="eastAsia" w:ascii="Times New Roman" w:hAnsi="Times New Roman" w:eastAsia="宋体" w:cs="Times New Roman"/>
                      <w:color w:val="000000"/>
                      <w:sz w:val="21"/>
                      <w:szCs w:val="21"/>
                      <w:lang w:val="en-US" w:eastAsia="zh-CN"/>
                    </w:rPr>
                  </w:pPr>
                </w:p>
              </w:tc>
            </w:tr>
          </w:tbl>
          <w:p>
            <w:pPr>
              <w:keepNext w:val="0"/>
              <w:keepLines w:val="0"/>
              <w:widowControl/>
              <w:suppressLineNumbers w:val="0"/>
              <w:spacing w:before="0" w:beforeAutospacing="0" w:after="0" w:afterLines="0" w:afterAutospacing="0" w:line="360" w:lineRule="auto"/>
              <w:ind w:left="0" w:right="0" w:firstLine="420" w:firstLineChars="200"/>
              <w:jc w:val="both"/>
              <w:rPr>
                <w:rFonts w:hint="default" w:ascii="宋体" w:hAnsi="宋体" w:eastAsia="宋体"/>
                <w:color w:val="000000"/>
                <w:sz w:val="21"/>
                <w:szCs w:val="21"/>
                <w:lang w:val="en-US"/>
              </w:rPr>
            </w:pPr>
            <w:r>
              <w:rPr>
                <w:rFonts w:hint="eastAsia" w:ascii="Times New Roman" w:hAnsi="Times New Roman" w:eastAsia="宋体" w:cs="Times New Roman"/>
                <w:color w:val="000000"/>
                <w:sz w:val="21"/>
                <w:szCs w:val="21"/>
                <w:lang w:val="en-US" w:eastAsia="zh-CN"/>
              </w:rPr>
              <w:t>项目定员20人，年工作日250天，单班工作制，工作时间为8：30-17：30，每班8h，不设食堂和宿舍。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28" w:type="dxa"/>
            <w:vAlign w:val="top"/>
          </w:tcPr>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rPr>
            </w:pPr>
            <w:r>
              <w:rPr>
                <w:rFonts w:hint="eastAsia" w:ascii="Times New Roman" w:hAnsi="Times New Roman" w:eastAsia="宋体" w:cs="Times New Roman"/>
                <w:b/>
                <w:bCs/>
                <w:color w:val="000000"/>
                <w:sz w:val="21"/>
                <w:szCs w:val="21"/>
                <w:lang w:val="en-US" w:eastAsia="zh-CN"/>
              </w:rPr>
              <w:t xml:space="preserve">2.2 </w:t>
            </w:r>
            <w:r>
              <w:rPr>
                <w:rFonts w:hint="eastAsia" w:ascii="Times New Roman" w:hAnsi="Times New Roman" w:eastAsia="宋体" w:cs="Times New Roman"/>
                <w:b/>
                <w:bCs/>
                <w:color w:val="000000"/>
                <w:sz w:val="21"/>
                <w:szCs w:val="21"/>
                <w:lang w:eastAsia="zh-CN"/>
              </w:rPr>
              <w:t>主要生产设备及</w:t>
            </w:r>
            <w:r>
              <w:rPr>
                <w:rFonts w:hint="eastAsia" w:ascii="Times New Roman" w:hAnsi="Times New Roman" w:eastAsia="宋体" w:cs="Times New Roman"/>
                <w:b/>
                <w:bCs/>
                <w:color w:val="000000"/>
                <w:sz w:val="21"/>
                <w:szCs w:val="21"/>
              </w:rPr>
              <w:t>原辅材料消耗及水平衡：</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2.2.1主要原辅材料</w:t>
            </w:r>
          </w:p>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表2-2项目主要原辅材料消耗清单</w:t>
            </w:r>
          </w:p>
          <w:tbl>
            <w:tblPr>
              <w:tblStyle w:val="19"/>
              <w:tblW w:w="498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57" w:type="dxa"/>
                <w:bottom w:w="0" w:type="dxa"/>
                <w:right w:w="57" w:type="dxa"/>
              </w:tblCellMar>
            </w:tblPr>
            <w:tblGrid>
              <w:gridCol w:w="463"/>
              <w:gridCol w:w="2176"/>
              <w:gridCol w:w="1524"/>
              <w:gridCol w:w="1481"/>
              <w:gridCol w:w="1512"/>
              <w:gridCol w:w="16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序号</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物料名称</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包装规格</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审批年用量(kg)</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实际年用量(kg)</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主要用途</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氢氧化钠</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己二酸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草酸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4A分子筛</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丁二酸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2.5kg/桶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无水硫酸钠</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马铃薯淀粉</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间苯二甲酸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对苯二甲酸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间苯二酚</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苯酚</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对苯二酚</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HPLC 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戊二酸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HPLC100g/瓶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新戊二醇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丁二酸钠</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普鲁士蓝</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1.2.3丙烷三甲酸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碘化锌</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氯化铯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AR25g/瓶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三乙烯二胺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AR250g/瓶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1-6己二醇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叔丁醇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异丙醇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1-2二氯乙烷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正辛酸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正己酸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正癸酸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正戊酸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甘油</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正丁酸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碳酸二甲酯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三元醇500</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聚醚500</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正辛烷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一缩二丙二醇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聚四氢呋喃</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AR25ml/瓶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四氢呋喃</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乙酸乙酯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液体石蜡</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氯化锌</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碳酸氢钠</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三氧化二铁</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三羟甲基丙烷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氧化锌</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月桂酸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十二烷二酸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普通颗粒癸二酸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1000g</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聚丙二醇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聚乙二醇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苯甲酸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AR250g/瓶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甘氨酸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HPLC100g/瓶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丙二酸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HPLC100g/瓶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氢化钙</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AR250g/瓶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邻苯二酚</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HPLC100g/瓶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环氧氯丙烷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六氰合钴酸钾</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次氯酸钠</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环氧丙烷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二乙烯三胺五乙酸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HPLC100g/瓶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三羟基丙烷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 xml:space="preserve"> HPLC100g/瓶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癸二酸二甲酯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己二酸二甲酯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异佛尔酮二异氰酸酯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乙醇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甲醇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二乙醇胺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吡啶</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三乙醇胺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二乙胺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丙二胺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苯胺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苯甲醇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卡尔菲休仪试剂</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1-5戊二醇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1.2丙二醇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三乙胺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二正丁胺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二氯甲烷</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37%盐酸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98%硫酸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37%硝酸</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丙酮</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硝酸银</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AR100g/瓶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醋酸酐</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硝酸锌</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乙二胺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甲苯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AR500ml/瓶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碳酸丙烯酯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TDI（甲苯二异氰酸酯）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DMF（N,N-二甲基甲酰胺）</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石油醚</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检测试剂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750</w:t>
                  </w:r>
                  <w:r>
                    <w:rPr>
                      <w:rFonts w:hint="default" w:ascii="Times New Roman" w:hAnsi="Times New Roman" w:eastAsia="宋体" w:cs="Times New Roman"/>
                      <w:b w:val="0"/>
                      <w:i w:val="0"/>
                      <w:color w:val="000000"/>
                      <w:kern w:val="0"/>
                      <w:sz w:val="21"/>
                      <w:szCs w:val="21"/>
                      <w:lang w:val="en-US" w:eastAsia="zh-CN" w:bidi="ar"/>
                    </w:rPr>
                    <w:t>聚醚多元醇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DDL-400（聚醚多元醇）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PEG-200（聚乙二醇）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LE-220A（聚醚多元醇）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层析硅胶</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过滤材料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XCP-2000D（聚酯多元醇）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A</w:t>
                  </w:r>
                  <w:r>
                    <w:rPr>
                      <w:rFonts w:hint="default" w:ascii="Times New Roman" w:hAnsi="Times New Roman" w:eastAsia="宋体" w:cs="Times New Roman"/>
                      <w:b w:val="0"/>
                      <w:i w:val="0"/>
                      <w:color w:val="000000"/>
                      <w:kern w:val="0"/>
                      <w:sz w:val="21"/>
                      <w:szCs w:val="21"/>
                      <w:lang w:val="en-US" w:eastAsia="zh-CN" w:bidi="ar"/>
                    </w:rPr>
                    <w:t>常州超然</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114"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101</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DESMOPHENC1200（脂肪族聚碳酸酯聚酯）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114"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102</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DESMOPHENC1100（脂肪族聚碳酸酯聚酯）</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103</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DL400（聚醚多元醇）</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104</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引发剂400（三官）</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15L/桶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105</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二氧化碳</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106</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氮气</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20kg/瓶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压滤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107</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双酚A</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5kg/桶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合成原料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108</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活性炭（研发用）</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20kg/桶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吸附材料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109</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硅藻土</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20kg/桶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吸附材料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57" w:type="dxa"/>
                  <w:bottom w:w="0" w:type="dxa"/>
                  <w:right w:w="57" w:type="dxa"/>
                </w:tblCellMar>
              </w:tblPrEx>
              <w:trPr>
                <w:trHeight w:val="90" w:hRule="atLeast"/>
                <w:jc w:val="center"/>
              </w:trPr>
              <w:tc>
                <w:tcPr>
                  <w:tcW w:w="26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110</w:t>
                  </w:r>
                </w:p>
              </w:tc>
              <w:tc>
                <w:tcPr>
                  <w:tcW w:w="12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硅酸镁铝</w:t>
                  </w:r>
                </w:p>
              </w:tc>
              <w:tc>
                <w:tcPr>
                  <w:tcW w:w="86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20kg/桶</w:t>
                  </w:r>
                </w:p>
              </w:tc>
              <w:tc>
                <w:tcPr>
                  <w:tcW w:w="84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w:t>
                  </w:r>
                </w:p>
              </w:tc>
              <w:tc>
                <w:tcPr>
                  <w:tcW w:w="86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w:t>
                  </w:r>
                </w:p>
              </w:tc>
              <w:tc>
                <w:tcPr>
                  <w:tcW w:w="92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吸附材料</w:t>
                  </w:r>
                </w:p>
              </w:tc>
            </w:tr>
          </w:tbl>
          <w:p>
            <w:pPr>
              <w:keepNext w:val="0"/>
              <w:keepLines w:val="0"/>
              <w:widowControl/>
              <w:suppressLineNumbers w:val="0"/>
              <w:spacing w:before="0" w:beforeAutospacing="0" w:after="0" w:afterLines="0" w:afterAutospacing="0" w:line="360" w:lineRule="auto"/>
              <w:ind w:left="0" w:right="0"/>
              <w:jc w:val="center"/>
              <w:rPr>
                <w:rFonts w:hint="eastAsia" w:ascii="Times New Roman" w:hAnsi="Times New Roman" w:eastAsia="宋体" w:cs="Times New Roman"/>
                <w:b/>
                <w:bCs/>
                <w:color w:val="auto"/>
                <w:sz w:val="21"/>
                <w:szCs w:val="21"/>
                <w:lang w:val="en-US" w:eastAsia="zh-CN"/>
              </w:rPr>
            </w:pPr>
          </w:p>
          <w:p>
            <w:pPr>
              <w:keepNext w:val="0"/>
              <w:keepLines w:val="0"/>
              <w:widowControl/>
              <w:numPr>
                <w:ilvl w:val="0"/>
                <w:numId w:val="0"/>
              </w:numPr>
              <w:suppressLineNumbers w:val="0"/>
              <w:spacing w:before="0" w:beforeAutospacing="0" w:after="0" w:afterLines="0" w:afterAutospacing="0" w:line="360" w:lineRule="auto"/>
              <w:ind w:left="0" w:right="0"/>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000000"/>
                <w:sz w:val="21"/>
                <w:szCs w:val="21"/>
                <w:lang w:val="en-US" w:eastAsia="zh-CN"/>
              </w:rPr>
              <w:t>2.2.2主要生产设备</w:t>
            </w:r>
          </w:p>
          <w:p>
            <w:pPr>
              <w:keepNext w:val="0"/>
              <w:keepLines w:val="0"/>
              <w:widowControl/>
              <w:suppressLineNumbers w:val="0"/>
              <w:spacing w:before="0" w:beforeAutospacing="0" w:after="0" w:afterLines="0" w:afterAutospacing="0" w:line="360" w:lineRule="auto"/>
              <w:ind w:left="0" w:right="0"/>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表2-3项目研发设备一览表</w:t>
            </w:r>
          </w:p>
          <w:tbl>
            <w:tblPr>
              <w:tblStyle w:val="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58"/>
              <w:gridCol w:w="2534"/>
              <w:gridCol w:w="1739"/>
              <w:gridCol w:w="1205"/>
              <w:gridCol w:w="1205"/>
              <w:gridCol w:w="1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7" w:hRule="atLeast"/>
                <w:jc w:val="center"/>
              </w:trPr>
              <w:tc>
                <w:tcPr>
                  <w:tcW w:w="37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类别</w:t>
                  </w: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设备名称</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规格</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审批</w:t>
                  </w:r>
                  <w:r>
                    <w:rPr>
                      <w:rFonts w:hint="default" w:ascii="Times New Roman" w:hAnsi="Times New Roman" w:eastAsia="宋体" w:cs="Times New Roman"/>
                      <w:b w:val="0"/>
                      <w:i w:val="0"/>
                      <w:color w:val="000000"/>
                      <w:kern w:val="0"/>
                      <w:sz w:val="21"/>
                      <w:szCs w:val="21"/>
                      <w:lang w:val="en-US" w:eastAsia="zh-CN" w:bidi="ar"/>
                    </w:rPr>
                    <w:t>数量（</w:t>
                  </w:r>
                  <w:r>
                    <w:rPr>
                      <w:rFonts w:hint="eastAsia" w:ascii="Times New Roman" w:hAnsi="Times New Roman" w:eastAsia="宋体" w:cs="Times New Roman"/>
                      <w:b w:val="0"/>
                      <w:i w:val="0"/>
                      <w:color w:val="000000"/>
                      <w:kern w:val="0"/>
                      <w:sz w:val="21"/>
                      <w:szCs w:val="21"/>
                      <w:lang w:val="en-US" w:eastAsia="zh-CN" w:bidi="ar"/>
                    </w:rPr>
                    <w:t>台</w:t>
                  </w:r>
                  <w:r>
                    <w:rPr>
                      <w:rFonts w:hint="default" w:ascii="Times New Roman" w:hAnsi="Times New Roman" w:eastAsia="宋体" w:cs="Times New Roman"/>
                      <w:b w:val="0"/>
                      <w:i w:val="0"/>
                      <w:color w:val="000000"/>
                      <w:kern w:val="0"/>
                      <w:sz w:val="21"/>
                      <w:szCs w:val="21"/>
                      <w:lang w:val="en-US" w:eastAsia="zh-CN" w:bidi="ar"/>
                    </w:rPr>
                    <w:t>）</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实际数量（台）</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restar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聚酯多元醇研发</w:t>
                  </w: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管式反应器</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4</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计量泵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15L/h</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高温循环加热器（水/油）</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30L/min</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分析天平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精度0.0001g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真空泵(油）</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3kw 120m³/h</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抽真空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真空泵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小型手提式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抽真空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电子天平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精度0.01g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预混釜</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20L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搅拌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分子蒸馏器</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蒸馏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齿轮泵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30L/h</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输送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restar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聚酯研发</w:t>
                  </w: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通风橱</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标准台式通风橱</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反应釜</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反应釜</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反应釜</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60mL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循环加热器（水）</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30L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分析天平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精度0.0001g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循环水式真空泵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小型台式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抽真空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真空泵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小型手提式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抽真空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电子天平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精度0.01g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水浴锅</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小型台式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旋转蒸发器</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蒸发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循环加热器（油）</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30L/min 3kw</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restar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催化剂研发</w:t>
                  </w: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通风橱</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标准台式通风橱</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玻璃</w:t>
                  </w:r>
                  <w:r>
                    <w:rPr>
                      <w:rFonts w:hint="default" w:ascii="Times New Roman" w:hAnsi="Times New Roman" w:eastAsia="宋体" w:cs="Times New Roman"/>
                      <w:b w:val="0"/>
                      <w:i w:val="0"/>
                      <w:color w:val="000000"/>
                      <w:kern w:val="0"/>
                      <w:sz w:val="21"/>
                      <w:szCs w:val="21"/>
                      <w:lang w:val="en-US" w:eastAsia="zh-CN" w:bidi="ar"/>
                    </w:rPr>
                    <w:t>反应釜</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r>
                    <w:rPr>
                      <w:rFonts w:hint="default" w:ascii="Times New Roman" w:hAnsi="Times New Roman" w:eastAsia="宋体" w:cs="Times New Roman"/>
                      <w:b w:val="0"/>
                      <w:i w:val="0"/>
                      <w:color w:val="000000"/>
                      <w:kern w:val="0"/>
                      <w:sz w:val="21"/>
                      <w:szCs w:val="21"/>
                      <w:lang w:val="en-US" w:eastAsia="zh-CN" w:bidi="ar"/>
                    </w:rPr>
                    <w:t>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循环加热器（水）</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50L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分析天平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精度0.0001g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电子天平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精度0.01g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纯水机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100L/h</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制备纯水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板压机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3kw </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压碎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计量泵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20L/h 220v</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计量泵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170L/h 380v</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计量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真空干燥机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6500w 380v</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干燥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restar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聚氨酯</w:t>
                  </w:r>
                  <w:r>
                    <w:rPr>
                      <w:rFonts w:hint="eastAsia" w:ascii="Times New Roman" w:hAnsi="Times New Roman" w:eastAsia="宋体" w:cs="Times New Roman"/>
                      <w:b w:val="0"/>
                      <w:i w:val="0"/>
                      <w:color w:val="000000"/>
                      <w:kern w:val="0"/>
                      <w:sz w:val="21"/>
                      <w:szCs w:val="21"/>
                      <w:lang w:val="en-US" w:eastAsia="zh-CN" w:bidi="ar"/>
                    </w:rPr>
                    <w:t>研发</w:t>
                  </w: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通风橱</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标准台式通风橱</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4</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7"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玻璃反应釜（加热及搅拌装置）</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 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7"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玻璃反应釜（加热及搅拌装置）</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 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7"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玻璃反应釜（加热及搅拌装置）</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500 mL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7"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实验室多功能分散砂磨搅拌机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2000 W</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搅拌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电热式线切割操作板</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50*80 cm</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Taber磨耗机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标准型</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Shore A 型硬度计</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手持式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Shore D 型硬度计</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手持式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循环水式真空泵</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小型台式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抽真空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旋片式真空泵（油）</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小型手提式</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抽真空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电热鼓风干燥箱</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60 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干燥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真空烘箱</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40 L</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干燥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2kg电子天平</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精度0.01 g</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万能拉力试验机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 KN</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5" w:hRule="atLeast"/>
                <w:jc w:val="center"/>
              </w:trPr>
              <w:tc>
                <w:tcPr>
                  <w:tcW w:w="374"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平板硫化机</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力级10 t</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 w:hRule="atLeast"/>
                <w:jc w:val="center"/>
              </w:trPr>
              <w:tc>
                <w:tcPr>
                  <w:tcW w:w="37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合计</w:t>
                  </w:r>
                </w:p>
              </w:tc>
              <w:tc>
                <w:tcPr>
                  <w:tcW w:w="1440"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w:t>
                  </w:r>
                </w:p>
              </w:tc>
              <w:tc>
                <w:tcPr>
                  <w:tcW w:w="98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95</w:t>
                  </w:r>
                </w:p>
              </w:tc>
              <w:tc>
                <w:tcPr>
                  <w:tcW w:w="684"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95</w:t>
                  </w:r>
                </w:p>
              </w:tc>
              <w:tc>
                <w:tcPr>
                  <w:tcW w:w="827"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p>
              </w:tc>
            </w:tr>
          </w:tbl>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2.2.3水平衡图</w:t>
            </w:r>
          </w:p>
          <w:p>
            <w:pPr>
              <w:keepNext w:val="0"/>
              <w:keepLines w:val="0"/>
              <w:widowControl/>
              <w:suppressLineNumbers w:val="0"/>
              <w:spacing w:before="62" w:beforeLines="20" w:beforeAutospacing="0" w:afterAutospacing="0" w:line="360" w:lineRule="auto"/>
              <w:ind w:left="0" w:right="0"/>
              <w:jc w:val="center"/>
              <w:rPr>
                <w:rFonts w:hint="default"/>
                <w:sz w:val="21"/>
                <w:szCs w:val="21"/>
              </w:rPr>
            </w:pPr>
            <w:r>
              <w:rPr>
                <w:rFonts w:hint="default"/>
              </w:rPr>
              <w:drawing>
                <wp:inline distT="0" distB="0" distL="114300" distR="114300">
                  <wp:extent cx="4981575" cy="28003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4981575" cy="2800350"/>
                          </a:xfrm>
                          <a:prstGeom prst="rect">
                            <a:avLst/>
                          </a:prstGeom>
                          <a:noFill/>
                          <a:ln>
                            <a:noFill/>
                          </a:ln>
                        </pic:spPr>
                      </pic:pic>
                    </a:graphicData>
                  </a:graphic>
                </wp:inline>
              </w:drawing>
            </w:r>
          </w:p>
          <w:p>
            <w:pPr>
              <w:keepNext w:val="0"/>
              <w:keepLines w:val="0"/>
              <w:widowControl/>
              <w:suppressLineNumbers w:val="0"/>
              <w:spacing w:before="62" w:beforeLines="20" w:beforeAutospacing="0" w:afterAutospacing="0" w:line="360" w:lineRule="auto"/>
              <w:ind w:left="0" w:right="0"/>
              <w:jc w:val="center"/>
              <w:rPr>
                <w:rFonts w:hint="default" w:ascii="宋体" w:hAnsi="宋体" w:eastAsia="宋体"/>
                <w:color w:val="000000"/>
                <w:sz w:val="21"/>
                <w:szCs w:val="21"/>
                <w:lang w:val="en-US" w:eastAsia="zh-CN"/>
              </w:rPr>
            </w:pPr>
            <w:r>
              <w:rPr>
                <w:rFonts w:hint="eastAsia" w:ascii="Times New Roman" w:hAnsi="Times New Roman" w:eastAsia="宋体" w:cs="Times New Roman"/>
                <w:b/>
                <w:bCs/>
                <w:color w:val="auto"/>
                <w:sz w:val="21"/>
                <w:szCs w:val="21"/>
                <w:highlight w:val="none"/>
                <w:lang w:val="en-US" w:eastAsia="zh-CN"/>
              </w:rPr>
              <w:t xml:space="preserve">图2-1 </w:t>
            </w:r>
            <w:r>
              <w:rPr>
                <w:rFonts w:hint="default" w:ascii="Times New Roman" w:hAnsi="Times New Roman" w:eastAsia="宋体" w:cs="Times New Roman"/>
                <w:b/>
                <w:bCs/>
                <w:color w:val="auto"/>
                <w:sz w:val="21"/>
                <w:szCs w:val="21"/>
                <w:highlight w:val="none"/>
                <w:lang w:val="en-US" w:eastAsia="zh-CN"/>
              </w:rPr>
              <w:t>水平衡图</w:t>
            </w:r>
            <w:r>
              <w:rPr>
                <w:rFonts w:hint="eastAsia" w:ascii="Times New Roman" w:hAnsi="Times New Roman" w:eastAsia="宋体" w:cs="Times New Roman"/>
                <w:b/>
                <w:bCs/>
                <w:color w:val="auto"/>
                <w:sz w:val="21"/>
                <w:szCs w:val="21"/>
                <w:highlight w:val="none"/>
                <w:lang w:val="en-US" w:eastAsia="zh-CN"/>
              </w:rPr>
              <w:t xml:space="preserve"> 单位：t/a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9028" w:type="dxa"/>
            <w:vAlign w:val="top"/>
          </w:tcPr>
          <w:p>
            <w:pPr>
              <w:keepNext w:val="0"/>
              <w:keepLines w:val="0"/>
              <w:widowControl/>
              <w:numPr>
                <w:ilvl w:val="0"/>
                <w:numId w:val="0"/>
              </w:numPr>
              <w:suppressLineNumbers w:val="0"/>
              <w:spacing w:before="62" w:beforeLines="20" w:beforeAutospacing="0" w:afterAutospacing="0" w:line="360" w:lineRule="auto"/>
              <w:ind w:left="0" w:right="0"/>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bCs/>
                <w:color w:val="000000"/>
                <w:sz w:val="21"/>
                <w:szCs w:val="21"/>
                <w:lang w:val="en-US" w:eastAsia="zh-CN"/>
              </w:rPr>
              <w:t>2.3</w:t>
            </w:r>
            <w:r>
              <w:rPr>
                <w:rFonts w:hint="eastAsia" w:ascii="宋体" w:hAnsi="宋体" w:eastAsia="宋体"/>
                <w:b/>
                <w:bCs/>
                <w:color w:val="000000"/>
                <w:sz w:val="21"/>
                <w:szCs w:val="21"/>
              </w:rPr>
              <w:t>主要工艺流程及产物环节</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bookmarkStart w:id="0" w:name="_Toc20941"/>
            <w:r>
              <w:rPr>
                <w:rFonts w:hint="eastAsia" w:ascii="Times New Roman" w:hAnsi="Times New Roman" w:eastAsia="宋体" w:cs="Times New Roman"/>
                <w:b w:val="0"/>
                <w:i w:val="0"/>
                <w:color w:val="auto"/>
                <w:kern w:val="0"/>
                <w:sz w:val="21"/>
                <w:szCs w:val="21"/>
                <w:lang w:val="en-US" w:eastAsia="zh-CN" w:bidi="ar"/>
              </w:rPr>
              <w:t>本项目主要进行聚酯多元醇、聚酯、催化剂、聚氨酯的工艺研发（不涉及中试及放大生产），各研发流程如下：</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1、聚酯多元醇</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聚酯多元醇研发工艺流程及产污环节如下：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val="0"/>
                <w:i w:val="0"/>
                <w:color w:val="auto"/>
                <w:kern w:val="0"/>
                <w:sz w:val="21"/>
                <w:szCs w:val="21"/>
                <w:lang w:val="en-US" w:eastAsia="zh-CN" w:bidi="ar"/>
              </w:rPr>
            </w:pPr>
            <w:r>
              <w:rPr>
                <w:rFonts w:hint="default"/>
              </w:rPr>
              <w:drawing>
                <wp:inline distT="0" distB="0" distL="114300" distR="114300">
                  <wp:extent cx="3362325" cy="42862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3362325" cy="4286250"/>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bCs/>
                <w:color w:val="auto"/>
                <w:sz w:val="21"/>
                <w:szCs w:val="21"/>
                <w:highlight w:val="none"/>
                <w:lang w:val="en-US" w:eastAsia="zh-CN"/>
              </w:rPr>
              <w:t>图2-2 项目聚酯多元醇研发工艺流程及产污环节图</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工艺流程说明：</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（1）预混、反应</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将相应质量的环氧丙烷、催化剂、丁二酸（或双酚A或小分子聚醚多元醇）等通过泵送或者人工投加的方式加入预混釜中进行混合搅拌，混合加热温度约40℃，搅拌均匀之后泵入管式反应器中与二氧化碳进行合成反应，在约90℃下反应数小时后生成目标多元醇产物。在此过程中产生G1实验废气。主反应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val="0"/>
                <w:i w:val="0"/>
                <w:color w:val="auto"/>
                <w:kern w:val="0"/>
                <w:sz w:val="21"/>
                <w:szCs w:val="21"/>
                <w:lang w:val="en-US" w:eastAsia="zh-CN" w:bidi="ar"/>
              </w:rPr>
            </w:pPr>
            <w:r>
              <w:rPr>
                <w:rFonts w:hint="default"/>
              </w:rPr>
              <w:drawing>
                <wp:inline distT="0" distB="0" distL="114300" distR="114300">
                  <wp:extent cx="4962525" cy="933450"/>
                  <wp:effectExtent l="0" t="0" r="9525"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2"/>
                          <a:stretch>
                            <a:fillRect/>
                          </a:stretch>
                        </pic:blipFill>
                        <pic:spPr>
                          <a:xfrm>
                            <a:off x="0" y="0"/>
                            <a:ext cx="4962525" cy="933450"/>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（2）压滤</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聚酯多元醇回流至预混釜中，然后向预混釜中依次加入硅藻土、硅酸镁铝、活性炭，充分搅拌均匀后使用氮气将混合物通过过滤器过滤出来。在此过程中产生G1实验废气和S1滤渣。</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（3）蒸馏</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滤液通过分子蒸馏器进行蒸馏提纯，分子蒸馏是一种在高真空下操作的蒸馏方法，这时蒸气分子的平均自由程大于蒸发表面与冷凝表面之间的距离，从而可利用料液中各组分蒸发速率的差异，对滤液中的单体进行蒸馏分离，得到所需的聚酯多元醇，蒸馏采用电加热。在此过程中产生G1实验废气。</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（4）检验</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聚酯多元醇经物理、化学检验合格后入库。检验过程中产生G1实验废气、W1实验废水和S2检验废物。</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2、聚酯</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聚酯研发工艺流程及产污环节如下：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bCs/>
                <w:color w:val="auto"/>
                <w:sz w:val="21"/>
                <w:szCs w:val="21"/>
                <w:highlight w:val="none"/>
                <w:lang w:val="en-US" w:eastAsia="zh-CN"/>
              </w:rPr>
            </w:pPr>
            <w:r>
              <w:rPr>
                <w:rFonts w:hint="default"/>
              </w:rPr>
              <w:drawing>
                <wp:inline distT="0" distB="0" distL="114300" distR="114300">
                  <wp:extent cx="3228975" cy="2800350"/>
                  <wp:effectExtent l="0" t="0" r="9525"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3"/>
                          <a:stretch>
                            <a:fillRect/>
                          </a:stretch>
                        </pic:blipFill>
                        <pic:spPr>
                          <a:xfrm>
                            <a:off x="0" y="0"/>
                            <a:ext cx="3228975" cy="2800350"/>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图2-3 项目聚酯研发工艺流程及产污环节图</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工艺流程说明：</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（1）反应</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称取相应质量的环氧丙烷、环氧环己烷、环氧氯丙烷、催化剂等通过泵送或者人工投加的方式加入反应釜中，通入二氧化碳在一定的压力、温度下（压力约4MPa、温度约90℃，采用电加热），放入油浴锅中反应生成聚酯研发产物。在此过程中产生G1实验废气。主反应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val="0"/>
                <w:i w:val="0"/>
                <w:color w:val="auto"/>
                <w:kern w:val="0"/>
                <w:sz w:val="21"/>
                <w:szCs w:val="21"/>
                <w:lang w:val="en-US" w:eastAsia="zh-CN" w:bidi="ar"/>
              </w:rPr>
            </w:pPr>
            <w:r>
              <w:rPr>
                <w:rFonts w:hint="default"/>
              </w:rPr>
              <w:drawing>
                <wp:inline distT="0" distB="0" distL="114300" distR="114300">
                  <wp:extent cx="3362325" cy="1266825"/>
                  <wp:effectExtent l="0" t="0" r="9525" b="952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3362325" cy="1266825"/>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（2）蒸馏</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聚酯研发产物泵至通过旋转蒸发器进行蒸馏提纯，对滤液中的单体进行蒸馏分离，得到所需的聚酯，蒸馏采用电加热。在此过程中产生G1实验废气。</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（3）检验</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聚酯经物理、化学检验合格后入库。检验过程中产生G1实验废气、W1实验废水和S2检验废物。</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3、催化剂</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催化剂研发工艺流程及产污环节如下：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bCs/>
                <w:color w:val="auto"/>
                <w:sz w:val="21"/>
                <w:szCs w:val="21"/>
                <w:highlight w:val="none"/>
                <w:lang w:val="en-US" w:eastAsia="zh-CN"/>
              </w:rPr>
            </w:pPr>
            <w:r>
              <w:rPr>
                <w:rFonts w:hint="default"/>
              </w:rPr>
              <w:drawing>
                <wp:inline distT="0" distB="0" distL="114300" distR="114300">
                  <wp:extent cx="3800475" cy="3743325"/>
                  <wp:effectExtent l="0" t="0" r="9525" b="952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5"/>
                          <a:stretch>
                            <a:fillRect/>
                          </a:stretch>
                        </pic:blipFill>
                        <pic:spPr>
                          <a:xfrm>
                            <a:off x="0" y="0"/>
                            <a:ext cx="3800475" cy="3743325"/>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图2-4 项目催化剂研发工艺流程及产污环节图</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工艺流程说明：</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（1）反应</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采用纯水配制六氰合钴酸钾溶液，将配制好的溶液加入玻璃反应釜中，再依次加入盐酸、氯化锌、氧化锌、叔丁醇等溶液，在搅拌下反应数小时后生成催化剂。在此过程中产生G1实验废气。主反应（根据试验结果，催化剂制备过程中无氰化氢气体产生）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val="0"/>
                <w:i w:val="0"/>
                <w:color w:val="auto"/>
                <w:kern w:val="0"/>
                <w:sz w:val="21"/>
                <w:szCs w:val="21"/>
                <w:lang w:val="en-US" w:eastAsia="zh-CN" w:bidi="ar"/>
              </w:rPr>
            </w:pPr>
            <w:r>
              <w:rPr>
                <w:rFonts w:hint="default"/>
              </w:rPr>
              <w:drawing>
                <wp:inline distT="0" distB="0" distL="114300" distR="114300">
                  <wp:extent cx="3810000" cy="981075"/>
                  <wp:effectExtent l="0" t="0" r="0" b="952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6"/>
                          <a:stretch>
                            <a:fillRect/>
                          </a:stretch>
                        </pic:blipFill>
                        <pic:spPr>
                          <a:xfrm>
                            <a:off x="0" y="0"/>
                            <a:ext cx="3810000" cy="981075"/>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（2）固液分离</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反应后的溶液通过过滤进行固液分离，滤渣进行下一道工序，在此过程中产生G1实验废气和S3滤液。</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（3）烘干</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滤渣通过真空干燥机进行真空干燥，去除水分，再通过板压机碾压成粉末。</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（4）检验</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催化剂经物理、化学检验合格后入库。检验过程中产生G1实验废气、W1实验废水、和S2检验废物。</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4、聚氨酯</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聚氨酯研发工艺流程及产污环节如下：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bCs/>
                <w:color w:val="auto"/>
                <w:sz w:val="21"/>
                <w:szCs w:val="21"/>
                <w:highlight w:val="none"/>
                <w:lang w:val="en-US" w:eastAsia="zh-CN"/>
              </w:rPr>
            </w:pPr>
            <w:r>
              <w:rPr>
                <w:rFonts w:hint="default"/>
              </w:rPr>
              <w:drawing>
                <wp:inline distT="0" distB="0" distL="114300" distR="114300">
                  <wp:extent cx="3390900" cy="3286125"/>
                  <wp:effectExtent l="0" t="0" r="0" b="9525"/>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7"/>
                          <a:stretch>
                            <a:fillRect/>
                          </a:stretch>
                        </pic:blipFill>
                        <pic:spPr>
                          <a:xfrm>
                            <a:off x="0" y="0"/>
                            <a:ext cx="3390900" cy="3286125"/>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图2-5 项目聚氨酯研发工艺流程及产污环节图</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工艺流程说明：</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（1）混合搅拌、放料入模、冷却固化</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向玻璃反应釜中加入依次加入MDI、聚醚多元醇、纯水等溶液，在室温下搅拌待混合均匀，将混合料与TDI（甲苯二异氰酸酯）注入模具中进行发泡反应，形成聚氨酯泡沫，自然冷却固化。在此过程中产生G1实验废气。主反应如下：</w:t>
            </w:r>
          </w:p>
          <w:p>
            <w:pPr>
              <w:keepNext w:val="0"/>
              <w:keepLines w:val="0"/>
              <w:widowControl/>
              <w:suppressLineNumbers w:val="0"/>
              <w:adjustRightInd/>
              <w:snapToGrid/>
              <w:spacing w:before="0" w:beforeAutospacing="0" w:after="0" w:afterLines="-2147483648" w:afterAutospacing="0" w:line="360" w:lineRule="auto"/>
              <w:ind w:left="0" w:right="0"/>
              <w:jc w:val="center"/>
              <w:rPr>
                <w:rFonts w:hint="eastAsia" w:ascii="Times New Roman" w:hAnsi="Times New Roman" w:eastAsia="宋体" w:cs="Times New Roman"/>
                <w:b w:val="0"/>
                <w:i w:val="0"/>
                <w:color w:val="auto"/>
                <w:kern w:val="0"/>
                <w:sz w:val="21"/>
                <w:szCs w:val="21"/>
                <w:lang w:val="en-US" w:eastAsia="zh-CN" w:bidi="ar"/>
              </w:rPr>
            </w:pPr>
            <w:r>
              <w:rPr>
                <w:rFonts w:hint="default"/>
              </w:rPr>
              <w:drawing>
                <wp:inline distT="0" distB="0" distL="114300" distR="114300">
                  <wp:extent cx="4924425" cy="647700"/>
                  <wp:effectExtent l="0" t="0" r="9525" b="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8"/>
                          <a:stretch>
                            <a:fillRect/>
                          </a:stretch>
                        </pic:blipFill>
                        <pic:spPr>
                          <a:xfrm>
                            <a:off x="0" y="0"/>
                            <a:ext cx="4924425" cy="647700"/>
                          </a:xfrm>
                          <a:prstGeom prst="rect">
                            <a:avLst/>
                          </a:prstGeom>
                          <a:noFill/>
                          <a:ln>
                            <a:noFill/>
                          </a:ln>
                        </pic:spPr>
                      </pic:pic>
                    </a:graphicData>
                  </a:graphic>
                </wp:inline>
              </w:drawing>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（2）检验</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default"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val="0"/>
                <w:i w:val="0"/>
                <w:color w:val="auto"/>
                <w:kern w:val="0"/>
                <w:sz w:val="21"/>
                <w:szCs w:val="21"/>
                <w:lang w:val="en-US" w:eastAsia="zh-CN" w:bidi="ar"/>
              </w:rPr>
              <w:t>聚氨酯经物理、化学检验合格后入库。检验过程中产生G1实验废气、W1实验废水和S2检验废物。</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62" w:beforeLines="20" w:beforeAutospacing="0" w:after="80" w:afterAutospacing="0" w:line="360" w:lineRule="auto"/>
              <w:ind w:left="0" w:right="0"/>
              <w:textAlignment w:val="auto"/>
              <w:rPr>
                <w:rFonts w:hint="default" w:ascii="Times New Roman" w:hAnsi="Times New Roman" w:eastAsia="宋体" w:cs="Times New Roman"/>
                <w:b/>
                <w:bCs/>
                <w:color w:val="000000"/>
                <w:sz w:val="21"/>
                <w:szCs w:val="21"/>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62" w:beforeLines="20" w:beforeAutospacing="0" w:after="80" w:afterAutospacing="0" w:line="360" w:lineRule="auto"/>
              <w:ind w:left="0" w:right="0"/>
              <w:textAlignment w:val="auto"/>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2.4 项目变动情况</w:t>
            </w:r>
            <w:bookmarkEnd w:id="0"/>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default"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val="0"/>
                <w:i w:val="0"/>
                <w:color w:val="auto"/>
                <w:kern w:val="0"/>
                <w:sz w:val="21"/>
                <w:szCs w:val="21"/>
                <w:lang w:val="en-US" w:eastAsia="zh-CN" w:bidi="ar"/>
              </w:rPr>
              <w:t>项目原辅材料较环评有所减少；环评设计实验废气通过25m高排气筒排放，实际排气筒高度为20m。项目实际建设地点、性质、生产工艺、采取的污染防治措施与环评基本一致。</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62" w:beforeLines="20" w:beforeAutospacing="0" w:after="80" w:afterAutospacing="0" w:line="360" w:lineRule="auto"/>
              <w:ind w:left="0" w:right="0"/>
              <w:textAlignment w:val="auto"/>
              <w:rPr>
                <w:rFonts w:hint="default" w:ascii="Times New Roman" w:hAnsi="Times New Roman" w:eastAsia="宋体" w:cs="Times New Roman"/>
                <w:b/>
                <w:bCs/>
                <w:color w:val="000000"/>
                <w:sz w:val="21"/>
                <w:szCs w:val="21"/>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62" w:beforeLines="20" w:beforeAutospacing="0" w:after="80" w:afterAutospacing="0" w:line="360" w:lineRule="auto"/>
              <w:ind w:left="0" w:right="0"/>
              <w:textAlignment w:val="auto"/>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2.</w:t>
            </w:r>
            <w:r>
              <w:rPr>
                <w:rFonts w:hint="eastAsia" w:ascii="Times New Roman" w:hAnsi="Times New Roman" w:eastAsia="宋体" w:cs="Times New Roman"/>
                <w:b/>
                <w:bCs/>
                <w:color w:val="000000"/>
                <w:sz w:val="21"/>
                <w:szCs w:val="21"/>
                <w:lang w:val="en-US" w:eastAsia="zh-CN"/>
              </w:rPr>
              <w:t>5</w:t>
            </w:r>
            <w:r>
              <w:rPr>
                <w:rFonts w:hint="default" w:ascii="Times New Roman" w:hAnsi="Times New Roman" w:eastAsia="宋体" w:cs="Times New Roman"/>
                <w:b/>
                <w:bCs/>
                <w:color w:val="000000"/>
                <w:sz w:val="21"/>
                <w:szCs w:val="21"/>
                <w:lang w:val="en-US" w:eastAsia="zh-CN"/>
              </w:rPr>
              <w:t xml:space="preserve"> </w:t>
            </w:r>
            <w:r>
              <w:rPr>
                <w:rFonts w:hint="eastAsia" w:ascii="Times New Roman" w:hAnsi="Times New Roman" w:eastAsia="宋体" w:cs="Times New Roman"/>
                <w:b/>
                <w:bCs/>
                <w:color w:val="000000"/>
                <w:sz w:val="21"/>
                <w:szCs w:val="21"/>
                <w:lang w:val="en-US" w:eastAsia="zh-CN"/>
              </w:rPr>
              <w:t>总量控制</w:t>
            </w:r>
          </w:p>
          <w:p>
            <w:pPr>
              <w:keepNext w:val="0"/>
              <w:keepLines w:val="0"/>
              <w:widowControl/>
              <w:suppressLineNumbers w:val="0"/>
              <w:adjustRightInd/>
              <w:snapToGrid/>
              <w:spacing w:before="0" w:beforeAutospacing="0" w:after="0" w:afterLines="-2147483648" w:afterAutospacing="0" w:line="360" w:lineRule="auto"/>
              <w:ind w:left="0" w:right="0" w:firstLine="420" w:firstLineChars="200"/>
              <w:jc w:val="left"/>
              <w:rPr>
                <w:rFonts w:hint="eastAsia" w:ascii="Times New Roman" w:hAnsi="Times New Roman" w:eastAsia="宋体" w:cs="Times New Roman"/>
                <w:color w:val="FF0000"/>
                <w:sz w:val="21"/>
                <w:szCs w:val="21"/>
                <w:lang w:val="en-US" w:eastAsia="zh-CN"/>
              </w:rPr>
            </w:pPr>
            <w:r>
              <w:rPr>
                <w:rFonts w:hint="default" w:ascii="Times New Roman" w:hAnsi="Times New Roman" w:eastAsia="宋体" w:cs="Times New Roman"/>
                <w:b w:val="0"/>
                <w:i w:val="0"/>
                <w:color w:val="auto"/>
                <w:kern w:val="0"/>
                <w:sz w:val="21"/>
                <w:szCs w:val="21"/>
                <w:lang w:val="en-US" w:eastAsia="zh-CN" w:bidi="ar"/>
              </w:rPr>
              <w:t>严格落实污染物排放总量控制措施，使污染物排放总量控制在环评确定的指标内，即</w:t>
            </w:r>
            <w:r>
              <w:rPr>
                <w:rFonts w:hint="eastAsia" w:ascii="Times New Roman" w:hAnsi="Times New Roman" w:eastAsia="宋体" w:cs="Times New Roman"/>
                <w:b w:val="0"/>
                <w:i w:val="0"/>
                <w:color w:val="auto"/>
                <w:kern w:val="0"/>
                <w:sz w:val="21"/>
                <w:szCs w:val="21"/>
                <w:lang w:val="en-US" w:eastAsia="zh-CN" w:bidi="ar"/>
              </w:rPr>
              <w:t>项目</w:t>
            </w:r>
            <w:r>
              <w:rPr>
                <w:rFonts w:hint="default" w:ascii="Times New Roman" w:hAnsi="Times New Roman" w:eastAsia="宋体" w:cs="Times New Roman"/>
                <w:b w:val="0"/>
                <w:i w:val="0"/>
                <w:color w:val="auto"/>
                <w:kern w:val="0"/>
                <w:sz w:val="21"/>
                <w:szCs w:val="21"/>
                <w:lang w:val="en-US" w:eastAsia="zh-CN" w:bidi="ar"/>
              </w:rPr>
              <w:t>主要污染物废水量</w:t>
            </w:r>
            <w:r>
              <w:rPr>
                <w:rFonts w:hint="default" w:ascii="Times New Roman" w:hAnsi="Times New Roman" w:eastAsia="宋体" w:cs="Times New Roman"/>
                <w:b w:val="0"/>
                <w:i w:val="0"/>
                <w:color w:val="000000"/>
                <w:kern w:val="0"/>
                <w:sz w:val="21"/>
                <w:szCs w:val="21"/>
                <w:lang w:val="en-US" w:eastAsia="zh-CN" w:bidi="ar"/>
              </w:rPr>
              <w:t>控制在392.2t/a</w:t>
            </w:r>
            <w:r>
              <w:rPr>
                <w:rFonts w:hint="eastAsia" w:ascii="Times New Roman" w:hAnsi="Times New Roman" w:eastAsia="宋体" w:cs="Times New Roman"/>
                <w:b w:val="0"/>
                <w:i w:val="0"/>
                <w:color w:val="000000"/>
                <w:kern w:val="0"/>
                <w:sz w:val="21"/>
                <w:szCs w:val="21"/>
                <w:lang w:val="en-US" w:eastAsia="zh-CN" w:bidi="ar"/>
              </w:rPr>
              <w:t>，CODcr</w:t>
            </w:r>
            <w:r>
              <w:rPr>
                <w:rFonts w:hint="default" w:ascii="Times New Roman" w:hAnsi="Times New Roman" w:eastAsia="宋体" w:cs="Times New Roman"/>
                <w:b w:val="0"/>
                <w:i w:val="0"/>
                <w:color w:val="000000"/>
                <w:kern w:val="0"/>
                <w:sz w:val="21"/>
                <w:szCs w:val="21"/>
                <w:lang w:val="en-US" w:eastAsia="zh-CN" w:bidi="ar"/>
              </w:rPr>
              <w:t>控制在0.020t/a</w:t>
            </w:r>
            <w:r>
              <w:rPr>
                <w:rFonts w:hint="eastAsia" w:ascii="Times New Roman" w:hAnsi="Times New Roman" w:eastAsia="宋体" w:cs="Times New Roman"/>
                <w:b w:val="0"/>
                <w:i w:val="0"/>
                <w:color w:val="000000"/>
                <w:kern w:val="0"/>
                <w:sz w:val="21"/>
                <w:szCs w:val="21"/>
                <w:lang w:val="en-US" w:eastAsia="zh-CN" w:bidi="ar"/>
              </w:rPr>
              <w:t>，NH</w:t>
            </w:r>
            <w:r>
              <w:rPr>
                <w:rFonts w:hint="eastAsia" w:ascii="Times New Roman" w:hAnsi="Times New Roman" w:eastAsia="宋体" w:cs="Times New Roman"/>
                <w:b w:val="0"/>
                <w:i w:val="0"/>
                <w:color w:val="000000"/>
                <w:kern w:val="0"/>
                <w:sz w:val="21"/>
                <w:szCs w:val="21"/>
                <w:vertAlign w:val="subscript"/>
                <w:lang w:val="en-US" w:eastAsia="zh-CN" w:bidi="ar"/>
              </w:rPr>
              <w:t>3</w:t>
            </w:r>
            <w:r>
              <w:rPr>
                <w:rFonts w:hint="eastAsia" w:ascii="Times New Roman" w:hAnsi="Times New Roman" w:eastAsia="宋体" w:cs="Times New Roman"/>
                <w:b w:val="0"/>
                <w:i w:val="0"/>
                <w:color w:val="000000"/>
                <w:kern w:val="0"/>
                <w:sz w:val="21"/>
                <w:szCs w:val="21"/>
                <w:lang w:val="en-US" w:eastAsia="zh-CN" w:bidi="ar"/>
              </w:rPr>
              <w:t>-N</w:t>
            </w:r>
            <w:r>
              <w:rPr>
                <w:rFonts w:hint="default" w:ascii="Times New Roman" w:hAnsi="Times New Roman" w:eastAsia="宋体" w:cs="Times New Roman"/>
                <w:b w:val="0"/>
                <w:i w:val="0"/>
                <w:color w:val="000000"/>
                <w:kern w:val="0"/>
                <w:sz w:val="21"/>
                <w:szCs w:val="21"/>
                <w:lang w:val="en-US" w:eastAsia="zh-CN" w:bidi="ar"/>
              </w:rPr>
              <w:t>控制在</w:t>
            </w:r>
            <w:r>
              <w:rPr>
                <w:rFonts w:hint="eastAsia" w:ascii="Times New Roman" w:hAnsi="Times New Roman" w:eastAsia="宋体" w:cs="Times New Roman"/>
                <w:b w:val="0"/>
                <w:i w:val="0"/>
                <w:color w:val="000000"/>
                <w:kern w:val="0"/>
                <w:sz w:val="21"/>
                <w:szCs w:val="21"/>
                <w:lang w:val="en-US" w:eastAsia="zh-CN" w:bidi="ar"/>
              </w:rPr>
              <w:t>0.002</w:t>
            </w:r>
            <w:r>
              <w:rPr>
                <w:rFonts w:hint="default" w:ascii="Times New Roman" w:hAnsi="Times New Roman" w:eastAsia="宋体" w:cs="Times New Roman"/>
                <w:b w:val="0"/>
                <w:i w:val="0"/>
                <w:color w:val="000000"/>
                <w:kern w:val="0"/>
                <w:sz w:val="21"/>
                <w:szCs w:val="21"/>
                <w:lang w:val="en-US" w:eastAsia="zh-CN" w:bidi="ar"/>
              </w:rPr>
              <w:t>t/a</w:t>
            </w:r>
            <w:r>
              <w:rPr>
                <w:rFonts w:hint="eastAsia" w:ascii="Times New Roman" w:hAnsi="Times New Roman" w:eastAsia="宋体" w:cs="Times New Roman"/>
                <w:b w:val="0"/>
                <w:i w:val="0"/>
                <w:color w:val="000000"/>
                <w:kern w:val="0"/>
                <w:sz w:val="21"/>
                <w:szCs w:val="21"/>
                <w:lang w:val="en-US" w:eastAsia="zh-CN" w:bidi="ar"/>
              </w:rPr>
              <w:t>，VOCs</w:t>
            </w:r>
            <w:r>
              <w:rPr>
                <w:rFonts w:hint="default" w:ascii="Times New Roman" w:hAnsi="Times New Roman" w:eastAsia="宋体" w:cs="Times New Roman"/>
                <w:b w:val="0"/>
                <w:i w:val="0"/>
                <w:color w:val="000000"/>
                <w:kern w:val="0"/>
                <w:sz w:val="21"/>
                <w:szCs w:val="21"/>
                <w:lang w:val="en-US" w:eastAsia="zh-CN" w:bidi="ar"/>
              </w:rPr>
              <w:t>控制在0.027t/a</w:t>
            </w:r>
            <w:r>
              <w:rPr>
                <w:rFonts w:hint="eastAsia" w:ascii="Times New Roman" w:hAnsi="Times New Roman" w:eastAsia="宋体" w:cs="Times New Roman"/>
                <w:b w:val="0"/>
                <w:i w:val="0"/>
                <w:color w:val="auto"/>
                <w:kern w:val="0"/>
                <w:sz w:val="21"/>
                <w:szCs w:val="21"/>
                <w:lang w:val="en-US" w:eastAsia="zh-CN" w:bidi="ar"/>
              </w:rPr>
              <w:t>。</w:t>
            </w:r>
          </w:p>
        </w:tc>
      </w:tr>
    </w:tbl>
    <w:p>
      <w:pPr>
        <w:spacing w:line="360" w:lineRule="auto"/>
        <w:rPr>
          <w:rFonts w:eastAsia="仿宋_GB2312"/>
          <w:color w:val="000000"/>
          <w:sz w:val="21"/>
          <w:szCs w:val="21"/>
        </w:rPr>
        <w:sectPr>
          <w:headerReference r:id="rId5" w:type="default"/>
          <w:footerReference r:id="rId6" w:type="default"/>
          <w:pgSz w:w="11906" w:h="16838"/>
          <w:pgMar w:top="1440" w:right="1800" w:bottom="1440" w:left="1800" w:header="850" w:footer="992" w:gutter="0"/>
          <w:pgNumType w:fmt="decimal" w:start="1"/>
          <w:cols w:space="0" w:num="1"/>
          <w:rtlGutter w:val="0"/>
          <w:docGrid w:linePitch="360" w:charSpace="0"/>
        </w:sectPr>
      </w:pPr>
    </w:p>
    <w:p>
      <w:pPr>
        <w:spacing w:after="0" w:afterLines="0" w:line="360" w:lineRule="auto"/>
        <w:rPr>
          <w:rFonts w:hint="eastAsia"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三</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4" w:type="dxa"/>
            <w:vAlign w:val="top"/>
          </w:tcPr>
          <w:p>
            <w:pPr>
              <w:keepNext w:val="0"/>
              <w:keepLines w:val="0"/>
              <w:widowControl/>
              <w:numPr>
                <w:ilvl w:val="0"/>
                <w:numId w:val="0"/>
              </w:numPr>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3.1 主要污染源、污染物处理和排放</w:t>
            </w:r>
          </w:p>
          <w:p>
            <w:pPr>
              <w:keepNext w:val="0"/>
              <w:keepLines w:val="0"/>
              <w:widowControl/>
              <w:suppressLineNumbers w:val="0"/>
              <w:spacing w:before="0" w:beforeAutospacing="0" w:after="0" w:afterLines="0" w:afterAutospacing="0" w:line="360" w:lineRule="auto"/>
              <w:ind w:left="0" w:right="0"/>
              <w:rPr>
                <w:rFonts w:hint="default"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 xml:space="preserve">3.1.1 </w:t>
            </w:r>
            <w:r>
              <w:rPr>
                <w:rFonts w:hint="default" w:ascii="Times New Roman" w:hAnsi="Times New Roman" w:eastAsia="宋体" w:cs="Times New Roman"/>
                <w:b/>
                <w:bCs/>
                <w:color w:val="000000"/>
                <w:sz w:val="21"/>
                <w:szCs w:val="21"/>
                <w:lang w:val="en-US" w:eastAsia="zh-CN"/>
              </w:rPr>
              <w:t>废水</w:t>
            </w:r>
          </w:p>
          <w:p>
            <w:pPr>
              <w:keepNext w:val="0"/>
              <w:keepLines w:val="0"/>
              <w:widowControl/>
              <w:suppressLineNumbers w:val="0"/>
              <w:spacing w:before="0" w:beforeAutospacing="0" w:after="0" w:afterLines="0" w:afterAutospacing="0" w:line="360" w:lineRule="auto"/>
              <w:ind w:left="0" w:right="0" w:firstLine="420" w:firstLineChars="200"/>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本项目产生的废水主要为实验废水、纯水制备浓水及办公人员的生活污水。项目生活污水经化粪池处理达标后与实验废水、纯水制备浓水纳管排放，最终进入良渚污水处理厂处理达标后排放。</w:t>
            </w:r>
          </w:p>
          <w:p>
            <w:pPr>
              <w:keepNext w:val="0"/>
              <w:keepLines w:val="0"/>
              <w:widowControl/>
              <w:suppressLineNumbers w:val="0"/>
              <w:spacing w:before="0" w:beforeAutospacing="0" w:after="0" w:afterLines="0" w:afterAutospacing="0" w:line="360" w:lineRule="auto"/>
              <w:ind w:left="0" w:right="0" w:firstLine="420" w:firstLineChars="200"/>
              <w:rPr>
                <w:rFonts w:hint="default" w:ascii="Times New Roman" w:hAnsi="Times New Roman" w:eastAsia="宋体" w:cs="Times New Roman"/>
                <w:b w:val="0"/>
                <w:bCs w:val="0"/>
                <w:color w:val="auto"/>
                <w:sz w:val="21"/>
                <w:szCs w:val="21"/>
                <w:lang w:val="en-US" w:eastAsia="zh-CN"/>
              </w:rPr>
            </w:pP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bCs/>
                <w:color w:val="000000"/>
                <w:sz w:val="21"/>
                <w:szCs w:val="21"/>
                <w:lang w:val="en-US" w:eastAsia="zh-CN"/>
              </w:rPr>
              <w:t>3.1.2 废气</w:t>
            </w:r>
          </w:p>
          <w:p>
            <w:pPr>
              <w:keepNext w:val="0"/>
              <w:keepLines w:val="0"/>
              <w:widowControl/>
              <w:suppressLineNumbers w:val="0"/>
              <w:spacing w:before="0" w:beforeAutospacing="0" w:after="0" w:afterLines="0" w:afterAutospacing="0" w:line="360" w:lineRule="auto"/>
              <w:ind w:left="0" w:right="0" w:firstLine="420" w:firstLineChars="200"/>
              <w:rPr>
                <w:rFonts w:hint="eastAsia" w:ascii="Times New Roman" w:hAnsi="Times New Roman" w:eastAsia="宋体" w:cs="Times New Roman"/>
                <w:b w:val="0"/>
                <w:bCs w:val="0"/>
                <w:color w:val="FF0000"/>
                <w:sz w:val="21"/>
                <w:szCs w:val="21"/>
                <w:lang w:val="en-US" w:eastAsia="zh-CN"/>
              </w:rPr>
            </w:pPr>
            <w:r>
              <w:rPr>
                <w:rFonts w:hint="eastAsia" w:ascii="Times New Roman" w:hAnsi="Times New Roman" w:eastAsia="宋体" w:cs="Times New Roman"/>
                <w:b w:val="0"/>
                <w:bCs w:val="0"/>
                <w:color w:val="auto"/>
                <w:sz w:val="21"/>
                <w:szCs w:val="21"/>
                <w:lang w:val="en-US" w:eastAsia="zh-CN"/>
              </w:rPr>
              <w:t>本项目产生的废气主要为实验废气，收集经1套活性炭吸附装置处理后通过1根20m高排气筒高空排放。</w:t>
            </w: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val="0"/>
                <w:bCs w:val="0"/>
                <w:color w:val="000000"/>
                <w:sz w:val="21"/>
                <w:szCs w:val="21"/>
                <w:lang w:val="en-US" w:eastAsia="zh-CN"/>
              </w:rPr>
            </w:pPr>
          </w:p>
          <w:p>
            <w:pPr>
              <w:keepNext w:val="0"/>
              <w:keepLines w:val="0"/>
              <w:widowControl/>
              <w:suppressLineNumbers w:val="0"/>
              <w:spacing w:before="0" w:beforeAutospacing="0" w:after="0" w:afterLines="0" w:afterAutospacing="0" w:line="360" w:lineRule="auto"/>
              <w:ind w:left="0" w:right="0"/>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3.1.3 噪声</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项目营运过程产生的噪声主要为真空泵、齿轮泵、通风橱等设备运转过程产生的噪声，企业采取以下措施减少设备噪声对周围环境的影响。</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（1）合理布局生产设备，高噪声设备尽量布置在车间中部。</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（2）风机等高噪声设备应加设减震垫以及隔声罩或消声器。</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（3）加强生产管理，避免原材料在搬运过程中因发生碰撞而产生突发噪声。</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（4）研发时关闭车间门窗。</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（5）加强设备的维护，确保设备处于良好的运转状态，杜绝因设备不正常运转时产生的高噪声现象。</w:t>
            </w:r>
          </w:p>
          <w:p>
            <w:pPr>
              <w:keepNext w:val="0"/>
              <w:keepLines w:val="0"/>
              <w:widowControl/>
              <w:suppressLineNumbers w:val="0"/>
              <w:spacing w:before="0" w:beforeAutospacing="0" w:after="0" w:afterLines="0" w:afterAutospacing="0" w:line="360" w:lineRule="auto"/>
              <w:ind w:left="0" w:right="0" w:firstLine="420" w:firstLineChars="200"/>
              <w:jc w:val="left"/>
              <w:rPr>
                <w:rFonts w:hint="eastAsia" w:ascii="Times New Roman" w:hAnsi="Times New Roman" w:eastAsia="宋体" w:cs="Times New Roman"/>
                <w:b w:val="0"/>
                <w:bCs w:val="0"/>
                <w:color w:val="000000"/>
                <w:sz w:val="21"/>
                <w:szCs w:val="21"/>
                <w:lang w:val="en-US" w:eastAsia="zh-CN"/>
              </w:rPr>
            </w:pPr>
          </w:p>
          <w:p>
            <w:pPr>
              <w:keepNext w:val="0"/>
              <w:keepLines w:val="0"/>
              <w:widowControl/>
              <w:numPr>
                <w:ilvl w:val="0"/>
                <w:numId w:val="0"/>
              </w:numPr>
              <w:suppressLineNumbers w:val="0"/>
              <w:spacing w:before="0" w:beforeAutospacing="0" w:after="0" w:afterLines="0" w:afterAutospacing="0" w:line="360" w:lineRule="auto"/>
              <w:ind w:left="0" w:leftChars="0" w:right="0"/>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3.1.4 固体废物</w:t>
            </w:r>
          </w:p>
          <w:p>
            <w:pPr>
              <w:keepNext w:val="0"/>
              <w:keepLines w:val="0"/>
              <w:widowControl/>
              <w:suppressLineNumbers w:val="0"/>
              <w:spacing w:before="0" w:beforeAutospacing="0" w:after="0" w:afterLines="0" w:afterAutospacing="0" w:line="360" w:lineRule="auto"/>
              <w:ind w:left="0" w:right="0" w:firstLine="440" w:firstLineChars="200"/>
              <w:jc w:val="left"/>
              <w:rPr>
                <w:rStyle w:val="26"/>
                <w:rFonts w:hint="eastAsia" w:eastAsia="宋体"/>
                <w:color w:val="auto"/>
                <w:sz w:val="21"/>
                <w:szCs w:val="21"/>
                <w:lang w:eastAsia="zh-CN"/>
              </w:rPr>
            </w:pPr>
            <w:r>
              <w:rPr>
                <w:rFonts w:hint="eastAsia" w:cs="Times New Roman" w:eastAsiaTheme="minorEastAsia"/>
                <w:lang w:val="en-US" w:eastAsia="zh-CN"/>
              </w:rPr>
              <w:t>本项目产生的固废主要为滤渣、检验废物、滤液、清洗废液、废试剂包装材料、废活性炭、废一般包装材料、生活垃圾。滤渣、检验废物、滤液、清洗废液、废试剂包装材料、废活性炭委托有危险废物处置资质的单位处置；废一般包装材料出售综合利用；生活垃圾由环卫部门统一清运。</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eastAsia="宋体"/>
                <w:color w:val="auto"/>
                <w:sz w:val="21"/>
                <w:szCs w:val="21"/>
                <w:lang w:eastAsia="zh-CN"/>
              </w:rPr>
            </w:pPr>
          </w:p>
        </w:tc>
      </w:tr>
    </w:tbl>
    <w:p>
      <w:pPr>
        <w:spacing w:after="0" w:afterLines="0" w:line="360" w:lineRule="auto"/>
        <w:rPr>
          <w:rFonts w:eastAsia="仿宋_GB2312"/>
          <w:b/>
          <w:color w:val="000000"/>
          <w:sz w:val="21"/>
          <w:szCs w:val="21"/>
        </w:rPr>
      </w:pPr>
    </w:p>
    <w:p>
      <w:pPr>
        <w:spacing w:after="0" w:afterLines="0" w:line="360" w:lineRule="auto"/>
        <w:rPr>
          <w:rFonts w:eastAsia="仿宋_GB2312"/>
          <w:b/>
          <w:color w:val="000000"/>
          <w:sz w:val="21"/>
          <w:szCs w:val="21"/>
        </w:rPr>
      </w:pPr>
      <w:r>
        <w:rPr>
          <w:rFonts w:eastAsia="仿宋_GB2312"/>
          <w:b/>
          <w:color w:val="000000"/>
          <w:sz w:val="21"/>
          <w:szCs w:val="21"/>
        </w:rPr>
        <w:br w:type="page"/>
      </w:r>
    </w:p>
    <w:p>
      <w:pPr>
        <w:spacing w:after="0" w:afterLines="0" w:line="360" w:lineRule="auto"/>
        <w:rPr>
          <w:rFonts w:hint="eastAsia"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四</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11" w:hRule="atLeast"/>
          <w:jc w:val="center"/>
        </w:trPr>
        <w:tc>
          <w:tcPr>
            <w:tcW w:w="8924" w:type="dxa"/>
            <w:vAlign w:val="top"/>
          </w:tcPr>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eastAsia="zh-CN"/>
              </w:rPr>
            </w:pPr>
            <w:r>
              <w:rPr>
                <w:rStyle w:val="26"/>
                <w:rFonts w:hint="default" w:ascii="Times New Roman" w:hAnsi="Times New Roman" w:eastAsia="宋体" w:cs="Times New Roman"/>
                <w:b/>
                <w:bCs/>
                <w:sz w:val="21"/>
                <w:szCs w:val="21"/>
                <w:lang w:val="en-US" w:eastAsia="zh-CN"/>
              </w:rPr>
              <w:t xml:space="preserve">4.1 </w:t>
            </w:r>
            <w:r>
              <w:rPr>
                <w:rStyle w:val="26"/>
                <w:rFonts w:hint="default" w:ascii="Times New Roman" w:hAnsi="Times New Roman" w:eastAsia="宋体" w:cs="Times New Roman"/>
                <w:b/>
                <w:bCs/>
                <w:sz w:val="21"/>
                <w:szCs w:val="21"/>
                <w:lang w:eastAsia="zh-CN"/>
              </w:rPr>
              <w:t>建设项目环境影响</w:t>
            </w:r>
            <w:r>
              <w:rPr>
                <w:rStyle w:val="26"/>
                <w:rFonts w:hint="eastAsia" w:ascii="Times New Roman" w:hAnsi="Times New Roman" w:eastAsia="宋体" w:cs="Times New Roman"/>
                <w:b/>
                <w:bCs/>
                <w:sz w:val="21"/>
                <w:szCs w:val="21"/>
                <w:lang w:eastAsia="zh-CN"/>
              </w:rPr>
              <w:t>报告表</w:t>
            </w:r>
            <w:r>
              <w:rPr>
                <w:rStyle w:val="26"/>
                <w:rFonts w:hint="default" w:ascii="Times New Roman" w:hAnsi="Times New Roman" w:eastAsia="宋体" w:cs="Times New Roman"/>
                <w:b/>
                <w:bCs/>
                <w:sz w:val="21"/>
                <w:szCs w:val="21"/>
                <w:lang w:eastAsia="zh-CN"/>
              </w:rPr>
              <w:t>主要结论及</w:t>
            </w:r>
            <w:r>
              <w:rPr>
                <w:rStyle w:val="26"/>
                <w:rFonts w:hint="eastAsia" w:ascii="Times New Roman" w:hAnsi="Times New Roman" w:eastAsia="宋体" w:cs="Times New Roman"/>
                <w:b/>
                <w:bCs/>
                <w:sz w:val="21"/>
                <w:szCs w:val="21"/>
                <w:lang w:eastAsia="zh-CN"/>
              </w:rPr>
              <w:t>审批</w:t>
            </w:r>
            <w:r>
              <w:rPr>
                <w:rStyle w:val="26"/>
                <w:rFonts w:hint="default" w:ascii="Times New Roman" w:hAnsi="Times New Roman" w:eastAsia="宋体" w:cs="Times New Roman"/>
                <w:b/>
                <w:bCs/>
                <w:sz w:val="21"/>
                <w:szCs w:val="21"/>
                <w:lang w:eastAsia="zh-CN"/>
              </w:rPr>
              <w:t>部门</w:t>
            </w:r>
            <w:r>
              <w:rPr>
                <w:rStyle w:val="26"/>
                <w:rFonts w:hint="eastAsia" w:ascii="Times New Roman" w:hAnsi="Times New Roman" w:eastAsia="宋体" w:cs="Times New Roman"/>
                <w:b/>
                <w:bCs/>
                <w:sz w:val="21"/>
                <w:szCs w:val="21"/>
                <w:lang w:eastAsia="zh-CN"/>
              </w:rPr>
              <w:t>审批</w:t>
            </w:r>
            <w:r>
              <w:rPr>
                <w:rStyle w:val="26"/>
                <w:rFonts w:hint="default" w:ascii="Times New Roman" w:hAnsi="Times New Roman" w:eastAsia="宋体" w:cs="Times New Roman"/>
                <w:b/>
                <w:bCs/>
                <w:sz w:val="21"/>
                <w:szCs w:val="21"/>
                <w:lang w:eastAsia="zh-CN"/>
              </w:rPr>
              <w:t>决定：</w:t>
            </w: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sz w:val="21"/>
                <w:szCs w:val="21"/>
                <w:lang w:val="en-US" w:eastAsia="zh-CN"/>
              </w:rPr>
            </w:pPr>
            <w:r>
              <w:rPr>
                <w:rFonts w:hint="default" w:ascii="Times New Roman" w:hAnsi="Times New Roman" w:eastAsia="宋体" w:cs="Times New Roman"/>
                <w:b/>
                <w:bCs/>
                <w:color w:val="000000"/>
                <w:sz w:val="21"/>
                <w:szCs w:val="21"/>
                <w:lang w:val="en-US" w:eastAsia="zh-CN"/>
              </w:rPr>
              <w:t>4.1.1</w:t>
            </w:r>
            <w:r>
              <w:rPr>
                <w:rStyle w:val="26"/>
                <w:rFonts w:hint="default" w:ascii="Times New Roman" w:hAnsi="Times New Roman" w:eastAsia="宋体" w:cs="Times New Roman"/>
                <w:b/>
                <w:bCs/>
                <w:sz w:val="21"/>
                <w:szCs w:val="21"/>
                <w:lang w:val="en-US" w:eastAsia="zh-CN"/>
              </w:rPr>
              <w:t>建设项目环境影响</w:t>
            </w:r>
            <w:r>
              <w:rPr>
                <w:rStyle w:val="26"/>
                <w:rFonts w:hint="eastAsia" w:ascii="Times New Roman" w:hAnsi="Times New Roman" w:eastAsia="宋体" w:cs="Times New Roman"/>
                <w:b/>
                <w:bCs/>
                <w:sz w:val="21"/>
                <w:szCs w:val="21"/>
                <w:lang w:val="en-US" w:eastAsia="zh-CN"/>
              </w:rPr>
              <w:t>报告表</w:t>
            </w:r>
            <w:r>
              <w:rPr>
                <w:rStyle w:val="26"/>
                <w:rFonts w:hint="default" w:ascii="Times New Roman" w:hAnsi="Times New Roman" w:eastAsia="宋体" w:cs="Times New Roman"/>
                <w:b/>
                <w:bCs/>
                <w:sz w:val="21"/>
                <w:szCs w:val="21"/>
                <w:lang w:val="en-US" w:eastAsia="zh-CN"/>
              </w:rPr>
              <w:t>主要结论</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浙江裕腾百诺环保科技股份有限公司编制的</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杭州普力材料科技有限公司PPC可降解材料及多元醇研发实验室项目</w:t>
            </w:r>
            <w:r>
              <w:rPr>
                <w:rFonts w:hint="default" w:ascii="Times New Roman" w:hAnsi="Times New Roman" w:eastAsia="宋体" w:cs="Times New Roman"/>
                <w:color w:val="000000"/>
                <w:sz w:val="21"/>
                <w:szCs w:val="21"/>
                <w:lang w:val="en-US" w:eastAsia="zh-CN"/>
              </w:rPr>
              <w:t>环境影响</w:t>
            </w:r>
            <w:r>
              <w:rPr>
                <w:rFonts w:hint="eastAsia" w:ascii="Times New Roman" w:hAnsi="Times New Roman" w:eastAsia="宋体" w:cs="Times New Roman"/>
                <w:color w:val="000000"/>
                <w:sz w:val="21"/>
                <w:szCs w:val="21"/>
                <w:lang w:val="en-US" w:eastAsia="zh-CN"/>
              </w:rPr>
              <w:t>报告表</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2022年11月</w:t>
            </w:r>
            <w:r>
              <w:rPr>
                <w:rFonts w:hint="default" w:ascii="Times New Roman" w:hAnsi="Times New Roman" w:eastAsia="宋体" w:cs="Times New Roman"/>
                <w:color w:val="000000"/>
                <w:sz w:val="21"/>
                <w:szCs w:val="21"/>
                <w:lang w:val="en-US" w:eastAsia="zh-CN"/>
              </w:rPr>
              <w:t>）的主要结论如下：</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杭州普力材料科技有限公司PPC可降解材料及多元醇研发实验室项目位于杭州市余杭区良渚街道纳贤街2号，不新增用地。</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项目选址符合杭州市“三线一单”生态环境分区管控要求；排放的污染物符合国家、省规定的污染物排放标准，符合总量控制要求；符合国家和地方产业政策以及行业发展规划等要求。企业采取必要的风险防范措施后，项目环境风险能够控制在可接受范围内。</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从环保审批原则及建设项目其他要求符合性的角度分析，项目在建设地点实施是可行的。</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4.1.2</w:t>
            </w:r>
            <w:r>
              <w:rPr>
                <w:rStyle w:val="26"/>
                <w:rFonts w:hint="eastAsia" w:ascii="Times New Roman" w:hAnsi="Times New Roman" w:eastAsia="宋体" w:cs="Times New Roman"/>
                <w:b/>
                <w:bCs/>
                <w:sz w:val="21"/>
                <w:szCs w:val="21"/>
                <w:lang w:val="en-US" w:eastAsia="zh-CN"/>
              </w:rPr>
              <w:t>审批</w:t>
            </w:r>
            <w:r>
              <w:rPr>
                <w:rStyle w:val="26"/>
                <w:rFonts w:hint="default" w:ascii="Times New Roman" w:hAnsi="Times New Roman" w:eastAsia="宋体" w:cs="Times New Roman"/>
                <w:b/>
                <w:bCs/>
                <w:sz w:val="21"/>
                <w:szCs w:val="21"/>
                <w:lang w:val="en-US" w:eastAsia="zh-CN"/>
              </w:rPr>
              <w:t>部门</w:t>
            </w:r>
            <w:r>
              <w:rPr>
                <w:rStyle w:val="26"/>
                <w:rFonts w:hint="eastAsia" w:ascii="Times New Roman" w:hAnsi="Times New Roman" w:eastAsia="宋体" w:cs="Times New Roman"/>
                <w:b/>
                <w:bCs/>
                <w:sz w:val="21"/>
                <w:szCs w:val="21"/>
                <w:lang w:val="en-US" w:eastAsia="zh-CN"/>
              </w:rPr>
              <w:t>审批</w:t>
            </w:r>
            <w:r>
              <w:rPr>
                <w:rStyle w:val="26"/>
                <w:rFonts w:hint="default" w:ascii="Times New Roman" w:hAnsi="Times New Roman" w:eastAsia="宋体" w:cs="Times New Roman"/>
                <w:b/>
                <w:bCs/>
                <w:sz w:val="21"/>
                <w:szCs w:val="21"/>
                <w:lang w:val="en-US" w:eastAsia="zh-CN"/>
              </w:rPr>
              <w:t>决定</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Fonts w:hint="eastAsia" w:ascii="Times New Roman" w:hAnsi="Times New Roman" w:eastAsia="宋体"/>
                <w:sz w:val="21"/>
                <w:szCs w:val="21"/>
                <w:highlight w:val="none"/>
                <w:lang w:eastAsia="zh-CN"/>
              </w:rPr>
              <w:t>杭州市生态环境局</w:t>
            </w:r>
            <w:r>
              <w:rPr>
                <w:rFonts w:hint="default" w:ascii="Times New Roman" w:hAnsi="Times New Roman" w:eastAsia="宋体"/>
                <w:sz w:val="21"/>
                <w:szCs w:val="21"/>
                <w:highlight w:val="none"/>
              </w:rPr>
              <w:t>的</w:t>
            </w:r>
            <w:r>
              <w:rPr>
                <w:rFonts w:hint="eastAsia" w:ascii="Times New Roman" w:hAnsi="Times New Roman" w:eastAsia="宋体"/>
                <w:sz w:val="21"/>
                <w:szCs w:val="21"/>
                <w:highlight w:val="none"/>
                <w:lang w:eastAsia="zh-CN"/>
              </w:rPr>
              <w:t>审批</w:t>
            </w:r>
            <w:r>
              <w:rPr>
                <w:rFonts w:hint="default" w:ascii="Times New Roman" w:hAnsi="Times New Roman" w:eastAsia="宋体"/>
                <w:sz w:val="21"/>
                <w:szCs w:val="21"/>
                <w:highlight w:val="none"/>
              </w:rPr>
              <w:t>意见（</w:t>
            </w:r>
            <w:r>
              <w:rPr>
                <w:rFonts w:hint="eastAsia" w:ascii="Times New Roman" w:hAnsi="Times New Roman" w:eastAsia="宋体"/>
                <w:sz w:val="21"/>
                <w:szCs w:val="21"/>
                <w:highlight w:val="none"/>
                <w:lang w:eastAsia="zh-CN"/>
              </w:rPr>
              <w:t>环评批复[2022]76号</w:t>
            </w:r>
            <w:r>
              <w:rPr>
                <w:rFonts w:hint="default" w:ascii="Times New Roman" w:hAnsi="Times New Roman" w:eastAsia="宋体"/>
                <w:sz w:val="21"/>
                <w:szCs w:val="21"/>
                <w:highlight w:val="none"/>
              </w:rPr>
              <w:t>）</w:t>
            </w:r>
            <w:r>
              <w:rPr>
                <w:rStyle w:val="26"/>
                <w:rFonts w:hint="default" w:ascii="Times New Roman" w:hAnsi="Times New Roman" w:eastAsia="宋体" w:cs="Times New Roman"/>
                <w:sz w:val="21"/>
                <w:szCs w:val="21"/>
                <w:highlight w:val="none"/>
                <w:lang w:val="en-US" w:eastAsia="zh-CN"/>
              </w:rPr>
              <w:t>对该项目的</w:t>
            </w:r>
            <w:r>
              <w:rPr>
                <w:rStyle w:val="26"/>
                <w:rFonts w:hint="eastAsia" w:ascii="Times New Roman" w:hAnsi="Times New Roman" w:eastAsia="宋体" w:cs="Times New Roman"/>
                <w:sz w:val="21"/>
                <w:szCs w:val="21"/>
                <w:highlight w:val="none"/>
                <w:lang w:val="en-US" w:eastAsia="zh-CN"/>
              </w:rPr>
              <w:t>审批</w:t>
            </w:r>
            <w:r>
              <w:rPr>
                <w:rStyle w:val="26"/>
                <w:rFonts w:hint="default" w:ascii="Times New Roman" w:hAnsi="Times New Roman" w:eastAsia="宋体" w:cs="Times New Roman"/>
                <w:sz w:val="21"/>
                <w:szCs w:val="21"/>
                <w:highlight w:val="none"/>
                <w:lang w:val="en-US" w:eastAsia="zh-CN"/>
              </w:rPr>
              <w:t>主要内容如下：</w:t>
            </w:r>
          </w:p>
          <w:p>
            <w:pPr>
              <w:keepNext w:val="0"/>
              <w:keepLines w:val="0"/>
              <w:widowControl/>
              <w:numPr>
                <w:ilvl w:val="0"/>
                <w:numId w:val="0"/>
              </w:numPr>
              <w:suppressLineNumbers w:val="0"/>
              <w:spacing w:before="0" w:beforeAutospacing="0" w:after="0" w:afterLines="0" w:afterAutospacing="0" w:line="360" w:lineRule="auto"/>
              <w:ind w:left="0" w:right="0" w:rightChars="0" w:firstLine="420"/>
              <w:jc w:val="left"/>
              <w:rPr>
                <w:rFonts w:hint="default"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杭州普力材料科技有限公司</w:t>
            </w:r>
            <w:r>
              <w:rPr>
                <w:rFonts w:hint="default" w:ascii="Times New Roman" w:hAnsi="Times New Roman" w:eastAsia="宋体" w:cs="Times New Roman"/>
                <w:color w:val="000000"/>
                <w:sz w:val="21"/>
                <w:szCs w:val="21"/>
                <w:lang w:eastAsia="zh-CN"/>
              </w:rPr>
              <w:t>：</w:t>
            </w:r>
          </w:p>
          <w:p>
            <w:pPr>
              <w:keepNext w:val="0"/>
              <w:keepLines w:val="0"/>
              <w:widowControl/>
              <w:numPr>
                <w:ilvl w:val="0"/>
                <w:numId w:val="0"/>
              </w:numPr>
              <w:suppressLineNumbers w:val="0"/>
              <w:spacing w:before="0" w:beforeAutospacing="0" w:after="0" w:afterLines="0" w:afterAutospacing="0" w:line="360" w:lineRule="auto"/>
              <w:ind w:left="0" w:right="0" w:rightChars="0" w:firstLine="420" w:firstLineChars="20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由你单位送审的《杭州普力材料科技有限公司PPC可降解材料及多元醇研发实验室项目环境影响报告表》、申请报告及其它相关材料收悉。经审查，意见如下：</w:t>
            </w:r>
          </w:p>
          <w:p>
            <w:pPr>
              <w:keepNext w:val="0"/>
              <w:keepLines w:val="0"/>
              <w:widowControl/>
              <w:numPr>
                <w:ilvl w:val="0"/>
                <w:numId w:val="0"/>
              </w:numPr>
              <w:suppressLineNumbers w:val="0"/>
              <w:spacing w:before="0" w:beforeAutospacing="0" w:after="0" w:afterLines="0" w:afterAutospacing="0" w:line="360" w:lineRule="auto"/>
              <w:ind w:left="0" w:right="0" w:rightChars="0" w:firstLine="420" w:firstLineChars="20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一、根据你单位委托浙江裕腾百诺环保科技股份有限公司编制的《杭州普力材料科技有限公司PPC可降解材料及多元醇研发实验室项目环境影响报告表》，原则同意项目环境影响报告表的结论。</w:t>
            </w:r>
          </w:p>
          <w:p>
            <w:pPr>
              <w:keepNext w:val="0"/>
              <w:keepLines w:val="0"/>
              <w:widowControl/>
              <w:numPr>
                <w:ilvl w:val="0"/>
                <w:numId w:val="0"/>
              </w:numPr>
              <w:suppressLineNumbers w:val="0"/>
              <w:spacing w:before="0" w:beforeAutospacing="0" w:after="0" w:afterLines="0" w:afterAutospacing="0" w:line="360" w:lineRule="auto"/>
              <w:ind w:left="0" w:right="0" w:rightChars="0" w:firstLine="420" w:firstLineChars="20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二、项自须严格落实环评文件中提出的各项污染防治措施、污染物排放标准，环境风险防范措施和环境管理要求，认真执行环保“三同时”制度，项目建成后，依法自行组织完成项目竣工环境保护设施验收。</w:t>
            </w:r>
          </w:p>
          <w:p>
            <w:pPr>
              <w:keepNext w:val="0"/>
              <w:keepLines w:val="0"/>
              <w:widowControl/>
              <w:numPr>
                <w:ilvl w:val="0"/>
                <w:numId w:val="0"/>
              </w:numPr>
              <w:suppressLineNumbers w:val="0"/>
              <w:spacing w:before="0" w:beforeAutospacing="0" w:after="0" w:afterLines="0" w:afterAutospacing="0" w:line="360" w:lineRule="auto"/>
              <w:ind w:left="0" w:right="0" w:rightChars="0" w:firstLine="420" w:firstLineChars="20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三、如建设项目性质、规模、地点、采用的生产工艺或者防治污染、防治生态破坏的措施发生重大变动，须重新报批建设项目环评文件。如项目自本批准之日起超过五年方开工建设，环境影响评价文件应当报我局重新审核。</w:t>
            </w:r>
          </w:p>
          <w:p>
            <w:pPr>
              <w:keepNext w:val="0"/>
              <w:keepLines w:val="0"/>
              <w:widowControl/>
              <w:numPr>
                <w:ilvl w:val="0"/>
                <w:numId w:val="0"/>
              </w:numPr>
              <w:suppressLineNumbers w:val="0"/>
              <w:spacing w:before="0" w:beforeAutospacing="0" w:after="0" w:afterLines="0" w:afterAutospacing="0" w:line="360" w:lineRule="auto"/>
              <w:ind w:left="0" w:right="0" w:rightChars="0" w:firstLine="420" w:firstLineChars="200"/>
              <w:jc w:val="left"/>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四、请按规定接受生态环境部门的事中事后监管。</w:t>
            </w:r>
          </w:p>
          <w:p>
            <w:pPr>
              <w:keepNext w:val="0"/>
              <w:keepLines w:val="0"/>
              <w:widowControl/>
              <w:suppressLineNumbers w:val="0"/>
              <w:spacing w:before="0" w:beforeAutospacing="0" w:after="0" w:afterLines="0" w:afterAutospacing="0" w:line="360" w:lineRule="auto"/>
              <w:ind w:left="0" w:right="0"/>
              <w:jc w:val="left"/>
              <w:rPr>
                <w:rStyle w:val="26"/>
                <w:rFonts w:hint="eastAsia" w:ascii="Times New Roman" w:hAnsi="Times New Roman" w:eastAsia="宋体" w:cs="Times New Roman"/>
                <w:b/>
                <w:bCs/>
                <w:sz w:val="21"/>
                <w:szCs w:val="21"/>
                <w:lang w:val="en-US" w:eastAsia="zh-CN"/>
              </w:rPr>
            </w:pPr>
            <w:bookmarkStart w:id="1" w:name="_Toc27404"/>
            <w:bookmarkStart w:id="2" w:name="_Toc716"/>
            <w:bookmarkStart w:id="3" w:name="_Toc23854"/>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4.1.3</w:t>
            </w:r>
            <w:r>
              <w:rPr>
                <w:rStyle w:val="26"/>
                <w:rFonts w:hint="default" w:ascii="Times New Roman" w:hAnsi="Times New Roman" w:eastAsia="宋体" w:cs="Times New Roman"/>
                <w:b/>
                <w:bCs/>
                <w:sz w:val="21"/>
                <w:szCs w:val="21"/>
                <w:lang w:val="en-US" w:eastAsia="zh-CN"/>
              </w:rPr>
              <w:t xml:space="preserve"> 本项目</w:t>
            </w:r>
            <w:r>
              <w:rPr>
                <w:rStyle w:val="26"/>
                <w:rFonts w:hint="eastAsia" w:ascii="Times New Roman" w:hAnsi="Times New Roman" w:eastAsia="宋体" w:cs="Times New Roman"/>
                <w:b/>
                <w:bCs/>
                <w:sz w:val="21"/>
                <w:szCs w:val="21"/>
                <w:lang w:val="en-US" w:eastAsia="zh-CN"/>
              </w:rPr>
              <w:t>环保设施要求</w:t>
            </w:r>
            <w:r>
              <w:rPr>
                <w:rStyle w:val="26"/>
                <w:rFonts w:hint="default" w:ascii="Times New Roman" w:hAnsi="Times New Roman" w:eastAsia="宋体" w:cs="Times New Roman"/>
                <w:b/>
                <w:bCs/>
                <w:sz w:val="21"/>
                <w:szCs w:val="21"/>
                <w:lang w:val="en-US" w:eastAsia="zh-CN"/>
              </w:rPr>
              <w:t>及落实情况</w:t>
            </w:r>
            <w:bookmarkEnd w:id="1"/>
            <w:bookmarkEnd w:id="2"/>
            <w:bookmarkEnd w:id="3"/>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本项目</w:t>
            </w:r>
            <w:r>
              <w:rPr>
                <w:rStyle w:val="26"/>
                <w:rFonts w:hint="eastAsia" w:ascii="Times New Roman" w:hAnsi="Times New Roman" w:eastAsia="宋体" w:cs="Times New Roman"/>
                <w:sz w:val="21"/>
                <w:szCs w:val="21"/>
                <w:lang w:val="en-US" w:eastAsia="zh-CN"/>
              </w:rPr>
              <w:t>环保设施</w:t>
            </w:r>
            <w:r>
              <w:rPr>
                <w:rStyle w:val="26"/>
                <w:rFonts w:hint="default" w:ascii="Times New Roman" w:hAnsi="Times New Roman" w:eastAsia="宋体" w:cs="Times New Roman"/>
                <w:sz w:val="21"/>
                <w:szCs w:val="21"/>
                <w:lang w:val="en-US" w:eastAsia="zh-CN"/>
              </w:rPr>
              <w:t>要求的实际落实情况详见表</w:t>
            </w:r>
            <w:r>
              <w:rPr>
                <w:rStyle w:val="26"/>
                <w:rFonts w:hint="eastAsia" w:ascii="Times New Roman" w:hAnsi="Times New Roman" w:eastAsia="宋体" w:cs="Times New Roman"/>
                <w:sz w:val="21"/>
                <w:szCs w:val="21"/>
                <w:lang w:val="en-US" w:eastAsia="zh-CN"/>
              </w:rPr>
              <w:t>4-1</w:t>
            </w:r>
            <w:r>
              <w:rPr>
                <w:rStyle w:val="26"/>
                <w:rFonts w:hint="default" w:ascii="Times New Roman" w:hAnsi="Times New Roman" w:eastAsia="宋体" w:cs="Times New Roman"/>
                <w:sz w:val="21"/>
                <w:szCs w:val="21"/>
                <w:lang w:val="en-US" w:eastAsia="zh-CN"/>
              </w:rPr>
              <w:t>。</w:t>
            </w:r>
          </w:p>
          <w:p>
            <w:pPr>
              <w:keepNext w:val="0"/>
              <w:keepLines w:val="0"/>
              <w:widowControl/>
              <w:suppressLineNumbers w:val="0"/>
              <w:spacing w:before="0" w:beforeAutospacing="0" w:after="0" w:afterLines="0" w:afterAutospacing="0" w:line="360" w:lineRule="auto"/>
              <w:ind w:left="0" w:right="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w:t>
            </w:r>
            <w:r>
              <w:rPr>
                <w:rFonts w:hint="eastAsia" w:ascii="Times New Roman" w:hAnsi="Times New Roman" w:eastAsia="宋体" w:cs="Times New Roman"/>
                <w:b/>
                <w:bCs/>
                <w:color w:val="auto"/>
                <w:sz w:val="21"/>
                <w:szCs w:val="21"/>
                <w:lang w:val="en-US" w:eastAsia="zh-CN"/>
              </w:rPr>
              <w:t>4-1</w:t>
            </w:r>
            <w:r>
              <w:rPr>
                <w:rFonts w:hint="default" w:ascii="Times New Roman" w:hAnsi="Times New Roman" w:eastAsia="宋体" w:cs="Times New Roman"/>
                <w:b/>
                <w:bCs/>
                <w:color w:val="auto"/>
                <w:sz w:val="21"/>
                <w:szCs w:val="21"/>
                <w:lang w:val="en-US" w:eastAsia="zh-CN"/>
              </w:rPr>
              <w:t>环保设施要求的实际落实情况</w:t>
            </w:r>
          </w:p>
          <w:tbl>
            <w:tblPr>
              <w:tblStyle w:val="1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3950"/>
              <w:gridCol w:w="2"/>
              <w:gridCol w:w="3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8"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序号</w:t>
                  </w:r>
                </w:p>
              </w:tc>
              <w:tc>
                <w:tcPr>
                  <w:tcW w:w="395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环保设施要求</w:t>
                  </w:r>
                </w:p>
              </w:tc>
              <w:tc>
                <w:tcPr>
                  <w:tcW w:w="3954" w:type="dxa"/>
                  <w:gridSpan w:val="2"/>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实际落实情况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项目选址及建设内容</w:t>
                  </w:r>
                </w:p>
              </w:tc>
              <w:tc>
                <w:tcPr>
                  <w:tcW w:w="3950" w:type="dxa"/>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该项目属</w:t>
                  </w:r>
                  <w:r>
                    <w:rPr>
                      <w:rFonts w:hint="eastAsia" w:ascii="Times New Roman" w:hAnsi="Times New Roman" w:eastAsia="宋体" w:cs="Times New Roman"/>
                      <w:color w:val="000000"/>
                      <w:sz w:val="21"/>
                      <w:szCs w:val="21"/>
                      <w:lang w:val="en-US" w:eastAsia="zh-CN" w:bidi="ar-SA"/>
                    </w:rPr>
                    <w:t>新建</w:t>
                  </w:r>
                  <w:r>
                    <w:rPr>
                      <w:rFonts w:hint="default" w:ascii="Times New Roman" w:hAnsi="Times New Roman" w:eastAsia="宋体" w:cs="Times New Roman"/>
                      <w:color w:val="000000"/>
                      <w:sz w:val="21"/>
                      <w:szCs w:val="21"/>
                      <w:lang w:val="en-US" w:eastAsia="zh-CN" w:bidi="ar-SA"/>
                    </w:rPr>
                    <w:t>项目，建设地为</w:t>
                  </w:r>
                  <w:r>
                    <w:rPr>
                      <w:rFonts w:hint="eastAsia" w:ascii="Times New Roman" w:hAnsi="Times New Roman" w:eastAsia="宋体" w:cs="Times New Roman"/>
                      <w:color w:val="000000"/>
                      <w:sz w:val="21"/>
                      <w:szCs w:val="21"/>
                      <w:lang w:val="en-US" w:eastAsia="zh-CN" w:bidi="ar-SA"/>
                    </w:rPr>
                    <w:t>浙江省杭州市余杭区良渚街道纳贤街2号10号楼6楼</w:t>
                  </w:r>
                  <w:r>
                    <w:rPr>
                      <w:rFonts w:hint="default" w:ascii="Times New Roman" w:hAnsi="Times New Roman" w:eastAsia="宋体" w:cs="Times New Roman"/>
                      <w:color w:val="000000"/>
                      <w:sz w:val="21"/>
                      <w:szCs w:val="21"/>
                      <w:lang w:val="en-US" w:eastAsia="zh-CN" w:bidi="ar-SA"/>
                    </w:rPr>
                    <w:t>，项目总投资</w:t>
                  </w:r>
                  <w:r>
                    <w:rPr>
                      <w:rFonts w:hint="eastAsia" w:ascii="Times New Roman" w:hAnsi="Times New Roman" w:eastAsia="宋体" w:cs="Times New Roman"/>
                      <w:color w:val="000000"/>
                      <w:sz w:val="21"/>
                      <w:szCs w:val="21"/>
                      <w:lang w:val="en-US" w:eastAsia="zh-CN" w:bidi="ar-SA"/>
                    </w:rPr>
                    <w:t>500</w:t>
                  </w:r>
                  <w:r>
                    <w:rPr>
                      <w:rFonts w:hint="default" w:ascii="Times New Roman" w:hAnsi="Times New Roman" w:eastAsia="宋体" w:cs="Times New Roman"/>
                      <w:color w:val="000000"/>
                      <w:sz w:val="21"/>
                      <w:szCs w:val="21"/>
                      <w:lang w:val="en-US" w:eastAsia="zh-CN" w:bidi="ar-SA"/>
                    </w:rPr>
                    <w:t>万元，其中环保投资</w:t>
                  </w:r>
                  <w:r>
                    <w:rPr>
                      <w:rFonts w:hint="eastAsia" w:ascii="Times New Roman" w:hAnsi="Times New Roman" w:eastAsia="宋体" w:cs="Times New Roman"/>
                      <w:color w:val="000000"/>
                      <w:sz w:val="21"/>
                      <w:szCs w:val="21"/>
                      <w:lang w:val="en-US" w:eastAsia="zh-CN" w:bidi="ar-SA"/>
                    </w:rPr>
                    <w:t>32</w:t>
                  </w:r>
                  <w:r>
                    <w:rPr>
                      <w:rFonts w:hint="default" w:ascii="Times New Roman" w:hAnsi="Times New Roman" w:eastAsia="宋体" w:cs="Times New Roman"/>
                      <w:color w:val="000000"/>
                      <w:sz w:val="21"/>
                      <w:szCs w:val="21"/>
                      <w:lang w:val="en-US" w:eastAsia="zh-CN" w:bidi="ar-SA"/>
                    </w:rPr>
                    <w:t>万元</w:t>
                  </w:r>
                  <w:r>
                    <w:rPr>
                      <w:rFonts w:hint="eastAsia" w:ascii="Times New Roman" w:hAnsi="Times New Roman" w:eastAsia="宋体" w:cs="Times New Roman"/>
                      <w:color w:val="000000"/>
                      <w:sz w:val="21"/>
                      <w:szCs w:val="21"/>
                      <w:lang w:val="en-US" w:eastAsia="zh-CN" w:bidi="ar-SA"/>
                    </w:rPr>
                    <w:t>，开展PPC可降解材料及多元醇等产物的工艺研发</w:t>
                  </w:r>
                  <w:r>
                    <w:rPr>
                      <w:rFonts w:hint="default" w:ascii="Times New Roman" w:hAnsi="Times New Roman" w:eastAsia="宋体" w:cs="Times New Roman"/>
                      <w:color w:val="000000"/>
                      <w:sz w:val="21"/>
                      <w:szCs w:val="21"/>
                      <w:lang w:val="en-US" w:eastAsia="zh-CN" w:bidi="ar-SA"/>
                    </w:rPr>
                    <w:t>。</w:t>
                  </w:r>
                </w:p>
              </w:tc>
              <w:tc>
                <w:tcPr>
                  <w:tcW w:w="3954" w:type="dxa"/>
                  <w:gridSpan w:val="2"/>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已落实。</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该项目为</w:t>
                  </w:r>
                  <w:r>
                    <w:rPr>
                      <w:rFonts w:hint="eastAsia" w:ascii="Times New Roman" w:hAnsi="Times New Roman" w:eastAsia="宋体" w:cs="Times New Roman"/>
                      <w:color w:val="000000"/>
                      <w:sz w:val="21"/>
                      <w:szCs w:val="21"/>
                      <w:lang w:val="en-US" w:eastAsia="zh-CN" w:bidi="ar-SA"/>
                    </w:rPr>
                    <w:t>新建</w:t>
                  </w:r>
                  <w:r>
                    <w:rPr>
                      <w:rFonts w:hint="default" w:ascii="Times New Roman" w:hAnsi="Times New Roman" w:eastAsia="宋体" w:cs="Times New Roman"/>
                      <w:color w:val="000000"/>
                      <w:sz w:val="21"/>
                      <w:szCs w:val="21"/>
                      <w:lang w:val="en-US" w:eastAsia="zh-CN" w:bidi="ar-SA"/>
                    </w:rPr>
                    <w:t>项目。建设规模、建设地、建设内容等与环评相符。项目实际总投资</w:t>
                  </w:r>
                  <w:r>
                    <w:rPr>
                      <w:rFonts w:hint="eastAsia" w:ascii="Times New Roman" w:hAnsi="Times New Roman" w:eastAsia="宋体" w:cs="Times New Roman"/>
                      <w:color w:val="000000"/>
                      <w:sz w:val="21"/>
                      <w:szCs w:val="21"/>
                      <w:lang w:val="en-US" w:eastAsia="zh-CN" w:bidi="ar-SA"/>
                    </w:rPr>
                    <w:t>800</w:t>
                  </w:r>
                  <w:r>
                    <w:rPr>
                      <w:rFonts w:hint="default" w:ascii="Times New Roman" w:hAnsi="Times New Roman" w:eastAsia="宋体" w:cs="Times New Roman"/>
                      <w:color w:val="000000"/>
                      <w:sz w:val="21"/>
                      <w:szCs w:val="21"/>
                      <w:lang w:val="en-US" w:eastAsia="zh-CN" w:bidi="ar-SA"/>
                    </w:rPr>
                    <w:t>万元，其中环保投资</w:t>
                  </w:r>
                  <w:r>
                    <w:rPr>
                      <w:rFonts w:hint="eastAsia" w:ascii="Times New Roman" w:hAnsi="Times New Roman" w:eastAsia="宋体" w:cs="Times New Roman"/>
                      <w:color w:val="000000"/>
                      <w:sz w:val="21"/>
                      <w:szCs w:val="21"/>
                      <w:lang w:val="en-US" w:eastAsia="zh-CN" w:bidi="ar-SA"/>
                    </w:rPr>
                    <w:t>11</w:t>
                  </w:r>
                  <w:r>
                    <w:rPr>
                      <w:rFonts w:hint="default" w:ascii="Times New Roman" w:hAnsi="Times New Roman" w:eastAsia="宋体" w:cs="Times New Roman"/>
                      <w:color w:val="000000"/>
                      <w:sz w:val="21"/>
                      <w:szCs w:val="21"/>
                      <w:lang w:val="en-US" w:eastAsia="zh-CN" w:bidi="ar-SA"/>
                    </w:rPr>
                    <w:t>万元</w:t>
                  </w:r>
                  <w:r>
                    <w:rPr>
                      <w:rFonts w:hint="eastAsia" w:ascii="Times New Roman" w:hAnsi="Times New Roman" w:eastAsia="宋体" w:cs="Times New Roman"/>
                      <w:color w:val="000000"/>
                      <w:sz w:val="21"/>
                      <w:szCs w:val="21"/>
                      <w:lang w:val="en-US" w:eastAsia="zh-CN" w:bidi="ar-SA"/>
                    </w:rPr>
                    <w:t>，开展PPC可降解材料及多元醇等产物的工艺研发</w:t>
                  </w:r>
                  <w:r>
                    <w:rPr>
                      <w:rFonts w:hint="eastAsia" w:ascii="Times New Roman" w:hAnsi="Times New Roman" w:eastAsia="宋体" w:cs="Times New Roman"/>
                      <w:color w:val="000000"/>
                      <w:sz w:val="21"/>
                      <w:szCs w:val="21"/>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废水</w:t>
                  </w:r>
                </w:p>
              </w:tc>
              <w:tc>
                <w:tcPr>
                  <w:tcW w:w="3950" w:type="dxa"/>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本项目产生的废水主要为实验废水、纯水制备浓水及办公人员的生活污水。项目生活污水经化粪池处理达标后与实验废水、纯水制备浓水纳管排放，最终进入良渚污水处理厂处理达标后排放。</w:t>
                  </w:r>
                </w:p>
              </w:tc>
              <w:tc>
                <w:tcPr>
                  <w:tcW w:w="3954" w:type="dxa"/>
                  <w:gridSpan w:val="2"/>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已落实。</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sz w:val="21"/>
                      <w:szCs w:val="21"/>
                      <w:lang w:val="en-US" w:eastAsia="zh-CN"/>
                    </w:rPr>
                    <w:t>本项目产生的废水主要为实验废水、纯水制备浓水及办公人员的生活污水。项目生活污水经化粪池处理达标后与实验废水、纯水制备浓水纳管排放，最终进入良渚污水处理厂处理达标后排放</w:t>
                  </w:r>
                  <w:r>
                    <w:rPr>
                      <w:rFonts w:hint="default" w:ascii="Times New Roman" w:hAnsi="Times New Roman" w:eastAsia="宋体" w:cs="Times New Roman"/>
                      <w:b w:val="0"/>
                      <w:i w:val="0"/>
                      <w:color w:val="000000"/>
                      <w:kern w:val="0"/>
                      <w:sz w:val="21"/>
                      <w:szCs w:val="21"/>
                      <w:lang w:val="en-US" w:eastAsia="zh-CN" w:bidi="ar"/>
                    </w:rPr>
                    <w:t>。</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sz w:val="21"/>
                      <w:szCs w:val="21"/>
                      <w:lang w:val="en-US" w:eastAsia="zh-CN"/>
                    </w:rPr>
                    <w:t>在监测日工况条件下</w:t>
                  </w:r>
                  <w:r>
                    <w:rPr>
                      <w:rFonts w:hint="eastAsia" w:ascii="Times New Roman" w:hAnsi="Times New Roman" w:eastAsia="宋体" w:cs="Times New Roman"/>
                      <w:sz w:val="21"/>
                      <w:szCs w:val="21"/>
                      <w:lang w:val="en-US" w:eastAsia="zh-CN"/>
                    </w:rPr>
                    <w:t>，该项目生活污水总排口中pH值、化学需氧量、悬浮物、五日生化需氧量检测值均符合《污水综合排放标准》（GB 8978-1996）中第二类污染物三级排放标准的要求；氨氮、总磷检测值均符合《工业企业废水氮、磷污染物间接排放限值》（DB 33/887-2013）的要求。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7"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废气</w:t>
                  </w:r>
                </w:p>
              </w:tc>
              <w:tc>
                <w:tcPr>
                  <w:tcW w:w="3950" w:type="dxa"/>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en-US" w:eastAsia="zh-CN"/>
                    </w:rPr>
                    <w:t>本项目产生的废气主要为实验废气，收集经1套活性炭吸附装置处理后通过1根</w:t>
                  </w:r>
                  <w:r>
                    <w:rPr>
                      <w:rFonts w:hint="eastAsia" w:ascii="Times New Roman" w:hAnsi="Times New Roman" w:eastAsia="宋体" w:cs="Times New Roman"/>
                      <w:sz w:val="21"/>
                      <w:szCs w:val="21"/>
                      <w:lang w:val="en-US" w:eastAsia="zh-CN"/>
                    </w:rPr>
                    <w:t>25</w:t>
                  </w:r>
                  <w:r>
                    <w:rPr>
                      <w:rFonts w:hint="default" w:ascii="Times New Roman" w:hAnsi="Times New Roman" w:eastAsia="宋体" w:cs="Times New Roman"/>
                      <w:sz w:val="21"/>
                      <w:szCs w:val="21"/>
                      <w:lang w:val="en-US" w:eastAsia="zh-CN"/>
                    </w:rPr>
                    <w:t>m高排气筒高空排放。</w:t>
                  </w:r>
                </w:p>
              </w:tc>
              <w:tc>
                <w:tcPr>
                  <w:tcW w:w="3954" w:type="dxa"/>
                  <w:gridSpan w:val="2"/>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已落实。</w:t>
                  </w:r>
                </w:p>
                <w:p>
                  <w:pPr>
                    <w:keepNext w:val="0"/>
                    <w:keepLines w:val="0"/>
                    <w:widowControl/>
                    <w:suppressLineNumbers w:val="0"/>
                    <w:spacing w:before="0" w:beforeAutospacing="0" w:after="0" w:afterLines="0" w:afterAutospacing="0" w:line="240" w:lineRule="auto"/>
                    <w:ind w:left="0" w:right="0" w:firstLine="420" w:firstLineChars="200"/>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sz w:val="21"/>
                      <w:szCs w:val="21"/>
                      <w:lang w:val="en-US" w:eastAsia="zh-CN"/>
                    </w:rPr>
                    <w:t>本项目产生的废气主要为实验废气，收集经1套活性炭吸附装置处理后通过1根20m高排气筒高空排放。</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sz w:val="21"/>
                      <w:szCs w:val="21"/>
                      <w:lang w:val="en-US" w:eastAsia="zh-CN"/>
                    </w:rPr>
                    <w:t>在监测日工况条件下</w:t>
                  </w:r>
                  <w:r>
                    <w:rPr>
                      <w:rFonts w:hint="eastAsia" w:ascii="Times New Roman" w:hAnsi="Times New Roman" w:eastAsia="宋体" w:cs="Times New Roman"/>
                      <w:sz w:val="21"/>
                      <w:szCs w:val="21"/>
                      <w:lang w:val="en-US" w:eastAsia="zh-CN"/>
                    </w:rPr>
                    <w:t>，该项目实验室废气出口中非甲烷总烃、氯化氢的排放浓度和排放速率检测值均符合《大气污染物综合排放标准》（GB 16297-1996）表2“新污染源大气污染物排放限值”中二级标准要求。实验室废气出口中二氯甲烷的排放浓度检测值符合《工作场所有害因素职业接触限值 化学有害因素》（GBZ 2.1-2019）中的PC-TWA值要求，实验室废气出口中二氯甲烷的排放速率检测值符合《制定地方大气污染物排放标准的技术方法》（GB/T 13201-91）中的限值要求。该项目上、下风向无组织排放的非甲烷总烃、氯化氢的最高点检测值均符合《大气污染物综合排放标准》（GB 16297-1996）表2中无组织排放监控浓度限值要求。上、下风向无组织排放的二氯甲烷的检测值符合《大气污染物综合排放标准详解》中环境质量标准一次值的4倍值要求。厂区内无组织排放的非甲烷总烃的检测值符合《挥发性有机物无组织排放控制标准》（GB 27822-2019）表A.1厂区内VOCs无组织排放限值中的特别排放限值要求。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5"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噪声</w:t>
                  </w:r>
                </w:p>
              </w:tc>
              <w:tc>
                <w:tcPr>
                  <w:tcW w:w="3950" w:type="dxa"/>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项目营运过程产生的噪声主要为真空泵、齿轮泵、通风橱等设备运转过程产生的噪声，企业采取以下措施减少设备噪声对周围环境的影响。</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（1）合理布局生产设备，高噪声设备尽量布置在车间中部。</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（2）风机等高噪声设备应加设减震垫以及隔声罩或消声器。</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（3）加强生产管理，避免原材料在搬运过程中因发生碰撞而产生突发噪声。</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（4）研发时关闭车间门窗。</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sz w:val="21"/>
                      <w:szCs w:val="21"/>
                      <w:lang w:val="en-US" w:eastAsia="zh-CN"/>
                    </w:rPr>
                    <w:t>（5）加强设备的维护，确保设备处于良好的运转状态，杜绝因设备不正常运转时产生的高噪声现象。</w:t>
                  </w:r>
                </w:p>
              </w:tc>
              <w:tc>
                <w:tcPr>
                  <w:tcW w:w="3954" w:type="dxa"/>
                  <w:gridSpan w:val="2"/>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已落实。</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sz w:val="21"/>
                      <w:szCs w:val="21"/>
                      <w:lang w:val="en-US" w:eastAsia="zh-CN"/>
                    </w:rPr>
                    <w:t>在监测日工况条件下，该项目厂界东、南、西、北昼间噪声测量值均符合《工业企业厂界环境噪声排放标准》（GB 12348-2008）中3类标准的要求</w:t>
                  </w:r>
                  <w:r>
                    <w:rPr>
                      <w:rFonts w:hint="eastAsia"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3"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固废</w:t>
                  </w:r>
                </w:p>
              </w:tc>
              <w:tc>
                <w:tcPr>
                  <w:tcW w:w="3950" w:type="dxa"/>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val="en-US" w:eastAsia="zh-CN"/>
                    </w:rPr>
                    <w:t>本项目产生的固废主要为滤渣、检验废物、滤液、清洗废液、废试剂包装材料、废活性炭、废一般包装材料、生活垃圾。滤渣、检验废物、滤液、清洗废液、废试剂包装材料、废活性炭委托有危险废物处置资质的单位处置；废一般包装材料出售综合利用；生活垃圾由环卫部门统一清运。</w:t>
                  </w:r>
                </w:p>
              </w:tc>
              <w:tc>
                <w:tcPr>
                  <w:tcW w:w="3954" w:type="dxa"/>
                  <w:gridSpan w:val="2"/>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已落实。</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val="en-US" w:eastAsia="zh-CN"/>
                    </w:rPr>
                    <w:t>本项目产生的固废主要为滤渣、检验废物、滤液、清洗废液、废试剂包装材料、废活性炭、废一般包装材料、生活垃圾。滤渣、检验废物、滤液、清洗废液、废试剂包装材料、废活性炭委托有危险废物处置资质的单位处置；废一般包装材料出售综合利用；生活垃圾由环卫部门统一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trPr>
              <w:tc>
                <w:tcPr>
                  <w:tcW w:w="736" w:type="dxa"/>
                  <w:vAlign w:val="center"/>
                </w:tcPr>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总量</w:t>
                  </w:r>
                </w:p>
                <w:p>
                  <w:pPr>
                    <w:keepNext w:val="0"/>
                    <w:keepLines w:val="0"/>
                    <w:widowControl/>
                    <w:suppressLineNumbers w:val="0"/>
                    <w:adjustRightInd/>
                    <w:snapToGrid/>
                    <w:spacing w:before="0" w:beforeAutospacing="0" w:after="0" w:afterLines="-2147483648" w:afterAutospacing="0"/>
                    <w:ind w:left="0" w:right="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控制</w:t>
                  </w:r>
                </w:p>
              </w:tc>
              <w:tc>
                <w:tcPr>
                  <w:tcW w:w="3952"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firstLine="420" w:firstLineChars="200"/>
                    <w:jc w:val="both"/>
                    <w:rPr>
                      <w:rFonts w:hint="eastAsia" w:ascii="Times New Roman" w:hAnsi="Times New Roman" w:eastAsia="宋体" w:cs="Times New Roman"/>
                      <w:b w:val="0"/>
                      <w:i w:val="0"/>
                      <w:color w:val="FF0000"/>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严格落实污染物排放总量控制措施，使污染物排放总量控制在环评确定的指标内，即项目主要污染物废水量控制在392.2t/a，CODcr控制在0.020t/a，NH</w:t>
                  </w:r>
                  <w:r>
                    <w:rPr>
                      <w:rFonts w:hint="eastAsia" w:ascii="Times New Roman" w:hAnsi="Times New Roman" w:eastAsia="宋体" w:cs="Times New Roman"/>
                      <w:b w:val="0"/>
                      <w:i w:val="0"/>
                      <w:color w:val="auto"/>
                      <w:kern w:val="0"/>
                      <w:sz w:val="21"/>
                      <w:szCs w:val="21"/>
                      <w:vertAlign w:val="subscript"/>
                      <w:lang w:val="en-US" w:eastAsia="zh-CN" w:bidi="ar"/>
                    </w:rPr>
                    <w:t>3</w:t>
                  </w:r>
                  <w:r>
                    <w:rPr>
                      <w:rFonts w:hint="eastAsia" w:ascii="Times New Roman" w:hAnsi="Times New Roman" w:eastAsia="宋体" w:cs="Times New Roman"/>
                      <w:b w:val="0"/>
                      <w:i w:val="0"/>
                      <w:color w:val="auto"/>
                      <w:kern w:val="0"/>
                      <w:sz w:val="21"/>
                      <w:szCs w:val="21"/>
                      <w:lang w:val="en-US" w:eastAsia="zh-CN" w:bidi="ar"/>
                    </w:rPr>
                    <w:t>-N控制在0.002t/a，VOCs控制在0.027t/a。</w:t>
                  </w:r>
                </w:p>
              </w:tc>
              <w:tc>
                <w:tcPr>
                  <w:tcW w:w="3952" w:type="dxa"/>
                  <w:vAlign w:val="center"/>
                </w:tcPr>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废水</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color w:val="000000"/>
                      <w:sz w:val="21"/>
                      <w:szCs w:val="21"/>
                      <w:lang w:eastAsia="zh-CN"/>
                    </w:rPr>
                    <w:t>根据</w:t>
                  </w:r>
                  <w:r>
                    <w:rPr>
                      <w:rFonts w:hint="eastAsia" w:ascii="Times New Roman" w:hAnsi="Times New Roman" w:eastAsia="宋体" w:cs="Times New Roman"/>
                      <w:b w:val="0"/>
                      <w:i w:val="0"/>
                      <w:color w:val="000000"/>
                      <w:kern w:val="0"/>
                      <w:sz w:val="21"/>
                      <w:szCs w:val="21"/>
                      <w:lang w:val="en-US" w:eastAsia="zh-CN" w:bidi="ar"/>
                    </w:rPr>
                    <w:t>杭州普力材料科技有限公司PPC可降解材料及多元醇研发实验室项目</w:t>
                  </w:r>
                  <w:r>
                    <w:rPr>
                      <w:rFonts w:hint="default" w:ascii="Times New Roman" w:hAnsi="Times New Roman" w:eastAsia="宋体" w:cs="Times New Roman"/>
                      <w:b w:val="0"/>
                      <w:i w:val="0"/>
                      <w:color w:val="000000"/>
                      <w:kern w:val="0"/>
                      <w:sz w:val="21"/>
                      <w:szCs w:val="21"/>
                      <w:lang w:val="en-US" w:eastAsia="zh-CN" w:bidi="ar"/>
                    </w:rPr>
                    <w:t>废水排放量和</w:t>
                  </w:r>
                  <w:r>
                    <w:rPr>
                      <w:rFonts w:hint="eastAsia" w:ascii="Times New Roman" w:hAnsi="Times New Roman" w:eastAsia="宋体" w:cs="Times New Roman"/>
                      <w:b w:val="0"/>
                      <w:i w:val="0"/>
                      <w:color w:val="000000"/>
                      <w:kern w:val="0"/>
                      <w:sz w:val="21"/>
                      <w:szCs w:val="21"/>
                      <w:lang w:val="en-US" w:eastAsia="zh-CN" w:bidi="ar"/>
                    </w:rPr>
                    <w:t>废水排入环境的限值</w:t>
                  </w:r>
                  <w:r>
                    <w:rPr>
                      <w:rFonts w:hint="default" w:ascii="Times New Roman" w:hAnsi="Times New Roman" w:eastAsia="宋体" w:cs="Times New Roman"/>
                      <w:b w:val="0"/>
                      <w:i w:val="0"/>
                      <w:color w:val="000000"/>
                      <w:kern w:val="0"/>
                      <w:sz w:val="21"/>
                      <w:szCs w:val="21"/>
                      <w:lang w:val="en-US" w:eastAsia="zh-CN" w:bidi="ar"/>
                    </w:rPr>
                    <w:t>（化学需氧量≤</w:t>
                  </w:r>
                  <w:r>
                    <w:rPr>
                      <w:rFonts w:hint="eastAsia" w:ascii="Times New Roman" w:hAnsi="Times New Roman" w:eastAsia="宋体" w:cs="Times New Roman"/>
                      <w:b w:val="0"/>
                      <w:i w:val="0"/>
                      <w:color w:val="000000"/>
                      <w:kern w:val="0"/>
                      <w:sz w:val="21"/>
                      <w:szCs w:val="21"/>
                      <w:lang w:val="en-US" w:eastAsia="zh-CN" w:bidi="ar"/>
                    </w:rPr>
                    <w:t>50</w:t>
                  </w:r>
                  <w:r>
                    <w:rPr>
                      <w:rFonts w:hint="default" w:ascii="Times New Roman" w:hAnsi="Times New Roman" w:eastAsia="宋体" w:cs="Times New Roman"/>
                      <w:b w:val="0"/>
                      <w:i w:val="0"/>
                      <w:color w:val="000000"/>
                      <w:kern w:val="0"/>
                      <w:sz w:val="21"/>
                      <w:szCs w:val="21"/>
                      <w:lang w:val="en-US" w:eastAsia="zh-CN" w:bidi="ar"/>
                    </w:rPr>
                    <w:t>mg/L，氨氮≤</w:t>
                  </w:r>
                  <w:r>
                    <w:rPr>
                      <w:rFonts w:hint="eastAsia" w:ascii="Times New Roman" w:hAnsi="Times New Roman" w:eastAsia="宋体" w:cs="Times New Roman"/>
                      <w:b w:val="0"/>
                      <w:i w:val="0"/>
                      <w:color w:val="000000"/>
                      <w:kern w:val="0"/>
                      <w:sz w:val="21"/>
                      <w:szCs w:val="21"/>
                      <w:lang w:val="en-US" w:eastAsia="zh-CN" w:bidi="ar"/>
                    </w:rPr>
                    <w:t>5</w:t>
                  </w:r>
                  <w:r>
                    <w:rPr>
                      <w:rFonts w:hint="default" w:ascii="Times New Roman" w:hAnsi="Times New Roman" w:eastAsia="宋体" w:cs="Times New Roman"/>
                      <w:b w:val="0"/>
                      <w:i w:val="0"/>
                      <w:color w:val="000000"/>
                      <w:kern w:val="0"/>
                      <w:sz w:val="21"/>
                      <w:szCs w:val="21"/>
                      <w:lang w:val="en-US" w:eastAsia="zh-CN" w:bidi="ar"/>
                    </w:rPr>
                    <w:t>mg/L），计算</w:t>
                  </w:r>
                  <w:r>
                    <w:rPr>
                      <w:rFonts w:hint="default" w:ascii="Times New Roman" w:hAnsi="Times New Roman" w:eastAsia="宋体" w:cs="Times New Roman"/>
                      <w:b w:val="0"/>
                      <w:i w:val="0"/>
                      <w:color w:val="auto"/>
                      <w:kern w:val="0"/>
                      <w:sz w:val="21"/>
                      <w:szCs w:val="21"/>
                      <w:lang w:val="en-US" w:eastAsia="zh-CN" w:bidi="ar"/>
                    </w:rPr>
                    <w:t>得企业废水污染因子环境排放量：</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废水年排环境量392.2t，</w:t>
                  </w:r>
                  <w:r>
                    <w:rPr>
                      <w:rFonts w:hint="default" w:ascii="Times New Roman" w:hAnsi="Times New Roman" w:eastAsia="宋体" w:cs="Times New Roman"/>
                      <w:b w:val="0"/>
                      <w:i w:val="0"/>
                      <w:color w:val="auto"/>
                      <w:kern w:val="0"/>
                      <w:sz w:val="21"/>
                      <w:szCs w:val="21"/>
                      <w:lang w:val="en-US" w:eastAsia="zh-CN" w:bidi="ar"/>
                    </w:rPr>
                    <w:t>化学需氧量年排环境量为</w:t>
                  </w:r>
                  <w:r>
                    <w:rPr>
                      <w:rFonts w:hint="eastAsia" w:ascii="Times New Roman" w:hAnsi="Times New Roman" w:eastAsia="宋体" w:cs="Times New Roman"/>
                      <w:b w:val="0"/>
                      <w:i w:val="0"/>
                      <w:color w:val="auto"/>
                      <w:kern w:val="0"/>
                      <w:sz w:val="21"/>
                      <w:szCs w:val="21"/>
                      <w:lang w:val="en-US" w:eastAsia="zh-CN" w:bidi="ar"/>
                    </w:rPr>
                    <w:t>0.020</w:t>
                  </w:r>
                  <w:r>
                    <w:rPr>
                      <w:rFonts w:hint="default" w:ascii="Times New Roman" w:hAnsi="Times New Roman" w:eastAsia="宋体" w:cs="Times New Roman"/>
                      <w:b w:val="0"/>
                      <w:i w:val="0"/>
                      <w:color w:val="auto"/>
                      <w:kern w:val="0"/>
                      <w:sz w:val="21"/>
                      <w:szCs w:val="21"/>
                      <w:lang w:val="en-US" w:eastAsia="zh-CN" w:bidi="ar"/>
                    </w:rPr>
                    <w:t>吨，氨氮年排环境量为</w:t>
                  </w:r>
                  <w:r>
                    <w:rPr>
                      <w:rFonts w:hint="eastAsia" w:ascii="Times New Roman" w:hAnsi="Times New Roman" w:eastAsia="宋体" w:cs="Times New Roman"/>
                      <w:b w:val="0"/>
                      <w:i w:val="0"/>
                      <w:color w:val="auto"/>
                      <w:kern w:val="0"/>
                      <w:sz w:val="21"/>
                      <w:szCs w:val="21"/>
                      <w:lang w:val="en-US" w:eastAsia="zh-CN" w:bidi="ar"/>
                    </w:rPr>
                    <w:t>0.002</w:t>
                  </w:r>
                  <w:r>
                    <w:rPr>
                      <w:rFonts w:hint="default" w:ascii="Times New Roman" w:hAnsi="Times New Roman" w:eastAsia="宋体" w:cs="Times New Roman"/>
                      <w:b w:val="0"/>
                      <w:i w:val="0"/>
                      <w:color w:val="auto"/>
                      <w:kern w:val="0"/>
                      <w:sz w:val="21"/>
                      <w:szCs w:val="21"/>
                      <w:lang w:val="en-US" w:eastAsia="zh-CN" w:bidi="ar"/>
                    </w:rPr>
                    <w:t>吨，符合总量控制标准</w:t>
                  </w:r>
                  <w:r>
                    <w:rPr>
                      <w:rFonts w:hint="eastAsia" w:ascii="Times New Roman" w:hAnsi="Times New Roman" w:eastAsia="宋体" w:cs="Times New Roman"/>
                      <w:b w:val="0"/>
                      <w:i w:val="0"/>
                      <w:color w:val="auto"/>
                      <w:kern w:val="0"/>
                      <w:sz w:val="21"/>
                      <w:szCs w:val="21"/>
                      <w:lang w:val="en-US" w:eastAsia="zh-CN" w:bidi="ar"/>
                    </w:rPr>
                    <w:t>（</w:t>
                  </w:r>
                  <w:r>
                    <w:rPr>
                      <w:rFonts w:hint="eastAsia" w:ascii="Times New Roman" w:hAnsi="Times New Roman" w:eastAsia="宋体" w:cs="Times New Roman"/>
                      <w:b w:val="0"/>
                      <w:i w:val="0"/>
                      <w:color w:val="000000"/>
                      <w:kern w:val="0"/>
                      <w:sz w:val="21"/>
                      <w:szCs w:val="21"/>
                      <w:lang w:val="en-US" w:eastAsia="zh-CN" w:bidi="ar"/>
                    </w:rPr>
                    <w:t>杭州普力材料科技有限公司PPC可降解材料及多元醇研发实验室项目</w:t>
                  </w:r>
                  <w:r>
                    <w:rPr>
                      <w:rFonts w:hint="default" w:ascii="Times New Roman" w:hAnsi="Times New Roman" w:eastAsia="宋体" w:cs="Times New Roman"/>
                      <w:b w:val="0"/>
                      <w:i w:val="0"/>
                      <w:color w:val="000000"/>
                      <w:kern w:val="0"/>
                      <w:sz w:val="21"/>
                      <w:szCs w:val="21"/>
                      <w:lang w:val="en-US" w:eastAsia="zh-CN" w:bidi="ar"/>
                    </w:rPr>
                    <w:t>年排</w:t>
                  </w:r>
                  <w:r>
                    <w:rPr>
                      <w:rFonts w:hint="eastAsia" w:ascii="Times New Roman" w:hAnsi="Times New Roman" w:eastAsia="宋体" w:cs="Times New Roman"/>
                      <w:b w:val="0"/>
                      <w:i w:val="0"/>
                      <w:color w:val="auto"/>
                      <w:kern w:val="0"/>
                      <w:sz w:val="21"/>
                      <w:szCs w:val="21"/>
                      <w:lang w:val="en-US" w:eastAsia="zh-CN" w:bidi="ar"/>
                    </w:rPr>
                    <w:t>废水量392.2t/a</w:t>
                  </w: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化学需氧量≤</w:t>
                  </w:r>
                  <w:r>
                    <w:rPr>
                      <w:rFonts w:hint="eastAsia" w:ascii="Times New Roman" w:hAnsi="Times New Roman" w:eastAsia="宋体" w:cs="Times New Roman"/>
                      <w:b w:val="0"/>
                      <w:i w:val="0"/>
                      <w:color w:val="auto"/>
                      <w:kern w:val="0"/>
                      <w:sz w:val="21"/>
                      <w:szCs w:val="21"/>
                      <w:lang w:val="en-US" w:eastAsia="zh-CN" w:bidi="ar"/>
                    </w:rPr>
                    <w:t>0.020</w:t>
                  </w:r>
                  <w:r>
                    <w:rPr>
                      <w:rFonts w:hint="default" w:ascii="Times New Roman" w:hAnsi="Times New Roman" w:eastAsia="宋体" w:cs="Times New Roman"/>
                      <w:b w:val="0"/>
                      <w:i w:val="0"/>
                      <w:color w:val="000000"/>
                      <w:kern w:val="0"/>
                      <w:sz w:val="21"/>
                      <w:szCs w:val="21"/>
                      <w:lang w:val="en-US" w:eastAsia="zh-CN" w:bidi="ar"/>
                    </w:rPr>
                    <w:t>t/a，氨氮≤</w:t>
                  </w:r>
                  <w:r>
                    <w:rPr>
                      <w:rFonts w:hint="eastAsia" w:ascii="Times New Roman" w:hAnsi="Times New Roman" w:eastAsia="宋体" w:cs="Times New Roman"/>
                      <w:b w:val="0"/>
                      <w:i w:val="0"/>
                      <w:color w:val="auto"/>
                      <w:kern w:val="0"/>
                      <w:sz w:val="21"/>
                      <w:szCs w:val="21"/>
                      <w:lang w:val="en-US" w:eastAsia="zh-CN" w:bidi="ar"/>
                    </w:rPr>
                    <w:t>0.002</w:t>
                  </w:r>
                  <w:r>
                    <w:rPr>
                      <w:rFonts w:hint="eastAsia" w:ascii="Times New Roman" w:hAnsi="Times New Roman" w:eastAsia="宋体" w:cs="Times New Roman"/>
                      <w:b w:val="0"/>
                      <w:i w:val="0"/>
                      <w:color w:val="000000"/>
                      <w:kern w:val="0"/>
                      <w:sz w:val="21"/>
                      <w:szCs w:val="21"/>
                      <w:lang w:val="en-US" w:eastAsia="zh-CN" w:bidi="ar"/>
                    </w:rPr>
                    <w:t>t</w:t>
                  </w:r>
                  <w:r>
                    <w:rPr>
                      <w:rFonts w:hint="default" w:ascii="Times New Roman" w:hAnsi="Times New Roman" w:eastAsia="宋体" w:cs="Times New Roman"/>
                      <w:b w:val="0"/>
                      <w:i w:val="0"/>
                      <w:color w:val="000000"/>
                      <w:kern w:val="0"/>
                      <w:sz w:val="21"/>
                      <w:szCs w:val="21"/>
                      <w:lang w:val="en-US" w:eastAsia="zh-CN" w:bidi="ar"/>
                    </w:rPr>
                    <w:t>/a）。</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废气</w:t>
                  </w:r>
                </w:p>
                <w:p>
                  <w:pPr>
                    <w:keepNext w:val="0"/>
                    <w:keepLines w:val="0"/>
                    <w:widowControl/>
                    <w:suppressLineNumbers w:val="0"/>
                    <w:adjustRightInd/>
                    <w:snapToGrid/>
                    <w:spacing w:before="0" w:beforeAutospacing="0" w:after="0" w:afterLines="-2147483648" w:afterAutospacing="0"/>
                    <w:ind w:left="0" w:right="0" w:firstLine="420" w:firstLineChars="200"/>
                    <w:jc w:val="both"/>
                    <w:rPr>
                      <w:rFonts w:hint="eastAsia"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企业实验室年工作300小时。</w:t>
                  </w:r>
                  <w:r>
                    <w:rPr>
                      <w:rFonts w:hint="eastAsia" w:ascii="Times New Roman" w:hAnsi="Times New Roman" w:eastAsia="宋体" w:cs="Times New Roman"/>
                      <w:b w:val="0"/>
                      <w:i w:val="0"/>
                      <w:color w:val="auto"/>
                      <w:kern w:val="0"/>
                      <w:sz w:val="21"/>
                      <w:szCs w:val="21"/>
                      <w:highlight w:val="none"/>
                      <w:lang w:val="en-US" w:eastAsia="zh-CN" w:bidi="ar"/>
                    </w:rPr>
                    <w:t>经计算，项目VOCs年排环境量为</w:t>
                  </w:r>
                  <w:r>
                    <w:rPr>
                      <w:rStyle w:val="26"/>
                      <w:rFonts w:hint="eastAsia" w:ascii="Times New Roman" w:hAnsi="Times New Roman" w:eastAsia="宋体" w:cs="Times New Roman"/>
                      <w:color w:val="auto"/>
                      <w:sz w:val="21"/>
                      <w:szCs w:val="21"/>
                      <w:highlight w:val="none"/>
                      <w:lang w:val="en-US" w:eastAsia="zh-CN"/>
                    </w:rPr>
                    <w:t>0.009</w:t>
                  </w:r>
                  <w:r>
                    <w:rPr>
                      <w:rFonts w:hint="eastAsia" w:ascii="Times New Roman" w:hAnsi="Times New Roman" w:eastAsia="宋体" w:cs="Times New Roman"/>
                      <w:b w:val="0"/>
                      <w:i w:val="0"/>
                      <w:color w:val="auto"/>
                      <w:kern w:val="0"/>
                      <w:sz w:val="21"/>
                      <w:szCs w:val="21"/>
                      <w:highlight w:val="none"/>
                      <w:lang w:val="en-US" w:eastAsia="zh-CN" w:bidi="ar"/>
                    </w:rPr>
                    <w:t>吨，符合总量控制标</w:t>
                  </w:r>
                  <w:r>
                    <w:rPr>
                      <w:rFonts w:hint="eastAsia" w:ascii="Times New Roman" w:hAnsi="Times New Roman" w:eastAsia="宋体" w:cs="Times New Roman"/>
                      <w:b w:val="0"/>
                      <w:i w:val="0"/>
                      <w:color w:val="000000"/>
                      <w:kern w:val="0"/>
                      <w:sz w:val="21"/>
                      <w:szCs w:val="21"/>
                      <w:lang w:val="en-US" w:eastAsia="zh-CN" w:bidi="ar"/>
                    </w:rPr>
                    <w:t>准（杭州普力材料科技有限公司PPC可降解材料及多元醇研发实验室项目年排VOCs</w:t>
                  </w:r>
                  <w:r>
                    <w:rPr>
                      <w:rFonts w:hint="default" w:ascii="Times New Roman" w:hAnsi="Times New Roman" w:eastAsia="宋体" w:cs="Times New Roman"/>
                      <w:b w:val="0"/>
                      <w:i w:val="0"/>
                      <w:color w:val="000000"/>
                      <w:kern w:val="0"/>
                      <w:sz w:val="21"/>
                      <w:szCs w:val="21"/>
                      <w:lang w:val="en-US" w:eastAsia="zh-CN" w:bidi="ar"/>
                    </w:rPr>
                    <w:t>≤</w:t>
                  </w:r>
                  <w:r>
                    <w:rPr>
                      <w:rFonts w:hint="eastAsia" w:ascii="Times New Roman" w:hAnsi="Times New Roman" w:eastAsia="宋体" w:cs="Times New Roman"/>
                      <w:b w:val="0"/>
                      <w:i w:val="0"/>
                      <w:color w:val="000000"/>
                      <w:kern w:val="0"/>
                      <w:sz w:val="21"/>
                      <w:szCs w:val="21"/>
                      <w:lang w:val="en-US" w:eastAsia="zh-CN" w:bidi="ar"/>
                    </w:rPr>
                    <w:t xml:space="preserve">0.027t/a）。  </w:t>
                  </w:r>
                </w:p>
              </w:tc>
            </w:tr>
          </w:tbl>
          <w:p>
            <w:pPr>
              <w:keepNext w:val="0"/>
              <w:keepLines w:val="0"/>
              <w:widowControl/>
              <w:suppressLineNumbers w:val="0"/>
              <w:spacing w:before="62" w:beforeLines="20" w:beforeAutospacing="0" w:afterAutospacing="0" w:line="360" w:lineRule="auto"/>
              <w:ind w:left="0" w:right="0"/>
              <w:rPr>
                <w:rFonts w:hint="default" w:ascii="Times New Roman" w:hAnsi="Times New Roman" w:eastAsia="仿宋_GB2312" w:cs="Times New Roman"/>
                <w:color w:val="000000"/>
                <w:sz w:val="21"/>
                <w:szCs w:val="21"/>
              </w:rPr>
            </w:pPr>
          </w:p>
          <w:p>
            <w:pPr>
              <w:keepNext w:val="0"/>
              <w:keepLines w:val="0"/>
              <w:widowControl w:val="0"/>
              <w:suppressLineNumbers w:val="0"/>
              <w:spacing w:before="62" w:beforeLines="20" w:beforeAutospacing="0" w:after="0" w:afterLines="0" w:afterAutospacing="0" w:line="360" w:lineRule="auto"/>
              <w:ind w:left="0" w:right="0"/>
              <w:jc w:val="both"/>
              <w:rPr>
                <w:rFonts w:hint="default" w:ascii="Times New Roman" w:hAnsi="Times New Roman" w:eastAsia="仿宋_GB2312" w:cs="Times New Roman"/>
                <w:color w:val="000000"/>
                <w:sz w:val="21"/>
                <w:szCs w:val="21"/>
              </w:rPr>
            </w:pPr>
          </w:p>
        </w:tc>
      </w:tr>
    </w:tbl>
    <w:p>
      <w:pPr>
        <w:spacing w:line="360" w:lineRule="auto"/>
        <w:rPr>
          <w:rFonts w:eastAsia="仿宋_GB2312"/>
          <w:color w:val="000000"/>
          <w:sz w:val="21"/>
          <w:szCs w:val="21"/>
        </w:rPr>
        <w:sectPr>
          <w:pgSz w:w="11906" w:h="16838"/>
          <w:pgMar w:top="1440" w:right="1800" w:bottom="1440" w:left="1800" w:header="708" w:footer="708" w:gutter="0"/>
          <w:pgNumType w:fmt="decimal"/>
          <w:cols w:space="720" w:num="1"/>
          <w:docGrid w:linePitch="360" w:charSpace="0"/>
        </w:sectPr>
      </w:pPr>
    </w:p>
    <w:p>
      <w:pPr>
        <w:spacing w:after="0" w:afterLines="0" w:line="360" w:lineRule="auto"/>
        <w:rPr>
          <w:rFonts w:hint="eastAsia"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五</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0" w:hRule="atLeast"/>
          <w:jc w:val="center"/>
        </w:trPr>
        <w:tc>
          <w:tcPr>
            <w:tcW w:w="8924" w:type="dxa"/>
            <w:vAlign w:val="top"/>
          </w:tcPr>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b/>
                <w:bCs/>
                <w:sz w:val="21"/>
                <w:szCs w:val="21"/>
                <w:lang w:val="en-US" w:eastAsia="zh-CN"/>
              </w:rPr>
              <w:t>5.1 验收监测质量保证及质量控制：</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1、随时掌握监测期间工况情况，保证监测过程中工况负荷满足有关要求。</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2、监测分析方法采用国家有关部门颁布（或推荐）的标准分析方法，监测人员经过考核并持有上岗证。</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3、样品采集、运输、保存参照《环境监测技术规范》和《环境监测质量保证手册》的技术要求进行，每批样品分析的同时做质控样品和平行双样等。</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4、监测数据严格实行三级审核制度。</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5.2 监测分析方法</w:t>
            </w:r>
          </w:p>
          <w:tbl>
            <w:tblPr>
              <w:tblStyle w:val="19"/>
              <w:tblW w:w="8700"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650"/>
              <w:gridCol w:w="733"/>
              <w:gridCol w:w="1997"/>
              <w:gridCol w:w="2595"/>
              <w:gridCol w:w="2725"/>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15" w:hRule="atLeast"/>
                <w:jc w:val="center"/>
              </w:trPr>
              <w:tc>
                <w:tcPr>
                  <w:tcW w:w="650" w:type="dxa"/>
                  <w:tcBorders>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zh-CN" w:eastAsia="zh-CN" w:bidi="ar"/>
                    </w:rPr>
                  </w:pPr>
                  <w:r>
                    <w:rPr>
                      <w:rFonts w:hint="default" w:ascii="Times New Roman" w:hAnsi="Times New Roman" w:eastAsia="宋体" w:cs="Times New Roman"/>
                      <w:b/>
                      <w:bCs/>
                      <w:i w:val="0"/>
                      <w:color w:val="000000"/>
                      <w:kern w:val="0"/>
                      <w:sz w:val="21"/>
                      <w:szCs w:val="21"/>
                      <w:lang w:val="zh-CN" w:eastAsia="zh-CN" w:bidi="ar"/>
                    </w:rPr>
                    <w:t>序号</w:t>
                  </w:r>
                </w:p>
              </w:tc>
              <w:tc>
                <w:tcPr>
                  <w:tcW w:w="733" w:type="dxa"/>
                  <w:tcBorders>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zh-CN" w:eastAsia="zh-CN" w:bidi="ar"/>
                    </w:rPr>
                  </w:pPr>
                  <w:r>
                    <w:rPr>
                      <w:rFonts w:hint="default" w:ascii="Times New Roman" w:hAnsi="Times New Roman" w:eastAsia="宋体" w:cs="Times New Roman"/>
                      <w:b/>
                      <w:bCs/>
                      <w:i w:val="0"/>
                      <w:color w:val="000000"/>
                      <w:kern w:val="0"/>
                      <w:sz w:val="21"/>
                      <w:szCs w:val="21"/>
                      <w:lang w:val="zh-CN" w:eastAsia="zh-CN" w:bidi="ar"/>
                    </w:rPr>
                    <w:t>类别</w:t>
                  </w:r>
                </w:p>
              </w:tc>
              <w:tc>
                <w:tcPr>
                  <w:tcW w:w="1997" w:type="dxa"/>
                  <w:tcBorders>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zh-CN" w:eastAsia="zh-CN" w:bidi="ar"/>
                    </w:rPr>
                  </w:pPr>
                  <w:r>
                    <w:rPr>
                      <w:rFonts w:hint="default" w:ascii="Times New Roman" w:hAnsi="Times New Roman" w:eastAsia="宋体" w:cs="Times New Roman"/>
                      <w:b/>
                      <w:bCs/>
                      <w:i w:val="0"/>
                      <w:color w:val="000000"/>
                      <w:kern w:val="0"/>
                      <w:sz w:val="21"/>
                      <w:szCs w:val="21"/>
                      <w:lang w:val="zh-CN" w:eastAsia="zh-CN" w:bidi="ar"/>
                    </w:rPr>
                    <w:t>监测项目</w:t>
                  </w:r>
                </w:p>
              </w:tc>
              <w:tc>
                <w:tcPr>
                  <w:tcW w:w="2595" w:type="dxa"/>
                  <w:tcBorders>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zh-CN" w:eastAsia="zh-CN" w:bidi="ar"/>
                    </w:rPr>
                  </w:pPr>
                  <w:r>
                    <w:rPr>
                      <w:rFonts w:hint="default" w:ascii="Times New Roman" w:hAnsi="Times New Roman" w:eastAsia="宋体" w:cs="Times New Roman"/>
                      <w:b/>
                      <w:bCs/>
                      <w:i w:val="0"/>
                      <w:color w:val="000000"/>
                      <w:kern w:val="0"/>
                      <w:sz w:val="21"/>
                      <w:szCs w:val="21"/>
                      <w:lang w:val="zh-CN" w:eastAsia="zh-CN" w:bidi="ar"/>
                    </w:rPr>
                    <w:t>分析方法</w:t>
                  </w:r>
                </w:p>
              </w:tc>
              <w:tc>
                <w:tcPr>
                  <w:tcW w:w="2725" w:type="dxa"/>
                  <w:tcBorders>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zh-CN" w:eastAsia="zh-CN" w:bidi="ar"/>
                    </w:rPr>
                  </w:pPr>
                  <w:r>
                    <w:rPr>
                      <w:rFonts w:hint="default" w:ascii="Times New Roman" w:hAnsi="Times New Roman" w:eastAsia="宋体" w:cs="Times New Roman"/>
                      <w:b/>
                      <w:bCs/>
                      <w:i w:val="0"/>
                      <w:color w:val="000000"/>
                      <w:kern w:val="0"/>
                      <w:sz w:val="21"/>
                      <w:szCs w:val="21"/>
                      <w:lang w:val="zh-CN" w:eastAsia="zh-CN" w:bidi="ar"/>
                    </w:rPr>
                    <w:t>分析方法标准号或来源</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50"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w:t>
                  </w:r>
                </w:p>
              </w:tc>
              <w:tc>
                <w:tcPr>
                  <w:tcW w:w="733"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废水监测</w:t>
                  </w:r>
                </w:p>
              </w:tc>
              <w:tc>
                <w:tcPr>
                  <w:tcW w:w="1997"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zh-CN" w:eastAsia="zh-CN" w:bidi="ar"/>
                    </w:rPr>
                    <w:t>pH值</w:t>
                  </w:r>
                </w:p>
              </w:tc>
              <w:tc>
                <w:tcPr>
                  <w:tcW w:w="259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电极法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HJ 1147-2020</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50"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2</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化学需氧量</w:t>
                  </w:r>
                </w:p>
              </w:tc>
              <w:tc>
                <w:tcPr>
                  <w:tcW w:w="259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重铬酸盐法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HJ</w:t>
                  </w:r>
                  <w:r>
                    <w:rPr>
                      <w:rFonts w:hint="eastAsia" w:ascii="Times New Roman" w:hAnsi="Times New Roman" w:eastAsia="宋体" w:cs="Times New Roman"/>
                      <w:b w:val="0"/>
                      <w:i w:val="0"/>
                      <w:color w:val="000000"/>
                      <w:kern w:val="0"/>
                      <w:sz w:val="21"/>
                      <w:szCs w:val="21"/>
                      <w:lang w:val="en-US" w:eastAsia="zh-CN" w:bidi="ar"/>
                    </w:rPr>
                    <w:t xml:space="preserve"> </w:t>
                  </w:r>
                  <w:r>
                    <w:rPr>
                      <w:rFonts w:hint="default" w:ascii="Times New Roman" w:hAnsi="Times New Roman" w:eastAsia="宋体" w:cs="Times New Roman"/>
                      <w:b w:val="0"/>
                      <w:i w:val="0"/>
                      <w:color w:val="000000"/>
                      <w:kern w:val="0"/>
                      <w:sz w:val="21"/>
                      <w:szCs w:val="21"/>
                      <w:lang w:val="zh-CN" w:eastAsia="zh-CN" w:bidi="ar"/>
                    </w:rPr>
                    <w:t>828-2017</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50"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3</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 xml:space="preserve">五日生化需氧量 </w:t>
                  </w:r>
                </w:p>
              </w:tc>
              <w:tc>
                <w:tcPr>
                  <w:tcW w:w="259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稀释与接种法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HJ 505-2009</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50"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4</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氨氮</w:t>
                  </w:r>
                </w:p>
              </w:tc>
              <w:tc>
                <w:tcPr>
                  <w:tcW w:w="259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纳氏试剂分光光度法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HJ 535</w:t>
                  </w:r>
                  <w:r>
                    <w:rPr>
                      <w:rFonts w:hint="default"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zh-CN" w:eastAsia="zh-CN" w:bidi="ar"/>
                    </w:rPr>
                    <w:t>2009</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50"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悬浮物</w:t>
                  </w:r>
                </w:p>
              </w:tc>
              <w:tc>
                <w:tcPr>
                  <w:tcW w:w="259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重量法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GB/T 11901</w:t>
                  </w:r>
                  <w:r>
                    <w:rPr>
                      <w:rFonts w:hint="default"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zh-CN" w:eastAsia="zh-CN" w:bidi="ar"/>
                    </w:rPr>
                    <w:t>1989</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50"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总磷</w:t>
                  </w:r>
                </w:p>
              </w:tc>
              <w:tc>
                <w:tcPr>
                  <w:tcW w:w="259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钼酸铵分光光度法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GB/T 11893-1989</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81" w:hRule="atLeast"/>
                <w:jc w:val="center"/>
              </w:trPr>
              <w:tc>
                <w:tcPr>
                  <w:tcW w:w="650"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w:t>
                  </w:r>
                </w:p>
              </w:tc>
              <w:tc>
                <w:tcPr>
                  <w:tcW w:w="733" w:type="dxa"/>
                  <w:vMerge w:val="restart"/>
                  <w:tcBorders>
                    <w:top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废气监测</w:t>
                  </w:r>
                </w:p>
              </w:tc>
              <w:tc>
                <w:tcPr>
                  <w:tcW w:w="1997" w:type="dxa"/>
                  <w:vMerge w:val="restart"/>
                  <w:tcBorders>
                    <w:top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zh-CN" w:eastAsia="zh-CN" w:bidi="ar"/>
                    </w:rPr>
                    <w:t>非甲烷总烃</w:t>
                  </w:r>
                </w:p>
              </w:tc>
              <w:tc>
                <w:tcPr>
                  <w:tcW w:w="2595" w:type="dxa"/>
                  <w:vMerge w:val="restart"/>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zh-CN" w:eastAsia="zh-CN" w:bidi="ar"/>
                    </w:rPr>
                    <w:t>气相色谱法</w:t>
                  </w:r>
                  <w:r>
                    <w:rPr>
                      <w:rFonts w:hint="eastAsia" w:ascii="Times New Roman" w:hAnsi="Times New Roman" w:eastAsia="宋体" w:cs="Times New Roman"/>
                      <w:b w:val="0"/>
                      <w:i w:val="0"/>
                      <w:color w:val="000000"/>
                      <w:kern w:val="0"/>
                      <w:sz w:val="21"/>
                      <w:szCs w:val="21"/>
                      <w:lang w:val="en-US" w:eastAsia="zh-CN" w:bidi="ar"/>
                    </w:rPr>
                    <w:t xml:space="preserve"> </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zh-CN" w:eastAsia="zh-CN" w:bidi="ar"/>
                    </w:rPr>
                    <w:t>HJ</w:t>
                  </w:r>
                  <w:r>
                    <w:rPr>
                      <w:rFonts w:hint="eastAsia" w:ascii="Times New Roman" w:hAnsi="Times New Roman" w:eastAsia="宋体" w:cs="Times New Roman"/>
                      <w:b w:val="0"/>
                      <w:i w:val="0"/>
                      <w:color w:val="000000"/>
                      <w:kern w:val="0"/>
                      <w:sz w:val="21"/>
                      <w:szCs w:val="21"/>
                      <w:lang w:val="en-US" w:eastAsia="zh-CN" w:bidi="ar"/>
                    </w:rPr>
                    <w:t xml:space="preserve"> </w:t>
                  </w:r>
                  <w:r>
                    <w:rPr>
                      <w:rFonts w:hint="eastAsia" w:ascii="Times New Roman" w:hAnsi="Times New Roman" w:eastAsia="宋体" w:cs="Times New Roman"/>
                      <w:b w:val="0"/>
                      <w:i w:val="0"/>
                      <w:color w:val="000000"/>
                      <w:kern w:val="0"/>
                      <w:sz w:val="21"/>
                      <w:szCs w:val="21"/>
                      <w:lang w:val="zh-CN" w:eastAsia="zh-CN" w:bidi="ar"/>
                    </w:rPr>
                    <w:t>38-2017</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81" w:hRule="atLeast"/>
                <w:jc w:val="center"/>
              </w:trPr>
              <w:tc>
                <w:tcPr>
                  <w:tcW w:w="650"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vMerge w:val="continue"/>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zh-CN" w:eastAsia="zh-CN" w:bidi="ar"/>
                    </w:rPr>
                  </w:pPr>
                </w:p>
              </w:tc>
              <w:tc>
                <w:tcPr>
                  <w:tcW w:w="2595" w:type="dxa"/>
                  <w:vMerge w:val="continue"/>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p>
              </w:tc>
              <w:tc>
                <w:tcPr>
                  <w:tcW w:w="2725"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en-US" w:eastAsia="zh-CN" w:bidi="ar"/>
                    </w:rPr>
                    <w:t>HJ 604-2017</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81" w:hRule="atLeast"/>
                <w:jc w:val="center"/>
              </w:trPr>
              <w:tc>
                <w:tcPr>
                  <w:tcW w:w="650"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tcBorders>
                    <w:top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zh-CN" w:eastAsia="zh-CN" w:bidi="ar"/>
                    </w:rPr>
                    <w:t>氯化氢</w:t>
                  </w:r>
                </w:p>
              </w:tc>
              <w:tc>
                <w:tcPr>
                  <w:tcW w:w="259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zh-CN" w:eastAsia="zh-CN" w:bidi="ar"/>
                    </w:rPr>
                    <w:t>硫氰酸汞分光光度法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zh-CN" w:eastAsia="zh-CN" w:bidi="ar"/>
                    </w:rPr>
                    <w:t>HJ/T 27-1999</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81" w:hRule="atLeast"/>
                <w:jc w:val="center"/>
              </w:trPr>
              <w:tc>
                <w:tcPr>
                  <w:tcW w:w="650"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en-US" w:eastAsia="zh-CN" w:bidi="ar"/>
                    </w:rPr>
                    <w:t>二氯甲烷</w:t>
                  </w:r>
                </w:p>
              </w:tc>
              <w:tc>
                <w:tcPr>
                  <w:tcW w:w="259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气袋采样-气相色谱法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HJ 1006-2018</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81" w:hRule="atLeast"/>
                <w:jc w:val="center"/>
              </w:trPr>
              <w:tc>
                <w:tcPr>
                  <w:tcW w:w="650"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11</w:t>
                  </w:r>
                </w:p>
              </w:tc>
              <w:tc>
                <w:tcPr>
                  <w:tcW w:w="733"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p>
              </w:tc>
              <w:tc>
                <w:tcPr>
                  <w:tcW w:w="199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zh-CN" w:eastAsia="zh-CN" w:bidi="ar"/>
                    </w:rPr>
                  </w:pPr>
                </w:p>
              </w:tc>
              <w:tc>
                <w:tcPr>
                  <w:tcW w:w="259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en-US" w:eastAsia="zh-CN" w:bidi="ar"/>
                    </w:rPr>
                    <w:t>吸附管采样-热脱附/气相色谱-质谱法</w:t>
                  </w:r>
                </w:p>
              </w:tc>
              <w:tc>
                <w:tcPr>
                  <w:tcW w:w="2725" w:type="dxa"/>
                  <w:tcBorders>
                    <w:top w:val="single" w:color="auto" w:sz="2" w:space="0"/>
                    <w:bottom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zh-CN" w:eastAsia="zh-CN" w:bidi="ar"/>
                    </w:rPr>
                  </w:pPr>
                  <w:r>
                    <w:rPr>
                      <w:rFonts w:hint="eastAsia" w:ascii="Times New Roman" w:hAnsi="Times New Roman" w:eastAsia="宋体" w:cs="Times New Roman"/>
                      <w:b w:val="0"/>
                      <w:i w:val="0"/>
                      <w:color w:val="000000"/>
                      <w:kern w:val="0"/>
                      <w:sz w:val="21"/>
                      <w:szCs w:val="21"/>
                      <w:lang w:val="en-US" w:eastAsia="zh-CN" w:bidi="ar"/>
                    </w:rPr>
                    <w:t>HJ 644-2013</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13" w:hRule="atLeast"/>
                <w:jc w:val="center"/>
              </w:trPr>
              <w:tc>
                <w:tcPr>
                  <w:tcW w:w="650"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12</w:t>
                  </w:r>
                </w:p>
              </w:tc>
              <w:tc>
                <w:tcPr>
                  <w:tcW w:w="733"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噪声监测</w:t>
                  </w:r>
                </w:p>
              </w:tc>
              <w:tc>
                <w:tcPr>
                  <w:tcW w:w="1997"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厂界噪声</w:t>
                  </w:r>
                </w:p>
              </w:tc>
              <w:tc>
                <w:tcPr>
                  <w:tcW w:w="2595"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声级计法</w:t>
                  </w:r>
                </w:p>
              </w:tc>
              <w:tc>
                <w:tcPr>
                  <w:tcW w:w="2725" w:type="dxa"/>
                  <w:tcBorders>
                    <w:top w:val="single" w:color="auto" w:sz="2"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GB</w:t>
                  </w:r>
                  <w:r>
                    <w:rPr>
                      <w:rFonts w:hint="default" w:ascii="Times New Roman" w:hAnsi="Times New Roman" w:eastAsia="宋体" w:cs="Times New Roman"/>
                      <w:b w:val="0"/>
                      <w:i w:val="0"/>
                      <w:color w:val="000000"/>
                      <w:kern w:val="0"/>
                      <w:sz w:val="21"/>
                      <w:szCs w:val="21"/>
                      <w:lang w:val="en-US" w:eastAsia="zh-CN" w:bidi="ar"/>
                    </w:rPr>
                    <w:t xml:space="preserve"> </w:t>
                  </w:r>
                  <w:r>
                    <w:rPr>
                      <w:rFonts w:hint="default" w:ascii="Times New Roman" w:hAnsi="Times New Roman" w:eastAsia="宋体" w:cs="Times New Roman"/>
                      <w:b w:val="0"/>
                      <w:i w:val="0"/>
                      <w:color w:val="000000"/>
                      <w:kern w:val="0"/>
                      <w:sz w:val="21"/>
                      <w:szCs w:val="21"/>
                      <w:lang w:val="zh-CN" w:eastAsia="zh-CN" w:bidi="ar"/>
                    </w:rPr>
                    <w:t>12348-2008</w:t>
                  </w:r>
                </w:p>
              </w:tc>
            </w:tr>
          </w:tbl>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5.3 监测仪器</w:t>
            </w:r>
          </w:p>
          <w:tbl>
            <w:tblPr>
              <w:tblStyle w:val="20"/>
              <w:tblW w:w="8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098"/>
              <w:gridCol w:w="2430"/>
              <w:gridCol w:w="1504"/>
              <w:gridCol w:w="1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auto"/>
                      <w:kern w:val="0"/>
                      <w:sz w:val="21"/>
                      <w:szCs w:val="21"/>
                      <w:lang w:val="en-US" w:eastAsia="zh-CN" w:bidi="ar"/>
                    </w:rPr>
                  </w:pPr>
                  <w:r>
                    <w:rPr>
                      <w:rFonts w:hint="default" w:ascii="Times New Roman" w:hAnsi="Times New Roman" w:eastAsia="宋体" w:cs="Times New Roman"/>
                      <w:b/>
                      <w:bCs/>
                      <w:i w:val="0"/>
                      <w:color w:val="auto"/>
                      <w:kern w:val="0"/>
                      <w:sz w:val="21"/>
                      <w:szCs w:val="21"/>
                      <w:lang w:val="zh-CN" w:eastAsia="zh-CN" w:bidi="ar"/>
                    </w:rPr>
                    <w:t>序号</w:t>
                  </w:r>
                </w:p>
              </w:tc>
              <w:tc>
                <w:tcPr>
                  <w:tcW w:w="2098"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auto"/>
                      <w:kern w:val="0"/>
                      <w:sz w:val="21"/>
                      <w:szCs w:val="21"/>
                      <w:lang w:val="en-US" w:eastAsia="zh-CN" w:bidi="ar"/>
                    </w:rPr>
                  </w:pPr>
                  <w:r>
                    <w:rPr>
                      <w:rFonts w:hint="default" w:ascii="Times New Roman" w:hAnsi="Times New Roman" w:eastAsia="宋体" w:cs="Times New Roman"/>
                      <w:b/>
                      <w:bCs/>
                      <w:i w:val="0"/>
                      <w:color w:val="auto"/>
                      <w:kern w:val="0"/>
                      <w:sz w:val="21"/>
                      <w:szCs w:val="21"/>
                      <w:lang w:val="zh-CN" w:eastAsia="zh-CN" w:bidi="ar"/>
                    </w:rPr>
                    <w:t>仪器型号</w:t>
                  </w:r>
                </w:p>
              </w:tc>
              <w:tc>
                <w:tcPr>
                  <w:tcW w:w="243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auto"/>
                      <w:kern w:val="0"/>
                      <w:sz w:val="21"/>
                      <w:szCs w:val="21"/>
                      <w:lang w:val="en-US" w:eastAsia="zh-CN" w:bidi="ar"/>
                    </w:rPr>
                  </w:pPr>
                  <w:r>
                    <w:rPr>
                      <w:rFonts w:hint="default" w:ascii="Times New Roman" w:hAnsi="Times New Roman" w:eastAsia="宋体" w:cs="Times New Roman"/>
                      <w:b/>
                      <w:bCs/>
                      <w:i w:val="0"/>
                      <w:color w:val="auto"/>
                      <w:kern w:val="0"/>
                      <w:sz w:val="21"/>
                      <w:szCs w:val="21"/>
                      <w:lang w:val="zh-CN" w:eastAsia="zh-CN" w:bidi="ar"/>
                    </w:rPr>
                    <w:t>仪器名称</w:t>
                  </w:r>
                </w:p>
              </w:tc>
              <w:tc>
                <w:tcPr>
                  <w:tcW w:w="1504"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auto"/>
                      <w:kern w:val="0"/>
                      <w:sz w:val="21"/>
                      <w:szCs w:val="21"/>
                      <w:lang w:val="en-US" w:eastAsia="zh-CN" w:bidi="ar"/>
                    </w:rPr>
                  </w:pPr>
                  <w:r>
                    <w:rPr>
                      <w:rFonts w:hint="default" w:ascii="Times New Roman" w:hAnsi="Times New Roman" w:eastAsia="宋体" w:cs="Times New Roman"/>
                      <w:b/>
                      <w:bCs/>
                      <w:i w:val="0"/>
                      <w:color w:val="auto"/>
                      <w:kern w:val="0"/>
                      <w:sz w:val="21"/>
                      <w:szCs w:val="21"/>
                      <w:lang w:val="zh-CN" w:eastAsia="zh-CN" w:bidi="ar"/>
                    </w:rPr>
                    <w:t>仪器编号</w:t>
                  </w:r>
                </w:p>
              </w:tc>
              <w:tc>
                <w:tcPr>
                  <w:tcW w:w="174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auto"/>
                      <w:kern w:val="0"/>
                      <w:sz w:val="21"/>
                      <w:szCs w:val="21"/>
                      <w:lang w:val="en-US" w:eastAsia="zh-CN" w:bidi="ar"/>
                    </w:rPr>
                  </w:pPr>
                  <w:r>
                    <w:rPr>
                      <w:rFonts w:hint="default" w:ascii="Times New Roman" w:hAnsi="Times New Roman" w:eastAsia="宋体" w:cs="Times New Roman"/>
                      <w:b/>
                      <w:bCs/>
                      <w:i w:val="0"/>
                      <w:color w:val="auto"/>
                      <w:kern w:val="0"/>
                      <w:sz w:val="21"/>
                      <w:szCs w:val="21"/>
                      <w:lang w:val="zh-CN" w:eastAsia="zh-CN" w:bidi="ar"/>
                    </w:rPr>
                    <w:t>是否检定</w:t>
                  </w:r>
                  <w:r>
                    <w:rPr>
                      <w:rFonts w:hint="default" w:ascii="Times New Roman" w:hAnsi="Times New Roman" w:eastAsia="宋体" w:cs="Times New Roman"/>
                      <w:b/>
                      <w:bCs/>
                      <w:i w:val="0"/>
                      <w:color w:val="auto"/>
                      <w:kern w:val="0"/>
                      <w:sz w:val="21"/>
                      <w:szCs w:val="21"/>
                      <w:lang w:val="en-US" w:eastAsia="zh-CN" w:bidi="ar"/>
                    </w:rPr>
                    <w:t>/校准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1</w:t>
                  </w:r>
                </w:p>
              </w:tc>
              <w:tc>
                <w:tcPr>
                  <w:tcW w:w="2098"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YQ3000-C型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全自动烟尘（气）测试仪</w:t>
                  </w:r>
                </w:p>
              </w:tc>
              <w:tc>
                <w:tcPr>
                  <w:tcW w:w="1504"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1</w:t>
                  </w:r>
                </w:p>
              </w:tc>
              <w:tc>
                <w:tcPr>
                  <w:tcW w:w="174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2</w:t>
                  </w:r>
                </w:p>
              </w:tc>
              <w:tc>
                <w:tcPr>
                  <w:tcW w:w="2098"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MH1200-B型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全自动大气采样器</w:t>
                  </w:r>
                </w:p>
              </w:tc>
              <w:tc>
                <w:tcPr>
                  <w:tcW w:w="1504"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6</w:t>
                  </w:r>
                </w:p>
              </w:tc>
              <w:tc>
                <w:tcPr>
                  <w:tcW w:w="174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3</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MH1200型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大气/颗粒物综合采样器</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121</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4</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MH1200型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大气/颗粒物综合采样器</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122</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5</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MH1200型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大气/颗粒物综合采样器</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-123</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6</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MH1200型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大气/颗粒物综合采样器</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124</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7</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AWA</w:t>
                  </w:r>
                  <w:r>
                    <w:rPr>
                      <w:rFonts w:hint="eastAsia" w:ascii="Times New Roman" w:hAnsi="Times New Roman" w:eastAsia="宋体" w:cs="Times New Roman"/>
                      <w:b w:val="0"/>
                      <w:i w:val="0"/>
                      <w:color w:val="auto"/>
                      <w:kern w:val="0"/>
                      <w:sz w:val="21"/>
                      <w:szCs w:val="21"/>
                      <w:lang w:val="en-US" w:eastAsia="zh-CN" w:bidi="ar"/>
                    </w:rPr>
                    <w:t>5688</w:t>
                  </w:r>
                  <w:r>
                    <w:rPr>
                      <w:rFonts w:hint="default" w:ascii="Times New Roman" w:hAnsi="Times New Roman" w:eastAsia="宋体" w:cs="Times New Roman"/>
                      <w:b w:val="0"/>
                      <w:i w:val="0"/>
                      <w:color w:val="auto"/>
                      <w:kern w:val="0"/>
                      <w:sz w:val="21"/>
                      <w:szCs w:val="21"/>
                      <w:lang w:val="en-US" w:eastAsia="zh-CN" w:bidi="ar"/>
                    </w:rPr>
                    <w:t>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多功能声级计</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w:t>
                  </w:r>
                  <w:r>
                    <w:rPr>
                      <w:rFonts w:hint="eastAsia" w:ascii="Times New Roman" w:hAnsi="Times New Roman" w:eastAsia="宋体" w:cs="Times New Roman"/>
                      <w:b w:val="0"/>
                      <w:i w:val="0"/>
                      <w:color w:val="auto"/>
                      <w:kern w:val="0"/>
                      <w:sz w:val="21"/>
                      <w:szCs w:val="21"/>
                      <w:lang w:val="en-US" w:eastAsia="zh-CN" w:bidi="ar"/>
                    </w:rPr>
                    <w:t>248</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8</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highlight w:val="none"/>
                      <w:lang w:val="en-US" w:eastAsia="zh-CN" w:bidi="ar"/>
                    </w:rPr>
                  </w:pPr>
                  <w:r>
                    <w:rPr>
                      <w:rFonts w:hint="default" w:ascii="Times New Roman" w:hAnsi="Times New Roman" w:eastAsia="宋体" w:cs="Times New Roman"/>
                      <w:b w:val="0"/>
                      <w:i w:val="0"/>
                      <w:color w:val="auto"/>
                      <w:kern w:val="0"/>
                      <w:sz w:val="21"/>
                      <w:szCs w:val="21"/>
                      <w:highlight w:val="none"/>
                      <w:lang w:val="en-US" w:eastAsia="zh-CN" w:bidi="ar"/>
                    </w:rPr>
                    <w:t>HI98128型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highlight w:val="none"/>
                      <w:lang w:val="en-US" w:eastAsia="zh-CN" w:bidi="ar"/>
                    </w:rPr>
                  </w:pPr>
                  <w:r>
                    <w:rPr>
                      <w:rFonts w:hint="default" w:ascii="Times New Roman" w:hAnsi="Times New Roman" w:eastAsia="宋体" w:cs="Times New Roman"/>
                      <w:b w:val="0"/>
                      <w:i w:val="0"/>
                      <w:color w:val="auto"/>
                      <w:kern w:val="0"/>
                      <w:sz w:val="21"/>
                      <w:szCs w:val="21"/>
                      <w:highlight w:val="none"/>
                      <w:lang w:val="en-US" w:eastAsia="zh-CN" w:bidi="ar"/>
                    </w:rPr>
                    <w:t>防水型袖珍PH计</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highlight w:val="none"/>
                      <w:lang w:val="en-US" w:eastAsia="zh-CN" w:bidi="ar"/>
                    </w:rPr>
                  </w:pPr>
                  <w:r>
                    <w:rPr>
                      <w:rFonts w:hint="default" w:ascii="Times New Roman" w:hAnsi="Times New Roman" w:eastAsia="宋体" w:cs="Times New Roman"/>
                      <w:b w:val="0"/>
                      <w:i w:val="0"/>
                      <w:color w:val="auto"/>
                      <w:kern w:val="0"/>
                      <w:sz w:val="21"/>
                      <w:szCs w:val="21"/>
                      <w:highlight w:val="none"/>
                      <w:lang w:val="en-US" w:eastAsia="zh-CN" w:bidi="ar"/>
                    </w:rPr>
                    <w:t>EQ-</w:t>
                  </w:r>
                  <w:r>
                    <w:rPr>
                      <w:rFonts w:hint="eastAsia" w:ascii="Times New Roman" w:hAnsi="Times New Roman" w:eastAsia="宋体" w:cs="Times New Roman"/>
                      <w:b w:val="0"/>
                      <w:i w:val="0"/>
                      <w:color w:val="auto"/>
                      <w:kern w:val="0"/>
                      <w:sz w:val="21"/>
                      <w:szCs w:val="21"/>
                      <w:highlight w:val="none"/>
                      <w:lang w:val="en-US" w:eastAsia="zh-CN" w:bidi="ar"/>
                    </w:rPr>
                    <w:t>249</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9</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722S型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分光光度计</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EQ-40</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10</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新型</w:t>
                  </w:r>
                  <w:r>
                    <w:rPr>
                      <w:rFonts w:hint="default" w:ascii="Times New Roman" w:hAnsi="Times New Roman" w:eastAsia="宋体" w:cs="Times New Roman"/>
                      <w:b w:val="0"/>
                      <w:i w:val="0"/>
                      <w:color w:val="auto"/>
                      <w:kern w:val="0"/>
                      <w:sz w:val="21"/>
                      <w:szCs w:val="21"/>
                      <w:lang w:val="en-US" w:eastAsia="zh-CN" w:bidi="ar"/>
                    </w:rPr>
                    <w:t>SSM-6型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多练过滤器</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EQ-50</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11</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KHCOD-100型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zh-CN" w:eastAsia="zh-CN" w:bidi="ar"/>
                    </w:rPr>
                    <w:t>自动消解回流仪</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EQ-53</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1"/>
                      <w:szCs w:val="21"/>
                      <w:lang w:val="en-US"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12</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GC-9790A型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气相色谱仪</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EQ-125</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2"/>
                      <w:szCs w:val="22"/>
                      <w:lang w:val="en-US"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13</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highlight w:val="none"/>
                      <w:lang w:val="en-US" w:eastAsia="zh-CN" w:bidi="ar"/>
                    </w:rPr>
                  </w:pPr>
                  <w:r>
                    <w:rPr>
                      <w:rFonts w:hint="eastAsia" w:ascii="Times New Roman" w:hAnsi="Times New Roman" w:eastAsia="宋体" w:cs="Times New Roman"/>
                      <w:b w:val="0"/>
                      <w:i w:val="0"/>
                      <w:color w:val="auto"/>
                      <w:kern w:val="0"/>
                      <w:sz w:val="21"/>
                      <w:szCs w:val="21"/>
                      <w:highlight w:val="none"/>
                      <w:lang w:val="en-US" w:eastAsia="zh-CN" w:bidi="ar"/>
                    </w:rPr>
                    <w:t>GC-2010plus-GCMS-QP2010ne型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气相色谱-质谱联用仪</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EQ-190</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2"/>
                      <w:szCs w:val="22"/>
                      <w:lang w:val="en-US" w:eastAsia="zh-CN" w:bidi="ar"/>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5"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14</w:t>
                  </w:r>
                </w:p>
              </w:tc>
              <w:tc>
                <w:tcPr>
                  <w:tcW w:w="209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auto"/>
                      <w:kern w:val="0"/>
                      <w:sz w:val="21"/>
                      <w:szCs w:val="21"/>
                      <w:highlight w:val="none"/>
                      <w:lang w:val="en-US" w:eastAsia="zh-CN" w:bidi="ar"/>
                    </w:rPr>
                  </w:pPr>
                  <w:r>
                    <w:rPr>
                      <w:rFonts w:hint="eastAsia" w:ascii="Times New Roman" w:hAnsi="Times New Roman" w:eastAsia="宋体" w:cs="Times New Roman"/>
                      <w:b w:val="0"/>
                      <w:i w:val="0"/>
                      <w:color w:val="auto"/>
                      <w:kern w:val="0"/>
                      <w:sz w:val="21"/>
                      <w:szCs w:val="21"/>
                      <w:highlight w:val="none"/>
                      <w:lang w:val="en-US" w:eastAsia="zh-CN" w:bidi="ar"/>
                    </w:rPr>
                    <w:t>Acrichi ATD II-26型</w:t>
                  </w:r>
                </w:p>
              </w:tc>
              <w:tc>
                <w:tcPr>
                  <w:tcW w:w="24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全自动二次热脱附仪</w:t>
                  </w:r>
                </w:p>
              </w:tc>
              <w:tc>
                <w:tcPr>
                  <w:tcW w:w="150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EQ-351</w:t>
                  </w:r>
                </w:p>
              </w:tc>
              <w:tc>
                <w:tcPr>
                  <w:tcW w:w="17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auto"/>
                      <w:kern w:val="0"/>
                      <w:sz w:val="21"/>
                      <w:szCs w:val="21"/>
                      <w:lang w:val="zh-CN" w:eastAsia="zh-CN" w:bidi="ar"/>
                    </w:rPr>
                  </w:pPr>
                  <w:r>
                    <w:rPr>
                      <w:rFonts w:hint="default" w:ascii="Times New Roman" w:hAnsi="Times New Roman" w:eastAsia="宋体" w:cs="Times New Roman"/>
                      <w:b w:val="0"/>
                      <w:i w:val="0"/>
                      <w:color w:val="auto"/>
                      <w:kern w:val="0"/>
                      <w:sz w:val="22"/>
                      <w:szCs w:val="22"/>
                      <w:lang w:val="en-US" w:eastAsia="zh-CN" w:bidi="ar"/>
                    </w:rPr>
                    <w:t>是</w:t>
                  </w:r>
                </w:p>
              </w:tc>
            </w:tr>
          </w:tbl>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5.4水质监测分析过程中的质量保证和质量控制</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水样的采集、运输、保存、实验室分析和数据计算的全过程均按《环境水质监测质量保证手册》（第四版）的要求进行。采样过程中按照总体水样数量，</w:t>
            </w:r>
            <w:r>
              <w:rPr>
                <w:rStyle w:val="26"/>
                <w:rFonts w:hint="eastAsia" w:ascii="Times New Roman" w:hAnsi="Times New Roman" w:eastAsia="宋体" w:cs="Times New Roman"/>
                <w:sz w:val="21"/>
                <w:szCs w:val="21"/>
                <w:lang w:val="en-US" w:eastAsia="zh-CN"/>
              </w:rPr>
              <w:t>检测</w:t>
            </w:r>
            <w:r>
              <w:rPr>
                <w:rStyle w:val="26"/>
                <w:rFonts w:hint="default" w:ascii="Times New Roman" w:hAnsi="Times New Roman" w:eastAsia="宋体" w:cs="Times New Roman"/>
                <w:sz w:val="21"/>
                <w:szCs w:val="21"/>
                <w:lang w:val="en-US" w:eastAsia="zh-CN"/>
              </w:rPr>
              <w:t>单位采集了一定比例的平行样；实验室分析过程</w:t>
            </w:r>
            <w:r>
              <w:rPr>
                <w:rStyle w:val="26"/>
                <w:rFonts w:hint="eastAsia" w:ascii="Times New Roman" w:hAnsi="Times New Roman" w:eastAsia="宋体" w:cs="Times New Roman"/>
                <w:sz w:val="21"/>
                <w:szCs w:val="21"/>
                <w:lang w:val="en-US" w:eastAsia="zh-CN"/>
              </w:rPr>
              <w:t>检测</w:t>
            </w:r>
            <w:r>
              <w:rPr>
                <w:rStyle w:val="26"/>
                <w:rFonts w:hint="default" w:ascii="Times New Roman" w:hAnsi="Times New Roman" w:eastAsia="宋体" w:cs="Times New Roman"/>
                <w:sz w:val="21"/>
                <w:szCs w:val="21"/>
                <w:lang w:val="en-US" w:eastAsia="zh-CN"/>
              </w:rPr>
              <w:t>单位会使用标准物质、采用空白试验、平行样测定、加标回收率测定等方法，并对质控数据分析。</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5.5气体监测分析过程中的质量保证和质量控制</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（1）选择合适的方法尽量避免或减少被测排放物中共存污染物对目标化合物的干扰。方法的检出限应满足要求。</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（2）被测排放物的浓度在仪器量程的有效范围。</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（3）烟尘采样器在进入现场前应对采样器流量计等进行校核。烟气监测（分析）仪器在监测前按监测因子分别用标准气体和流量计对其进行校核（标定），在监测时应保证其采样流量的准确。</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5.6噪声监测分析过程中的质量保证和质量控制</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仿宋_GB2312" w:cs="Times New Roman"/>
                <w:color w:val="000000"/>
                <w:sz w:val="21"/>
                <w:szCs w:val="21"/>
              </w:rPr>
            </w:pPr>
            <w:r>
              <w:rPr>
                <w:rStyle w:val="26"/>
                <w:rFonts w:hint="default" w:ascii="Times New Roman" w:hAnsi="Times New Roman" w:eastAsia="宋体" w:cs="Times New Roman"/>
                <w:sz w:val="21"/>
                <w:szCs w:val="21"/>
                <w:lang w:val="en-US" w:eastAsia="zh-CN"/>
              </w:rPr>
              <w:t>在进行现场测量噪声前，对声级计进行校准是否符合小于等于0.4分贝的要求；测量前后对声级计的灵敏度也需要相应的测定，测量前后灵敏度大于0.5分贝的话，则数据无效。</w:t>
            </w:r>
          </w:p>
        </w:tc>
      </w:tr>
    </w:tbl>
    <w:p>
      <w:pPr>
        <w:spacing w:line="360" w:lineRule="auto"/>
        <w:rPr>
          <w:rFonts w:eastAsia="仿宋_GB2312"/>
          <w:color w:val="000000"/>
          <w:sz w:val="21"/>
          <w:szCs w:val="21"/>
        </w:rPr>
        <w:sectPr>
          <w:pgSz w:w="11906" w:h="16838"/>
          <w:pgMar w:top="1440" w:right="1800" w:bottom="1440" w:left="1800" w:header="708" w:footer="708" w:gutter="0"/>
          <w:pgNumType w:fmt="decimal"/>
          <w:cols w:space="720" w:num="1"/>
          <w:docGrid w:linePitch="360" w:charSpace="0"/>
        </w:sectPr>
      </w:pPr>
    </w:p>
    <w:p>
      <w:pPr>
        <w:spacing w:after="0" w:afterLines="0" w:line="360" w:lineRule="auto"/>
        <w:rPr>
          <w:rFonts w:hint="eastAsia" w:eastAsia="仿宋_GB2312"/>
          <w:b/>
          <w:color w:val="000000"/>
          <w:sz w:val="21"/>
          <w:szCs w:val="21"/>
          <w:lang w:val="en-US" w:eastAsia="zh-CN"/>
        </w:rPr>
      </w:pPr>
      <w:r>
        <w:rPr>
          <w:rFonts w:hint="eastAsia" w:eastAsia="仿宋_GB2312"/>
          <w:b/>
          <w:color w:val="000000"/>
          <w:sz w:val="21"/>
          <w:szCs w:val="21"/>
          <w:lang w:val="en-US" w:eastAsia="zh-CN"/>
        </w:rPr>
        <w:t>表六</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924" w:type="dxa"/>
            <w:vAlign w:val="top"/>
          </w:tcPr>
          <w:p>
            <w:pPr>
              <w:keepNext w:val="0"/>
              <w:keepLines w:val="0"/>
              <w:widowControl/>
              <w:suppressLineNumbers w:val="0"/>
              <w:spacing w:before="0" w:beforeAutospacing="0" w:after="0" w:afterLines="0" w:afterAutospacing="0" w:line="360" w:lineRule="auto"/>
              <w:ind w:left="0" w:right="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6.1验收监测内容：</w:t>
            </w:r>
          </w:p>
          <w:p>
            <w:pPr>
              <w:keepNext w:val="0"/>
              <w:keepLines w:val="0"/>
              <w:widowControl/>
              <w:suppressLineNumbers w:val="0"/>
              <w:spacing w:before="0" w:beforeAutospacing="0" w:after="0" w:afterLines="0" w:afterAutospacing="0" w:line="360" w:lineRule="auto"/>
              <w:ind w:left="0" w:right="0" w:firstLine="422" w:firstLineChars="20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表</w:t>
            </w:r>
            <w:r>
              <w:rPr>
                <w:rFonts w:hint="eastAsia" w:ascii="Times New Roman" w:hAnsi="Times New Roman" w:eastAsia="宋体" w:cs="Times New Roman"/>
                <w:b/>
                <w:bCs/>
                <w:color w:val="000000"/>
                <w:sz w:val="21"/>
                <w:szCs w:val="21"/>
                <w:lang w:val="en-US" w:eastAsia="zh-CN"/>
              </w:rPr>
              <w:t>6</w:t>
            </w:r>
            <w:r>
              <w:rPr>
                <w:rFonts w:hint="default" w:ascii="Times New Roman" w:hAnsi="Times New Roman" w:eastAsia="宋体" w:cs="Times New Roman"/>
                <w:b/>
                <w:bCs/>
                <w:color w:val="000000"/>
                <w:sz w:val="21"/>
                <w:szCs w:val="21"/>
                <w:lang w:val="en-US" w:eastAsia="zh-CN"/>
              </w:rPr>
              <w:t>-1 监测内容表</w:t>
            </w:r>
          </w:p>
          <w:tbl>
            <w:tblPr>
              <w:tblStyle w:val="19"/>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3405"/>
              <w:gridCol w:w="2336"/>
              <w:gridCol w:w="1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en-US" w:eastAsia="zh-CN" w:bidi="ar"/>
                    </w:rPr>
                  </w:pPr>
                  <w:r>
                    <w:rPr>
                      <w:rFonts w:hint="default" w:ascii="Times New Roman" w:hAnsi="Times New Roman" w:eastAsia="宋体" w:cs="Times New Roman"/>
                      <w:b/>
                      <w:bCs/>
                      <w:i w:val="0"/>
                      <w:color w:val="000000"/>
                      <w:kern w:val="0"/>
                      <w:sz w:val="21"/>
                      <w:szCs w:val="21"/>
                      <w:lang w:val="en-US" w:eastAsia="zh-CN" w:bidi="ar"/>
                    </w:rPr>
                    <w:t>监测内容</w:t>
                  </w: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en-US" w:eastAsia="zh-CN" w:bidi="ar"/>
                    </w:rPr>
                  </w:pPr>
                  <w:r>
                    <w:rPr>
                      <w:rFonts w:hint="default" w:ascii="Times New Roman" w:hAnsi="Times New Roman" w:eastAsia="宋体" w:cs="Times New Roman"/>
                      <w:b/>
                      <w:bCs/>
                      <w:i w:val="0"/>
                      <w:color w:val="000000"/>
                      <w:kern w:val="0"/>
                      <w:sz w:val="21"/>
                      <w:szCs w:val="21"/>
                      <w:lang w:val="en-US" w:eastAsia="zh-CN" w:bidi="ar"/>
                    </w:rPr>
                    <w:t>测点位置名称</w:t>
                  </w:r>
                </w:p>
              </w:tc>
              <w:tc>
                <w:tcPr>
                  <w:tcW w:w="2336"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en-US" w:eastAsia="zh-CN" w:bidi="ar"/>
                    </w:rPr>
                  </w:pPr>
                  <w:r>
                    <w:rPr>
                      <w:rFonts w:hint="default" w:ascii="Times New Roman" w:hAnsi="Times New Roman" w:eastAsia="宋体" w:cs="Times New Roman"/>
                      <w:b/>
                      <w:bCs/>
                      <w:i w:val="0"/>
                      <w:color w:val="000000"/>
                      <w:kern w:val="0"/>
                      <w:sz w:val="21"/>
                      <w:szCs w:val="21"/>
                      <w:lang w:val="en-US" w:eastAsia="zh-CN" w:bidi="ar"/>
                    </w:rPr>
                    <w:t>监测项目</w:t>
                  </w:r>
                </w:p>
              </w:tc>
              <w:tc>
                <w:tcPr>
                  <w:tcW w:w="190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bCs/>
                      <w:i w:val="0"/>
                      <w:color w:val="000000"/>
                      <w:kern w:val="0"/>
                      <w:sz w:val="21"/>
                      <w:szCs w:val="21"/>
                      <w:lang w:val="en-US" w:eastAsia="zh-CN" w:bidi="ar"/>
                    </w:rPr>
                  </w:pPr>
                  <w:r>
                    <w:rPr>
                      <w:rFonts w:hint="default" w:ascii="Times New Roman" w:hAnsi="Times New Roman" w:eastAsia="宋体" w:cs="Times New Roman"/>
                      <w:b/>
                      <w:bCs/>
                      <w:i w:val="0"/>
                      <w:color w:val="000000"/>
                      <w:kern w:val="0"/>
                      <w:sz w:val="21"/>
                      <w:szCs w:val="21"/>
                      <w:lang w:val="en-US" w:eastAsia="zh-CN" w:bidi="ar"/>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127"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废水</w:t>
                  </w: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Style w:val="26"/>
                      <w:rFonts w:hint="eastAsia" w:ascii="Times New Roman" w:hAnsi="Times New Roman" w:eastAsia="宋体" w:cs="Times New Roman"/>
                      <w:sz w:val="21"/>
                      <w:szCs w:val="21"/>
                      <w:lang w:val="en-US" w:eastAsia="zh-CN"/>
                    </w:rPr>
                    <w:t>生活污水总排口★G</w:t>
                  </w:r>
                </w:p>
              </w:tc>
              <w:tc>
                <w:tcPr>
                  <w:tcW w:w="2336"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pH值、化学需氧量、五日生化需氧量</w:t>
                  </w: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氨氮、悬浮物</w:t>
                  </w:r>
                  <w:r>
                    <w:rPr>
                      <w:rFonts w:hint="eastAsia" w:ascii="Times New Roman" w:hAnsi="Times New Roman" w:eastAsia="宋体" w:cs="Times New Roman"/>
                      <w:b w:val="0"/>
                      <w:i w:val="0"/>
                      <w:color w:val="000000"/>
                      <w:kern w:val="0"/>
                      <w:sz w:val="21"/>
                      <w:szCs w:val="21"/>
                      <w:lang w:val="en-US" w:eastAsia="zh-CN" w:bidi="ar"/>
                    </w:rPr>
                    <w:t>、总磷</w:t>
                  </w:r>
                </w:p>
              </w:tc>
              <w:tc>
                <w:tcPr>
                  <w:tcW w:w="190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监测1周期/天，</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w:t>
                  </w:r>
                  <w:r>
                    <w:rPr>
                      <w:rFonts w:hint="default" w:ascii="Times New Roman" w:hAnsi="Times New Roman" w:eastAsia="宋体" w:cs="Times New Roman"/>
                      <w:b w:val="0"/>
                      <w:i w:val="0"/>
                      <w:color w:val="000000"/>
                      <w:kern w:val="0"/>
                      <w:sz w:val="21"/>
                      <w:szCs w:val="21"/>
                      <w:lang w:val="en-US" w:eastAsia="zh-CN" w:bidi="ar"/>
                    </w:rPr>
                    <w:t>次/周期，</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有效监测两天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127"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废气</w:t>
                  </w: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实验室废气出口◎A</w:t>
                  </w:r>
                </w:p>
              </w:tc>
              <w:tc>
                <w:tcPr>
                  <w:tcW w:w="2336"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非甲烷总烃、氯化氢、二氯甲烷</w:t>
                  </w:r>
                </w:p>
              </w:tc>
              <w:tc>
                <w:tcPr>
                  <w:tcW w:w="190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监测1周期/天，</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r>
                    <w:rPr>
                      <w:rFonts w:hint="default" w:ascii="Times New Roman" w:hAnsi="Times New Roman" w:eastAsia="宋体" w:cs="Times New Roman"/>
                      <w:b w:val="0"/>
                      <w:i w:val="0"/>
                      <w:color w:val="000000"/>
                      <w:kern w:val="0"/>
                      <w:sz w:val="21"/>
                      <w:szCs w:val="21"/>
                      <w:lang w:val="en-US" w:eastAsia="zh-CN" w:bidi="ar"/>
                    </w:rPr>
                    <w:t>次/周期，</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有效监测两天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厂区内无组织监控点</w:t>
                  </w:r>
                  <w:r>
                    <w:rPr>
                      <w:rFonts w:hint="eastAsia" w:ascii="Times New Roman" w:hAnsi="Times New Roman" w:eastAsia="宋体" w:cs="Times New Roman"/>
                      <w:b w:val="0"/>
                      <w:i w:val="0"/>
                      <w:color w:val="000000"/>
                      <w:kern w:val="0"/>
                      <w:sz w:val="21"/>
                      <w:szCs w:val="21"/>
                      <w:lang w:val="en-US" w:eastAsia="zh-CN" w:bidi="ar"/>
                    </w:rPr>
                    <w:t>○B</w:t>
                  </w:r>
                </w:p>
              </w:tc>
              <w:tc>
                <w:tcPr>
                  <w:tcW w:w="2336"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w:t>
                  </w:r>
                </w:p>
              </w:tc>
              <w:tc>
                <w:tcPr>
                  <w:tcW w:w="1909"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监测1周期/天，</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w:t>
                  </w:r>
                  <w:r>
                    <w:rPr>
                      <w:rFonts w:hint="default" w:ascii="Times New Roman" w:hAnsi="Times New Roman" w:eastAsia="宋体" w:cs="Times New Roman"/>
                      <w:b w:val="0"/>
                      <w:i w:val="0"/>
                      <w:color w:val="000000"/>
                      <w:kern w:val="0"/>
                      <w:sz w:val="21"/>
                      <w:szCs w:val="21"/>
                      <w:lang w:val="en-US" w:eastAsia="zh-CN" w:bidi="ar"/>
                    </w:rPr>
                    <w:t>次/周期，</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有效监测两天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上风向</w:t>
                  </w:r>
                  <w:r>
                    <w:rPr>
                      <w:rFonts w:hint="default" w:ascii="Times New Roman" w:hAnsi="Times New Roman" w:eastAsia="宋体" w:cs="Times New Roman"/>
                      <w:b w:val="0"/>
                      <w:i w:val="0"/>
                      <w:color w:val="000000"/>
                      <w:kern w:val="0"/>
                      <w:sz w:val="21"/>
                      <w:szCs w:val="21"/>
                      <w:lang w:val="en-US" w:eastAsia="zh-CN" w:bidi="ar"/>
                    </w:rPr>
                    <w:t>无组织监控点</w:t>
                  </w:r>
                  <w:r>
                    <w:rPr>
                      <w:rFonts w:hint="eastAsia" w:ascii="Times New Roman" w:hAnsi="Times New Roman" w:eastAsia="宋体" w:cs="Times New Roman"/>
                      <w:b w:val="0"/>
                      <w:i w:val="0"/>
                      <w:color w:val="000000"/>
                      <w:kern w:val="0"/>
                      <w:sz w:val="21"/>
                      <w:szCs w:val="21"/>
                      <w:lang w:val="en-US" w:eastAsia="zh-CN" w:bidi="ar"/>
                    </w:rPr>
                    <w:t>○C</w:t>
                  </w:r>
                </w:p>
              </w:tc>
              <w:tc>
                <w:tcPr>
                  <w:tcW w:w="2336"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非甲烷总烃、氯化氢、二氯甲烷</w:t>
                  </w:r>
                </w:p>
              </w:tc>
              <w:tc>
                <w:tcPr>
                  <w:tcW w:w="1909"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下风向</w:t>
                  </w:r>
                  <w:r>
                    <w:rPr>
                      <w:rFonts w:hint="default" w:ascii="Times New Roman" w:hAnsi="Times New Roman" w:eastAsia="宋体" w:cs="Times New Roman"/>
                      <w:b w:val="0"/>
                      <w:i w:val="0"/>
                      <w:color w:val="000000"/>
                      <w:kern w:val="0"/>
                      <w:sz w:val="21"/>
                      <w:szCs w:val="21"/>
                      <w:lang w:val="en-US" w:eastAsia="zh-CN" w:bidi="ar"/>
                    </w:rPr>
                    <w:t>无组织监控点</w:t>
                  </w:r>
                  <w:r>
                    <w:rPr>
                      <w:rFonts w:hint="eastAsia" w:ascii="Times New Roman" w:hAnsi="Times New Roman" w:eastAsia="宋体" w:cs="Times New Roman"/>
                      <w:b w:val="0"/>
                      <w:i w:val="0"/>
                      <w:color w:val="000000"/>
                      <w:kern w:val="0"/>
                      <w:sz w:val="21"/>
                      <w:szCs w:val="21"/>
                      <w:lang w:val="en-US" w:eastAsia="zh-CN" w:bidi="ar"/>
                    </w:rPr>
                    <w:t>○D</w:t>
                  </w:r>
                </w:p>
              </w:tc>
              <w:tc>
                <w:tcPr>
                  <w:tcW w:w="2336"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909"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下风向</w:t>
                  </w:r>
                  <w:r>
                    <w:rPr>
                      <w:rFonts w:hint="default" w:ascii="Times New Roman" w:hAnsi="Times New Roman" w:eastAsia="宋体" w:cs="Times New Roman"/>
                      <w:b w:val="0"/>
                      <w:i w:val="0"/>
                      <w:color w:val="000000"/>
                      <w:kern w:val="0"/>
                      <w:sz w:val="21"/>
                      <w:szCs w:val="21"/>
                      <w:lang w:val="en-US" w:eastAsia="zh-CN" w:bidi="ar"/>
                    </w:rPr>
                    <w:t>无组织监控点</w:t>
                  </w:r>
                  <w:r>
                    <w:rPr>
                      <w:rFonts w:hint="eastAsia" w:ascii="Times New Roman" w:hAnsi="Times New Roman" w:eastAsia="宋体" w:cs="Times New Roman"/>
                      <w:b w:val="0"/>
                      <w:i w:val="0"/>
                      <w:color w:val="000000"/>
                      <w:kern w:val="0"/>
                      <w:sz w:val="21"/>
                      <w:szCs w:val="21"/>
                      <w:lang w:val="en-US" w:eastAsia="zh-CN" w:bidi="ar"/>
                    </w:rPr>
                    <w:t>○E</w:t>
                  </w:r>
                </w:p>
              </w:tc>
              <w:tc>
                <w:tcPr>
                  <w:tcW w:w="2336"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909"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下风向</w:t>
                  </w:r>
                  <w:r>
                    <w:rPr>
                      <w:rFonts w:hint="default" w:ascii="Times New Roman" w:hAnsi="Times New Roman" w:eastAsia="宋体" w:cs="Times New Roman"/>
                      <w:b w:val="0"/>
                      <w:i w:val="0"/>
                      <w:color w:val="000000"/>
                      <w:kern w:val="0"/>
                      <w:sz w:val="21"/>
                      <w:szCs w:val="21"/>
                      <w:lang w:val="en-US" w:eastAsia="zh-CN" w:bidi="ar"/>
                    </w:rPr>
                    <w:t>无组织监控点</w:t>
                  </w:r>
                  <w:r>
                    <w:rPr>
                      <w:rFonts w:hint="eastAsia" w:ascii="Times New Roman" w:hAnsi="Times New Roman" w:eastAsia="宋体" w:cs="Times New Roman"/>
                      <w:b w:val="0"/>
                      <w:i w:val="0"/>
                      <w:color w:val="000000"/>
                      <w:kern w:val="0"/>
                      <w:sz w:val="21"/>
                      <w:szCs w:val="21"/>
                      <w:lang w:val="en-US" w:eastAsia="zh-CN" w:bidi="ar"/>
                    </w:rPr>
                    <w:t>○F</w:t>
                  </w:r>
                </w:p>
              </w:tc>
              <w:tc>
                <w:tcPr>
                  <w:tcW w:w="2336"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909"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噪声</w:t>
                  </w: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厂界东</w:t>
                  </w:r>
                  <w:r>
                    <w:rPr>
                      <w:rFonts w:hint="default" w:ascii="Times New Roman" w:hAnsi="Times New Roman" w:eastAsia="宋体" w:cs="Times New Roman"/>
                      <w:b w:val="0"/>
                      <w:i w:val="0"/>
                      <w:color w:val="000000"/>
                      <w:kern w:val="0"/>
                      <w:sz w:val="21"/>
                      <w:szCs w:val="21"/>
                      <w:lang w:val="en-US" w:eastAsia="zh-CN" w:bidi="ar"/>
                    </w:rPr>
                    <w:t>▲1</w:t>
                  </w:r>
                </w:p>
              </w:tc>
              <w:tc>
                <w:tcPr>
                  <w:tcW w:w="2336"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厂界噪声</w:t>
                  </w:r>
                </w:p>
              </w:tc>
              <w:tc>
                <w:tcPr>
                  <w:tcW w:w="1909"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每天昼间监测</w:t>
                  </w:r>
                  <w:r>
                    <w:rPr>
                      <w:rFonts w:hint="eastAsia" w:ascii="Times New Roman" w:hAnsi="Times New Roman" w:eastAsia="宋体" w:cs="Times New Roman"/>
                      <w:b w:val="0"/>
                      <w:i w:val="0"/>
                      <w:color w:val="000000"/>
                      <w:kern w:val="0"/>
                      <w:sz w:val="21"/>
                      <w:szCs w:val="21"/>
                      <w:lang w:val="en-US" w:eastAsia="zh-CN" w:bidi="ar"/>
                    </w:rPr>
                    <w:t>2</w:t>
                  </w:r>
                  <w:r>
                    <w:rPr>
                      <w:rFonts w:hint="default" w:ascii="Times New Roman" w:hAnsi="Times New Roman" w:eastAsia="宋体" w:cs="Times New Roman"/>
                      <w:b w:val="0"/>
                      <w:i w:val="0"/>
                      <w:color w:val="000000"/>
                      <w:kern w:val="0"/>
                      <w:sz w:val="21"/>
                      <w:szCs w:val="21"/>
                      <w:lang w:val="en-US" w:eastAsia="zh-CN" w:bidi="ar"/>
                    </w:rPr>
                    <w:t>次/周期，有效监测</w:t>
                  </w:r>
                  <w:r>
                    <w:rPr>
                      <w:rFonts w:hint="eastAsia" w:ascii="Times New Roman" w:hAnsi="Times New Roman" w:eastAsia="宋体" w:cs="Times New Roman"/>
                      <w:b w:val="0"/>
                      <w:i w:val="0"/>
                      <w:color w:val="000000"/>
                      <w:kern w:val="0"/>
                      <w:sz w:val="21"/>
                      <w:szCs w:val="21"/>
                      <w:lang w:val="en-US" w:eastAsia="zh-CN" w:bidi="ar"/>
                    </w:rPr>
                    <w:t>两</w:t>
                  </w:r>
                  <w:r>
                    <w:rPr>
                      <w:rFonts w:hint="default" w:ascii="Times New Roman" w:hAnsi="Times New Roman" w:eastAsia="宋体" w:cs="Times New Roman"/>
                      <w:b w:val="0"/>
                      <w:i w:val="0"/>
                      <w:color w:val="000000"/>
                      <w:kern w:val="0"/>
                      <w:sz w:val="21"/>
                      <w:szCs w:val="21"/>
                      <w:lang w:val="en-US" w:eastAsia="zh-CN" w:bidi="ar"/>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厂界南</w:t>
                  </w:r>
                  <w:r>
                    <w:rPr>
                      <w:rFonts w:hint="default" w:ascii="Times New Roman" w:hAnsi="Times New Roman" w:eastAsia="宋体" w:cs="Times New Roman"/>
                      <w:b w:val="0"/>
                      <w:i w:val="0"/>
                      <w:color w:val="000000"/>
                      <w:kern w:val="0"/>
                      <w:sz w:val="21"/>
                      <w:szCs w:val="21"/>
                      <w:lang w:val="en-US" w:eastAsia="zh-CN" w:bidi="ar"/>
                    </w:rPr>
                    <w:t>▲</w:t>
                  </w:r>
                  <w:r>
                    <w:rPr>
                      <w:rFonts w:hint="eastAsia" w:ascii="Times New Roman" w:hAnsi="Times New Roman" w:eastAsia="宋体" w:cs="Times New Roman"/>
                      <w:b w:val="0"/>
                      <w:i w:val="0"/>
                      <w:color w:val="000000"/>
                      <w:kern w:val="0"/>
                      <w:sz w:val="21"/>
                      <w:szCs w:val="21"/>
                      <w:lang w:val="en-US" w:eastAsia="zh-CN" w:bidi="ar"/>
                    </w:rPr>
                    <w:t>2</w:t>
                  </w:r>
                </w:p>
              </w:tc>
              <w:tc>
                <w:tcPr>
                  <w:tcW w:w="2336"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909"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厂界西</w:t>
                  </w:r>
                  <w:r>
                    <w:rPr>
                      <w:rFonts w:hint="default" w:ascii="Times New Roman" w:hAnsi="Times New Roman" w:eastAsia="宋体" w:cs="Times New Roman"/>
                      <w:b w:val="0"/>
                      <w:i w:val="0"/>
                      <w:color w:val="000000"/>
                      <w:kern w:val="0"/>
                      <w:sz w:val="21"/>
                      <w:szCs w:val="21"/>
                      <w:lang w:val="en-US" w:eastAsia="zh-CN" w:bidi="ar"/>
                    </w:rPr>
                    <w:t>▲</w:t>
                  </w:r>
                  <w:r>
                    <w:rPr>
                      <w:rFonts w:hint="eastAsia" w:ascii="Times New Roman" w:hAnsi="Times New Roman" w:eastAsia="宋体" w:cs="Times New Roman"/>
                      <w:b w:val="0"/>
                      <w:i w:val="0"/>
                      <w:color w:val="000000"/>
                      <w:kern w:val="0"/>
                      <w:sz w:val="21"/>
                      <w:szCs w:val="21"/>
                      <w:lang w:val="en-US" w:eastAsia="zh-CN" w:bidi="ar"/>
                    </w:rPr>
                    <w:t>3</w:t>
                  </w:r>
                </w:p>
              </w:tc>
              <w:tc>
                <w:tcPr>
                  <w:tcW w:w="2336"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909"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pPr>
                    <w:pStyle w:val="28"/>
                    <w:keepNext w:val="0"/>
                    <w:keepLines w:val="0"/>
                    <w:widowControl w:val="0"/>
                    <w:suppressLineNumbers w:val="0"/>
                    <w:autoSpaceDE w:val="0"/>
                    <w:autoSpaceDN w:val="0"/>
                    <w:adjustRightInd w:val="0"/>
                    <w:spacing w:before="0" w:beforeAutospacing="0" w:after="200" w:afterAutospacing="0" w:line="100" w:lineRule="atLeast"/>
                    <w:ind w:right="0"/>
                    <w:jc w:val="center"/>
                    <w:rPr>
                      <w:rFonts w:hint="default" w:ascii="Times New Roman" w:hAnsi="Times New Roman" w:eastAsia="宋体" w:cs="Times New Roman"/>
                      <w:b w:val="0"/>
                      <w:bCs w:val="0"/>
                      <w:kern w:val="2"/>
                      <w:sz w:val="21"/>
                      <w:szCs w:val="21"/>
                      <w:lang w:val="en-US" w:eastAsia="zh-CN" w:bidi="ar-SA"/>
                    </w:rPr>
                  </w:pPr>
                </w:p>
              </w:tc>
              <w:tc>
                <w:tcPr>
                  <w:tcW w:w="3405"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厂界北▲</w:t>
                  </w:r>
                  <w:r>
                    <w:rPr>
                      <w:rFonts w:hint="eastAsia" w:ascii="Times New Roman" w:hAnsi="Times New Roman" w:eastAsia="宋体" w:cs="Times New Roman"/>
                      <w:b w:val="0"/>
                      <w:i w:val="0"/>
                      <w:color w:val="000000"/>
                      <w:kern w:val="0"/>
                      <w:sz w:val="21"/>
                      <w:szCs w:val="21"/>
                      <w:lang w:val="en-US" w:eastAsia="zh-CN" w:bidi="ar"/>
                    </w:rPr>
                    <w:t>4</w:t>
                  </w:r>
                </w:p>
              </w:tc>
              <w:tc>
                <w:tcPr>
                  <w:tcW w:w="2336" w:type="dxa"/>
                  <w:vMerge w:val="continue"/>
                  <w:vAlign w:val="center"/>
                </w:tcPr>
                <w:p>
                  <w:pPr>
                    <w:pStyle w:val="28"/>
                    <w:keepNext w:val="0"/>
                    <w:keepLines w:val="0"/>
                    <w:widowControl w:val="0"/>
                    <w:suppressLineNumbers w:val="0"/>
                    <w:autoSpaceDE w:val="0"/>
                    <w:autoSpaceDN w:val="0"/>
                    <w:adjustRightInd w:val="0"/>
                    <w:spacing w:before="0" w:beforeAutospacing="0" w:after="200" w:afterAutospacing="0" w:line="100" w:lineRule="atLeast"/>
                    <w:ind w:left="0" w:right="0"/>
                    <w:jc w:val="center"/>
                    <w:rPr>
                      <w:rFonts w:hint="default" w:ascii="Times New Roman" w:hAnsi="Times New Roman" w:eastAsia="宋体" w:cs="Times New Roman"/>
                      <w:b w:val="0"/>
                      <w:bCs w:val="0"/>
                      <w:kern w:val="2"/>
                      <w:sz w:val="21"/>
                      <w:szCs w:val="21"/>
                      <w:lang w:val="en-US" w:eastAsia="zh-CN" w:bidi="ar-SA"/>
                    </w:rPr>
                  </w:pPr>
                </w:p>
              </w:tc>
              <w:tc>
                <w:tcPr>
                  <w:tcW w:w="1909" w:type="dxa"/>
                  <w:vMerge w:val="continue"/>
                  <w:vAlign w:val="center"/>
                </w:tcPr>
                <w:p>
                  <w:pPr>
                    <w:pStyle w:val="28"/>
                    <w:keepNext w:val="0"/>
                    <w:keepLines w:val="0"/>
                    <w:widowControl w:val="0"/>
                    <w:suppressLineNumbers w:val="0"/>
                    <w:autoSpaceDE w:val="0"/>
                    <w:autoSpaceDN w:val="0"/>
                    <w:adjustRightInd w:val="0"/>
                    <w:spacing w:before="0" w:beforeAutospacing="0" w:after="200" w:afterAutospacing="0" w:line="100" w:lineRule="atLeast"/>
                    <w:ind w:left="0" w:right="0"/>
                    <w:jc w:val="center"/>
                    <w:rPr>
                      <w:rFonts w:hint="default" w:ascii="Times New Roman" w:hAnsi="Times New Roman" w:eastAsia="宋体" w:cs="Times New Roman"/>
                      <w:b w:val="0"/>
                      <w:bCs w:val="0"/>
                      <w:kern w:val="2"/>
                      <w:sz w:val="21"/>
                      <w:szCs w:val="21"/>
                      <w:lang w:val="en-US" w:eastAsia="zh-CN" w:bidi="ar-SA"/>
                    </w:rPr>
                  </w:pPr>
                </w:p>
              </w:tc>
            </w:tr>
          </w:tbl>
          <w:p>
            <w:pPr>
              <w:keepNext w:val="0"/>
              <w:keepLines w:val="0"/>
              <w:widowControl/>
              <w:suppressLineNumbers w:val="0"/>
              <w:spacing w:before="62" w:beforeLines="20" w:beforeAutospacing="0" w:afterAutospacing="0" w:line="360" w:lineRule="auto"/>
              <w:ind w:left="0" w:right="0"/>
              <w:jc w:val="center"/>
              <w:rPr>
                <w:rFonts w:hint="default"/>
                <w:sz w:val="21"/>
                <w:szCs w:val="21"/>
              </w:rPr>
            </w:pPr>
            <w:r>
              <w:rPr>
                <w:rFonts w:hint="default"/>
              </w:rPr>
              <w:drawing>
                <wp:inline distT="0" distB="0" distL="114300" distR="114300">
                  <wp:extent cx="5272405" cy="3390900"/>
                  <wp:effectExtent l="0" t="0" r="4445"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19"/>
                          <a:stretch>
                            <a:fillRect/>
                          </a:stretch>
                        </pic:blipFill>
                        <pic:spPr>
                          <a:xfrm>
                            <a:off x="0" y="0"/>
                            <a:ext cx="5272405" cy="3390900"/>
                          </a:xfrm>
                          <a:prstGeom prst="rect">
                            <a:avLst/>
                          </a:prstGeom>
                          <a:noFill/>
                          <a:ln>
                            <a:noFill/>
                          </a:ln>
                        </pic:spPr>
                      </pic:pic>
                    </a:graphicData>
                  </a:graphic>
                </wp:inline>
              </w:drawing>
            </w:r>
          </w:p>
          <w:p>
            <w:pPr>
              <w:keepNext w:val="0"/>
              <w:keepLines w:val="0"/>
              <w:widowControl/>
              <w:suppressLineNumbers w:val="0"/>
              <w:spacing w:before="0" w:beforeAutospacing="0" w:after="0" w:afterLines="0" w:afterAutospacing="0" w:line="360" w:lineRule="auto"/>
              <w:ind w:left="0" w:right="0"/>
              <w:jc w:val="left"/>
              <w:rPr>
                <w:rFonts w:hint="eastAsia" w:eastAsia="仿宋_GB2312"/>
                <w:color w:val="000000"/>
                <w:sz w:val="21"/>
                <w:szCs w:val="21"/>
              </w:rPr>
            </w:pPr>
            <w:r>
              <w:rPr>
                <w:rStyle w:val="26"/>
                <w:rFonts w:hint="default" w:ascii="Times New Roman" w:hAnsi="Times New Roman" w:eastAsia="宋体" w:cs="Times New Roman"/>
                <w:sz w:val="21"/>
                <w:szCs w:val="21"/>
                <w:lang w:val="en-US" w:eastAsia="zh-CN"/>
              </w:rPr>
              <w:t>注：</w:t>
            </w:r>
            <w:r>
              <w:rPr>
                <w:rFonts w:hint="eastAsia" w:ascii="Times New Roman" w:hAnsi="Times New Roman" w:eastAsia="宋体"/>
                <w:color w:val="000000"/>
                <w:sz w:val="21"/>
                <w:szCs w:val="21"/>
              </w:rPr>
              <w:t>★为废水采样点，◎为有组织废气采样点，○为无组织废气采样点，▲为噪声检测点</w:t>
            </w:r>
            <w:r>
              <w:rPr>
                <w:rStyle w:val="26"/>
                <w:rFonts w:hint="default" w:ascii="Times New Roman" w:hAnsi="Times New Roman" w:eastAsia="宋体" w:cs="Times New Roman"/>
                <w:sz w:val="21"/>
                <w:szCs w:val="21"/>
                <w:lang w:val="en-US" w:eastAsia="zh-CN"/>
              </w:rPr>
              <w:t>。</w:t>
            </w:r>
          </w:p>
        </w:tc>
      </w:tr>
    </w:tbl>
    <w:p>
      <w:pPr>
        <w:spacing w:after="0" w:afterLines="0" w:line="360" w:lineRule="auto"/>
        <w:rPr>
          <w:rFonts w:eastAsia="仿宋_GB2312"/>
          <w:b/>
          <w:color w:val="000000"/>
          <w:sz w:val="21"/>
          <w:szCs w:val="21"/>
        </w:rPr>
        <w:sectPr>
          <w:pgSz w:w="11906" w:h="16838"/>
          <w:pgMar w:top="1440" w:right="1800" w:bottom="1440" w:left="1800" w:header="708" w:footer="708" w:gutter="0"/>
          <w:pgNumType w:fmt="decimal"/>
          <w:cols w:space="720" w:num="1"/>
          <w:docGrid w:linePitch="360" w:charSpace="0"/>
        </w:sectPr>
      </w:pPr>
    </w:p>
    <w:p>
      <w:pPr>
        <w:spacing w:after="0" w:afterLines="0" w:line="360" w:lineRule="auto"/>
        <w:rPr>
          <w:rFonts w:hint="eastAsia" w:eastAsia="仿宋_GB2312"/>
          <w:b/>
          <w:color w:val="000000"/>
          <w:sz w:val="21"/>
          <w:szCs w:val="21"/>
          <w:lang w:eastAsia="zh-CN"/>
        </w:rPr>
      </w:pPr>
      <w:r>
        <w:rPr>
          <w:rFonts w:eastAsia="仿宋_GB2312"/>
          <w:b/>
          <w:color w:val="000000"/>
          <w:sz w:val="21"/>
          <w:szCs w:val="21"/>
        </w:rPr>
        <w:t>表</w:t>
      </w:r>
      <w:r>
        <w:rPr>
          <w:rFonts w:hint="eastAsia" w:eastAsia="仿宋_GB2312"/>
          <w:b/>
          <w:color w:val="000000"/>
          <w:sz w:val="21"/>
          <w:szCs w:val="21"/>
          <w:lang w:eastAsia="zh-CN"/>
        </w:rPr>
        <w:t>七</w:t>
      </w:r>
    </w:p>
    <w:tbl>
      <w:tblPr>
        <w:tblStyle w:val="19"/>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9014" w:type="dxa"/>
            <w:vAlign w:val="top"/>
          </w:tcPr>
          <w:p>
            <w:pPr>
              <w:keepNext w:val="0"/>
              <w:keepLines w:val="0"/>
              <w:widowControl/>
              <w:suppressLineNumbers w:val="0"/>
              <w:spacing w:before="0" w:beforeAutospacing="0" w:after="0" w:afterLines="0" w:afterAutospacing="0" w:line="360" w:lineRule="auto"/>
              <w:ind w:left="0" w:right="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7.1验收监测期间生产工况记录：</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验收监测期间气象条件符合监测要求，因此监测数据可作为该项目竣工环境保护验收的依据，验收监测期间气象参数见表</w:t>
            </w:r>
            <w:r>
              <w:rPr>
                <w:rStyle w:val="26"/>
                <w:rFonts w:hint="eastAsia" w:ascii="Times New Roman" w:hAnsi="Times New Roman" w:eastAsia="宋体" w:cs="Times New Roman"/>
                <w:sz w:val="21"/>
                <w:szCs w:val="21"/>
                <w:lang w:val="en-US" w:eastAsia="zh-CN"/>
              </w:rPr>
              <w:t>7</w:t>
            </w:r>
            <w:r>
              <w:rPr>
                <w:rStyle w:val="26"/>
                <w:rFonts w:hint="default" w:ascii="Times New Roman" w:hAnsi="Times New Roman" w:eastAsia="宋体" w:cs="Times New Roman"/>
                <w:sz w:val="21"/>
                <w:szCs w:val="21"/>
                <w:lang w:val="en-US" w:eastAsia="zh-CN"/>
              </w:rPr>
              <w:t>-1。</w:t>
            </w:r>
          </w:p>
          <w:p>
            <w:pPr>
              <w:keepNext w:val="0"/>
              <w:keepLines w:val="0"/>
              <w:widowControl/>
              <w:suppressLineNumbers w:val="0"/>
              <w:spacing w:before="0" w:beforeAutospacing="0" w:after="0" w:afterLines="0" w:afterAutospacing="0" w:line="360" w:lineRule="auto"/>
              <w:ind w:left="0" w:right="0" w:firstLine="422" w:firstLineChars="20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表</w:t>
            </w:r>
            <w:r>
              <w:rPr>
                <w:rFonts w:hint="eastAsia" w:ascii="Times New Roman" w:hAnsi="Times New Roman" w:eastAsia="宋体" w:cs="Times New Roman"/>
                <w:b/>
                <w:bCs/>
                <w:color w:val="000000"/>
                <w:sz w:val="21"/>
                <w:szCs w:val="21"/>
                <w:lang w:val="en-US" w:eastAsia="zh-CN"/>
              </w:rPr>
              <w:t>7</w:t>
            </w:r>
            <w:r>
              <w:rPr>
                <w:rFonts w:hint="default" w:ascii="Times New Roman" w:hAnsi="Times New Roman" w:eastAsia="宋体" w:cs="Times New Roman"/>
                <w:b/>
                <w:bCs/>
                <w:color w:val="000000"/>
                <w:sz w:val="21"/>
                <w:szCs w:val="21"/>
                <w:lang w:val="en-US" w:eastAsia="zh-CN"/>
              </w:rPr>
              <w:t>-1 验收监测期间气象参数</w:t>
            </w:r>
          </w:p>
          <w:tbl>
            <w:tblPr>
              <w:tblStyle w:val="19"/>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909"/>
              <w:gridCol w:w="1417"/>
              <w:gridCol w:w="1266"/>
              <w:gridCol w:w="1518"/>
              <w:gridCol w:w="1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2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日期</w:t>
                  </w:r>
                </w:p>
              </w:tc>
              <w:tc>
                <w:tcPr>
                  <w:tcW w:w="9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风向</w:t>
                  </w:r>
                </w:p>
              </w:tc>
              <w:tc>
                <w:tcPr>
                  <w:tcW w:w="14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风速 m/s</w:t>
                  </w:r>
                </w:p>
              </w:tc>
              <w:tc>
                <w:tcPr>
                  <w:tcW w:w="12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气温 ℃</w:t>
                  </w:r>
                </w:p>
              </w:tc>
              <w:tc>
                <w:tcPr>
                  <w:tcW w:w="15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大气压kPa</w:t>
                  </w:r>
                </w:p>
              </w:tc>
              <w:tc>
                <w:tcPr>
                  <w:tcW w:w="13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zh-CN" w:eastAsia="zh-CN" w:bidi="ar"/>
                    </w:rPr>
                  </w:pPr>
                  <w:r>
                    <w:rPr>
                      <w:rFonts w:hint="default" w:ascii="Times New Roman" w:hAnsi="Times New Roman" w:eastAsia="宋体" w:cs="Times New Roman"/>
                      <w:b w:val="0"/>
                      <w:i w:val="0"/>
                      <w:color w:val="000000"/>
                      <w:kern w:val="0"/>
                      <w:sz w:val="21"/>
                      <w:szCs w:val="21"/>
                      <w:lang w:val="zh-CN" w:eastAsia="zh-CN" w:bidi="ar"/>
                    </w:rPr>
                    <w:t>天气状况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22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2022.12.06</w:t>
                  </w:r>
                </w:p>
              </w:tc>
              <w:tc>
                <w:tcPr>
                  <w:tcW w:w="9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北风</w:t>
                  </w:r>
                </w:p>
              </w:tc>
              <w:tc>
                <w:tcPr>
                  <w:tcW w:w="14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1.8~2.0</w:t>
                  </w:r>
                </w:p>
              </w:tc>
              <w:tc>
                <w:tcPr>
                  <w:tcW w:w="12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16.5~19.6</w:t>
                  </w:r>
                </w:p>
              </w:tc>
              <w:tc>
                <w:tcPr>
                  <w:tcW w:w="15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102.3~102.4</w:t>
                  </w:r>
                </w:p>
              </w:tc>
              <w:tc>
                <w:tcPr>
                  <w:tcW w:w="13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多云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22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2022.12.07</w:t>
                  </w:r>
                </w:p>
              </w:tc>
              <w:tc>
                <w:tcPr>
                  <w:tcW w:w="90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北风</w:t>
                  </w:r>
                </w:p>
              </w:tc>
              <w:tc>
                <w:tcPr>
                  <w:tcW w:w="14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1.6~2.0</w:t>
                  </w:r>
                </w:p>
              </w:tc>
              <w:tc>
                <w:tcPr>
                  <w:tcW w:w="12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18.4~22.1</w:t>
                  </w:r>
                </w:p>
              </w:tc>
              <w:tc>
                <w:tcPr>
                  <w:tcW w:w="15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102.2~102.4</w:t>
                  </w:r>
                </w:p>
              </w:tc>
              <w:tc>
                <w:tcPr>
                  <w:tcW w:w="13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多云</w:t>
                  </w:r>
                </w:p>
              </w:tc>
            </w:tr>
          </w:tbl>
          <w:p>
            <w:pPr>
              <w:keepNext w:val="0"/>
              <w:keepLines w:val="0"/>
              <w:widowControl/>
              <w:suppressLineNumbers w:val="0"/>
              <w:spacing w:before="62" w:beforeLines="20" w:beforeAutospacing="0" w:afterAutospacing="0" w:line="360" w:lineRule="auto"/>
              <w:ind w:left="0" w:right="0"/>
              <w:rPr>
                <w:rFonts w:hint="default" w:eastAsia="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1" w:hRule="atLeast"/>
          <w:jc w:val="center"/>
        </w:trPr>
        <w:tc>
          <w:tcPr>
            <w:tcW w:w="9014" w:type="dxa"/>
            <w:vAlign w:val="top"/>
          </w:tcPr>
          <w:p>
            <w:pPr>
              <w:keepNext w:val="0"/>
              <w:keepLines w:val="0"/>
              <w:widowControl/>
              <w:suppressLineNumbers w:val="0"/>
              <w:spacing w:before="0" w:beforeAutospacing="0" w:after="0" w:afterLines="0" w:afterAutospacing="0" w:line="360" w:lineRule="auto"/>
              <w:ind w:left="0" w:right="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7.2验收监测结果：</w:t>
            </w:r>
          </w:p>
          <w:p>
            <w:pPr>
              <w:keepNext w:val="0"/>
              <w:keepLines w:val="0"/>
              <w:widowControl/>
              <w:suppressLineNumbers w:val="0"/>
              <w:spacing w:before="0" w:beforeAutospacing="0" w:after="0" w:afterLines="0" w:afterAutospacing="0" w:line="360" w:lineRule="auto"/>
              <w:ind w:left="0" w:right="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 xml:space="preserve"> 7.2.1 废水</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宋体" w:cs="Times New Roman"/>
                <w:b/>
                <w:bCs/>
                <w:color w:val="000000"/>
                <w:sz w:val="21"/>
                <w:szCs w:val="21"/>
                <w:lang w:val="en-US" w:eastAsia="zh-CN"/>
              </w:rPr>
            </w:pPr>
            <w:r>
              <w:rPr>
                <w:rStyle w:val="26"/>
                <w:rFonts w:hint="eastAsia" w:ascii="Times New Roman" w:hAnsi="Times New Roman" w:eastAsia="宋体" w:cs="Times New Roman"/>
                <w:sz w:val="21"/>
                <w:szCs w:val="21"/>
                <w:lang w:val="en-US" w:eastAsia="zh-CN"/>
              </w:rPr>
              <w:t>（1）废水</w:t>
            </w:r>
            <w:r>
              <w:rPr>
                <w:rStyle w:val="26"/>
                <w:rFonts w:hint="default" w:ascii="Times New Roman" w:hAnsi="Times New Roman" w:eastAsia="宋体" w:cs="Times New Roman"/>
                <w:sz w:val="21"/>
                <w:szCs w:val="21"/>
                <w:lang w:val="en-US" w:eastAsia="zh-CN"/>
              </w:rPr>
              <w:t>监测结果见表</w:t>
            </w:r>
            <w:r>
              <w:rPr>
                <w:rStyle w:val="26"/>
                <w:rFonts w:hint="eastAsia" w:ascii="Times New Roman" w:hAnsi="Times New Roman" w:eastAsia="宋体" w:cs="Times New Roman"/>
                <w:sz w:val="21"/>
                <w:szCs w:val="21"/>
                <w:lang w:val="en-US" w:eastAsia="zh-CN"/>
              </w:rPr>
              <w:t>7</w:t>
            </w:r>
            <w:r>
              <w:rPr>
                <w:rStyle w:val="26"/>
                <w:rFonts w:hint="default" w:ascii="Times New Roman" w:hAnsi="Times New Roman" w:eastAsia="宋体" w:cs="Times New Roman"/>
                <w:sz w:val="21"/>
                <w:szCs w:val="21"/>
                <w:lang w:val="en-US" w:eastAsia="zh-CN"/>
              </w:rPr>
              <w:t>-</w:t>
            </w:r>
            <w:r>
              <w:rPr>
                <w:rStyle w:val="26"/>
                <w:rFonts w:hint="eastAsia" w:ascii="Times New Roman" w:hAnsi="Times New Roman" w:eastAsia="宋体" w:cs="Times New Roman"/>
                <w:sz w:val="21"/>
                <w:szCs w:val="21"/>
                <w:lang w:val="en-US" w:eastAsia="zh-CN"/>
              </w:rPr>
              <w:t>2</w:t>
            </w:r>
            <w:r>
              <w:rPr>
                <w:rStyle w:val="26"/>
                <w:rFonts w:hint="default" w:ascii="Times New Roman" w:hAnsi="Times New Roman" w:eastAsia="宋体" w:cs="Times New Roman"/>
                <w:sz w:val="21"/>
                <w:szCs w:val="21"/>
                <w:lang w:val="en-US" w:eastAsia="zh-CN"/>
              </w:rPr>
              <w:t>。</w:t>
            </w:r>
          </w:p>
          <w:p>
            <w:pPr>
              <w:keepNext w:val="0"/>
              <w:keepLines w:val="0"/>
              <w:widowControl/>
              <w:suppressLineNumbers w:val="0"/>
              <w:spacing w:before="0" w:beforeAutospacing="0" w:after="0" w:afterLines="0" w:afterAutospacing="0" w:line="360" w:lineRule="auto"/>
              <w:ind w:left="0" w:right="0" w:firstLine="422" w:firstLineChars="20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表</w:t>
            </w:r>
            <w:r>
              <w:rPr>
                <w:rFonts w:hint="eastAsia" w:ascii="Times New Roman" w:hAnsi="Times New Roman" w:eastAsia="宋体" w:cs="Times New Roman"/>
                <w:b/>
                <w:bCs/>
                <w:color w:val="000000"/>
                <w:sz w:val="21"/>
                <w:szCs w:val="21"/>
                <w:lang w:val="en-US" w:eastAsia="zh-CN"/>
              </w:rPr>
              <w:t>7</w:t>
            </w:r>
            <w:r>
              <w:rPr>
                <w:rFonts w:hint="default" w:ascii="Times New Roman" w:hAnsi="Times New Roman" w:eastAsia="宋体" w:cs="Times New Roman"/>
                <w:b/>
                <w:bCs/>
                <w:color w:val="000000"/>
                <w:sz w:val="21"/>
                <w:szCs w:val="21"/>
                <w:lang w:val="en-US" w:eastAsia="zh-CN"/>
              </w:rPr>
              <w:t>-</w:t>
            </w:r>
            <w:r>
              <w:rPr>
                <w:rFonts w:hint="eastAsia" w:ascii="Times New Roman" w:hAnsi="Times New Roman" w:eastAsia="宋体" w:cs="Times New Roman"/>
                <w:b/>
                <w:bCs/>
                <w:color w:val="000000"/>
                <w:sz w:val="21"/>
                <w:szCs w:val="21"/>
                <w:lang w:val="en-US" w:eastAsia="zh-CN"/>
              </w:rPr>
              <w:t>2</w:t>
            </w:r>
            <w:r>
              <w:rPr>
                <w:rFonts w:hint="default" w:ascii="Times New Roman" w:hAnsi="Times New Roman" w:eastAsia="宋体" w:cs="Times New Roman"/>
                <w:b/>
                <w:bCs/>
                <w:color w:val="000000"/>
                <w:sz w:val="21"/>
                <w:szCs w:val="21"/>
                <w:lang w:val="en-US" w:eastAsia="zh-CN"/>
              </w:rPr>
              <w:t xml:space="preserve"> 废水监测结果</w:t>
            </w:r>
          </w:p>
          <w:tbl>
            <w:tblPr>
              <w:tblStyle w:val="19"/>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1480"/>
              <w:gridCol w:w="693"/>
              <w:gridCol w:w="692"/>
              <w:gridCol w:w="693"/>
              <w:gridCol w:w="698"/>
              <w:gridCol w:w="694"/>
              <w:gridCol w:w="692"/>
              <w:gridCol w:w="693"/>
              <w:gridCol w:w="701"/>
              <w:gridCol w:w="516"/>
              <w:gridCol w:w="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restart"/>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采样点</w:t>
                  </w:r>
                </w:p>
              </w:tc>
              <w:tc>
                <w:tcPr>
                  <w:tcW w:w="1480" w:type="dxa"/>
                  <w:vMerge w:val="restart"/>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检测项目</w:t>
                  </w:r>
                </w:p>
              </w:tc>
              <w:tc>
                <w:tcPr>
                  <w:tcW w:w="5556" w:type="dxa"/>
                  <w:gridSpan w:val="8"/>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检测结果</w:t>
                  </w:r>
                </w:p>
              </w:tc>
              <w:tc>
                <w:tcPr>
                  <w:tcW w:w="516" w:type="dxa"/>
                  <w:vMerge w:val="restart"/>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限值</w:t>
                  </w:r>
                </w:p>
              </w:tc>
              <w:tc>
                <w:tcPr>
                  <w:tcW w:w="600" w:type="dxa"/>
                  <w:vMerge w:val="restart"/>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2776" w:type="dxa"/>
                  <w:gridSpan w:val="4"/>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第一周期（</w:t>
                  </w:r>
                  <w:r>
                    <w:rPr>
                      <w:rFonts w:hint="eastAsia" w:ascii="Times New Roman" w:hAnsi="Times New Roman" w:eastAsia="宋体" w:cs="Times New Roman"/>
                      <w:b w:val="0"/>
                      <w:i w:val="0"/>
                      <w:color w:val="000000"/>
                      <w:kern w:val="0"/>
                      <w:sz w:val="21"/>
                      <w:szCs w:val="21"/>
                      <w:lang w:val="en-US" w:eastAsia="zh-CN" w:bidi="ar"/>
                    </w:rPr>
                    <w:t>2022.12.06</w:t>
                  </w:r>
                  <w:r>
                    <w:rPr>
                      <w:rFonts w:hint="default" w:ascii="Times New Roman" w:hAnsi="Times New Roman" w:eastAsia="宋体" w:cs="Times New Roman"/>
                      <w:b w:val="0"/>
                      <w:i w:val="0"/>
                      <w:color w:val="000000"/>
                      <w:kern w:val="0"/>
                      <w:sz w:val="21"/>
                      <w:szCs w:val="21"/>
                      <w:lang w:val="en-US" w:eastAsia="zh-CN" w:bidi="ar"/>
                    </w:rPr>
                    <w:t>）</w:t>
                  </w:r>
                </w:p>
              </w:tc>
              <w:tc>
                <w:tcPr>
                  <w:tcW w:w="2780" w:type="dxa"/>
                  <w:gridSpan w:val="4"/>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第二周期（</w:t>
                  </w:r>
                  <w:r>
                    <w:rPr>
                      <w:rFonts w:hint="eastAsia" w:ascii="Times New Roman" w:hAnsi="Times New Roman" w:eastAsia="宋体" w:cs="Times New Roman"/>
                      <w:b w:val="0"/>
                      <w:i w:val="0"/>
                      <w:color w:val="000000"/>
                      <w:kern w:val="0"/>
                      <w:sz w:val="21"/>
                      <w:szCs w:val="21"/>
                      <w:lang w:val="en-US" w:eastAsia="zh-CN" w:bidi="ar"/>
                    </w:rPr>
                    <w:t>2022.12.07</w:t>
                  </w:r>
                  <w:r>
                    <w:rPr>
                      <w:rFonts w:hint="default" w:ascii="Times New Roman" w:hAnsi="Times New Roman" w:eastAsia="宋体" w:cs="Times New Roman"/>
                      <w:b w:val="0"/>
                      <w:i w:val="0"/>
                      <w:color w:val="000000"/>
                      <w:kern w:val="0"/>
                      <w:sz w:val="21"/>
                      <w:szCs w:val="21"/>
                      <w:lang w:val="en-US" w:eastAsia="zh-CN" w:bidi="ar"/>
                    </w:rPr>
                    <w:t>）</w:t>
                  </w:r>
                </w:p>
              </w:tc>
              <w:tc>
                <w:tcPr>
                  <w:tcW w:w="516"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600"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restart"/>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生活污水总排口G</w:t>
                  </w: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pH值 无量纲</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7.3</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7.2</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7.0</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7.3</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7.2</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7.2</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7.3</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7.3</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6~9</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化学需氧量</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190</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233</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201</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278</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252</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187</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207</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225</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500</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五日生化需氧量</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56.8</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51.0</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47.5</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51.4</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53.7</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44.5</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49.6</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59.2</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300</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悬浮物</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87</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70</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98</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90</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76</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85</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103</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78</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400</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氨氮</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28.7</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25.5</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23.2</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30.8</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27.4</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21.4</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25.8</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28.7</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35</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总磷</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1.56</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1.43</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1.91</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1.73</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1.84</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1.98</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1.60</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1.32</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725"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48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样品性状</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698"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694"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69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693"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701"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微黄、浊</w:t>
                  </w:r>
                </w:p>
              </w:tc>
              <w:tc>
                <w:tcPr>
                  <w:tcW w:w="516"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p>
              </w:tc>
              <w:tc>
                <w:tcPr>
                  <w:tcW w:w="600"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8877" w:type="dxa"/>
                  <w:gridSpan w:val="1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left"/>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注：pH单位为无量纲，其他废水浓度单位为mg/L。</w:t>
                  </w:r>
                </w:p>
              </w:tc>
            </w:tr>
          </w:tbl>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color w:val="auto"/>
                <w:sz w:val="21"/>
                <w:szCs w:val="21"/>
                <w:lang w:val="en-US" w:eastAsia="zh-CN"/>
              </w:rPr>
            </w:pPr>
            <w:r>
              <w:rPr>
                <w:rStyle w:val="26"/>
                <w:rFonts w:hint="eastAsia" w:ascii="Times New Roman" w:hAnsi="Times New Roman" w:eastAsia="宋体" w:cs="Times New Roman"/>
                <w:color w:val="auto"/>
                <w:sz w:val="21"/>
                <w:szCs w:val="21"/>
                <w:lang w:val="en-US" w:eastAsia="zh-CN"/>
              </w:rPr>
              <w:t>（2）</w:t>
            </w:r>
            <w:r>
              <w:rPr>
                <w:rStyle w:val="26"/>
                <w:rFonts w:hint="default" w:ascii="Times New Roman" w:hAnsi="Times New Roman" w:eastAsia="宋体" w:cs="Times New Roman"/>
                <w:color w:val="auto"/>
                <w:sz w:val="21"/>
                <w:szCs w:val="21"/>
                <w:lang w:val="en-US" w:eastAsia="zh-CN"/>
              </w:rPr>
              <w:t>监测结果分析</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在监测日工况条件下，该项目生活污水总排口中pH值、化学需氧量、悬浮物、五日生化需氧量检测值均符合《污水综合排放标准》（GB 8978-1996）中第二类污染物三级排放标准的要求；氨氮、总磷检测值均符合《工业企业废水氮、磷污染物间接排放限值》（DB 33/887-2013）的要求。</w:t>
            </w: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7.2.2 废气</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1）有组织排放</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（1）监测结果</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废气监测结果见</w:t>
            </w:r>
            <w:r>
              <w:rPr>
                <w:rStyle w:val="26"/>
                <w:rFonts w:hint="eastAsia" w:ascii="Times New Roman" w:hAnsi="Times New Roman" w:eastAsia="宋体" w:cs="Times New Roman"/>
                <w:sz w:val="21"/>
                <w:szCs w:val="21"/>
                <w:lang w:val="en-US" w:eastAsia="zh-CN"/>
              </w:rPr>
              <w:t>7</w:t>
            </w:r>
            <w:r>
              <w:rPr>
                <w:rStyle w:val="26"/>
                <w:rFonts w:hint="default" w:ascii="Times New Roman" w:hAnsi="Times New Roman" w:eastAsia="宋体" w:cs="Times New Roman"/>
                <w:sz w:val="21"/>
                <w:szCs w:val="21"/>
                <w:lang w:val="en-US" w:eastAsia="zh-CN"/>
              </w:rPr>
              <w:t>-</w:t>
            </w:r>
            <w:r>
              <w:rPr>
                <w:rStyle w:val="26"/>
                <w:rFonts w:hint="eastAsia" w:ascii="Times New Roman" w:hAnsi="Times New Roman" w:eastAsia="宋体" w:cs="Times New Roman"/>
                <w:sz w:val="21"/>
                <w:szCs w:val="21"/>
                <w:lang w:val="en-US" w:eastAsia="zh-CN"/>
              </w:rPr>
              <w:t>3</w:t>
            </w:r>
            <w:r>
              <w:rPr>
                <w:rStyle w:val="26"/>
                <w:rFonts w:hint="default" w:ascii="Times New Roman" w:hAnsi="Times New Roman" w:eastAsia="宋体" w:cs="Times New Roman"/>
                <w:sz w:val="21"/>
                <w:szCs w:val="21"/>
                <w:lang w:val="en-US" w:eastAsia="zh-CN"/>
              </w:rPr>
              <w:t>。</w:t>
            </w:r>
          </w:p>
          <w:p>
            <w:pPr>
              <w:keepNext w:val="0"/>
              <w:keepLines w:val="0"/>
              <w:widowControl/>
              <w:suppressLineNumbers w:val="0"/>
              <w:spacing w:before="0" w:beforeAutospacing="0" w:after="0" w:afterLines="0" w:afterAutospacing="0" w:line="360" w:lineRule="auto"/>
              <w:ind w:left="0" w:right="0" w:firstLine="422" w:firstLineChars="20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表</w:t>
            </w:r>
            <w:r>
              <w:rPr>
                <w:rFonts w:hint="eastAsia" w:ascii="Times New Roman" w:hAnsi="Times New Roman" w:eastAsia="宋体" w:cs="Times New Roman"/>
                <w:b/>
                <w:bCs/>
                <w:color w:val="000000"/>
                <w:sz w:val="21"/>
                <w:szCs w:val="21"/>
                <w:lang w:val="en-US" w:eastAsia="zh-CN"/>
              </w:rPr>
              <w:t>7</w:t>
            </w:r>
            <w:r>
              <w:rPr>
                <w:rFonts w:hint="default" w:ascii="Times New Roman" w:hAnsi="Times New Roman" w:eastAsia="宋体" w:cs="Times New Roman"/>
                <w:b/>
                <w:bCs/>
                <w:color w:val="000000"/>
                <w:sz w:val="21"/>
                <w:szCs w:val="21"/>
                <w:lang w:val="en-US" w:eastAsia="zh-CN"/>
              </w:rPr>
              <w:t>-</w:t>
            </w:r>
            <w:r>
              <w:rPr>
                <w:rFonts w:hint="eastAsia" w:ascii="Times New Roman" w:hAnsi="Times New Roman" w:eastAsia="宋体" w:cs="Times New Roman"/>
                <w:b/>
                <w:bCs/>
                <w:color w:val="000000"/>
                <w:sz w:val="21"/>
                <w:szCs w:val="21"/>
                <w:lang w:val="en-US" w:eastAsia="zh-CN"/>
              </w:rPr>
              <w:t xml:space="preserve">3 </w:t>
            </w:r>
            <w:r>
              <w:rPr>
                <w:rFonts w:hint="default" w:ascii="Times New Roman" w:hAnsi="Times New Roman" w:eastAsia="宋体" w:cs="Times New Roman"/>
                <w:b/>
                <w:bCs/>
                <w:color w:val="000000"/>
                <w:sz w:val="21"/>
                <w:szCs w:val="21"/>
                <w:lang w:val="en-US" w:eastAsia="zh-CN"/>
              </w:rPr>
              <w:t>有组织排放废气监测结果</w:t>
            </w:r>
          </w:p>
          <w:tbl>
            <w:tblPr>
              <w:tblStyle w:val="19"/>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90"/>
              <w:gridCol w:w="1877"/>
              <w:gridCol w:w="830"/>
              <w:gridCol w:w="830"/>
              <w:gridCol w:w="831"/>
              <w:gridCol w:w="2"/>
              <w:gridCol w:w="831"/>
              <w:gridCol w:w="831"/>
              <w:gridCol w:w="834"/>
              <w:gridCol w:w="584"/>
              <w:gridCol w:w="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9" w:hRule="atLeast"/>
                <w:tblHeader/>
                <w:jc w:val="center"/>
              </w:trPr>
              <w:tc>
                <w:tcPr>
                  <w:tcW w:w="690"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检测点位</w:t>
                  </w:r>
                </w:p>
              </w:tc>
              <w:tc>
                <w:tcPr>
                  <w:tcW w:w="1877"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检测项目</w:t>
                  </w:r>
                </w:p>
              </w:tc>
              <w:tc>
                <w:tcPr>
                  <w:tcW w:w="4989" w:type="dxa"/>
                  <w:gridSpan w:val="7"/>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检测结果</w:t>
                  </w:r>
                </w:p>
              </w:tc>
              <w:tc>
                <w:tcPr>
                  <w:tcW w:w="584"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限值</w:t>
                  </w:r>
                </w:p>
              </w:tc>
              <w:tc>
                <w:tcPr>
                  <w:tcW w:w="637" w:type="dxa"/>
                  <w:vMerge w:val="restart"/>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9" w:hRule="atLeast"/>
                <w:tblHeader/>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2491"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第一周期（</w:t>
                  </w:r>
                  <w:r>
                    <w:rPr>
                      <w:rFonts w:hint="eastAsia" w:ascii="Times New Roman" w:hAnsi="Times New Roman" w:eastAsia="宋体" w:cs="Times New Roman"/>
                      <w:b w:val="0"/>
                      <w:i w:val="0"/>
                      <w:color w:val="000000"/>
                      <w:kern w:val="0"/>
                      <w:sz w:val="21"/>
                      <w:szCs w:val="21"/>
                      <w:lang w:val="en-US" w:eastAsia="zh-CN" w:bidi="ar"/>
                    </w:rPr>
                    <w:t>2022.12.06</w:t>
                  </w:r>
                  <w:r>
                    <w:rPr>
                      <w:rFonts w:hint="default" w:ascii="Times New Roman" w:hAnsi="Times New Roman" w:eastAsia="宋体" w:cs="Times New Roman"/>
                      <w:b w:val="0"/>
                      <w:i w:val="0"/>
                      <w:color w:val="000000"/>
                      <w:kern w:val="0"/>
                      <w:sz w:val="21"/>
                      <w:szCs w:val="21"/>
                      <w:lang w:val="en-US" w:eastAsia="zh-CN" w:bidi="ar"/>
                    </w:rPr>
                    <w:t>）</w:t>
                  </w:r>
                </w:p>
              </w:tc>
              <w:tc>
                <w:tcPr>
                  <w:tcW w:w="2498" w:type="dxa"/>
                  <w:gridSpan w:val="4"/>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第二周期（</w:t>
                  </w:r>
                  <w:r>
                    <w:rPr>
                      <w:rFonts w:hint="eastAsia" w:ascii="Times New Roman" w:hAnsi="Times New Roman" w:eastAsia="宋体" w:cs="Times New Roman"/>
                      <w:b w:val="0"/>
                      <w:i w:val="0"/>
                      <w:color w:val="000000"/>
                      <w:kern w:val="0"/>
                      <w:sz w:val="21"/>
                      <w:szCs w:val="21"/>
                      <w:lang w:val="en-US" w:eastAsia="zh-CN" w:bidi="ar"/>
                    </w:rPr>
                    <w:t>2022.12.07</w:t>
                  </w:r>
                  <w:r>
                    <w:rPr>
                      <w:rFonts w:hint="default" w:ascii="Times New Roman" w:hAnsi="Times New Roman" w:eastAsia="宋体" w:cs="Times New Roman"/>
                      <w:b w:val="0"/>
                      <w:i w:val="0"/>
                      <w:color w:val="000000"/>
                      <w:kern w:val="0"/>
                      <w:sz w:val="21"/>
                      <w:szCs w:val="21"/>
                      <w:lang w:val="en-US" w:eastAsia="zh-CN" w:bidi="ar"/>
                    </w:rPr>
                    <w:t>）</w:t>
                  </w:r>
                </w:p>
              </w:tc>
              <w:tc>
                <w:tcPr>
                  <w:tcW w:w="584"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637"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9" w:hRule="atLeast"/>
                <w:jc w:val="center"/>
              </w:trPr>
              <w:tc>
                <w:tcPr>
                  <w:tcW w:w="690" w:type="dxa"/>
                  <w:vMerge w:val="restart"/>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实验室废气出口</w:t>
                  </w:r>
                  <w:r>
                    <w:rPr>
                      <w:rFonts w:hint="eastAsia" w:ascii="Times New Roman" w:hAnsi="Times New Roman" w:eastAsia="宋体" w:cs="Times New Roman"/>
                      <w:b w:val="0"/>
                      <w:i w:val="0"/>
                      <w:color w:val="000000"/>
                      <w:kern w:val="0"/>
                      <w:sz w:val="21"/>
                      <w:szCs w:val="21"/>
                      <w:lang w:val="en-US" w:eastAsia="zh-CN" w:bidi="ar"/>
                    </w:rPr>
                    <w:t>A</w:t>
                  </w: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标干流量</w:t>
                  </w:r>
                </w:p>
              </w:tc>
              <w:tc>
                <w:tcPr>
                  <w:tcW w:w="2493" w:type="dxa"/>
                  <w:gridSpan w:val="4"/>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8932</w:t>
                  </w:r>
                </w:p>
              </w:tc>
              <w:tc>
                <w:tcPr>
                  <w:tcW w:w="2496"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9611</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9" w:hRule="atLeast"/>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非甲烷总烃排放</w:t>
                  </w:r>
                  <w:r>
                    <w:rPr>
                      <w:rFonts w:hint="default" w:ascii="Times New Roman" w:hAnsi="Times New Roman" w:eastAsia="宋体" w:cs="Times New Roman"/>
                      <w:b w:val="0"/>
                      <w:i w:val="0"/>
                      <w:color w:val="000000"/>
                      <w:kern w:val="0"/>
                      <w:sz w:val="21"/>
                      <w:szCs w:val="21"/>
                      <w:lang w:val="en-US" w:eastAsia="zh-CN" w:bidi="ar"/>
                    </w:rPr>
                    <w:t>浓度</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2.96</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3.09</w:t>
                  </w:r>
                </w:p>
              </w:tc>
              <w:tc>
                <w:tcPr>
                  <w:tcW w:w="83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3.12</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3.59</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3.66</w:t>
                  </w:r>
                </w:p>
              </w:tc>
              <w:tc>
                <w:tcPr>
                  <w:tcW w:w="83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3.08</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120</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4" w:hRule="atLeast"/>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非甲烷总烃排放</w:t>
                  </w:r>
                  <w:r>
                    <w:rPr>
                      <w:rFonts w:hint="default" w:ascii="Times New Roman" w:hAnsi="Times New Roman" w:eastAsia="宋体" w:cs="Times New Roman"/>
                      <w:b w:val="0"/>
                      <w:i w:val="0"/>
                      <w:color w:val="000000"/>
                      <w:kern w:val="0"/>
                      <w:sz w:val="21"/>
                      <w:szCs w:val="21"/>
                      <w:lang w:val="en-US" w:eastAsia="zh-CN" w:bidi="ar"/>
                    </w:rPr>
                    <w:t>速率</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0.0264 </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0.0276 </w:t>
                  </w:r>
                </w:p>
              </w:tc>
              <w:tc>
                <w:tcPr>
                  <w:tcW w:w="83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0.0279 </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0.0345 </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0.0352 </w:t>
                  </w:r>
                </w:p>
              </w:tc>
              <w:tc>
                <w:tcPr>
                  <w:tcW w:w="83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0.0296 </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17</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9" w:hRule="atLeast"/>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氯化氢排放</w:t>
                  </w:r>
                  <w:r>
                    <w:rPr>
                      <w:rFonts w:hint="default" w:ascii="Times New Roman" w:hAnsi="Times New Roman" w:eastAsia="宋体" w:cs="Times New Roman"/>
                      <w:b w:val="0"/>
                      <w:i w:val="0"/>
                      <w:color w:val="000000"/>
                      <w:kern w:val="0"/>
                      <w:sz w:val="21"/>
                      <w:szCs w:val="21"/>
                      <w:lang w:val="en-US" w:eastAsia="zh-CN" w:bidi="ar"/>
                    </w:rPr>
                    <w:t>浓度</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＜0.9</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＜0.9</w:t>
                  </w:r>
                </w:p>
              </w:tc>
              <w:tc>
                <w:tcPr>
                  <w:tcW w:w="83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＜0.9</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＜0.9</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＜0.9</w:t>
                  </w:r>
                </w:p>
              </w:tc>
              <w:tc>
                <w:tcPr>
                  <w:tcW w:w="83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＜0.9</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100</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4" w:hRule="atLeast"/>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氯化氢排放</w:t>
                  </w:r>
                  <w:r>
                    <w:rPr>
                      <w:rFonts w:hint="default" w:ascii="Times New Roman" w:hAnsi="Times New Roman" w:eastAsia="宋体" w:cs="Times New Roman"/>
                      <w:b w:val="0"/>
                      <w:i w:val="0"/>
                      <w:color w:val="000000"/>
                      <w:kern w:val="0"/>
                      <w:sz w:val="21"/>
                      <w:szCs w:val="21"/>
                      <w:lang w:val="en-US" w:eastAsia="zh-CN" w:bidi="ar"/>
                    </w:rPr>
                    <w:t>速率</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＜4.02×10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＜4.02×10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＜4.02×10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＜4.32×10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＜4.32×10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＜4.32×10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0.43</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9" w:hRule="atLeast"/>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二氯甲烷排放</w:t>
                  </w:r>
                  <w:r>
                    <w:rPr>
                      <w:rFonts w:hint="default" w:ascii="Times New Roman" w:hAnsi="Times New Roman" w:eastAsia="宋体" w:cs="Times New Roman"/>
                      <w:b w:val="0"/>
                      <w:i w:val="0"/>
                      <w:color w:val="000000"/>
                      <w:kern w:val="0"/>
                      <w:sz w:val="21"/>
                      <w:szCs w:val="21"/>
                      <w:lang w:val="en-US" w:eastAsia="zh-CN" w:bidi="ar"/>
                    </w:rPr>
                    <w:t>浓度</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0.3</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0.3</w:t>
                  </w:r>
                </w:p>
              </w:tc>
              <w:tc>
                <w:tcPr>
                  <w:tcW w:w="83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0.3</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0.3</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0.3</w:t>
                  </w:r>
                </w:p>
              </w:tc>
              <w:tc>
                <w:tcPr>
                  <w:tcW w:w="83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0.3</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200</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4" w:hRule="atLeast"/>
                <w:jc w:val="center"/>
              </w:trPr>
              <w:tc>
                <w:tcPr>
                  <w:tcW w:w="690" w:type="dxa"/>
                  <w:vMerge w:val="continue"/>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87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二氯甲烷排放</w:t>
                  </w:r>
                  <w:r>
                    <w:rPr>
                      <w:rFonts w:hint="default" w:ascii="Times New Roman" w:hAnsi="Times New Roman" w:eastAsia="宋体" w:cs="Times New Roman"/>
                      <w:b w:val="0"/>
                      <w:i w:val="0"/>
                      <w:color w:val="000000"/>
                      <w:kern w:val="0"/>
                      <w:sz w:val="21"/>
                      <w:szCs w:val="21"/>
                      <w:lang w:val="en-US" w:eastAsia="zh-CN" w:bidi="ar"/>
                    </w:rPr>
                    <w:t>速率</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＜1.34×10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＜1.34×10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＜1.34×10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＜1.44×10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1"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＜1.44×10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83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＜1.44×10</w:t>
                  </w:r>
                  <w:r>
                    <w:rPr>
                      <w:rFonts w:hint="eastAsia" w:ascii="Times New Roman" w:hAnsi="Times New Roman" w:eastAsia="宋体" w:cs="Times New Roman"/>
                      <w:b w:val="0"/>
                      <w:i w:val="0"/>
                      <w:color w:val="000000"/>
                      <w:kern w:val="0"/>
                      <w:sz w:val="21"/>
                      <w:szCs w:val="21"/>
                      <w:vertAlign w:val="superscript"/>
                      <w:lang w:val="en-US" w:eastAsia="zh-CN" w:bidi="ar"/>
                    </w:rPr>
                    <w:t>-3</w:t>
                  </w:r>
                </w:p>
              </w:tc>
              <w:tc>
                <w:tcPr>
                  <w:tcW w:w="584"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4.9</w:t>
                  </w:r>
                </w:p>
              </w:tc>
              <w:tc>
                <w:tcPr>
                  <w:tcW w:w="637"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7" w:hRule="atLeast"/>
                <w:jc w:val="center"/>
              </w:trPr>
              <w:tc>
                <w:tcPr>
                  <w:tcW w:w="8777" w:type="dxa"/>
                  <w:gridSpan w:val="11"/>
                  <w:vAlign w:val="center"/>
                </w:tcPr>
                <w:p>
                  <w:pPr>
                    <w:keepNext w:val="0"/>
                    <w:keepLines w:val="0"/>
                    <w:widowControl/>
                    <w:suppressLineNumbers w:val="0"/>
                    <w:adjustRightInd/>
                    <w:snapToGrid/>
                    <w:spacing w:before="0" w:beforeAutospacing="0" w:after="0" w:afterLines="-2147483648" w:afterAutospacing="0"/>
                    <w:ind w:left="0" w:right="0"/>
                    <w:jc w:val="left"/>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注：废气排放浓度单位为mg/m</w:t>
                  </w:r>
                  <w:r>
                    <w:rPr>
                      <w:rFonts w:hint="default" w:ascii="Times New Roman" w:hAnsi="Times New Roman" w:eastAsia="宋体" w:cs="Times New Roman"/>
                      <w:b w:val="0"/>
                      <w:i w:val="0"/>
                      <w:color w:val="000000"/>
                      <w:kern w:val="0"/>
                      <w:sz w:val="21"/>
                      <w:szCs w:val="21"/>
                      <w:vertAlign w:val="superscript"/>
                      <w:lang w:val="en-US" w:eastAsia="zh-CN" w:bidi="ar"/>
                    </w:rPr>
                    <w:t>3</w:t>
                  </w:r>
                  <w:r>
                    <w:rPr>
                      <w:rFonts w:hint="eastAsia" w:ascii="Times New Roman" w:hAnsi="Times New Roman" w:eastAsia="宋体" w:cs="Times New Roman"/>
                      <w:b w:val="0"/>
                      <w:i w:val="0"/>
                      <w:color w:val="000000"/>
                      <w:kern w:val="0"/>
                      <w:sz w:val="21"/>
                      <w:szCs w:val="21"/>
                      <w:lang w:val="en-US" w:eastAsia="zh-CN" w:bidi="ar"/>
                    </w:rPr>
                    <w:t>，</w:t>
                  </w:r>
                  <w:r>
                    <w:rPr>
                      <w:rFonts w:hint="default" w:ascii="Times New Roman" w:hAnsi="Times New Roman" w:eastAsia="宋体" w:cs="Times New Roman"/>
                      <w:b w:val="0"/>
                      <w:i w:val="0"/>
                      <w:color w:val="000000"/>
                      <w:kern w:val="0"/>
                      <w:sz w:val="21"/>
                      <w:szCs w:val="21"/>
                      <w:lang w:val="en-US" w:eastAsia="zh-CN" w:bidi="ar"/>
                    </w:rPr>
                    <w:t>废气排放速率单位为kg/h。</w:t>
                  </w:r>
                </w:p>
              </w:tc>
            </w:tr>
          </w:tbl>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eastAsia" w:ascii="Times New Roman" w:hAnsi="Times New Roman" w:eastAsia="宋体" w:cs="Times New Roman"/>
                <w:sz w:val="21"/>
                <w:szCs w:val="21"/>
                <w:lang w:val="en-US" w:eastAsia="zh-CN"/>
              </w:rPr>
              <w:t>（2）</w:t>
            </w:r>
            <w:r>
              <w:rPr>
                <w:rStyle w:val="26"/>
                <w:rFonts w:hint="default" w:ascii="Times New Roman" w:hAnsi="Times New Roman" w:eastAsia="宋体" w:cs="Times New Roman"/>
                <w:sz w:val="21"/>
                <w:szCs w:val="21"/>
                <w:lang w:val="en-US" w:eastAsia="zh-CN"/>
              </w:rPr>
              <w:t>监测结果分析</w:t>
            </w:r>
          </w:p>
          <w:p>
            <w:pPr>
              <w:keepNext w:val="0"/>
              <w:keepLines w:val="0"/>
              <w:widowControl/>
              <w:suppressLineNumbers w:val="0"/>
              <w:spacing w:before="0" w:beforeAutospacing="0" w:after="0" w:afterLines="0" w:afterAutospacing="0" w:line="360" w:lineRule="auto"/>
              <w:ind w:left="0" w:right="0" w:firstLine="420" w:firstLineChars="200"/>
              <w:jc w:val="both"/>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在监测日工况条件下，该项目实验室废气出口中非甲烷总烃、氯化氢的排放浓度和排放速率检测值均符合《大气污染物综合排放标准》（GB 16297-1996）表2“新污染源大气污染物排放限值”中二级标准要求。实验室废气出口中二氯甲烷的排放浓度检测值符合《工作场所有害因素职业接触限值 化学有害因素》（GBZ 2.1-2019）中的PC-TWA值要求，实验室废气出口中二氯甲烷的排放速率检测值符合《制定地方大气污染物排放标准的技术方法》（GB/T 13201-91）中的限值要求</w:t>
            </w:r>
            <w:r>
              <w:rPr>
                <w:rStyle w:val="26"/>
                <w:rFonts w:hint="eastAsia" w:ascii="Times New Roman" w:hAnsi="Times New Roman" w:eastAsia="宋体" w:cs="Times New Roman"/>
                <w:sz w:val="21"/>
                <w:szCs w:val="21"/>
                <w:lang w:val="en-US" w:eastAsia="zh-CN"/>
              </w:rPr>
              <w:t>。</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2）无组织排放</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（1）监测结果</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无组织排放废气监测结果详见表</w:t>
            </w:r>
            <w:r>
              <w:rPr>
                <w:rStyle w:val="26"/>
                <w:rFonts w:hint="eastAsia" w:ascii="Times New Roman" w:hAnsi="Times New Roman" w:eastAsia="宋体" w:cs="Times New Roman"/>
                <w:sz w:val="21"/>
                <w:szCs w:val="21"/>
                <w:lang w:val="en-US" w:eastAsia="zh-CN"/>
              </w:rPr>
              <w:t>7</w:t>
            </w:r>
            <w:r>
              <w:rPr>
                <w:rStyle w:val="26"/>
                <w:rFonts w:hint="default" w:ascii="Times New Roman" w:hAnsi="Times New Roman" w:eastAsia="宋体" w:cs="Times New Roman"/>
                <w:sz w:val="21"/>
                <w:szCs w:val="21"/>
                <w:lang w:val="en-US" w:eastAsia="zh-CN"/>
              </w:rPr>
              <w:t>-</w:t>
            </w:r>
            <w:r>
              <w:rPr>
                <w:rStyle w:val="26"/>
                <w:rFonts w:hint="eastAsia" w:ascii="Times New Roman" w:hAnsi="Times New Roman" w:eastAsia="宋体" w:cs="Times New Roman"/>
                <w:sz w:val="21"/>
                <w:szCs w:val="21"/>
                <w:lang w:val="en-US" w:eastAsia="zh-CN"/>
              </w:rPr>
              <w:t>4</w:t>
            </w:r>
            <w:r>
              <w:rPr>
                <w:rStyle w:val="26"/>
                <w:rFonts w:hint="default" w:ascii="Times New Roman" w:hAnsi="Times New Roman" w:eastAsia="宋体" w:cs="Times New Roman"/>
                <w:sz w:val="21"/>
                <w:szCs w:val="21"/>
                <w:lang w:val="en-US" w:eastAsia="zh-CN"/>
              </w:rPr>
              <w:t>。</w:t>
            </w:r>
          </w:p>
          <w:p>
            <w:pPr>
              <w:keepNext w:val="0"/>
              <w:keepLines w:val="0"/>
              <w:widowControl/>
              <w:suppressLineNumbers w:val="0"/>
              <w:spacing w:before="0" w:beforeAutospacing="0" w:after="0" w:afterLines="0" w:afterAutospacing="0" w:line="360" w:lineRule="auto"/>
              <w:ind w:left="0" w:right="0" w:firstLine="422" w:firstLineChars="20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表</w:t>
            </w:r>
            <w:r>
              <w:rPr>
                <w:rFonts w:hint="eastAsia" w:ascii="Times New Roman" w:hAnsi="Times New Roman" w:eastAsia="宋体" w:cs="Times New Roman"/>
                <w:b/>
                <w:bCs/>
                <w:color w:val="000000"/>
                <w:sz w:val="21"/>
                <w:szCs w:val="21"/>
                <w:lang w:val="en-US" w:eastAsia="zh-CN"/>
              </w:rPr>
              <w:t>7</w:t>
            </w:r>
            <w:r>
              <w:rPr>
                <w:rFonts w:hint="default" w:ascii="Times New Roman" w:hAnsi="Times New Roman" w:eastAsia="宋体" w:cs="Times New Roman"/>
                <w:b/>
                <w:bCs/>
                <w:color w:val="000000"/>
                <w:sz w:val="21"/>
                <w:szCs w:val="21"/>
                <w:lang w:val="en-US" w:eastAsia="zh-CN"/>
              </w:rPr>
              <w:t>-</w:t>
            </w:r>
            <w:r>
              <w:rPr>
                <w:rFonts w:hint="eastAsia" w:ascii="Times New Roman" w:hAnsi="Times New Roman" w:eastAsia="宋体" w:cs="Times New Roman"/>
                <w:b/>
                <w:bCs/>
                <w:color w:val="000000"/>
                <w:sz w:val="21"/>
                <w:szCs w:val="21"/>
                <w:lang w:val="en-US" w:eastAsia="zh-CN"/>
              </w:rPr>
              <w:t>4</w:t>
            </w:r>
            <w:r>
              <w:rPr>
                <w:rFonts w:hint="default" w:ascii="Times New Roman" w:hAnsi="Times New Roman" w:eastAsia="宋体" w:cs="Times New Roman"/>
                <w:b/>
                <w:bCs/>
                <w:color w:val="000000"/>
                <w:sz w:val="21"/>
                <w:szCs w:val="21"/>
                <w:lang w:val="en-US" w:eastAsia="zh-CN"/>
              </w:rPr>
              <w:t xml:space="preserve"> 无组织排放废气监测结果</w:t>
            </w:r>
          </w:p>
          <w:tbl>
            <w:tblPr>
              <w:tblStyle w:val="19"/>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17"/>
              <w:gridCol w:w="1503"/>
              <w:gridCol w:w="898"/>
              <w:gridCol w:w="898"/>
              <w:gridCol w:w="898"/>
              <w:gridCol w:w="898"/>
              <w:gridCol w:w="898"/>
              <w:gridCol w:w="902"/>
              <w:gridCol w:w="648"/>
              <w:gridCol w:w="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blHeader/>
                <w:jc w:val="center"/>
              </w:trPr>
              <w:tc>
                <w:tcPr>
                  <w:tcW w:w="817"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采样点</w:t>
                  </w:r>
                </w:p>
              </w:tc>
              <w:tc>
                <w:tcPr>
                  <w:tcW w:w="1503"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检测项目</w:t>
                  </w:r>
                </w:p>
              </w:tc>
              <w:tc>
                <w:tcPr>
                  <w:tcW w:w="5392"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检测结果</w:t>
                  </w:r>
                </w:p>
              </w:tc>
              <w:tc>
                <w:tcPr>
                  <w:tcW w:w="648"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限值</w:t>
                  </w:r>
                </w:p>
              </w:tc>
              <w:tc>
                <w:tcPr>
                  <w:tcW w:w="560"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blHeader/>
                <w:jc w:val="center"/>
              </w:trPr>
              <w:tc>
                <w:tcPr>
                  <w:tcW w:w="817"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503"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269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第一周期（</w:t>
                  </w:r>
                  <w:r>
                    <w:rPr>
                      <w:rFonts w:hint="eastAsia" w:ascii="Times New Roman" w:hAnsi="Times New Roman" w:eastAsia="宋体" w:cs="Times New Roman"/>
                      <w:b w:val="0"/>
                      <w:i w:val="0"/>
                      <w:color w:val="000000"/>
                      <w:kern w:val="0"/>
                      <w:sz w:val="21"/>
                      <w:szCs w:val="21"/>
                      <w:lang w:val="en-US" w:eastAsia="zh-CN" w:bidi="ar"/>
                    </w:rPr>
                    <w:t>2022.12.06</w:t>
                  </w:r>
                  <w:r>
                    <w:rPr>
                      <w:rFonts w:hint="default" w:ascii="Times New Roman" w:hAnsi="Times New Roman" w:eastAsia="宋体" w:cs="Times New Roman"/>
                      <w:b w:val="0"/>
                      <w:i w:val="0"/>
                      <w:color w:val="000000"/>
                      <w:kern w:val="0"/>
                      <w:sz w:val="21"/>
                      <w:szCs w:val="21"/>
                      <w:lang w:val="en-US" w:eastAsia="zh-CN" w:bidi="ar"/>
                    </w:rPr>
                    <w:t>）</w:t>
                  </w:r>
                </w:p>
              </w:tc>
              <w:tc>
                <w:tcPr>
                  <w:tcW w:w="2698"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第二周期（</w:t>
                  </w:r>
                  <w:r>
                    <w:rPr>
                      <w:rFonts w:hint="eastAsia" w:ascii="Times New Roman" w:hAnsi="Times New Roman" w:eastAsia="宋体" w:cs="Times New Roman"/>
                      <w:b w:val="0"/>
                      <w:i w:val="0"/>
                      <w:color w:val="000000"/>
                      <w:kern w:val="0"/>
                      <w:sz w:val="21"/>
                      <w:szCs w:val="21"/>
                      <w:lang w:val="en-US" w:eastAsia="zh-CN" w:bidi="ar"/>
                    </w:rPr>
                    <w:t>2022.12.07</w:t>
                  </w:r>
                  <w:r>
                    <w:rPr>
                      <w:rFonts w:hint="default" w:ascii="Times New Roman" w:hAnsi="Times New Roman" w:eastAsia="宋体" w:cs="Times New Roman"/>
                      <w:b w:val="0"/>
                      <w:i w:val="0"/>
                      <w:color w:val="000000"/>
                      <w:kern w:val="0"/>
                      <w:sz w:val="21"/>
                      <w:szCs w:val="21"/>
                      <w:lang w:val="en-US" w:eastAsia="zh-CN" w:bidi="ar"/>
                    </w:rPr>
                    <w:t>）</w:t>
                  </w:r>
                </w:p>
              </w:tc>
              <w:tc>
                <w:tcPr>
                  <w:tcW w:w="648"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560"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blHeader/>
                <w:jc w:val="center"/>
              </w:trPr>
              <w:tc>
                <w:tcPr>
                  <w:tcW w:w="817" w:type="dxa"/>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厂区内B</w:t>
                  </w:r>
                </w:p>
              </w:tc>
              <w:tc>
                <w:tcPr>
                  <w:tcW w:w="1503" w:type="dxa"/>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1.52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1.59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1.51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1.46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1.42 </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1.51 </w:t>
                  </w:r>
                </w:p>
              </w:tc>
              <w:tc>
                <w:tcPr>
                  <w:tcW w:w="648" w:type="dxa"/>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20</w:t>
                  </w:r>
                </w:p>
              </w:tc>
              <w:tc>
                <w:tcPr>
                  <w:tcW w:w="560" w:type="dxa"/>
                  <w:tcBorders>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上风向C</w:t>
                  </w: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1.06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1.02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1.07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0.99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1.04 </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0.98 </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氯化氢</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0.20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二氯甲烷</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下风向D</w:t>
                  </w: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1.20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1.37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1.41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1.25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1.17 </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1.32 </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氯化氢</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0.20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二氯甲烷</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下风向E</w:t>
                  </w: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1.31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1.37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1.26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1.26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1.30 </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1.37 </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氯化氢</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0.20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二氯甲烷</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下风向F</w:t>
                  </w: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非甲烷总烃</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1.43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1.30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1.40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1.22 </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1.31 </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1.27 </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4.0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氯化氢</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＜0.05</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0.20</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17"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p>
              </w:tc>
              <w:tc>
                <w:tcPr>
                  <w:tcW w:w="15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二氯甲烷</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89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＜1.0×10</w:t>
                  </w:r>
                  <w:r>
                    <w:rPr>
                      <w:rFonts w:hint="default" w:ascii="Times New Roman" w:hAnsi="Times New Roman" w:eastAsia="宋体" w:cs="Times New Roman"/>
                      <w:b w:val="0"/>
                      <w:i w:val="0"/>
                      <w:color w:val="000000"/>
                      <w:kern w:val="0"/>
                      <w:sz w:val="21"/>
                      <w:szCs w:val="21"/>
                      <w:vertAlign w:val="superscript"/>
                      <w:lang w:val="en-US" w:eastAsia="zh-CN" w:bidi="ar"/>
                    </w:rPr>
                    <w:t>-3</w:t>
                  </w:r>
                </w:p>
              </w:tc>
              <w:tc>
                <w:tcPr>
                  <w:tcW w:w="64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1.9</w:t>
                  </w:r>
                </w:p>
              </w:tc>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8920" w:type="dxa"/>
                  <w:gridSpan w:val="10"/>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left"/>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注：浓度单位为mg/m</w:t>
                  </w:r>
                  <w:r>
                    <w:rPr>
                      <w:rFonts w:hint="default" w:ascii="Times New Roman" w:hAnsi="Times New Roman" w:eastAsia="宋体" w:cs="Times New Roman"/>
                      <w:b w:val="0"/>
                      <w:i w:val="0"/>
                      <w:color w:val="000000"/>
                      <w:kern w:val="0"/>
                      <w:sz w:val="21"/>
                      <w:szCs w:val="21"/>
                      <w:vertAlign w:val="superscript"/>
                      <w:lang w:val="en-US" w:eastAsia="zh-CN" w:bidi="ar"/>
                    </w:rPr>
                    <w:t>3</w:t>
                  </w:r>
                  <w:r>
                    <w:rPr>
                      <w:rFonts w:hint="default" w:ascii="Times New Roman" w:hAnsi="Times New Roman" w:eastAsia="宋体" w:cs="Times New Roman"/>
                      <w:b w:val="0"/>
                      <w:i w:val="0"/>
                      <w:color w:val="000000"/>
                      <w:kern w:val="0"/>
                      <w:sz w:val="21"/>
                      <w:szCs w:val="21"/>
                      <w:lang w:val="en-US" w:eastAsia="zh-CN" w:bidi="ar"/>
                    </w:rPr>
                    <w:t>。</w:t>
                  </w:r>
                </w:p>
              </w:tc>
            </w:tr>
          </w:tbl>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（2）监测结果分析</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在监测日工况条件下，该项目上、下风向无组织排放的非甲烷总烃、氯化氢的最高点检测值均符合《大气污染物综合排放标准》（GB 16297-1996）表2中无组织排放监控浓度限值要求。上、下风向无组织排放的二氯甲烷的检测值符合《大气污染物综合排放标准详解》中环境质量标准一次值的4倍值要求。厂区内无组织排放的非甲烷总烃的检测值符合《挥发性有机物无组织排放控制标准》（GB 27822-2019）表A.1厂区内VOCs无组织排放限值中的特别排放限值要求。</w:t>
            </w: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7.2.3 噪声</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eastAsia" w:ascii="Times New Roman" w:hAnsi="Times New Roman" w:eastAsia="宋体" w:cs="Times New Roman"/>
                <w:sz w:val="21"/>
                <w:szCs w:val="21"/>
                <w:lang w:val="en-US" w:eastAsia="zh-CN"/>
              </w:rPr>
              <w:t>（</w:t>
            </w:r>
            <w:r>
              <w:rPr>
                <w:rStyle w:val="26"/>
                <w:rFonts w:hint="default" w:ascii="Times New Roman" w:hAnsi="Times New Roman" w:eastAsia="宋体" w:cs="Times New Roman"/>
                <w:sz w:val="21"/>
                <w:szCs w:val="21"/>
                <w:lang w:val="en-US" w:eastAsia="zh-CN"/>
              </w:rPr>
              <w:t>1）监测结果</w:t>
            </w:r>
          </w:p>
          <w:p>
            <w:pPr>
              <w:keepNext w:val="0"/>
              <w:keepLines w:val="0"/>
              <w:widowControl/>
              <w:suppressLineNumbers w:val="0"/>
              <w:spacing w:before="0" w:beforeAutospacing="0" w:after="0" w:afterLines="0" w:afterAutospacing="0" w:line="360" w:lineRule="auto"/>
              <w:ind w:left="0" w:right="0" w:firstLine="420" w:firstLineChars="200"/>
              <w:jc w:val="left"/>
              <w:rPr>
                <w:rFonts w:hint="default" w:ascii="Times New Roman" w:hAnsi="Times New Roman" w:eastAsia="宋体" w:cs="Times New Roman"/>
                <w:b/>
                <w:bCs/>
                <w:color w:val="000000"/>
                <w:sz w:val="21"/>
                <w:szCs w:val="21"/>
                <w:lang w:val="en-US" w:eastAsia="zh-CN"/>
              </w:rPr>
            </w:pPr>
            <w:r>
              <w:rPr>
                <w:rStyle w:val="26"/>
                <w:rFonts w:hint="default" w:ascii="Times New Roman" w:hAnsi="Times New Roman" w:eastAsia="宋体" w:cs="Times New Roman"/>
                <w:sz w:val="21"/>
                <w:szCs w:val="21"/>
                <w:lang w:val="en-US" w:eastAsia="zh-CN"/>
              </w:rPr>
              <w:t>噪声监测结果见表</w:t>
            </w:r>
            <w:r>
              <w:rPr>
                <w:rStyle w:val="26"/>
                <w:rFonts w:hint="eastAsia" w:ascii="Times New Roman" w:hAnsi="Times New Roman" w:eastAsia="宋体" w:cs="Times New Roman"/>
                <w:sz w:val="21"/>
                <w:szCs w:val="21"/>
                <w:lang w:val="en-US" w:eastAsia="zh-CN"/>
              </w:rPr>
              <w:t>7</w:t>
            </w:r>
            <w:r>
              <w:rPr>
                <w:rStyle w:val="26"/>
                <w:rFonts w:hint="default" w:ascii="Times New Roman" w:hAnsi="Times New Roman" w:eastAsia="宋体" w:cs="Times New Roman"/>
                <w:sz w:val="21"/>
                <w:szCs w:val="21"/>
                <w:lang w:val="en-US" w:eastAsia="zh-CN"/>
              </w:rPr>
              <w:t>-</w:t>
            </w:r>
            <w:r>
              <w:rPr>
                <w:rStyle w:val="26"/>
                <w:rFonts w:hint="eastAsia" w:ascii="Times New Roman" w:hAnsi="Times New Roman" w:eastAsia="宋体" w:cs="Times New Roman"/>
                <w:sz w:val="21"/>
                <w:szCs w:val="21"/>
                <w:lang w:val="en-US" w:eastAsia="zh-CN"/>
              </w:rPr>
              <w:t>5。</w:t>
            </w:r>
          </w:p>
          <w:p>
            <w:pPr>
              <w:keepNext w:val="0"/>
              <w:keepLines w:val="0"/>
              <w:widowControl/>
              <w:suppressLineNumbers w:val="0"/>
              <w:spacing w:before="0" w:beforeAutospacing="0" w:after="0" w:afterLines="0" w:afterAutospacing="0" w:line="360" w:lineRule="auto"/>
              <w:ind w:left="0" w:right="0" w:firstLine="422" w:firstLineChars="20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表</w:t>
            </w:r>
            <w:r>
              <w:rPr>
                <w:rFonts w:hint="eastAsia" w:ascii="Times New Roman" w:hAnsi="Times New Roman" w:eastAsia="宋体" w:cs="Times New Roman"/>
                <w:b/>
                <w:bCs/>
                <w:color w:val="000000"/>
                <w:sz w:val="21"/>
                <w:szCs w:val="21"/>
                <w:lang w:val="en-US" w:eastAsia="zh-CN"/>
              </w:rPr>
              <w:t>7-5</w:t>
            </w:r>
            <w:r>
              <w:rPr>
                <w:rFonts w:hint="default" w:ascii="Times New Roman" w:hAnsi="Times New Roman" w:eastAsia="宋体" w:cs="Times New Roman"/>
                <w:b/>
                <w:bCs/>
                <w:color w:val="000000"/>
                <w:sz w:val="21"/>
                <w:szCs w:val="21"/>
                <w:lang w:val="en-US" w:eastAsia="zh-CN"/>
              </w:rPr>
              <w:t xml:space="preserve"> 厂界噪声监测结果</w:t>
            </w:r>
          </w:p>
          <w:tbl>
            <w:tblPr>
              <w:tblStyle w:val="19"/>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945"/>
              <w:gridCol w:w="1177"/>
              <w:gridCol w:w="1177"/>
              <w:gridCol w:w="1"/>
              <w:gridCol w:w="1176"/>
              <w:gridCol w:w="1179"/>
              <w:gridCol w:w="1460"/>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blHeader/>
                <w:jc w:val="center"/>
              </w:trPr>
              <w:tc>
                <w:tcPr>
                  <w:tcW w:w="1618" w:type="dxa"/>
                  <w:gridSpan w:val="2"/>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检测点位</w:t>
                  </w:r>
                </w:p>
              </w:tc>
              <w:tc>
                <w:tcPr>
                  <w:tcW w:w="4710"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检测结果</w:t>
                  </w:r>
                </w:p>
              </w:tc>
              <w:tc>
                <w:tcPr>
                  <w:tcW w:w="1460"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标准限值</w:t>
                  </w:r>
                </w:p>
              </w:tc>
              <w:tc>
                <w:tcPr>
                  <w:tcW w:w="1132" w:type="dxa"/>
                  <w:vMerge w:val="restart"/>
                  <w:tcBorders>
                    <w:top w:val="single" w:color="auto" w:sz="4" w:space="0"/>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blHeader/>
                <w:jc w:val="center"/>
              </w:trPr>
              <w:tc>
                <w:tcPr>
                  <w:tcW w:w="1618" w:type="dxa"/>
                  <w:gridSpan w:val="2"/>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2355" w:type="dxa"/>
                  <w:gridSpan w:val="3"/>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第一周期（</w:t>
                  </w:r>
                  <w:r>
                    <w:rPr>
                      <w:rFonts w:hint="eastAsia" w:ascii="Times New Roman" w:hAnsi="Times New Roman" w:eastAsia="宋体" w:cs="Times New Roman"/>
                      <w:b w:val="0"/>
                      <w:i w:val="0"/>
                      <w:color w:val="000000"/>
                      <w:kern w:val="0"/>
                      <w:sz w:val="21"/>
                      <w:szCs w:val="21"/>
                      <w:lang w:val="en-US" w:eastAsia="zh-CN" w:bidi="ar"/>
                    </w:rPr>
                    <w:t>2022.12.06</w:t>
                  </w:r>
                  <w:r>
                    <w:rPr>
                      <w:rFonts w:hint="default" w:ascii="Times New Roman" w:hAnsi="Times New Roman" w:eastAsia="宋体" w:cs="Times New Roman"/>
                      <w:b w:val="0"/>
                      <w:i w:val="0"/>
                      <w:color w:val="000000"/>
                      <w:kern w:val="0"/>
                      <w:sz w:val="21"/>
                      <w:szCs w:val="21"/>
                      <w:lang w:val="en-US" w:eastAsia="zh-CN" w:bidi="ar"/>
                    </w:rPr>
                    <w:t>）</w:t>
                  </w:r>
                </w:p>
              </w:tc>
              <w:tc>
                <w:tcPr>
                  <w:tcW w:w="2355" w:type="dxa"/>
                  <w:gridSpan w:val="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第二周期（</w:t>
                  </w:r>
                  <w:r>
                    <w:rPr>
                      <w:rFonts w:hint="eastAsia" w:ascii="Times New Roman" w:hAnsi="Times New Roman" w:eastAsia="宋体" w:cs="Times New Roman"/>
                      <w:b w:val="0"/>
                      <w:i w:val="0"/>
                      <w:color w:val="000000"/>
                      <w:kern w:val="0"/>
                      <w:sz w:val="21"/>
                      <w:szCs w:val="21"/>
                      <w:lang w:val="en-US" w:eastAsia="zh-CN" w:bidi="ar"/>
                    </w:rPr>
                    <w:t>2022.12.07</w:t>
                  </w:r>
                  <w:r>
                    <w:rPr>
                      <w:rFonts w:hint="default" w:ascii="Times New Roman" w:hAnsi="Times New Roman" w:eastAsia="宋体" w:cs="Times New Roman"/>
                      <w:b w:val="0"/>
                      <w:i w:val="0"/>
                      <w:color w:val="000000"/>
                      <w:kern w:val="0"/>
                      <w:sz w:val="21"/>
                      <w:szCs w:val="21"/>
                      <w:lang w:val="en-US" w:eastAsia="zh-CN" w:bidi="ar"/>
                    </w:rPr>
                    <w:t>）</w:t>
                  </w:r>
                </w:p>
              </w:tc>
              <w:tc>
                <w:tcPr>
                  <w:tcW w:w="1460"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132"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blHeader/>
                <w:jc w:val="center"/>
              </w:trPr>
              <w:tc>
                <w:tcPr>
                  <w:tcW w:w="1618" w:type="dxa"/>
                  <w:gridSpan w:val="2"/>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昼间</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昼间</w:t>
                  </w:r>
                </w:p>
              </w:tc>
              <w:tc>
                <w:tcPr>
                  <w:tcW w:w="1177" w:type="dxa"/>
                  <w:gridSpan w:val="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昼间</w:t>
                  </w:r>
                </w:p>
              </w:tc>
              <w:tc>
                <w:tcPr>
                  <w:tcW w:w="1179"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昼间</w:t>
                  </w:r>
                </w:p>
              </w:tc>
              <w:tc>
                <w:tcPr>
                  <w:tcW w:w="1460" w:type="dxa"/>
                  <w:tcBorders>
                    <w:lef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昼间</w:t>
                  </w:r>
                </w:p>
              </w:tc>
              <w:tc>
                <w:tcPr>
                  <w:tcW w:w="113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3" w:type="dxa"/>
                  <w:vMerge w:val="restart"/>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项目地</w:t>
                  </w:r>
                </w:p>
              </w:tc>
              <w:tc>
                <w:tcPr>
                  <w:tcW w:w="945"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厂界东</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55</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177" w:type="dxa"/>
                  <w:gridSpan w:val="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55</w:t>
                  </w:r>
                </w:p>
              </w:tc>
              <w:tc>
                <w:tcPr>
                  <w:tcW w:w="1179"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55</w:t>
                  </w:r>
                </w:p>
              </w:tc>
              <w:tc>
                <w:tcPr>
                  <w:tcW w:w="1460" w:type="dxa"/>
                  <w:tcBorders>
                    <w:lef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65</w:t>
                  </w:r>
                </w:p>
              </w:tc>
              <w:tc>
                <w:tcPr>
                  <w:tcW w:w="113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3"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945"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厂界南</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177" w:type="dxa"/>
                  <w:gridSpan w:val="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179"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460" w:type="dxa"/>
                  <w:tcBorders>
                    <w:lef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65</w:t>
                  </w:r>
                </w:p>
              </w:tc>
              <w:tc>
                <w:tcPr>
                  <w:tcW w:w="113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3"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945"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厂界西</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57</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57</w:t>
                  </w:r>
                </w:p>
              </w:tc>
              <w:tc>
                <w:tcPr>
                  <w:tcW w:w="1177" w:type="dxa"/>
                  <w:gridSpan w:val="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57</w:t>
                  </w:r>
                </w:p>
              </w:tc>
              <w:tc>
                <w:tcPr>
                  <w:tcW w:w="1179"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57</w:t>
                  </w:r>
                </w:p>
              </w:tc>
              <w:tc>
                <w:tcPr>
                  <w:tcW w:w="1460" w:type="dxa"/>
                  <w:tcBorders>
                    <w:lef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65</w:t>
                  </w:r>
                </w:p>
              </w:tc>
              <w:tc>
                <w:tcPr>
                  <w:tcW w:w="113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3" w:type="dxa"/>
                  <w:vMerge w:val="continue"/>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p>
              </w:tc>
              <w:tc>
                <w:tcPr>
                  <w:tcW w:w="945"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厂界北</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177"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55</w:t>
                  </w:r>
                </w:p>
              </w:tc>
              <w:tc>
                <w:tcPr>
                  <w:tcW w:w="1177" w:type="dxa"/>
                  <w:gridSpan w:val="2"/>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55</w:t>
                  </w:r>
                </w:p>
              </w:tc>
              <w:tc>
                <w:tcPr>
                  <w:tcW w:w="1179"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56</w:t>
                  </w:r>
                </w:p>
              </w:tc>
              <w:tc>
                <w:tcPr>
                  <w:tcW w:w="1460" w:type="dxa"/>
                  <w:tcBorders>
                    <w:lef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65</w:t>
                  </w:r>
                </w:p>
              </w:tc>
              <w:tc>
                <w:tcPr>
                  <w:tcW w:w="1132" w:type="dxa"/>
                  <w:tcBorders>
                    <w:left w:val="single" w:color="auto" w:sz="4" w:space="0"/>
                    <w:righ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8920" w:type="dxa"/>
                  <w:gridSpan w:val="9"/>
                  <w:tcBorders>
                    <w:left w:val="single" w:color="auto" w:sz="4" w:space="0"/>
                  </w:tcBorders>
                  <w:vAlign w:val="center"/>
                </w:tcPr>
                <w:p>
                  <w:pPr>
                    <w:keepNext w:val="0"/>
                    <w:keepLines w:val="0"/>
                    <w:widowControl/>
                    <w:suppressLineNumbers w:val="0"/>
                    <w:adjustRightInd/>
                    <w:snapToGrid/>
                    <w:spacing w:before="0" w:beforeAutospacing="0" w:after="0" w:afterLines="-2147483648" w:afterAutospacing="0"/>
                    <w:ind w:left="0" w:right="0"/>
                    <w:jc w:val="left"/>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注：噪声单位为dB(A)。</w:t>
                  </w:r>
                </w:p>
              </w:tc>
            </w:tr>
          </w:tbl>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eastAsia" w:ascii="Times New Roman" w:hAnsi="Times New Roman" w:eastAsia="宋体" w:cs="Times New Roman"/>
                <w:sz w:val="21"/>
                <w:szCs w:val="21"/>
                <w:lang w:val="en-US" w:eastAsia="zh-CN"/>
              </w:rPr>
              <w:t>（2</w:t>
            </w:r>
            <w:r>
              <w:rPr>
                <w:rStyle w:val="26"/>
                <w:rFonts w:hint="default" w:ascii="Times New Roman" w:hAnsi="Times New Roman" w:eastAsia="宋体" w:cs="Times New Roman"/>
                <w:sz w:val="21"/>
                <w:szCs w:val="21"/>
                <w:lang w:val="en-US" w:eastAsia="zh-CN"/>
              </w:rPr>
              <w:t>）监测结果分析</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在监测日工况条件下，该项目厂界东、南、西、北昼间噪声测量值均符合《工业企业厂界环境噪声排放标准》（GB 12348-2008）中3类标准的要求。</w:t>
            </w:r>
          </w:p>
          <w:p>
            <w:pPr>
              <w:keepNext w:val="0"/>
              <w:keepLines w:val="0"/>
              <w:widowControl/>
              <w:suppressLineNumbers w:val="0"/>
              <w:spacing w:before="0" w:beforeAutospacing="0" w:after="0" w:afterLines="0" w:afterAutospacing="0" w:line="360" w:lineRule="auto"/>
              <w:ind w:left="0" w:right="0"/>
              <w:jc w:val="left"/>
              <w:rPr>
                <w:rStyle w:val="26"/>
                <w:rFonts w:hint="default" w:ascii="Times New Roman" w:hAnsi="Times New Roman" w:eastAsia="宋体" w:cs="Times New Roman"/>
                <w:b/>
                <w:bCs/>
                <w:color w:val="auto"/>
                <w:sz w:val="24"/>
                <w:szCs w:val="24"/>
                <w:lang w:val="en-US" w:eastAsia="zh-CN"/>
              </w:rPr>
            </w:pP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eastAsia" w:ascii="Times New Roman" w:hAnsi="Times New Roman" w:eastAsia="宋体" w:cs="Times New Roman"/>
                <w:b/>
                <w:bCs/>
                <w:sz w:val="21"/>
                <w:szCs w:val="21"/>
                <w:lang w:val="en-US" w:eastAsia="zh-CN"/>
              </w:rPr>
            </w:pPr>
            <w:r>
              <w:rPr>
                <w:rStyle w:val="26"/>
                <w:rFonts w:hint="default" w:ascii="Times New Roman" w:hAnsi="Times New Roman" w:eastAsia="宋体" w:cs="Times New Roman"/>
                <w:b/>
                <w:bCs/>
                <w:sz w:val="21"/>
                <w:szCs w:val="21"/>
                <w:lang w:val="en-US" w:eastAsia="zh-CN"/>
              </w:rPr>
              <w:t>7.2</w:t>
            </w:r>
            <w:r>
              <w:rPr>
                <w:rStyle w:val="26"/>
                <w:rFonts w:hint="eastAsia" w:ascii="Times New Roman" w:hAnsi="Times New Roman" w:eastAsia="宋体" w:cs="Times New Roman"/>
                <w:b/>
                <w:bCs/>
                <w:sz w:val="21"/>
                <w:szCs w:val="21"/>
                <w:lang w:val="en-US" w:eastAsia="zh-CN"/>
              </w:rPr>
              <w:t>.4</w:t>
            </w:r>
            <w:r>
              <w:rPr>
                <w:rStyle w:val="26"/>
                <w:rFonts w:hint="default" w:ascii="Times New Roman" w:hAnsi="Times New Roman" w:eastAsia="宋体" w:cs="Times New Roman"/>
                <w:b/>
                <w:bCs/>
                <w:sz w:val="21"/>
                <w:szCs w:val="21"/>
                <w:lang w:val="en-US" w:eastAsia="zh-CN"/>
              </w:rPr>
              <w:t>污染物排放总量核算</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color w:val="auto"/>
                <w:sz w:val="21"/>
                <w:szCs w:val="21"/>
                <w:lang w:val="en-US" w:eastAsia="zh-CN"/>
              </w:rPr>
            </w:pPr>
            <w:r>
              <w:rPr>
                <w:rStyle w:val="26"/>
                <w:rFonts w:hint="eastAsia" w:ascii="Times New Roman" w:hAnsi="Times New Roman" w:eastAsia="宋体" w:cs="Times New Roman"/>
                <w:color w:val="auto"/>
                <w:sz w:val="21"/>
                <w:szCs w:val="21"/>
                <w:lang w:val="en-US" w:eastAsia="zh-CN"/>
              </w:rPr>
              <w:t>废水</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color w:val="auto"/>
                <w:sz w:val="21"/>
                <w:szCs w:val="21"/>
                <w:lang w:val="en-US" w:eastAsia="zh-CN"/>
              </w:rPr>
            </w:pPr>
            <w:r>
              <w:rPr>
                <w:rStyle w:val="26"/>
                <w:rFonts w:hint="eastAsia" w:ascii="Times New Roman" w:hAnsi="Times New Roman" w:eastAsia="宋体" w:cs="Times New Roman"/>
                <w:color w:val="auto"/>
                <w:sz w:val="21"/>
                <w:szCs w:val="21"/>
                <w:lang w:val="en-US" w:eastAsia="zh-CN"/>
              </w:rPr>
              <w:t>根据杭州普力材料科技有限公司PPC可降解材料及多元醇研发实验室项目废水排放量和废水排入环境的限值（化学需氧量≤50mg/L，氨氮≤5mg/L），计算得企业废水污染因子环境排放量：</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color w:val="auto"/>
                <w:sz w:val="21"/>
                <w:szCs w:val="21"/>
                <w:lang w:val="en-US" w:eastAsia="zh-CN"/>
              </w:rPr>
            </w:pPr>
            <w:r>
              <w:rPr>
                <w:rStyle w:val="26"/>
                <w:rFonts w:hint="eastAsia" w:ascii="Times New Roman" w:hAnsi="Times New Roman" w:eastAsia="宋体" w:cs="Times New Roman"/>
                <w:color w:val="auto"/>
                <w:sz w:val="21"/>
                <w:szCs w:val="21"/>
                <w:lang w:val="en-US" w:eastAsia="zh-CN"/>
              </w:rPr>
              <w:t>废水年排环境量392.2t，化学需氧量年排环境量为0.020吨，氨氮年排环境量为0.002吨，符合总量控制标准（杭州普力材料科技有限公司PPC可降解材料及多元醇研发实验室项目年排废水量392.2t/a，化学需氧量≤0.020t/a，氨氮≤0.002t/a）。</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color w:val="auto"/>
                <w:sz w:val="21"/>
                <w:szCs w:val="21"/>
                <w:lang w:val="en-US" w:eastAsia="zh-CN"/>
              </w:rPr>
            </w:pPr>
            <w:r>
              <w:rPr>
                <w:rStyle w:val="26"/>
                <w:rFonts w:hint="eastAsia" w:ascii="Times New Roman" w:hAnsi="Times New Roman" w:eastAsia="宋体" w:cs="Times New Roman"/>
                <w:color w:val="auto"/>
                <w:sz w:val="21"/>
                <w:szCs w:val="21"/>
                <w:lang w:val="en-US" w:eastAsia="zh-CN"/>
              </w:rPr>
              <w:t>废气</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color w:val="auto"/>
                <w:sz w:val="21"/>
                <w:szCs w:val="21"/>
                <w:lang w:val="en-US" w:eastAsia="zh-CN"/>
              </w:rPr>
              <w:t>企业实验室年工作300小时。经计算，项目VOCs年排环境量为0.009吨，符合总量控制标准（杭州普力材料科技有限公司PPC可降解材料及多元醇研发实验室项目年排VOCs≤0.027t/a）。</w:t>
            </w: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eastAsia" w:ascii="Times New Roman" w:hAnsi="Times New Roman" w:eastAsia="宋体" w:cs="Times New Roman"/>
                <w:b/>
                <w:bCs/>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default" w:ascii="Times New Roman" w:hAnsi="Times New Roman" w:eastAsia="宋体" w:cs="Times New Roman"/>
                <w:sz w:val="21"/>
                <w:szCs w:val="21"/>
                <w:lang w:val="en-US" w:eastAsia="zh-CN"/>
              </w:rPr>
            </w:pPr>
            <w:r>
              <w:rPr>
                <w:rStyle w:val="26"/>
                <w:rFonts w:hint="eastAsia" w:ascii="Times New Roman" w:hAnsi="Times New Roman" w:eastAsia="宋体" w:cs="Times New Roman"/>
                <w:b/>
                <w:bCs/>
                <w:sz w:val="21"/>
                <w:szCs w:val="21"/>
                <w:lang w:val="en-US" w:eastAsia="zh-CN"/>
              </w:rPr>
              <w:t>7.2.5</w:t>
            </w:r>
            <w:r>
              <w:rPr>
                <w:rStyle w:val="26"/>
                <w:rFonts w:hint="default" w:ascii="Times New Roman" w:hAnsi="Times New Roman" w:eastAsia="宋体" w:cs="Times New Roman"/>
                <w:b/>
                <w:bCs/>
                <w:sz w:val="21"/>
                <w:szCs w:val="21"/>
                <w:lang w:val="en-US" w:eastAsia="zh-CN"/>
              </w:rPr>
              <w:t>工程建设对环境的影响</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color w:val="FF0000"/>
                <w:sz w:val="21"/>
                <w:szCs w:val="21"/>
                <w:lang w:val="en-US" w:eastAsia="zh-CN"/>
              </w:rPr>
            </w:pPr>
            <w:r>
              <w:rPr>
                <w:rFonts w:hint="eastAsia" w:ascii="Times New Roman" w:hAnsi="Times New Roman" w:eastAsia="宋体" w:cs="Times New Roman"/>
                <w:color w:val="000000"/>
                <w:sz w:val="21"/>
                <w:szCs w:val="21"/>
                <w:lang w:eastAsia="zh-CN"/>
              </w:rPr>
              <w:t>杭州普力材料科技有限公司PPC可降解材料及多元醇研发实验室项目</w:t>
            </w:r>
            <w:r>
              <w:rPr>
                <w:rStyle w:val="26"/>
                <w:rFonts w:hint="default" w:ascii="Times New Roman" w:hAnsi="Times New Roman" w:eastAsia="宋体" w:cs="Times New Roman"/>
                <w:sz w:val="21"/>
                <w:szCs w:val="21"/>
                <w:lang w:val="en-US" w:eastAsia="zh-CN"/>
              </w:rPr>
              <w:t>符合当地总体规划，符合国家的产业政策，基本符合清洁生产、总量控制和达标排放的原则，其营运不会改变所在地的环境质量水平和环境功能，当地环境质量仍能维持现状。在项目建设过程中有效落实各项污染防治措施的基础上，并充分考虑环评提出的要求后，从环境保护角度分析，本项目在</w:t>
            </w:r>
            <w:r>
              <w:rPr>
                <w:rStyle w:val="26"/>
                <w:rFonts w:hint="eastAsia" w:ascii="Times New Roman" w:hAnsi="Times New Roman" w:eastAsia="宋体" w:cs="Times New Roman"/>
                <w:sz w:val="21"/>
                <w:szCs w:val="21"/>
                <w:lang w:val="en-US" w:eastAsia="zh-CN"/>
              </w:rPr>
              <w:t>浙江省杭州市余杭区良渚街道纳贤街2号10号楼6楼</w:t>
            </w:r>
            <w:r>
              <w:rPr>
                <w:rStyle w:val="26"/>
                <w:rFonts w:hint="default" w:ascii="Times New Roman" w:hAnsi="Times New Roman" w:eastAsia="宋体" w:cs="Times New Roman"/>
                <w:sz w:val="21"/>
                <w:szCs w:val="21"/>
                <w:lang w:val="en-US" w:eastAsia="zh-CN"/>
              </w:rPr>
              <w:t>的建设是可行的。</w:t>
            </w:r>
          </w:p>
        </w:tc>
      </w:tr>
    </w:tbl>
    <w:p>
      <w:pPr>
        <w:spacing w:after="0" w:afterLines="0" w:line="360" w:lineRule="auto"/>
        <w:rPr>
          <w:rFonts w:eastAsia="仿宋_GB2312"/>
          <w:b/>
          <w:color w:val="000000"/>
          <w:sz w:val="21"/>
          <w:szCs w:val="21"/>
        </w:rPr>
        <w:sectPr>
          <w:pgSz w:w="11906" w:h="16838"/>
          <w:pgMar w:top="1440" w:right="1800" w:bottom="1440" w:left="1800" w:header="708" w:footer="708" w:gutter="0"/>
          <w:pgNumType w:fmt="decimal"/>
          <w:cols w:space="720" w:num="1"/>
          <w:docGrid w:linePitch="360" w:charSpace="0"/>
        </w:sectPr>
      </w:pPr>
    </w:p>
    <w:p>
      <w:pPr>
        <w:spacing w:after="0" w:afterLines="0" w:line="360" w:lineRule="auto"/>
        <w:rPr>
          <w:rFonts w:hint="eastAsia"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八</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4" w:type="dxa"/>
            <w:vAlign w:val="top"/>
          </w:tcPr>
          <w:p>
            <w:pPr>
              <w:keepNext w:val="0"/>
              <w:keepLines w:val="0"/>
              <w:widowControl/>
              <w:suppressLineNumbers w:val="0"/>
              <w:spacing w:before="0" w:beforeAutospacing="0" w:after="0" w:afterLines="0" w:afterAutospacing="0" w:line="360" w:lineRule="auto"/>
              <w:ind w:left="0" w:right="0"/>
              <w:jc w:val="left"/>
              <w:rPr>
                <w:rStyle w:val="26"/>
                <w:rFonts w:hint="eastAsia"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8.1验收监测结论：</w:t>
            </w: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default" w:ascii="Times New Roman" w:hAnsi="Times New Roman" w:eastAsia="宋体" w:cs="Times New Roman"/>
                <w:sz w:val="21"/>
                <w:szCs w:val="21"/>
                <w:lang w:val="en-US" w:eastAsia="zh-CN"/>
              </w:rPr>
            </w:pPr>
            <w:bookmarkStart w:id="4" w:name="_Toc23824"/>
            <w:r>
              <w:rPr>
                <w:rStyle w:val="26"/>
                <w:rFonts w:hint="eastAsia" w:ascii="Times New Roman" w:hAnsi="Times New Roman" w:eastAsia="宋体" w:cs="Times New Roman"/>
                <w:b/>
                <w:bCs/>
                <w:sz w:val="21"/>
                <w:szCs w:val="21"/>
                <w:lang w:val="en-US" w:eastAsia="zh-CN"/>
              </w:rPr>
              <w:t>8</w:t>
            </w:r>
            <w:r>
              <w:rPr>
                <w:rStyle w:val="26"/>
                <w:rFonts w:hint="default" w:ascii="Times New Roman" w:hAnsi="Times New Roman" w:eastAsia="宋体" w:cs="Times New Roman"/>
                <w:b/>
                <w:bCs/>
                <w:sz w:val="21"/>
                <w:szCs w:val="21"/>
                <w:lang w:val="en-US" w:eastAsia="zh-CN"/>
              </w:rPr>
              <w:t>.1</w:t>
            </w:r>
            <w:r>
              <w:rPr>
                <w:rStyle w:val="26"/>
                <w:rFonts w:hint="eastAsia" w:ascii="Times New Roman" w:hAnsi="Times New Roman" w:eastAsia="宋体" w:cs="Times New Roman"/>
                <w:b/>
                <w:bCs/>
                <w:sz w:val="21"/>
                <w:szCs w:val="21"/>
                <w:lang w:val="en-US" w:eastAsia="zh-CN"/>
              </w:rPr>
              <w:t>.1</w:t>
            </w:r>
            <w:r>
              <w:rPr>
                <w:rStyle w:val="26"/>
                <w:rFonts w:hint="default" w:ascii="Times New Roman" w:hAnsi="Times New Roman" w:eastAsia="宋体" w:cs="Times New Roman"/>
                <w:b/>
                <w:bCs/>
                <w:sz w:val="21"/>
                <w:szCs w:val="21"/>
                <w:lang w:val="en-US" w:eastAsia="zh-CN"/>
              </w:rPr>
              <w:t>环境保护设施调试效果</w:t>
            </w:r>
            <w:bookmarkEnd w:id="4"/>
          </w:p>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default" w:ascii="Times New Roman" w:hAnsi="Times New Roman" w:eastAsia="宋体" w:cs="Times New Roman"/>
                <w:sz w:val="21"/>
                <w:szCs w:val="21"/>
                <w:lang w:val="en-US" w:eastAsia="zh-CN"/>
              </w:rPr>
            </w:pPr>
            <w:bookmarkStart w:id="5" w:name="_Toc23124"/>
            <w:r>
              <w:rPr>
                <w:rStyle w:val="26"/>
                <w:rFonts w:hint="eastAsia" w:ascii="Times New Roman" w:hAnsi="Times New Roman" w:eastAsia="宋体" w:cs="Times New Roman"/>
                <w:b/>
                <w:bCs/>
                <w:sz w:val="21"/>
                <w:szCs w:val="21"/>
                <w:lang w:val="en-US" w:eastAsia="zh-CN"/>
              </w:rPr>
              <w:t>8.1.1.1废水</w:t>
            </w:r>
            <w:r>
              <w:rPr>
                <w:rStyle w:val="26"/>
                <w:rFonts w:hint="default" w:ascii="Times New Roman" w:hAnsi="Times New Roman" w:eastAsia="宋体" w:cs="Times New Roman"/>
                <w:b/>
                <w:bCs/>
                <w:sz w:val="21"/>
                <w:szCs w:val="21"/>
                <w:lang w:val="en-US" w:eastAsia="zh-CN"/>
              </w:rPr>
              <w:t>污染物排放评价</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color w:val="auto"/>
                <w:sz w:val="21"/>
                <w:szCs w:val="21"/>
                <w:lang w:val="en-US" w:eastAsia="zh-CN"/>
              </w:rPr>
              <w:t>监测结果显示：该项目生活污水总排口中pH值、化学需氧量、悬浮物、五日生化需氧量检测值均符合《污水综合排放标准》（GB 8978-1996）中第二类污染物三级排放标准的要求；氨氮、总磷检测值均符合《工业企业废水氮、磷污染物间接排放限值》（DB 33/887-2013）的要求</w:t>
            </w:r>
            <w:r>
              <w:rPr>
                <w:rStyle w:val="26"/>
                <w:rFonts w:hint="default" w:ascii="Times New Roman" w:hAnsi="Times New Roman" w:eastAsia="宋体" w:cs="Times New Roman"/>
                <w:sz w:val="21"/>
                <w:szCs w:val="21"/>
                <w:lang w:val="en-US" w:eastAsia="zh-CN"/>
              </w:rPr>
              <w:t>。</w:t>
            </w:r>
          </w:p>
          <w:bookmarkEnd w:id="5"/>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default" w:ascii="Times New Roman" w:hAnsi="Times New Roman" w:eastAsia="宋体" w:cs="Times New Roman"/>
                <w:b/>
                <w:bCs/>
                <w:sz w:val="21"/>
                <w:szCs w:val="21"/>
                <w:lang w:val="en-US" w:eastAsia="zh-CN"/>
              </w:rPr>
            </w:pPr>
            <w:bookmarkStart w:id="6" w:name="_Toc14545"/>
            <w:r>
              <w:rPr>
                <w:rStyle w:val="26"/>
                <w:rFonts w:hint="eastAsia" w:ascii="Times New Roman" w:hAnsi="Times New Roman" w:eastAsia="宋体" w:cs="Times New Roman"/>
                <w:b/>
                <w:bCs/>
                <w:sz w:val="21"/>
                <w:szCs w:val="21"/>
                <w:lang w:val="en-US" w:eastAsia="zh-CN"/>
              </w:rPr>
              <w:t>8.1.1.2</w:t>
            </w:r>
            <w:r>
              <w:rPr>
                <w:rStyle w:val="26"/>
                <w:rFonts w:hint="default" w:ascii="Times New Roman" w:hAnsi="Times New Roman" w:eastAsia="宋体" w:cs="Times New Roman"/>
                <w:b/>
                <w:bCs/>
                <w:sz w:val="21"/>
                <w:szCs w:val="21"/>
                <w:lang w:val="en-US" w:eastAsia="zh-CN"/>
              </w:rPr>
              <w:t>大气无组织污染物排放评价</w:t>
            </w:r>
            <w:bookmarkEnd w:id="6"/>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监测结果显示：该项目上、下风向无组织排放的非甲烷总烃、氯化氢的最高点检测值均符合《大气污染物综合排放标准》（GB 16297-1996）表2中无组织排放监控浓度限值要求。上、下风向无组织排放的二氯甲烷的检测值符合《大气污染物综合排放标准详解》中环境质量标准一次值的4倍值要求。厂区内无组织排放的非甲烷总烃的检测值符合《挥发性有机物无组织排放控制标准》（GB 27822-2019）表A.1厂区内VOCs无组织排放限值中的特别排放限值要求。</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default" w:ascii="Times New Roman" w:hAnsi="Times New Roman" w:eastAsia="宋体" w:cs="Times New Roman"/>
                <w:sz w:val="21"/>
                <w:szCs w:val="21"/>
                <w:lang w:val="en-US" w:eastAsia="zh-CN"/>
              </w:rPr>
            </w:pPr>
            <w:bookmarkStart w:id="7" w:name="_Toc20335"/>
            <w:r>
              <w:rPr>
                <w:rStyle w:val="26"/>
                <w:rFonts w:hint="eastAsia" w:ascii="Times New Roman" w:hAnsi="Times New Roman" w:eastAsia="宋体" w:cs="Times New Roman"/>
                <w:b/>
                <w:bCs/>
                <w:sz w:val="21"/>
                <w:szCs w:val="21"/>
                <w:lang w:val="en-US" w:eastAsia="zh-CN"/>
              </w:rPr>
              <w:t>8.1.1.3</w:t>
            </w:r>
            <w:r>
              <w:rPr>
                <w:rStyle w:val="26"/>
                <w:rFonts w:hint="default" w:ascii="Times New Roman" w:hAnsi="Times New Roman" w:eastAsia="宋体" w:cs="Times New Roman"/>
                <w:b/>
                <w:bCs/>
                <w:sz w:val="21"/>
                <w:szCs w:val="21"/>
                <w:lang w:val="en-US" w:eastAsia="zh-CN"/>
              </w:rPr>
              <w:t>大气有组织污染物排放评价</w:t>
            </w:r>
            <w:bookmarkEnd w:id="7"/>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监测结果显示：该项目实验室废气出口中非甲烷总烃、氯化氢的排放浓度和排放速率检测值均符合《大气污染物综合排放标准》（GB 16297-1996）表2“新污染源大气污染物排放限值”中二级标准要求。实验室废气出口中二氯甲烷的排放浓度检测值符合《工作场所有害因素职业接触限值 化学有害因素》（GBZ 2.1-2019）中的PC-TWA值要求，实验室废气出口中二氯甲烷的排放速率检测值符合《制定地方大气污染物排放标准的技术方法》（GB/T 13201-91）中的限值要求。</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default"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8</w:t>
            </w:r>
            <w:r>
              <w:rPr>
                <w:rStyle w:val="26"/>
                <w:rFonts w:hint="default" w:ascii="Times New Roman" w:hAnsi="Times New Roman" w:eastAsia="宋体" w:cs="Times New Roman"/>
                <w:b/>
                <w:bCs/>
                <w:sz w:val="21"/>
                <w:szCs w:val="21"/>
                <w:lang w:val="en-US" w:eastAsia="zh-CN"/>
              </w:rPr>
              <w:t>.1.1</w:t>
            </w:r>
            <w:r>
              <w:rPr>
                <w:rStyle w:val="26"/>
                <w:rFonts w:hint="eastAsia" w:ascii="Times New Roman" w:hAnsi="Times New Roman" w:eastAsia="宋体" w:cs="Times New Roman"/>
                <w:b/>
                <w:bCs/>
                <w:sz w:val="21"/>
                <w:szCs w:val="21"/>
                <w:lang w:val="en-US" w:eastAsia="zh-CN"/>
              </w:rPr>
              <w:t>.4</w:t>
            </w:r>
            <w:r>
              <w:rPr>
                <w:rStyle w:val="26"/>
                <w:rFonts w:hint="default" w:ascii="Times New Roman" w:hAnsi="Times New Roman" w:eastAsia="宋体" w:cs="Times New Roman"/>
                <w:b/>
                <w:bCs/>
                <w:sz w:val="21"/>
                <w:szCs w:val="21"/>
                <w:lang w:val="en-US" w:eastAsia="zh-CN"/>
              </w:rPr>
              <w:t>噪声污染物排放评价</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监测结果显示</w:t>
            </w:r>
            <w:r>
              <w:rPr>
                <w:rStyle w:val="26"/>
                <w:rFonts w:hint="eastAsia" w:ascii="Times New Roman" w:hAnsi="Times New Roman" w:eastAsia="宋体" w:cs="Times New Roman"/>
                <w:sz w:val="21"/>
                <w:szCs w:val="21"/>
                <w:lang w:val="en-US" w:eastAsia="zh-CN"/>
              </w:rPr>
              <w:t>：该项目厂界东、南、西、北昼间噪声测量值均符合《工业企业厂界环境噪声排放标准》（GB 12348-2008）中3类标准的要求</w:t>
            </w:r>
            <w:r>
              <w:rPr>
                <w:rStyle w:val="26"/>
                <w:rFonts w:hint="default" w:ascii="Times New Roman" w:hAnsi="Times New Roman" w:eastAsia="宋体" w:cs="Times New Roman"/>
                <w:sz w:val="21"/>
                <w:szCs w:val="21"/>
                <w:lang w:val="en-US" w:eastAsia="zh-CN"/>
              </w:rPr>
              <w:t>。</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eastAsia"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default" w:ascii="Times New Roman" w:hAnsi="Times New Roman" w:eastAsia="宋体" w:cs="Times New Roman"/>
                <w:b/>
                <w:bCs/>
                <w:color w:val="auto"/>
                <w:sz w:val="21"/>
                <w:szCs w:val="21"/>
                <w:lang w:val="en-US" w:eastAsia="zh-CN"/>
              </w:rPr>
            </w:pPr>
            <w:bookmarkStart w:id="8" w:name="_Toc5762"/>
            <w:r>
              <w:rPr>
                <w:rStyle w:val="26"/>
                <w:rFonts w:hint="eastAsia" w:ascii="Times New Roman" w:hAnsi="Times New Roman" w:eastAsia="宋体" w:cs="Times New Roman"/>
                <w:b/>
                <w:bCs/>
                <w:color w:val="auto"/>
                <w:sz w:val="21"/>
                <w:szCs w:val="21"/>
                <w:lang w:val="en-US" w:eastAsia="zh-CN"/>
              </w:rPr>
              <w:t>8.1.1.5固体废物</w:t>
            </w:r>
            <w:r>
              <w:rPr>
                <w:rStyle w:val="26"/>
                <w:rFonts w:hint="default" w:ascii="Times New Roman" w:hAnsi="Times New Roman" w:eastAsia="宋体" w:cs="Times New Roman"/>
                <w:b/>
                <w:bCs/>
                <w:color w:val="auto"/>
                <w:sz w:val="21"/>
                <w:szCs w:val="21"/>
                <w:lang w:val="en-US" w:eastAsia="zh-CN"/>
              </w:rPr>
              <w:t>排放评价</w:t>
            </w:r>
          </w:p>
          <w:tbl>
            <w:tblPr>
              <w:tblStyle w:val="19"/>
              <w:tblW w:w="50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8"/>
              <w:gridCol w:w="1650"/>
              <w:gridCol w:w="1110"/>
              <w:gridCol w:w="990"/>
              <w:gridCol w:w="941"/>
              <w:gridCol w:w="2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固体废物名称</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产生工序</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性质</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年产生量t/a</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实际</w:t>
                  </w:r>
                  <w:r>
                    <w:rPr>
                      <w:rFonts w:hint="eastAsia" w:ascii="Times New Roman" w:hAnsi="Times New Roman" w:eastAsia="宋体" w:cs="Times New Roman"/>
                      <w:b w:val="0"/>
                      <w:i w:val="0"/>
                      <w:color w:val="000000"/>
                      <w:kern w:val="0"/>
                      <w:sz w:val="21"/>
                      <w:szCs w:val="21"/>
                      <w:lang w:val="en-US" w:eastAsia="zh-CN" w:bidi="ar"/>
                    </w:rPr>
                    <w:t>产生</w:t>
                  </w:r>
                  <w:r>
                    <w:rPr>
                      <w:rFonts w:hint="default" w:ascii="Times New Roman" w:hAnsi="Times New Roman" w:eastAsia="宋体" w:cs="Times New Roman"/>
                      <w:b w:val="0"/>
                      <w:i w:val="0"/>
                      <w:color w:val="000000"/>
                      <w:kern w:val="0"/>
                      <w:sz w:val="21"/>
                      <w:szCs w:val="21"/>
                      <w:lang w:val="en-US" w:eastAsia="zh-CN" w:bidi="ar"/>
                    </w:rPr>
                    <w:t>量</w:t>
                  </w:r>
                  <w:r>
                    <w:rPr>
                      <w:rFonts w:hint="eastAsia" w:ascii="Times New Roman" w:hAnsi="Times New Roman" w:eastAsia="宋体" w:cs="Times New Roman"/>
                      <w:b w:val="0"/>
                      <w:i w:val="0"/>
                      <w:color w:val="000000"/>
                      <w:kern w:val="0"/>
                      <w:sz w:val="21"/>
                      <w:szCs w:val="21"/>
                      <w:lang w:val="en-US" w:eastAsia="zh-CN" w:bidi="ar"/>
                    </w:rPr>
                    <w:t>t/a</w:t>
                  </w:r>
                </w:p>
              </w:tc>
              <w:tc>
                <w:tcPr>
                  <w:tcW w:w="135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滤渣</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压滤</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危险废物</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1353" w:type="pct"/>
                  <w:vMerge w:val="restar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委托有危险废物处置资质的单位处置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检验废物</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检验</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危险废物</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1353"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滤液</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固液分离</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危险废物</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0.04</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0.04</w:t>
                  </w:r>
                </w:p>
              </w:tc>
              <w:tc>
                <w:tcPr>
                  <w:tcW w:w="1353"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清洗废液</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研发器具清洗</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危险废物</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0.5</w:t>
                  </w:r>
                </w:p>
              </w:tc>
              <w:tc>
                <w:tcPr>
                  <w:tcW w:w="1353"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废试剂包装材料</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原料</w:t>
                  </w:r>
                  <w:r>
                    <w:rPr>
                      <w:rFonts w:hint="default" w:ascii="Times New Roman" w:hAnsi="Times New Roman" w:eastAsia="宋体" w:cs="Times New Roman"/>
                      <w:b w:val="0"/>
                      <w:i w:val="0"/>
                      <w:color w:val="000000"/>
                      <w:kern w:val="0"/>
                      <w:sz w:val="21"/>
                      <w:szCs w:val="21"/>
                      <w:lang w:val="en-US" w:eastAsia="zh-CN" w:bidi="ar"/>
                    </w:rPr>
                    <w:t>解包</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危险废物</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0.2</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0.2</w:t>
                  </w:r>
                </w:p>
              </w:tc>
              <w:tc>
                <w:tcPr>
                  <w:tcW w:w="1353"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废活性炭</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废气处理</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危险废物</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0.656</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0.656</w:t>
                  </w:r>
                </w:p>
              </w:tc>
              <w:tc>
                <w:tcPr>
                  <w:tcW w:w="1353" w:type="pct"/>
                  <w:vMerge w:val="continue"/>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w:t>
                  </w:r>
                  <w:r>
                    <w:rPr>
                      <w:rFonts w:hint="eastAsia" w:ascii="Times New Roman" w:hAnsi="Times New Roman" w:eastAsia="宋体" w:cs="Times New Roman"/>
                      <w:b w:val="0"/>
                      <w:i w:val="0"/>
                      <w:color w:val="000000"/>
                      <w:kern w:val="0"/>
                      <w:sz w:val="21"/>
                      <w:szCs w:val="21"/>
                      <w:lang w:val="en-US" w:eastAsia="zh-CN" w:bidi="ar"/>
                    </w:rPr>
                    <w:t>一般</w:t>
                  </w:r>
                  <w:r>
                    <w:rPr>
                      <w:rFonts w:hint="default" w:ascii="Times New Roman" w:hAnsi="Times New Roman" w:eastAsia="宋体" w:cs="Times New Roman"/>
                      <w:b w:val="0"/>
                      <w:i w:val="0"/>
                      <w:color w:val="000000"/>
                      <w:kern w:val="0"/>
                      <w:sz w:val="21"/>
                      <w:szCs w:val="21"/>
                      <w:lang w:val="en-US" w:eastAsia="zh-CN" w:bidi="ar"/>
                    </w:rPr>
                    <w:t>包装</w:t>
                  </w:r>
                  <w:r>
                    <w:rPr>
                      <w:rFonts w:hint="eastAsia" w:ascii="Times New Roman" w:hAnsi="Times New Roman" w:eastAsia="宋体" w:cs="Times New Roman"/>
                      <w:b w:val="0"/>
                      <w:i w:val="0"/>
                      <w:color w:val="000000"/>
                      <w:kern w:val="0"/>
                      <w:sz w:val="21"/>
                      <w:szCs w:val="21"/>
                      <w:lang w:val="en-US" w:eastAsia="zh-CN" w:bidi="ar"/>
                    </w:rPr>
                    <w:t>材料</w:t>
                  </w:r>
                </w:p>
              </w:tc>
              <w:tc>
                <w:tcPr>
                  <w:tcW w:w="9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原料</w:t>
                  </w:r>
                  <w:r>
                    <w:rPr>
                      <w:rFonts w:hint="default" w:ascii="Times New Roman" w:hAnsi="Times New Roman" w:eastAsia="宋体" w:cs="Times New Roman"/>
                      <w:b w:val="0"/>
                      <w:i w:val="0"/>
                      <w:color w:val="000000"/>
                      <w:kern w:val="0"/>
                      <w:sz w:val="21"/>
                      <w:szCs w:val="21"/>
                      <w:lang w:val="en-US" w:eastAsia="zh-CN" w:bidi="ar"/>
                    </w:rPr>
                    <w:t>解包</w:t>
                  </w:r>
                </w:p>
              </w:tc>
              <w:tc>
                <w:tcPr>
                  <w:tcW w:w="626"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一般固废</w:t>
                  </w:r>
                </w:p>
              </w:tc>
              <w:tc>
                <w:tcPr>
                  <w:tcW w:w="558"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531"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0.1</w:t>
                  </w:r>
                </w:p>
              </w:tc>
              <w:tc>
                <w:tcPr>
                  <w:tcW w:w="1353" w:type="pct"/>
                  <w:noWrap w:val="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出售综合利用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生活垃圾</w:t>
                  </w:r>
                </w:p>
              </w:tc>
              <w:tc>
                <w:tcPr>
                  <w:tcW w:w="931" w:type="pct"/>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生活</w:t>
                  </w:r>
                </w:p>
              </w:tc>
              <w:tc>
                <w:tcPr>
                  <w:tcW w:w="0" w:type="auto"/>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一般固废</w:t>
                  </w:r>
                </w:p>
              </w:tc>
              <w:tc>
                <w:tcPr>
                  <w:tcW w:w="0" w:type="auto"/>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0" w:type="auto"/>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w:t>
                  </w:r>
                </w:p>
              </w:tc>
              <w:tc>
                <w:tcPr>
                  <w:tcW w:w="1353" w:type="pct"/>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eastAsia"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环卫部门统一清运</w:t>
                  </w:r>
                </w:p>
              </w:tc>
            </w:tr>
          </w:tbl>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eastAsia" w:ascii="Times New Roman" w:hAnsi="Times New Roman" w:eastAsia="宋体" w:cs="Times New Roman"/>
                <w:b/>
                <w:bCs/>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422" w:firstLineChars="200"/>
              <w:jc w:val="left"/>
              <w:rPr>
                <w:rStyle w:val="26"/>
                <w:rFonts w:hint="default" w:ascii="Times New Roman" w:hAnsi="Times New Roman" w:eastAsia="宋体" w:cs="Times New Roman"/>
                <w:b/>
                <w:bCs/>
                <w:sz w:val="21"/>
                <w:szCs w:val="21"/>
                <w:lang w:val="en-US" w:eastAsia="zh-CN"/>
              </w:rPr>
            </w:pPr>
            <w:r>
              <w:rPr>
                <w:rStyle w:val="26"/>
                <w:rFonts w:hint="eastAsia" w:ascii="Times New Roman" w:hAnsi="Times New Roman" w:eastAsia="宋体" w:cs="Times New Roman"/>
                <w:b/>
                <w:bCs/>
                <w:sz w:val="21"/>
                <w:szCs w:val="21"/>
                <w:lang w:val="en-US" w:eastAsia="zh-CN"/>
              </w:rPr>
              <w:t>8.1.1.6</w:t>
            </w:r>
            <w:r>
              <w:rPr>
                <w:rStyle w:val="26"/>
                <w:rFonts w:hint="default" w:ascii="Times New Roman" w:hAnsi="Times New Roman" w:eastAsia="宋体" w:cs="Times New Roman"/>
                <w:b/>
                <w:bCs/>
                <w:sz w:val="21"/>
                <w:szCs w:val="21"/>
                <w:lang w:val="en-US" w:eastAsia="zh-CN"/>
              </w:rPr>
              <w:t>综合结论</w:t>
            </w:r>
            <w:bookmarkEnd w:id="8"/>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Fonts w:hint="eastAsia" w:ascii="Times New Roman" w:hAnsi="Times New Roman" w:eastAsia="宋体" w:cs="Times New Roman"/>
                <w:color w:val="000000"/>
                <w:sz w:val="21"/>
                <w:szCs w:val="21"/>
                <w:lang w:eastAsia="zh-CN"/>
              </w:rPr>
              <w:t>杭州普力材料科技有限公司PPC可降解材料及多元醇研发实验室项目</w:t>
            </w:r>
            <w:r>
              <w:rPr>
                <w:rStyle w:val="26"/>
                <w:rFonts w:hint="default" w:ascii="Times New Roman" w:hAnsi="Times New Roman" w:eastAsia="宋体" w:cs="Times New Roman"/>
                <w:sz w:val="21"/>
                <w:szCs w:val="21"/>
                <w:lang w:val="en-US" w:eastAsia="zh-CN"/>
              </w:rPr>
              <w:t>已办理环评、审查等手续。污染防治措施基本按照环评及审查意见要求组织落实。验收监测结果显示：该项目厂界</w:t>
            </w:r>
            <w:r>
              <w:rPr>
                <w:rStyle w:val="26"/>
                <w:rFonts w:hint="eastAsia" w:ascii="Times New Roman" w:hAnsi="Times New Roman" w:eastAsia="宋体" w:cs="Times New Roman"/>
                <w:sz w:val="21"/>
                <w:szCs w:val="21"/>
                <w:lang w:val="en-US" w:eastAsia="zh-CN"/>
              </w:rPr>
              <w:t>东、南、西、</w:t>
            </w:r>
            <w:r>
              <w:rPr>
                <w:rStyle w:val="26"/>
                <w:rFonts w:hint="default" w:ascii="Times New Roman" w:hAnsi="Times New Roman" w:eastAsia="宋体" w:cs="Times New Roman"/>
                <w:sz w:val="21"/>
                <w:szCs w:val="21"/>
                <w:lang w:val="en-US" w:eastAsia="zh-CN"/>
              </w:rPr>
              <w:t>北侧昼间噪声测量值、厂界大气无组织污染物、大气有组织污染物、废水污染物均符合相关排放标准。</w:t>
            </w:r>
            <w:bookmarkStart w:id="9" w:name="OLE_LINK2"/>
            <w:bookmarkStart w:id="10" w:name="OLE_LINK1"/>
            <w:r>
              <w:rPr>
                <w:rStyle w:val="26"/>
                <w:rFonts w:hint="default" w:ascii="Times New Roman" w:hAnsi="Times New Roman" w:eastAsia="宋体" w:cs="Times New Roman"/>
                <w:sz w:val="21"/>
                <w:szCs w:val="21"/>
                <w:lang w:val="en-US" w:eastAsia="zh-CN"/>
              </w:rPr>
              <w:t>据此，我公司认为本报告可用于提请建设项目环境保护设施竣工验收。</w:t>
            </w:r>
            <w:bookmarkEnd w:id="9"/>
            <w:bookmarkEnd w:id="10"/>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p>
          <w:p>
            <w:pPr>
              <w:keepNext w:val="0"/>
              <w:keepLines w:val="0"/>
              <w:widowControl/>
              <w:suppressLineNumbers w:val="0"/>
              <w:spacing w:before="0" w:beforeAutospacing="0" w:after="0" w:afterLines="0" w:afterAutospacing="0" w:line="360" w:lineRule="auto"/>
              <w:ind w:left="0" w:right="0" w:firstLine="211" w:firstLineChars="100"/>
              <w:jc w:val="left"/>
              <w:rPr>
                <w:rStyle w:val="26"/>
                <w:rFonts w:hint="default" w:ascii="Times New Roman" w:hAnsi="Times New Roman" w:eastAsia="宋体" w:cs="Times New Roman"/>
                <w:b/>
                <w:bCs/>
                <w:sz w:val="21"/>
                <w:szCs w:val="21"/>
                <w:lang w:val="en-US" w:eastAsia="zh-CN"/>
              </w:rPr>
            </w:pPr>
            <w:bookmarkStart w:id="11" w:name="_Toc10857"/>
            <w:bookmarkStart w:id="12" w:name="_Toc17707"/>
            <w:bookmarkStart w:id="13" w:name="_Toc10918"/>
            <w:bookmarkStart w:id="14" w:name="_Toc11979"/>
            <w:r>
              <w:rPr>
                <w:rStyle w:val="26"/>
                <w:rFonts w:hint="eastAsia" w:ascii="Times New Roman" w:hAnsi="Times New Roman" w:eastAsia="宋体" w:cs="Times New Roman"/>
                <w:b/>
                <w:bCs/>
                <w:sz w:val="21"/>
                <w:szCs w:val="21"/>
                <w:lang w:val="en-US" w:eastAsia="zh-CN"/>
              </w:rPr>
              <w:t>8.1.2</w:t>
            </w:r>
            <w:r>
              <w:rPr>
                <w:rStyle w:val="26"/>
                <w:rFonts w:hint="default" w:ascii="Times New Roman" w:hAnsi="Times New Roman" w:eastAsia="宋体" w:cs="Times New Roman"/>
                <w:b/>
                <w:bCs/>
                <w:sz w:val="21"/>
                <w:szCs w:val="21"/>
                <w:lang w:val="en-US" w:eastAsia="zh-CN"/>
              </w:rPr>
              <w:t xml:space="preserve"> </w:t>
            </w:r>
            <w:bookmarkEnd w:id="11"/>
            <w:bookmarkEnd w:id="12"/>
            <w:bookmarkEnd w:id="13"/>
            <w:bookmarkEnd w:id="14"/>
            <w:r>
              <w:rPr>
                <w:rStyle w:val="26"/>
                <w:rFonts w:hint="eastAsia" w:ascii="Times New Roman" w:hAnsi="Times New Roman" w:eastAsia="宋体" w:cs="Times New Roman"/>
                <w:b/>
                <w:bCs/>
                <w:sz w:val="21"/>
                <w:szCs w:val="21"/>
                <w:lang w:val="en-US" w:eastAsia="zh-CN"/>
              </w:rPr>
              <w:t>后续环保管理工作</w:t>
            </w:r>
          </w:p>
          <w:p>
            <w:pPr>
              <w:keepNext w:val="0"/>
              <w:keepLines w:val="0"/>
              <w:widowControl/>
              <w:suppressLineNumbers w:val="0"/>
              <w:spacing w:before="0" w:beforeAutospacing="0" w:after="0" w:afterLines="0" w:afterAutospacing="0" w:line="360" w:lineRule="auto"/>
              <w:ind w:left="0" w:right="0" w:firstLine="420" w:firstLineChars="200"/>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（1）将</w:t>
            </w:r>
            <w:r>
              <w:rPr>
                <w:rStyle w:val="26"/>
                <w:rFonts w:hint="default" w:ascii="Times New Roman" w:hAnsi="Times New Roman" w:cs="Times New Roman"/>
                <w:sz w:val="21"/>
                <w:szCs w:val="21"/>
              </w:rPr>
              <w:t>健全环保管理体制，切实做好治理设施的维护保养工作，完善操作台帐，使治理设施保持正常运转。</w:t>
            </w:r>
            <w:r>
              <w:rPr>
                <w:rStyle w:val="26"/>
                <w:rFonts w:hint="default" w:ascii="Times New Roman" w:hAnsi="Times New Roman" w:cs="Times New Roman"/>
                <w:sz w:val="21"/>
                <w:szCs w:val="21"/>
              </w:rPr>
              <w:br w:type="textWrapping"/>
            </w:r>
            <w:r>
              <w:rPr>
                <w:rStyle w:val="26"/>
                <w:rFonts w:hint="eastAsia" w:ascii="Times New Roman" w:hAnsi="Times New Roman" w:eastAsia="宋体" w:cs="Times New Roman"/>
                <w:sz w:val="21"/>
                <w:szCs w:val="21"/>
                <w:lang w:val="en-US" w:eastAsia="zh-CN"/>
              </w:rPr>
              <w:t xml:space="preserve">    </w:t>
            </w:r>
            <w:r>
              <w:rPr>
                <w:rStyle w:val="26"/>
                <w:rFonts w:hint="default" w:ascii="Times New Roman" w:hAnsi="Times New Roman" w:cs="Times New Roman"/>
                <w:sz w:val="21"/>
                <w:szCs w:val="21"/>
              </w:rPr>
              <w:t>（2）</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加强废气污染防治，确保废气达标排放。</w:t>
            </w:r>
            <w:r>
              <w:rPr>
                <w:rStyle w:val="26"/>
                <w:rFonts w:hint="default" w:ascii="Times New Roman" w:hAnsi="Times New Roman" w:cs="Times New Roman"/>
                <w:sz w:val="21"/>
                <w:szCs w:val="21"/>
              </w:rPr>
              <w:br w:type="textWrapping"/>
            </w:r>
            <w:r>
              <w:rPr>
                <w:rStyle w:val="26"/>
                <w:rFonts w:hint="eastAsia" w:ascii="Times New Roman" w:hAnsi="Times New Roman" w:eastAsia="宋体" w:cs="Times New Roman"/>
                <w:sz w:val="21"/>
                <w:szCs w:val="21"/>
                <w:lang w:val="en-US" w:eastAsia="zh-CN"/>
              </w:rPr>
              <w:t xml:space="preserve">    </w:t>
            </w:r>
            <w:r>
              <w:rPr>
                <w:rStyle w:val="26"/>
                <w:rFonts w:hint="default" w:ascii="Times New Roman" w:hAnsi="Times New Roman" w:cs="Times New Roman"/>
                <w:sz w:val="21"/>
                <w:szCs w:val="21"/>
              </w:rPr>
              <w:t>（3）</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加强废水污染防治，确保废水达标排放。</w:t>
            </w:r>
            <w:r>
              <w:rPr>
                <w:rStyle w:val="26"/>
                <w:rFonts w:hint="default" w:ascii="Times New Roman" w:hAnsi="Times New Roman" w:cs="Times New Roman"/>
                <w:sz w:val="21"/>
                <w:szCs w:val="21"/>
              </w:rPr>
              <w:br w:type="textWrapping"/>
            </w:r>
            <w:r>
              <w:rPr>
                <w:rStyle w:val="26"/>
                <w:rFonts w:hint="eastAsia" w:ascii="Times New Roman" w:hAnsi="Times New Roman" w:eastAsia="宋体" w:cs="Times New Roman"/>
                <w:sz w:val="21"/>
                <w:szCs w:val="21"/>
                <w:lang w:val="en-US" w:eastAsia="zh-CN"/>
              </w:rPr>
              <w:t xml:space="preserve">    </w:t>
            </w:r>
            <w:r>
              <w:rPr>
                <w:rStyle w:val="26"/>
                <w:rFonts w:hint="default" w:ascii="Times New Roman" w:hAnsi="Times New Roman" w:cs="Times New Roman"/>
                <w:sz w:val="21"/>
                <w:szCs w:val="21"/>
              </w:rPr>
              <w:t>（4）</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加强噪声污染防治，降低噪声污染，确保噪声达标。项目在运行期间，</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按环评批复要求。</w:t>
            </w:r>
            <w:r>
              <w:rPr>
                <w:rStyle w:val="26"/>
                <w:rFonts w:hint="default" w:ascii="Times New Roman" w:hAnsi="Times New Roman" w:cs="Times New Roman"/>
                <w:sz w:val="21"/>
                <w:szCs w:val="21"/>
              </w:rPr>
              <w:br w:type="textWrapping"/>
            </w:r>
            <w:r>
              <w:rPr>
                <w:rStyle w:val="26"/>
                <w:rFonts w:hint="eastAsia" w:ascii="Times New Roman" w:hAnsi="Times New Roman" w:eastAsia="宋体" w:cs="Times New Roman"/>
                <w:sz w:val="21"/>
                <w:szCs w:val="21"/>
                <w:lang w:val="en-US" w:eastAsia="zh-CN"/>
              </w:rPr>
              <w:t xml:space="preserve">    </w:t>
            </w:r>
            <w:r>
              <w:rPr>
                <w:rStyle w:val="26"/>
                <w:rFonts w:hint="default" w:ascii="Times New Roman" w:hAnsi="Times New Roman" w:cs="Times New Roman"/>
                <w:sz w:val="21"/>
                <w:szCs w:val="21"/>
              </w:rPr>
              <w:t>（5）</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加强固体废物的储存管理，防治二次污染事故发生。危险废物的处理处置</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严格按照相关规定执行。</w:t>
            </w:r>
            <w:r>
              <w:rPr>
                <w:rStyle w:val="26"/>
                <w:rFonts w:hint="default" w:ascii="Times New Roman" w:hAnsi="Times New Roman" w:cs="Times New Roman"/>
                <w:sz w:val="21"/>
                <w:szCs w:val="21"/>
              </w:rPr>
              <w:br w:type="textWrapping"/>
            </w:r>
            <w:r>
              <w:rPr>
                <w:rStyle w:val="26"/>
                <w:rFonts w:hint="eastAsia" w:ascii="Times New Roman" w:hAnsi="Times New Roman" w:eastAsia="宋体" w:cs="Times New Roman"/>
                <w:sz w:val="21"/>
                <w:szCs w:val="21"/>
                <w:lang w:val="en-US" w:eastAsia="zh-CN"/>
              </w:rPr>
              <w:t xml:space="preserve">    </w:t>
            </w:r>
            <w:r>
              <w:rPr>
                <w:rStyle w:val="26"/>
                <w:rFonts w:hint="default" w:ascii="Times New Roman" w:hAnsi="Times New Roman" w:cs="Times New Roman"/>
                <w:sz w:val="21"/>
                <w:szCs w:val="21"/>
              </w:rPr>
              <w:t>（6）</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依照相关管理要求，落实各项防污治污措施。今后项目内容如发生调整或变更，</w:t>
            </w:r>
            <w:r>
              <w:rPr>
                <w:rStyle w:val="26"/>
                <w:rFonts w:hint="eastAsia" w:ascii="Times New Roman" w:hAnsi="Times New Roman" w:cs="Times New Roman"/>
                <w:sz w:val="21"/>
                <w:szCs w:val="21"/>
              </w:rPr>
              <w:t>将</w:t>
            </w:r>
            <w:r>
              <w:rPr>
                <w:rStyle w:val="26"/>
                <w:rFonts w:hint="default" w:ascii="Times New Roman" w:hAnsi="Times New Roman" w:cs="Times New Roman"/>
                <w:sz w:val="21"/>
                <w:szCs w:val="21"/>
              </w:rPr>
              <w:t>依据相应规定要求及时向行政管理部门进行报备和申请</w:t>
            </w:r>
            <w:r>
              <w:rPr>
                <w:rStyle w:val="26"/>
                <w:rFonts w:hint="default" w:ascii="Times New Roman" w:hAnsi="Times New Roman" w:eastAsia="宋体" w:cs="Times New Roman"/>
                <w:sz w:val="21"/>
                <w:szCs w:val="21"/>
                <w:lang w:val="en-US" w:eastAsia="zh-CN"/>
              </w:rPr>
              <w:t>。</w:t>
            </w:r>
          </w:p>
        </w:tc>
      </w:tr>
    </w:tbl>
    <w:p>
      <w:pPr>
        <w:spacing w:line="120" w:lineRule="atLeast"/>
        <w:jc w:val="center"/>
        <w:rPr>
          <w:rFonts w:hint="default" w:ascii="Times New Roman" w:hAnsi="Times New Roman" w:eastAsia="宋体" w:cs="Times New Roman"/>
          <w:b/>
          <w:kern w:val="2"/>
          <w:sz w:val="21"/>
          <w:szCs w:val="21"/>
        </w:rPr>
      </w:pPr>
      <w:r>
        <w:rPr>
          <w:rFonts w:hint="default" w:ascii="Times New Roman" w:hAnsi="Times New Roman" w:eastAsia="宋体" w:cs="Times New Roman"/>
          <w:b/>
          <w:kern w:val="2"/>
          <w:sz w:val="21"/>
          <w:szCs w:val="21"/>
        </w:rPr>
        <w:br w:type="page"/>
      </w:r>
    </w:p>
    <w:p>
      <w:pPr>
        <w:spacing w:line="120" w:lineRule="atLeast"/>
        <w:jc w:val="center"/>
        <w:rPr>
          <w:rFonts w:hint="default" w:ascii="Times New Roman" w:hAnsi="Times New Roman" w:cs="Times New Roman"/>
          <w:b/>
          <w:sz w:val="32"/>
          <w:szCs w:val="32"/>
        </w:rPr>
      </w:pPr>
      <w:r>
        <w:rPr>
          <w:rFonts w:hint="default" w:ascii="Times New Roman" w:hAnsi="Times New Roman" w:eastAsia="宋体" w:cs="Times New Roman"/>
          <w:b/>
          <w:kern w:val="2"/>
          <w:sz w:val="32"/>
          <w:szCs w:val="32"/>
        </w:rPr>
        <w:t>建设项目环境保护“三同时”验收登记表</w:t>
      </w:r>
    </w:p>
    <w:p>
      <w:pPr>
        <w:pStyle w:val="29"/>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编号：                                                 审批经办人：</w:t>
      </w:r>
    </w:p>
    <w:tbl>
      <w:tblPr>
        <w:tblStyle w:val="19"/>
        <w:tblpPr w:leftFromText="180" w:rightFromText="180" w:vertAnchor="text" w:horzAnchor="page" w:tblpXSpec="center" w:tblpY="212"/>
        <w:tblW w:w="10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9"/>
        <w:gridCol w:w="728"/>
        <w:gridCol w:w="218"/>
        <w:gridCol w:w="386"/>
        <w:gridCol w:w="235"/>
        <w:gridCol w:w="940"/>
        <w:gridCol w:w="759"/>
        <w:gridCol w:w="813"/>
        <w:gridCol w:w="305"/>
        <w:gridCol w:w="532"/>
        <w:gridCol w:w="196"/>
        <w:gridCol w:w="409"/>
        <w:gridCol w:w="237"/>
        <w:gridCol w:w="167"/>
        <w:gridCol w:w="701"/>
        <w:gridCol w:w="172"/>
        <w:gridCol w:w="407"/>
        <w:gridCol w:w="286"/>
        <w:gridCol w:w="31"/>
        <w:gridCol w:w="255"/>
        <w:gridCol w:w="147"/>
        <w:gridCol w:w="294"/>
        <w:gridCol w:w="154"/>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9"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建设项目名称</w:t>
            </w:r>
          </w:p>
        </w:tc>
        <w:tc>
          <w:tcPr>
            <w:tcW w:w="4575" w:type="dxa"/>
            <w:gridSpan w:val="9"/>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杭州普力材料科技有限公司PPC可降解材料及多元醇研发实验室项目</w:t>
            </w:r>
          </w:p>
        </w:tc>
        <w:tc>
          <w:tcPr>
            <w:tcW w:w="1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建设地点</w:t>
            </w:r>
          </w:p>
        </w:tc>
        <w:tc>
          <w:tcPr>
            <w:tcW w:w="2595" w:type="dxa"/>
            <w:gridSpan w:val="9"/>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浙江省杭州市余杭区良渚街道纳贤街2号10号楼6楼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建设单位</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杭州普力材料科技有限公司</w:t>
            </w:r>
          </w:p>
        </w:tc>
        <w:tc>
          <w:tcPr>
            <w:tcW w:w="1137"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邮编</w:t>
            </w:r>
          </w:p>
        </w:tc>
        <w:tc>
          <w:tcPr>
            <w:tcW w:w="1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311113</w:t>
            </w:r>
          </w:p>
        </w:tc>
        <w:tc>
          <w:tcPr>
            <w:tcW w:w="115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电话</w:t>
            </w:r>
          </w:p>
        </w:tc>
        <w:tc>
          <w:tcPr>
            <w:tcW w:w="1444" w:type="dxa"/>
            <w:gridSpan w:val="4"/>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lang w:eastAsia="zh-CN"/>
              </w:rPr>
              <w:t>15757122161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行业类别及代码</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45--098专业实验室、研发（试验）基地</w:t>
            </w:r>
          </w:p>
        </w:tc>
        <w:tc>
          <w:tcPr>
            <w:tcW w:w="1137"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项目性质</w:t>
            </w:r>
          </w:p>
        </w:tc>
        <w:tc>
          <w:tcPr>
            <w:tcW w:w="1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新建√</w:t>
            </w:r>
          </w:p>
        </w:tc>
        <w:tc>
          <w:tcPr>
            <w:tcW w:w="115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 xml:space="preserve"> 扩建</w:t>
            </w:r>
          </w:p>
        </w:tc>
        <w:tc>
          <w:tcPr>
            <w:tcW w:w="1444" w:type="dxa"/>
            <w:gridSpan w:val="4"/>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技改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设计生产能力</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highlight w:val="none"/>
                <w:lang w:val="en-US" w:eastAsia="zh-CN" w:bidi="ar"/>
              </w:rPr>
            </w:pPr>
            <w:r>
              <w:rPr>
                <w:rFonts w:hint="eastAsia" w:ascii="Times New Roman" w:hAnsi="Times New Roman" w:eastAsia="宋体" w:cs="Times New Roman"/>
                <w:b w:val="0"/>
                <w:i w:val="0"/>
                <w:color w:val="000000"/>
                <w:kern w:val="0"/>
                <w:sz w:val="21"/>
                <w:szCs w:val="21"/>
                <w:highlight w:val="none"/>
                <w:lang w:val="en-US" w:eastAsia="zh-CN" w:bidi="ar"/>
              </w:rPr>
              <w:t>/</w:t>
            </w:r>
          </w:p>
        </w:tc>
        <w:tc>
          <w:tcPr>
            <w:tcW w:w="2242"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highlight w:val="none"/>
                <w:lang w:val="en-US" w:eastAsia="zh-CN" w:bidi="ar"/>
              </w:rPr>
            </w:pPr>
            <w:r>
              <w:rPr>
                <w:rFonts w:hint="default" w:ascii="Times New Roman" w:hAnsi="Times New Roman" w:eastAsia="宋体" w:cs="Times New Roman"/>
                <w:b w:val="0"/>
                <w:i w:val="0"/>
                <w:color w:val="000000"/>
                <w:kern w:val="0"/>
                <w:sz w:val="21"/>
                <w:szCs w:val="21"/>
                <w:highlight w:val="none"/>
                <w:lang w:val="en-US" w:eastAsia="zh-CN" w:bidi="ar"/>
              </w:rPr>
              <w:t>建设项目开工日期</w:t>
            </w:r>
          </w:p>
        </w:tc>
        <w:tc>
          <w:tcPr>
            <w:tcW w:w="2595" w:type="dxa"/>
            <w:gridSpan w:val="9"/>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highlight w:val="none"/>
                <w:lang w:val="en-US" w:eastAsia="zh-CN" w:bidi="ar"/>
              </w:rPr>
            </w:pPr>
            <w:r>
              <w:rPr>
                <w:rFonts w:hint="default" w:ascii="Times New Roman" w:hAnsi="Times New Roman" w:eastAsia="宋体" w:cs="Times New Roman"/>
                <w:b w:val="0"/>
                <w:i w:val="0"/>
                <w:color w:val="000000"/>
                <w:kern w:val="0"/>
                <w:sz w:val="21"/>
                <w:szCs w:val="21"/>
                <w:highlight w:val="none"/>
                <w:lang w:val="en-US" w:eastAsia="zh-CN" w:bidi="ar"/>
              </w:rPr>
              <w:t>2022年10月8号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实际生产能力</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highlight w:val="none"/>
                <w:lang w:val="en-US" w:eastAsia="zh-CN" w:bidi="ar"/>
              </w:rPr>
            </w:pPr>
            <w:r>
              <w:rPr>
                <w:rFonts w:hint="eastAsia" w:ascii="Times New Roman" w:hAnsi="Times New Roman" w:eastAsia="宋体" w:cs="Times New Roman"/>
                <w:b w:val="0"/>
                <w:i w:val="0"/>
                <w:color w:val="000000"/>
                <w:kern w:val="0"/>
                <w:sz w:val="21"/>
                <w:szCs w:val="21"/>
                <w:highlight w:val="none"/>
                <w:lang w:val="en-US" w:eastAsia="zh-CN" w:bidi="ar"/>
              </w:rPr>
              <w:t>/</w:t>
            </w:r>
          </w:p>
        </w:tc>
        <w:tc>
          <w:tcPr>
            <w:tcW w:w="2242"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highlight w:val="none"/>
                <w:lang w:val="en-US" w:eastAsia="zh-CN" w:bidi="ar"/>
              </w:rPr>
            </w:pPr>
            <w:r>
              <w:rPr>
                <w:rFonts w:hint="default" w:ascii="Times New Roman" w:hAnsi="Times New Roman" w:eastAsia="宋体" w:cs="Times New Roman"/>
                <w:b w:val="0"/>
                <w:i w:val="0"/>
                <w:color w:val="000000"/>
                <w:kern w:val="0"/>
                <w:sz w:val="21"/>
                <w:szCs w:val="21"/>
                <w:highlight w:val="none"/>
                <w:lang w:val="en-US" w:eastAsia="zh-CN" w:bidi="ar"/>
              </w:rPr>
              <w:t>投入试运行日期</w:t>
            </w:r>
          </w:p>
        </w:tc>
        <w:tc>
          <w:tcPr>
            <w:tcW w:w="2595" w:type="dxa"/>
            <w:gridSpan w:val="9"/>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highlight w:val="none"/>
                <w:lang w:val="en-US" w:eastAsia="zh-CN" w:bidi="ar"/>
              </w:rPr>
            </w:pPr>
            <w:r>
              <w:rPr>
                <w:rFonts w:hint="default" w:ascii="Times New Roman" w:hAnsi="Times New Roman" w:eastAsia="宋体" w:cs="Times New Roman"/>
                <w:b w:val="0"/>
                <w:i w:val="0"/>
                <w:color w:val="000000"/>
                <w:kern w:val="0"/>
                <w:sz w:val="21"/>
                <w:szCs w:val="21"/>
                <w:highlight w:val="none"/>
                <w:lang w:val="en-US" w:eastAsia="zh-CN" w:bidi="ar"/>
              </w:rPr>
              <w:t>2022年12月10号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报告书审批部门</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杭州市生态环境局</w:t>
            </w:r>
          </w:p>
        </w:tc>
        <w:tc>
          <w:tcPr>
            <w:tcW w:w="728" w:type="dxa"/>
            <w:gridSpan w:val="2"/>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文号</w:t>
            </w:r>
          </w:p>
        </w:tc>
        <w:tc>
          <w:tcPr>
            <w:tcW w:w="2093"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eastAsia" w:ascii="Times New Roman" w:hAnsi="Times New Roman" w:eastAsia="宋体" w:cs="Times New Roman"/>
                <w:b w:val="0"/>
                <w:i w:val="0"/>
                <w:color w:val="auto"/>
                <w:kern w:val="0"/>
                <w:sz w:val="21"/>
                <w:szCs w:val="21"/>
                <w:lang w:val="en-US" w:eastAsia="zh-CN" w:bidi="ar"/>
              </w:rPr>
              <w:t>环评批复[2022]76号</w:t>
            </w:r>
          </w:p>
        </w:tc>
        <w:tc>
          <w:tcPr>
            <w:tcW w:w="719" w:type="dxa"/>
            <w:gridSpan w:val="4"/>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时间</w:t>
            </w:r>
          </w:p>
        </w:tc>
        <w:tc>
          <w:tcPr>
            <w:tcW w:w="1297"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auto"/>
                <w:kern w:val="0"/>
                <w:sz w:val="21"/>
                <w:szCs w:val="21"/>
                <w:lang w:val="en-US" w:eastAsia="zh-CN" w:bidi="ar"/>
              </w:rPr>
            </w:pPr>
            <w:r>
              <w:rPr>
                <w:rFonts w:hint="default" w:ascii="Times New Roman" w:hAnsi="Times New Roman" w:eastAsia="宋体" w:cs="Times New Roman"/>
                <w:b w:val="0"/>
                <w:i w:val="0"/>
                <w:color w:val="auto"/>
                <w:kern w:val="0"/>
                <w:sz w:val="21"/>
                <w:szCs w:val="21"/>
                <w:lang w:val="en-US" w:eastAsia="zh-CN" w:bidi="ar"/>
              </w:rPr>
              <w:t>20</w:t>
            </w:r>
            <w:r>
              <w:rPr>
                <w:rFonts w:hint="eastAsia" w:ascii="Times New Roman" w:hAnsi="Times New Roman" w:eastAsia="宋体" w:cs="Times New Roman"/>
                <w:b w:val="0"/>
                <w:i w:val="0"/>
                <w:color w:val="auto"/>
                <w:kern w:val="0"/>
                <w:sz w:val="21"/>
                <w:szCs w:val="21"/>
                <w:lang w:val="en-US" w:eastAsia="zh-CN" w:bidi="ar"/>
              </w:rPr>
              <w:t>22年11</w:t>
            </w:r>
            <w:r>
              <w:rPr>
                <w:rFonts w:hint="default" w:ascii="Times New Roman" w:hAnsi="Times New Roman" w:eastAsia="宋体" w:cs="Times New Roman"/>
                <w:b w:val="0"/>
                <w:i w:val="0"/>
                <w:color w:val="auto"/>
                <w:kern w:val="0"/>
                <w:sz w:val="21"/>
                <w:szCs w:val="21"/>
                <w:lang w:val="en-US" w:eastAsia="zh-CN" w:bidi="ar"/>
              </w:rPr>
              <w:t>月</w:t>
            </w:r>
            <w:r>
              <w:rPr>
                <w:rFonts w:hint="eastAsia" w:ascii="Times New Roman" w:hAnsi="Times New Roman" w:eastAsia="宋体" w:cs="Times New Roman"/>
                <w:b w:val="0"/>
                <w:i w:val="0"/>
                <w:color w:val="auto"/>
                <w:kern w:val="0"/>
                <w:sz w:val="21"/>
                <w:szCs w:val="21"/>
                <w:lang w:val="en-US" w:eastAsia="zh-CN" w:bidi="ar"/>
              </w:rPr>
              <w:t>18</w:t>
            </w:r>
            <w:r>
              <w:rPr>
                <w:rFonts w:hint="default" w:ascii="Times New Roman" w:hAnsi="Times New Roman" w:eastAsia="宋体" w:cs="Times New Roman"/>
                <w:b w:val="0"/>
                <w:i w:val="0"/>
                <w:color w:val="auto"/>
                <w:kern w:val="0"/>
                <w:sz w:val="21"/>
                <w:szCs w:val="21"/>
                <w:lang w:val="en-US" w:eastAsia="zh-CN" w:bidi="ar"/>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初步设计审批部门</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28" w:type="dxa"/>
            <w:gridSpan w:val="2"/>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文号</w:t>
            </w:r>
          </w:p>
        </w:tc>
        <w:tc>
          <w:tcPr>
            <w:tcW w:w="2093"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19" w:type="dxa"/>
            <w:gridSpan w:val="4"/>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时间</w:t>
            </w:r>
          </w:p>
        </w:tc>
        <w:tc>
          <w:tcPr>
            <w:tcW w:w="1297"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环保验收审批部门</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28" w:type="dxa"/>
            <w:gridSpan w:val="2"/>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文号</w:t>
            </w:r>
          </w:p>
        </w:tc>
        <w:tc>
          <w:tcPr>
            <w:tcW w:w="2093"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19" w:type="dxa"/>
            <w:gridSpan w:val="4"/>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时间</w:t>
            </w:r>
          </w:p>
        </w:tc>
        <w:tc>
          <w:tcPr>
            <w:tcW w:w="1297"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报告书编制单位</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浙江裕腾百诺环保科技股份有限公司</w:t>
            </w:r>
          </w:p>
        </w:tc>
        <w:tc>
          <w:tcPr>
            <w:tcW w:w="154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投资总概算</w:t>
            </w:r>
          </w:p>
        </w:tc>
        <w:tc>
          <w:tcPr>
            <w:tcW w:w="3296" w:type="dxa"/>
            <w:gridSpan w:val="1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500万元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环保设施设计单位</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杭州那山那水环保科技有限公司</w:t>
            </w:r>
          </w:p>
        </w:tc>
        <w:tc>
          <w:tcPr>
            <w:tcW w:w="154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环保投资概算</w:t>
            </w:r>
          </w:p>
        </w:tc>
        <w:tc>
          <w:tcPr>
            <w:tcW w:w="1597"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32</w:t>
            </w:r>
            <w:r>
              <w:rPr>
                <w:rFonts w:hint="default" w:ascii="Times New Roman" w:hAnsi="Times New Roman" w:eastAsia="宋体" w:cs="Times New Roman"/>
                <w:b w:val="0"/>
                <w:i w:val="0"/>
                <w:color w:val="000000"/>
                <w:kern w:val="0"/>
                <w:sz w:val="21"/>
                <w:szCs w:val="21"/>
                <w:lang w:val="en-US" w:eastAsia="zh-CN" w:bidi="ar"/>
              </w:rPr>
              <w:t>万元</w:t>
            </w:r>
          </w:p>
        </w:tc>
        <w:tc>
          <w:tcPr>
            <w:tcW w:w="696"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比例</w:t>
            </w:r>
          </w:p>
        </w:tc>
        <w:tc>
          <w:tcPr>
            <w:tcW w:w="100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6.4</w:t>
            </w: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环保设施施工单位</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杭州那山那水环保科技有限公司</w:t>
            </w:r>
          </w:p>
        </w:tc>
        <w:tc>
          <w:tcPr>
            <w:tcW w:w="154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实际总投资</w:t>
            </w:r>
          </w:p>
        </w:tc>
        <w:tc>
          <w:tcPr>
            <w:tcW w:w="3296" w:type="dxa"/>
            <w:gridSpan w:val="10"/>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800</w:t>
            </w:r>
            <w:r>
              <w:rPr>
                <w:rFonts w:hint="default" w:ascii="Times New Roman" w:hAnsi="Times New Roman" w:eastAsia="宋体" w:cs="Times New Roman"/>
                <w:b w:val="0"/>
                <w:i w:val="0"/>
                <w:color w:val="000000"/>
                <w:kern w:val="0"/>
                <w:sz w:val="21"/>
                <w:szCs w:val="21"/>
                <w:lang w:val="en-US" w:eastAsia="zh-CN"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10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环保验收监测单位</w:t>
            </w:r>
          </w:p>
        </w:tc>
        <w:tc>
          <w:tcPr>
            <w:tcW w:w="3438" w:type="dxa"/>
            <w:gridSpan w:val="6"/>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浙江华标检测技术有限公司</w:t>
            </w:r>
          </w:p>
        </w:tc>
        <w:tc>
          <w:tcPr>
            <w:tcW w:w="154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环保投资</w:t>
            </w:r>
          </w:p>
        </w:tc>
        <w:tc>
          <w:tcPr>
            <w:tcW w:w="1597"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11</w:t>
            </w:r>
            <w:r>
              <w:rPr>
                <w:rFonts w:hint="default" w:ascii="Times New Roman" w:hAnsi="Times New Roman" w:eastAsia="宋体" w:cs="Times New Roman"/>
                <w:b w:val="0"/>
                <w:i w:val="0"/>
                <w:color w:val="000000"/>
                <w:kern w:val="0"/>
                <w:sz w:val="21"/>
                <w:szCs w:val="21"/>
                <w:lang w:val="en-US" w:eastAsia="zh-CN" w:bidi="ar"/>
              </w:rPr>
              <w:t>万元</w:t>
            </w:r>
          </w:p>
        </w:tc>
        <w:tc>
          <w:tcPr>
            <w:tcW w:w="696"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比例</w:t>
            </w:r>
          </w:p>
        </w:tc>
        <w:tc>
          <w:tcPr>
            <w:tcW w:w="1003"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1.4</w:t>
            </w: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491" w:type="dxa"/>
            <w:gridSpan w:val="4"/>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新增废水处理设施能力</w:t>
            </w:r>
          </w:p>
        </w:tc>
        <w:tc>
          <w:tcPr>
            <w:tcW w:w="3052"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吨/小时</w:t>
            </w:r>
          </w:p>
        </w:tc>
        <w:tc>
          <w:tcPr>
            <w:tcW w:w="2414" w:type="dxa"/>
            <w:gridSpan w:val="7"/>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新增废气处理设施能力</w:t>
            </w:r>
          </w:p>
        </w:tc>
        <w:tc>
          <w:tcPr>
            <w:tcW w:w="2423" w:type="dxa"/>
            <w:gridSpan w:val="8"/>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标立方米/时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10380" w:type="dxa"/>
            <w:gridSpan w:val="24"/>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污染控制指标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11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控制</w:t>
            </w:r>
          </w:p>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项目</w:t>
            </w:r>
          </w:p>
        </w:tc>
        <w:tc>
          <w:tcPr>
            <w:tcW w:w="728"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原有排放量（1）</w:t>
            </w:r>
          </w:p>
        </w:tc>
        <w:tc>
          <w:tcPr>
            <w:tcW w:w="839"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新建部分产生量（2）</w:t>
            </w:r>
          </w:p>
        </w:tc>
        <w:tc>
          <w:tcPr>
            <w:tcW w:w="940"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新建部分处理削减量（3）</w:t>
            </w:r>
          </w:p>
        </w:tc>
        <w:tc>
          <w:tcPr>
            <w:tcW w:w="7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以新带老削减量（4）</w:t>
            </w:r>
          </w:p>
        </w:tc>
        <w:tc>
          <w:tcPr>
            <w:tcW w:w="813"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排放增减量（5）</w:t>
            </w:r>
          </w:p>
        </w:tc>
        <w:tc>
          <w:tcPr>
            <w:tcW w:w="837" w:type="dxa"/>
            <w:gridSpan w:val="2"/>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排放总量（6）</w:t>
            </w:r>
          </w:p>
        </w:tc>
        <w:tc>
          <w:tcPr>
            <w:tcW w:w="842"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允许排放量（7）</w:t>
            </w:r>
          </w:p>
        </w:tc>
        <w:tc>
          <w:tcPr>
            <w:tcW w:w="868" w:type="dxa"/>
            <w:gridSpan w:val="2"/>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区域削减量（8）</w:t>
            </w:r>
          </w:p>
        </w:tc>
        <w:tc>
          <w:tcPr>
            <w:tcW w:w="865" w:type="dxa"/>
            <w:gridSpan w:val="3"/>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处理前浓度（9）</w:t>
            </w:r>
          </w:p>
        </w:tc>
        <w:tc>
          <w:tcPr>
            <w:tcW w:w="881" w:type="dxa"/>
            <w:gridSpan w:val="5"/>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实际排放浓度（10）</w:t>
            </w:r>
          </w:p>
        </w:tc>
        <w:tc>
          <w:tcPr>
            <w:tcW w:w="84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允许排放浓度（11）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1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废水</w:t>
            </w:r>
          </w:p>
        </w:tc>
        <w:tc>
          <w:tcPr>
            <w:tcW w:w="72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9"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9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5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13"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7"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392.2</w:t>
            </w:r>
          </w:p>
        </w:tc>
        <w:tc>
          <w:tcPr>
            <w:tcW w:w="842"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392.2</w:t>
            </w:r>
          </w:p>
        </w:tc>
        <w:tc>
          <w:tcPr>
            <w:tcW w:w="868"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65"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81"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4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1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CODcr</w:t>
            </w:r>
          </w:p>
        </w:tc>
        <w:tc>
          <w:tcPr>
            <w:tcW w:w="72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9"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9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5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13"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7"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Style w:val="26"/>
                <w:rFonts w:hint="eastAsia" w:ascii="Times New Roman" w:hAnsi="Times New Roman" w:eastAsia="宋体" w:cs="Times New Roman"/>
                <w:color w:val="auto"/>
                <w:sz w:val="21"/>
                <w:szCs w:val="21"/>
                <w:lang w:val="en-US" w:eastAsia="zh-CN"/>
              </w:rPr>
              <w:t>0.020</w:t>
            </w:r>
          </w:p>
        </w:tc>
        <w:tc>
          <w:tcPr>
            <w:tcW w:w="842"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Style w:val="26"/>
                <w:rFonts w:hint="eastAsia" w:ascii="Times New Roman" w:hAnsi="Times New Roman" w:eastAsia="宋体" w:cs="Times New Roman"/>
                <w:color w:val="auto"/>
                <w:sz w:val="21"/>
                <w:szCs w:val="21"/>
                <w:lang w:val="en-US" w:eastAsia="zh-CN"/>
              </w:rPr>
              <w:t>0.020</w:t>
            </w:r>
          </w:p>
        </w:tc>
        <w:tc>
          <w:tcPr>
            <w:tcW w:w="868"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65"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81"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222</w:t>
            </w:r>
          </w:p>
        </w:tc>
        <w:tc>
          <w:tcPr>
            <w:tcW w:w="84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1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NH</w:t>
            </w:r>
            <w:r>
              <w:rPr>
                <w:rFonts w:hint="eastAsia" w:ascii="Times New Roman" w:hAnsi="Times New Roman" w:eastAsia="宋体" w:cs="Times New Roman"/>
                <w:b w:val="0"/>
                <w:i w:val="0"/>
                <w:color w:val="000000"/>
                <w:kern w:val="0"/>
                <w:sz w:val="21"/>
                <w:szCs w:val="21"/>
                <w:vertAlign w:val="subscript"/>
                <w:lang w:val="en-US" w:eastAsia="zh-CN" w:bidi="ar"/>
              </w:rPr>
              <w:t>3</w:t>
            </w:r>
            <w:r>
              <w:rPr>
                <w:rFonts w:hint="eastAsia" w:ascii="Times New Roman" w:hAnsi="Times New Roman" w:eastAsia="宋体" w:cs="Times New Roman"/>
                <w:b w:val="0"/>
                <w:i w:val="0"/>
                <w:color w:val="000000"/>
                <w:kern w:val="0"/>
                <w:sz w:val="21"/>
                <w:szCs w:val="21"/>
                <w:lang w:val="en-US" w:eastAsia="zh-CN" w:bidi="ar"/>
              </w:rPr>
              <w:t>-H</w:t>
            </w:r>
          </w:p>
        </w:tc>
        <w:tc>
          <w:tcPr>
            <w:tcW w:w="72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9"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9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5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13"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7"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0.002</w:t>
            </w:r>
          </w:p>
        </w:tc>
        <w:tc>
          <w:tcPr>
            <w:tcW w:w="842"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0.002</w:t>
            </w:r>
          </w:p>
        </w:tc>
        <w:tc>
          <w:tcPr>
            <w:tcW w:w="868"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65"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81"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26.4</w:t>
            </w:r>
            <w:bookmarkStart w:id="15" w:name="_GoBack"/>
            <w:bookmarkEnd w:id="15"/>
          </w:p>
        </w:tc>
        <w:tc>
          <w:tcPr>
            <w:tcW w:w="84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1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粉尘</w:t>
            </w:r>
          </w:p>
        </w:tc>
        <w:tc>
          <w:tcPr>
            <w:tcW w:w="72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9"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9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5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13"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7"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42"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68"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65"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81"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4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159" w:type="dxa"/>
            <w:vAlign w:val="center"/>
          </w:tcPr>
          <w:p>
            <w:pPr>
              <w:keepNext w:val="0"/>
              <w:keepLines w:val="0"/>
              <w:widowControl/>
              <w:suppressLineNumbers w:val="0"/>
              <w:adjustRightInd/>
              <w:snapToGrid/>
              <w:spacing w:before="0" w:beforeAutospacing="0" w:after="0" w:afterLines="-2147483648" w:afterAutospacing="0"/>
              <w:ind w:left="0" w:right="0"/>
              <w:jc w:val="center"/>
              <w:rPr>
                <w:rFonts w:hint="eastAsia"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VOCs</w:t>
            </w:r>
          </w:p>
        </w:tc>
        <w:tc>
          <w:tcPr>
            <w:tcW w:w="728"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9"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940"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75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13"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37"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0.009</w:t>
            </w:r>
          </w:p>
        </w:tc>
        <w:tc>
          <w:tcPr>
            <w:tcW w:w="842"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eastAsia" w:ascii="Times New Roman" w:hAnsi="Times New Roman" w:eastAsia="宋体" w:cs="Times New Roman"/>
                <w:b w:val="0"/>
                <w:i w:val="0"/>
                <w:color w:val="000000"/>
                <w:kern w:val="0"/>
                <w:sz w:val="21"/>
                <w:szCs w:val="21"/>
                <w:lang w:val="en-US" w:eastAsia="zh-CN" w:bidi="ar"/>
              </w:rPr>
              <w:t>0.027</w:t>
            </w:r>
          </w:p>
        </w:tc>
        <w:tc>
          <w:tcPr>
            <w:tcW w:w="868" w:type="dxa"/>
            <w:gridSpan w:val="2"/>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65" w:type="dxa"/>
            <w:gridSpan w:val="3"/>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81" w:type="dxa"/>
            <w:gridSpan w:val="5"/>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c>
          <w:tcPr>
            <w:tcW w:w="849" w:type="dxa"/>
            <w:vAlign w:val="center"/>
          </w:tcPr>
          <w:p>
            <w:pPr>
              <w:keepNext w:val="0"/>
              <w:keepLines w:val="0"/>
              <w:widowControl/>
              <w:suppressLineNumbers w:val="0"/>
              <w:adjustRightInd/>
              <w:snapToGrid/>
              <w:spacing w:before="0" w:beforeAutospacing="0" w:after="0" w:afterLines="-2147483648" w:afterAutospacing="0"/>
              <w:ind w:left="0" w:leftChars="0" w:right="0" w:rightChars="0"/>
              <w:jc w:val="center"/>
              <w:rPr>
                <w:rFonts w:hint="default" w:ascii="Times New Roman" w:hAnsi="Times New Roman" w:eastAsia="宋体" w:cs="Times New Roman"/>
                <w:b w:val="0"/>
                <w:i w:val="0"/>
                <w:color w:val="000000"/>
                <w:kern w:val="0"/>
                <w:sz w:val="21"/>
                <w:szCs w:val="21"/>
                <w:lang w:val="en-US" w:eastAsia="zh-CN" w:bidi="ar"/>
              </w:rPr>
            </w:pPr>
            <w:r>
              <w:rPr>
                <w:rFonts w:hint="default" w:ascii="Times New Roman" w:hAnsi="Times New Roman" w:eastAsia="宋体" w:cs="Times New Roman"/>
                <w:b w:val="0"/>
                <w:i w:val="0"/>
                <w:color w:val="000000"/>
                <w:kern w:val="0"/>
                <w:sz w:val="21"/>
                <w:szCs w:val="21"/>
                <w:lang w:val="en-US" w:eastAsia="zh-CN" w:bidi="ar"/>
              </w:rPr>
              <w:t>/</w:t>
            </w:r>
          </w:p>
        </w:tc>
      </w:tr>
    </w:tbl>
    <w:p>
      <w:pPr>
        <w:spacing w:after="0" w:afterLines="0" w:line="360" w:lineRule="auto"/>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单位：废气量：×10</w:t>
      </w:r>
      <w:r>
        <w:rPr>
          <w:rStyle w:val="26"/>
          <w:rFonts w:hint="default" w:ascii="Times New Roman" w:hAnsi="Times New Roman" w:eastAsia="宋体" w:cs="Times New Roman"/>
          <w:sz w:val="21"/>
          <w:szCs w:val="21"/>
          <w:vertAlign w:val="superscript"/>
          <w:lang w:val="en-US" w:eastAsia="zh-CN"/>
        </w:rPr>
        <w:t>4</w:t>
      </w:r>
      <w:r>
        <w:rPr>
          <w:rStyle w:val="26"/>
          <w:rFonts w:hint="default" w:ascii="Times New Roman" w:hAnsi="Times New Roman" w:eastAsia="宋体" w:cs="Times New Roman"/>
          <w:sz w:val="21"/>
          <w:szCs w:val="21"/>
          <w:lang w:val="en-US" w:eastAsia="zh-CN"/>
        </w:rPr>
        <w:t>标米</w:t>
      </w:r>
      <w:r>
        <w:rPr>
          <w:rStyle w:val="26"/>
          <w:rFonts w:hint="default" w:ascii="Times New Roman" w:hAnsi="Times New Roman" w:eastAsia="宋体" w:cs="Times New Roman"/>
          <w:sz w:val="21"/>
          <w:szCs w:val="21"/>
          <w:vertAlign w:val="superscript"/>
          <w:lang w:val="en-US" w:eastAsia="zh-CN"/>
        </w:rPr>
        <w:t>3</w:t>
      </w:r>
      <w:r>
        <w:rPr>
          <w:rStyle w:val="26"/>
          <w:rFonts w:hint="default" w:ascii="Times New Roman" w:hAnsi="Times New Roman" w:eastAsia="宋体" w:cs="Times New Roman"/>
          <w:sz w:val="21"/>
          <w:szCs w:val="21"/>
          <w:lang w:val="en-US" w:eastAsia="zh-CN"/>
        </w:rPr>
        <w:t>/年；废水、固废量：吨/年；水中汞、镉、铅、砷、六价铬、氰化物为千克/年，其它项目均为吨/年；废水浓度：毫克/升；废气浓度：毫克/立方米</w:t>
      </w:r>
    </w:p>
    <w:p>
      <w:pPr>
        <w:spacing w:after="0" w:afterLines="0" w:line="360" w:lineRule="auto"/>
        <w:jc w:val="left"/>
        <w:rPr>
          <w:rStyle w:val="26"/>
          <w:rFonts w:hint="default" w:ascii="Times New Roman" w:hAnsi="Times New Roman" w:eastAsia="宋体" w:cs="Times New Roman"/>
          <w:sz w:val="21"/>
          <w:szCs w:val="21"/>
          <w:lang w:val="en-US" w:eastAsia="zh-CN"/>
        </w:rPr>
      </w:pPr>
      <w:r>
        <w:rPr>
          <w:rStyle w:val="26"/>
          <w:rFonts w:hint="default" w:ascii="Times New Roman" w:hAnsi="Times New Roman" w:eastAsia="宋体" w:cs="Times New Roman"/>
          <w:sz w:val="21"/>
          <w:szCs w:val="21"/>
          <w:lang w:val="en-US" w:eastAsia="zh-CN"/>
        </w:rPr>
        <w:t>注：此表由监测站填写，附在监测报告最后一页。此表最后一格为该项目的特征污染物。</w:t>
      </w:r>
    </w:p>
    <w:p>
      <w:pPr>
        <w:spacing w:after="0" w:afterLines="0" w:line="360" w:lineRule="auto"/>
        <w:jc w:val="left"/>
        <w:rPr>
          <w:rStyle w:val="26"/>
          <w:rFonts w:hint="default" w:ascii="Times New Roman" w:hAnsi="Times New Roman" w:eastAsia="宋体" w:cs="Times New Roman"/>
          <w:sz w:val="21"/>
          <w:szCs w:val="21"/>
          <w:lang w:val="en-US" w:eastAsia="zh-CN"/>
        </w:rPr>
        <w:sectPr>
          <w:pgSz w:w="11906" w:h="16838"/>
          <w:pgMar w:top="1440" w:right="1800" w:bottom="1440" w:left="1800" w:header="851" w:footer="992" w:gutter="0"/>
          <w:pgNumType w:fmt="decimal"/>
          <w:cols w:space="425" w:num="1"/>
          <w:docGrid w:type="lines" w:linePitch="312" w:charSpace="0"/>
        </w:sectPr>
      </w:pPr>
      <w:r>
        <w:rPr>
          <w:rStyle w:val="26"/>
          <w:rFonts w:hint="default" w:ascii="Times New Roman" w:hAnsi="Times New Roman" w:eastAsia="宋体" w:cs="Times New Roman"/>
          <w:sz w:val="21"/>
          <w:szCs w:val="21"/>
          <w:lang w:val="en-US" w:eastAsia="zh-CN"/>
        </w:rPr>
        <w:t>其中：（5）=（2）-（3）-（4）；（6）=（2）-（3）+（1）-（4）</w:t>
      </w:r>
    </w:p>
    <w:p>
      <w:pPr>
        <w:spacing w:after="0" w:afterLines="0" w:line="360" w:lineRule="auto"/>
        <w:jc w:val="center"/>
        <w:rPr>
          <w:rStyle w:val="26"/>
          <w:rFonts w:hint="default" w:ascii="Times New Roman" w:hAnsi="Times New Roman" w:eastAsia="宋体" w:cs="Times New Roman"/>
          <w:sz w:val="21"/>
          <w:szCs w:val="21"/>
          <w:lang w:val="en-US" w:eastAsia="zh-CN"/>
        </w:rPr>
      </w:pPr>
      <w:r>
        <w:drawing>
          <wp:inline distT="0" distB="0" distL="114300" distR="114300">
            <wp:extent cx="5269865" cy="7447280"/>
            <wp:effectExtent l="0" t="0" r="6985" b="127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20"/>
                    <a:srcRect b="2250"/>
                    <a:stretch>
                      <a:fillRect/>
                    </a:stretch>
                  </pic:blipFill>
                  <pic:spPr>
                    <a:xfrm>
                      <a:off x="0" y="0"/>
                      <a:ext cx="5269865" cy="7447280"/>
                    </a:xfrm>
                    <a:prstGeom prst="rect">
                      <a:avLst/>
                    </a:prstGeom>
                    <a:noFill/>
                    <a:ln>
                      <a:noFill/>
                    </a:ln>
                  </pic:spPr>
                </pic:pic>
              </a:graphicData>
            </a:graphic>
          </wp:inline>
        </w:drawing>
      </w:r>
      <w:r>
        <w:drawing>
          <wp:inline distT="0" distB="0" distL="114300" distR="114300">
            <wp:extent cx="5269865" cy="6974840"/>
            <wp:effectExtent l="0" t="0" r="6985" b="1651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21"/>
                    <a:stretch>
                      <a:fillRect/>
                    </a:stretch>
                  </pic:blipFill>
                  <pic:spPr>
                    <a:xfrm>
                      <a:off x="0" y="0"/>
                      <a:ext cx="5269865" cy="6974840"/>
                    </a:xfrm>
                    <a:prstGeom prst="rect">
                      <a:avLst/>
                    </a:prstGeom>
                    <a:noFill/>
                    <a:ln>
                      <a:noFill/>
                    </a:ln>
                  </pic:spPr>
                </pic:pic>
              </a:graphicData>
            </a:graphic>
          </wp:inline>
        </w:drawing>
      </w:r>
    </w:p>
    <w:sectPr>
      <w:headerReference r:id="rId7" w:type="default"/>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afterLines="0"/>
      <w:ind w:right="360"/>
      <w:jc w:val="both"/>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posOffset>2169160</wp:posOffset>
              </wp:positionH>
              <wp:positionV relativeFrom="paragraph">
                <wp:posOffset>-38100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default" w:ascii="Times New Roman" w:hAnsi="Times New Roman" w:eastAsia="微软雅黑" w:cs="Times New Roman"/>
                              <w:lang w:eastAsia="zh-CN"/>
                            </w:rPr>
                          </w:pPr>
                          <w:r>
                            <w:rPr>
                              <w:rFonts w:hint="default" w:ascii="Times New Roman" w:hAnsi="Times New Roman" w:cs="Times New Roman"/>
                              <w:lang w:eastAsia="zh-CN"/>
                            </w:rPr>
                            <w:t xml:space="preserve">第 </w:t>
                          </w: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3</w:t>
                          </w:r>
                          <w:r>
                            <w:rPr>
                              <w:rFonts w:hint="default" w:ascii="Times New Roman" w:hAnsi="Times New Roman" w:cs="Times New Roman"/>
                              <w:lang w:eastAsia="zh-CN"/>
                            </w:rPr>
                            <w:fldChar w:fldCharType="end"/>
                          </w:r>
                          <w:r>
                            <w:rPr>
                              <w:rFonts w:hint="default" w:ascii="Times New Roman" w:hAnsi="Times New Roman" w:cs="Times New Roman"/>
                              <w:lang w:eastAsia="zh-CN"/>
                            </w:rPr>
                            <w:t xml:space="preserve"> 页 共 </w:t>
                          </w:r>
                          <w:r>
                            <w:rPr>
                              <w:rFonts w:hint="eastAsia" w:ascii="Times New Roman" w:hAnsi="Times New Roman" w:cs="Times New Roman"/>
                              <w:lang w:val="en-US" w:eastAsia="zh-CN"/>
                            </w:rPr>
                            <w:t xml:space="preserve">28 </w:t>
                          </w:r>
                          <w:r>
                            <w:rPr>
                              <w:rFonts w:hint="default" w:ascii="Times New Roman" w:hAnsi="Times New Roman" w:cs="Times New Roman"/>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0.8pt;margin-top:-3pt;height:144pt;width:144pt;mso-position-horizontal-relative:margin;mso-wrap-style:none;z-index:251659264;mso-width-relative:page;mso-height-relative:page;" filled="f" stroked="f" coordsize="21600,21600" o:gfxdata="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ilygB1wAAAAoBAAAPAAAAAAAAAAEAIAAAACIAAABkcnMvZG93bnJldi54bWxQ&#10;SwECFAAUAAAACACHTuJAx5e1zjECAABhBAAADgAAAAAAAAABACAAAAAmAQAAZHJzL2Uyb0RvYy54&#10;bWxQSwUGAAAAAAYABgBZAQAAyQUAAAAA&#10;">
              <v:fill on="f" focussize="0,0"/>
              <v:stroke on="f" weight="0.5pt"/>
              <v:imagedata o:title=""/>
              <o:lock v:ext="edit" aspectratio="f"/>
              <v:textbox inset="0mm,0mm,0mm,0mm" style="mso-fit-shape-to-text:t;">
                <w:txbxContent>
                  <w:p>
                    <w:pPr>
                      <w:pStyle w:val="15"/>
                      <w:rPr>
                        <w:rFonts w:hint="default" w:ascii="Times New Roman" w:hAnsi="Times New Roman" w:eastAsia="微软雅黑" w:cs="Times New Roman"/>
                        <w:lang w:eastAsia="zh-CN"/>
                      </w:rPr>
                    </w:pPr>
                    <w:r>
                      <w:rPr>
                        <w:rFonts w:hint="default" w:ascii="Times New Roman" w:hAnsi="Times New Roman" w:cs="Times New Roman"/>
                        <w:lang w:eastAsia="zh-CN"/>
                      </w:rPr>
                      <w:t xml:space="preserve">第 </w:t>
                    </w: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3</w:t>
                    </w:r>
                    <w:r>
                      <w:rPr>
                        <w:rFonts w:hint="default" w:ascii="Times New Roman" w:hAnsi="Times New Roman" w:cs="Times New Roman"/>
                        <w:lang w:eastAsia="zh-CN"/>
                      </w:rPr>
                      <w:fldChar w:fldCharType="end"/>
                    </w:r>
                    <w:r>
                      <w:rPr>
                        <w:rFonts w:hint="default" w:ascii="Times New Roman" w:hAnsi="Times New Roman" w:cs="Times New Roman"/>
                        <w:lang w:eastAsia="zh-CN"/>
                      </w:rPr>
                      <w:t xml:space="preserve"> 页 共 </w:t>
                    </w:r>
                    <w:r>
                      <w:rPr>
                        <w:rFonts w:hint="eastAsia" w:ascii="Times New Roman" w:hAnsi="Times New Roman" w:cs="Times New Roman"/>
                        <w:lang w:val="en-US" w:eastAsia="zh-CN"/>
                      </w:rPr>
                      <w:t xml:space="preserve">28 </w:t>
                    </w:r>
                    <w:r>
                      <w:rPr>
                        <w:rFonts w:hint="default" w:ascii="Times New Roman" w:hAnsi="Times New Roman" w:cs="Times New Roman"/>
                        <w:lang w:eastAsia="zh-CN"/>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afterLines="0"/>
      <w:ind w:right="360"/>
      <w:jc w:val="both"/>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rPr>
        <w:rFonts w:hint="eastAsia" w:eastAsia="仿宋"/>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Fonts w:hint="eastAsia" w:eastAsia="仿宋"/>
        <w:lang w:eastAsia="zh-CN"/>
      </w:rPr>
    </w:pPr>
    <w:r>
      <w:rPr>
        <w:rFonts w:hint="eastAsia" w:ascii="仿宋" w:hAnsi="仿宋" w:eastAsia="仿宋" w:cs="仿宋"/>
        <w:sz w:val="21"/>
        <w:szCs w:val="21"/>
      </w:rPr>
      <w:t>建设项目竣工环境保护设施验收监测报告</w:t>
    </w:r>
    <w:r>
      <w:rPr>
        <w:rFonts w:hint="eastAsia" w:ascii="仿宋" w:hAnsi="仿宋" w:eastAsia="仿宋" w:cs="仿宋"/>
        <w:sz w:val="21"/>
        <w:szCs w:val="21"/>
        <w:lang w:eastAsia="zh-CN"/>
      </w:rPr>
      <w:t>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rPr>
        <w:rFonts w:hint="eastAsia" w:eastAsia="仿宋"/>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4OWVlMGY1N2E4NjgzYTE1OGYyOTRmOGQ4NDZhYmQifQ=="/>
  </w:docVars>
  <w:rsids>
    <w:rsidRoot w:val="26B505E7"/>
    <w:rsid w:val="0011073D"/>
    <w:rsid w:val="001C66E0"/>
    <w:rsid w:val="001F7F7E"/>
    <w:rsid w:val="00296707"/>
    <w:rsid w:val="0031380D"/>
    <w:rsid w:val="00372B2E"/>
    <w:rsid w:val="00485CE0"/>
    <w:rsid w:val="00505830"/>
    <w:rsid w:val="005610EB"/>
    <w:rsid w:val="005B0870"/>
    <w:rsid w:val="006718DA"/>
    <w:rsid w:val="00681BE2"/>
    <w:rsid w:val="00712A62"/>
    <w:rsid w:val="00764A2F"/>
    <w:rsid w:val="00824069"/>
    <w:rsid w:val="00865B5B"/>
    <w:rsid w:val="00883F7A"/>
    <w:rsid w:val="008B6354"/>
    <w:rsid w:val="00942756"/>
    <w:rsid w:val="009D3A5B"/>
    <w:rsid w:val="00A3510C"/>
    <w:rsid w:val="00A364B9"/>
    <w:rsid w:val="00BC7DD0"/>
    <w:rsid w:val="00C14B91"/>
    <w:rsid w:val="00CB7193"/>
    <w:rsid w:val="00D91EDB"/>
    <w:rsid w:val="00D95FDE"/>
    <w:rsid w:val="00E94D98"/>
    <w:rsid w:val="00EB1E48"/>
    <w:rsid w:val="00F50429"/>
    <w:rsid w:val="00F72CA9"/>
    <w:rsid w:val="00FC206D"/>
    <w:rsid w:val="010030EE"/>
    <w:rsid w:val="010136E5"/>
    <w:rsid w:val="01145609"/>
    <w:rsid w:val="011876D9"/>
    <w:rsid w:val="011E1FE4"/>
    <w:rsid w:val="011E6C58"/>
    <w:rsid w:val="01214C71"/>
    <w:rsid w:val="01233A9E"/>
    <w:rsid w:val="012A0989"/>
    <w:rsid w:val="01323A14"/>
    <w:rsid w:val="01372051"/>
    <w:rsid w:val="014B0A9E"/>
    <w:rsid w:val="014E7B14"/>
    <w:rsid w:val="014F4893"/>
    <w:rsid w:val="01654CA1"/>
    <w:rsid w:val="01711A76"/>
    <w:rsid w:val="01770C0B"/>
    <w:rsid w:val="018A0320"/>
    <w:rsid w:val="018A516C"/>
    <w:rsid w:val="018C1375"/>
    <w:rsid w:val="01A41B75"/>
    <w:rsid w:val="01AE1C40"/>
    <w:rsid w:val="01BB37F2"/>
    <w:rsid w:val="01C62DC8"/>
    <w:rsid w:val="01CD0E30"/>
    <w:rsid w:val="01E925F2"/>
    <w:rsid w:val="01F66ABD"/>
    <w:rsid w:val="02144177"/>
    <w:rsid w:val="021A12E0"/>
    <w:rsid w:val="021C69C5"/>
    <w:rsid w:val="0229333C"/>
    <w:rsid w:val="022C260F"/>
    <w:rsid w:val="022E14F4"/>
    <w:rsid w:val="022F4DB5"/>
    <w:rsid w:val="02443CCC"/>
    <w:rsid w:val="024912E2"/>
    <w:rsid w:val="025407D1"/>
    <w:rsid w:val="02540C28"/>
    <w:rsid w:val="02581BE3"/>
    <w:rsid w:val="02602880"/>
    <w:rsid w:val="02682A01"/>
    <w:rsid w:val="02711F23"/>
    <w:rsid w:val="02777BFD"/>
    <w:rsid w:val="02805954"/>
    <w:rsid w:val="02881E0B"/>
    <w:rsid w:val="02A464AF"/>
    <w:rsid w:val="02AE4196"/>
    <w:rsid w:val="02B077F3"/>
    <w:rsid w:val="02B7449E"/>
    <w:rsid w:val="02C250BF"/>
    <w:rsid w:val="02C378BB"/>
    <w:rsid w:val="02CF25D4"/>
    <w:rsid w:val="02D9796E"/>
    <w:rsid w:val="02DA7875"/>
    <w:rsid w:val="02EF073A"/>
    <w:rsid w:val="02F630D7"/>
    <w:rsid w:val="02FE6A20"/>
    <w:rsid w:val="030376E3"/>
    <w:rsid w:val="03063235"/>
    <w:rsid w:val="0306659A"/>
    <w:rsid w:val="03086AA8"/>
    <w:rsid w:val="030A3BFE"/>
    <w:rsid w:val="030B6598"/>
    <w:rsid w:val="031A67DB"/>
    <w:rsid w:val="032633D2"/>
    <w:rsid w:val="03346BEF"/>
    <w:rsid w:val="033C60AA"/>
    <w:rsid w:val="033E03C1"/>
    <w:rsid w:val="03416830"/>
    <w:rsid w:val="034420A6"/>
    <w:rsid w:val="03463800"/>
    <w:rsid w:val="034F2928"/>
    <w:rsid w:val="03561984"/>
    <w:rsid w:val="0358051C"/>
    <w:rsid w:val="03581309"/>
    <w:rsid w:val="035910C9"/>
    <w:rsid w:val="035C339E"/>
    <w:rsid w:val="03645466"/>
    <w:rsid w:val="038834A2"/>
    <w:rsid w:val="038F5B60"/>
    <w:rsid w:val="039162A5"/>
    <w:rsid w:val="03917B3D"/>
    <w:rsid w:val="039627F9"/>
    <w:rsid w:val="039759F3"/>
    <w:rsid w:val="03A32C74"/>
    <w:rsid w:val="03AD10E5"/>
    <w:rsid w:val="03B25314"/>
    <w:rsid w:val="03B37E16"/>
    <w:rsid w:val="03B87B9E"/>
    <w:rsid w:val="03C0788A"/>
    <w:rsid w:val="03C3466A"/>
    <w:rsid w:val="03C530E5"/>
    <w:rsid w:val="03D92B91"/>
    <w:rsid w:val="03E05C76"/>
    <w:rsid w:val="03E3485D"/>
    <w:rsid w:val="03E366D2"/>
    <w:rsid w:val="03ED2496"/>
    <w:rsid w:val="03EF3766"/>
    <w:rsid w:val="03F624D8"/>
    <w:rsid w:val="04044915"/>
    <w:rsid w:val="040C2A1E"/>
    <w:rsid w:val="041361F8"/>
    <w:rsid w:val="04187EF1"/>
    <w:rsid w:val="041F4733"/>
    <w:rsid w:val="04320CEF"/>
    <w:rsid w:val="04374642"/>
    <w:rsid w:val="043C5F8E"/>
    <w:rsid w:val="043F0511"/>
    <w:rsid w:val="04465B93"/>
    <w:rsid w:val="044E7BC6"/>
    <w:rsid w:val="045A553D"/>
    <w:rsid w:val="046150CB"/>
    <w:rsid w:val="04633927"/>
    <w:rsid w:val="04697A1A"/>
    <w:rsid w:val="047B097B"/>
    <w:rsid w:val="048314C6"/>
    <w:rsid w:val="048765A3"/>
    <w:rsid w:val="048A4261"/>
    <w:rsid w:val="048B5BE2"/>
    <w:rsid w:val="049262EE"/>
    <w:rsid w:val="049C7DEF"/>
    <w:rsid w:val="049E5ED4"/>
    <w:rsid w:val="049F0039"/>
    <w:rsid w:val="04B365D1"/>
    <w:rsid w:val="04C11604"/>
    <w:rsid w:val="04D01847"/>
    <w:rsid w:val="04D37861"/>
    <w:rsid w:val="04D63C8A"/>
    <w:rsid w:val="04D83D7B"/>
    <w:rsid w:val="04D94B9F"/>
    <w:rsid w:val="04EA081A"/>
    <w:rsid w:val="04F07625"/>
    <w:rsid w:val="04F227FB"/>
    <w:rsid w:val="05040414"/>
    <w:rsid w:val="05143E2A"/>
    <w:rsid w:val="05162EE3"/>
    <w:rsid w:val="051D7140"/>
    <w:rsid w:val="051E1314"/>
    <w:rsid w:val="052056A4"/>
    <w:rsid w:val="05227399"/>
    <w:rsid w:val="052D5B38"/>
    <w:rsid w:val="05355CC3"/>
    <w:rsid w:val="05370648"/>
    <w:rsid w:val="05393D60"/>
    <w:rsid w:val="0543590B"/>
    <w:rsid w:val="05470E37"/>
    <w:rsid w:val="054C41BA"/>
    <w:rsid w:val="054D158E"/>
    <w:rsid w:val="055B3B66"/>
    <w:rsid w:val="055F4BCD"/>
    <w:rsid w:val="05737CC1"/>
    <w:rsid w:val="05791EDF"/>
    <w:rsid w:val="05847C1F"/>
    <w:rsid w:val="058F34B0"/>
    <w:rsid w:val="05946408"/>
    <w:rsid w:val="059600FF"/>
    <w:rsid w:val="05A15F62"/>
    <w:rsid w:val="05A97EFC"/>
    <w:rsid w:val="05AB5DDF"/>
    <w:rsid w:val="05AC1507"/>
    <w:rsid w:val="05C2565F"/>
    <w:rsid w:val="05CA292E"/>
    <w:rsid w:val="05CB200E"/>
    <w:rsid w:val="05D764AD"/>
    <w:rsid w:val="05D830A9"/>
    <w:rsid w:val="05D872E9"/>
    <w:rsid w:val="05D93188"/>
    <w:rsid w:val="05DC293B"/>
    <w:rsid w:val="05E171F5"/>
    <w:rsid w:val="05E32322"/>
    <w:rsid w:val="05F33E56"/>
    <w:rsid w:val="060519C4"/>
    <w:rsid w:val="060B6889"/>
    <w:rsid w:val="060D12A8"/>
    <w:rsid w:val="06135E8F"/>
    <w:rsid w:val="061E7738"/>
    <w:rsid w:val="06213F95"/>
    <w:rsid w:val="06233DDE"/>
    <w:rsid w:val="062C5D5F"/>
    <w:rsid w:val="062D05D7"/>
    <w:rsid w:val="063250DF"/>
    <w:rsid w:val="06372E6F"/>
    <w:rsid w:val="064329C9"/>
    <w:rsid w:val="0651073E"/>
    <w:rsid w:val="06606C84"/>
    <w:rsid w:val="068937C8"/>
    <w:rsid w:val="06900AE7"/>
    <w:rsid w:val="06961452"/>
    <w:rsid w:val="069E34B0"/>
    <w:rsid w:val="06B23B9F"/>
    <w:rsid w:val="06B70F12"/>
    <w:rsid w:val="06C64E00"/>
    <w:rsid w:val="06CC467A"/>
    <w:rsid w:val="06D55E6E"/>
    <w:rsid w:val="06D735D0"/>
    <w:rsid w:val="06DA075B"/>
    <w:rsid w:val="06EA3812"/>
    <w:rsid w:val="06F402A1"/>
    <w:rsid w:val="06F86E33"/>
    <w:rsid w:val="06FC0D31"/>
    <w:rsid w:val="072802B3"/>
    <w:rsid w:val="072D2F81"/>
    <w:rsid w:val="072E3AFE"/>
    <w:rsid w:val="07366B87"/>
    <w:rsid w:val="074B0F17"/>
    <w:rsid w:val="075671B9"/>
    <w:rsid w:val="07680C05"/>
    <w:rsid w:val="077243EB"/>
    <w:rsid w:val="07747E44"/>
    <w:rsid w:val="07890D7A"/>
    <w:rsid w:val="07890DB6"/>
    <w:rsid w:val="078B0599"/>
    <w:rsid w:val="07957D6C"/>
    <w:rsid w:val="07970AB9"/>
    <w:rsid w:val="07B54061"/>
    <w:rsid w:val="07B56BB6"/>
    <w:rsid w:val="07C247AD"/>
    <w:rsid w:val="07C3370E"/>
    <w:rsid w:val="07C75A76"/>
    <w:rsid w:val="07C83E0A"/>
    <w:rsid w:val="07D653C6"/>
    <w:rsid w:val="07E96780"/>
    <w:rsid w:val="07F76E78"/>
    <w:rsid w:val="07FB09CD"/>
    <w:rsid w:val="08002C97"/>
    <w:rsid w:val="081128A2"/>
    <w:rsid w:val="08191757"/>
    <w:rsid w:val="08216AAB"/>
    <w:rsid w:val="08241A2B"/>
    <w:rsid w:val="08430A1F"/>
    <w:rsid w:val="084E2A52"/>
    <w:rsid w:val="085409E1"/>
    <w:rsid w:val="085A65CF"/>
    <w:rsid w:val="085D5AE7"/>
    <w:rsid w:val="08662A80"/>
    <w:rsid w:val="0870642B"/>
    <w:rsid w:val="08712E62"/>
    <w:rsid w:val="087C361B"/>
    <w:rsid w:val="087D7F38"/>
    <w:rsid w:val="08813B86"/>
    <w:rsid w:val="088407D7"/>
    <w:rsid w:val="088553AB"/>
    <w:rsid w:val="088A61B1"/>
    <w:rsid w:val="088B6143"/>
    <w:rsid w:val="08900771"/>
    <w:rsid w:val="0892523D"/>
    <w:rsid w:val="089B6717"/>
    <w:rsid w:val="08AA4214"/>
    <w:rsid w:val="08AA50C6"/>
    <w:rsid w:val="08AC6127"/>
    <w:rsid w:val="08AD16FB"/>
    <w:rsid w:val="08B1168A"/>
    <w:rsid w:val="08B1198F"/>
    <w:rsid w:val="08B72043"/>
    <w:rsid w:val="08B84ACC"/>
    <w:rsid w:val="08BA30BD"/>
    <w:rsid w:val="08C24F2A"/>
    <w:rsid w:val="08C83B09"/>
    <w:rsid w:val="08D26A95"/>
    <w:rsid w:val="08D46D5B"/>
    <w:rsid w:val="08D6431D"/>
    <w:rsid w:val="08DD4532"/>
    <w:rsid w:val="08E31989"/>
    <w:rsid w:val="08E34D10"/>
    <w:rsid w:val="08EB4EA1"/>
    <w:rsid w:val="08ED64C0"/>
    <w:rsid w:val="08F10D8A"/>
    <w:rsid w:val="08F66070"/>
    <w:rsid w:val="09032F1E"/>
    <w:rsid w:val="091E5AE0"/>
    <w:rsid w:val="09372B3D"/>
    <w:rsid w:val="095A2027"/>
    <w:rsid w:val="09630032"/>
    <w:rsid w:val="097862A6"/>
    <w:rsid w:val="098368D4"/>
    <w:rsid w:val="09912003"/>
    <w:rsid w:val="09927BC6"/>
    <w:rsid w:val="099B4B67"/>
    <w:rsid w:val="099C5A04"/>
    <w:rsid w:val="09A26A62"/>
    <w:rsid w:val="09A86A23"/>
    <w:rsid w:val="09AF4121"/>
    <w:rsid w:val="09B150B9"/>
    <w:rsid w:val="09B47989"/>
    <w:rsid w:val="09B864D9"/>
    <w:rsid w:val="09BE5E69"/>
    <w:rsid w:val="09C13E54"/>
    <w:rsid w:val="09C95E4B"/>
    <w:rsid w:val="09D927D9"/>
    <w:rsid w:val="09DC78A9"/>
    <w:rsid w:val="09E4201B"/>
    <w:rsid w:val="0A0524FF"/>
    <w:rsid w:val="0A0657F9"/>
    <w:rsid w:val="0A10796B"/>
    <w:rsid w:val="0A122902"/>
    <w:rsid w:val="0A2554CF"/>
    <w:rsid w:val="0A38517D"/>
    <w:rsid w:val="0A3A70E8"/>
    <w:rsid w:val="0A3A73E9"/>
    <w:rsid w:val="0A467C6B"/>
    <w:rsid w:val="0A51055F"/>
    <w:rsid w:val="0A51253F"/>
    <w:rsid w:val="0A6842D0"/>
    <w:rsid w:val="0A793240"/>
    <w:rsid w:val="0A7A684A"/>
    <w:rsid w:val="0A7E1D45"/>
    <w:rsid w:val="0A9118DB"/>
    <w:rsid w:val="0AAC57F1"/>
    <w:rsid w:val="0AAC68B2"/>
    <w:rsid w:val="0AB92E73"/>
    <w:rsid w:val="0AC707C5"/>
    <w:rsid w:val="0AC97009"/>
    <w:rsid w:val="0AD53B34"/>
    <w:rsid w:val="0AD7735C"/>
    <w:rsid w:val="0AE353FC"/>
    <w:rsid w:val="0AEA1189"/>
    <w:rsid w:val="0AEA5A2F"/>
    <w:rsid w:val="0AEB72E3"/>
    <w:rsid w:val="0AF3003D"/>
    <w:rsid w:val="0AF71DB6"/>
    <w:rsid w:val="0B007D55"/>
    <w:rsid w:val="0B033754"/>
    <w:rsid w:val="0B0B1186"/>
    <w:rsid w:val="0B1C6429"/>
    <w:rsid w:val="0B212DFC"/>
    <w:rsid w:val="0B227FB8"/>
    <w:rsid w:val="0B2774DB"/>
    <w:rsid w:val="0B281528"/>
    <w:rsid w:val="0B2E0457"/>
    <w:rsid w:val="0B2E178E"/>
    <w:rsid w:val="0B2F5EE6"/>
    <w:rsid w:val="0B460AB5"/>
    <w:rsid w:val="0B483288"/>
    <w:rsid w:val="0B5A0C42"/>
    <w:rsid w:val="0B670B53"/>
    <w:rsid w:val="0B6727D9"/>
    <w:rsid w:val="0B674E47"/>
    <w:rsid w:val="0B7001CF"/>
    <w:rsid w:val="0B8D009D"/>
    <w:rsid w:val="0B9F66DC"/>
    <w:rsid w:val="0B9F7B17"/>
    <w:rsid w:val="0BA0772C"/>
    <w:rsid w:val="0BA63302"/>
    <w:rsid w:val="0BBA04F9"/>
    <w:rsid w:val="0BBC28CE"/>
    <w:rsid w:val="0BDB5EDA"/>
    <w:rsid w:val="0BE108AB"/>
    <w:rsid w:val="0BE669AA"/>
    <w:rsid w:val="0BF72E73"/>
    <w:rsid w:val="0BFE313E"/>
    <w:rsid w:val="0C033E70"/>
    <w:rsid w:val="0C1535F6"/>
    <w:rsid w:val="0C2F563F"/>
    <w:rsid w:val="0C2F713D"/>
    <w:rsid w:val="0C300ECF"/>
    <w:rsid w:val="0C381612"/>
    <w:rsid w:val="0C3D6952"/>
    <w:rsid w:val="0C416F62"/>
    <w:rsid w:val="0C4C2A9B"/>
    <w:rsid w:val="0C542D5E"/>
    <w:rsid w:val="0C5B51F4"/>
    <w:rsid w:val="0C646053"/>
    <w:rsid w:val="0C6570A1"/>
    <w:rsid w:val="0C6714C2"/>
    <w:rsid w:val="0C6B0633"/>
    <w:rsid w:val="0C77474B"/>
    <w:rsid w:val="0C7C593C"/>
    <w:rsid w:val="0C8C0749"/>
    <w:rsid w:val="0CAA5073"/>
    <w:rsid w:val="0CB902B4"/>
    <w:rsid w:val="0CBF26C9"/>
    <w:rsid w:val="0CC72233"/>
    <w:rsid w:val="0CE739F2"/>
    <w:rsid w:val="0CF83B56"/>
    <w:rsid w:val="0CFB76C9"/>
    <w:rsid w:val="0CFC2FB8"/>
    <w:rsid w:val="0D113A24"/>
    <w:rsid w:val="0D171179"/>
    <w:rsid w:val="0D1E160E"/>
    <w:rsid w:val="0D3130BF"/>
    <w:rsid w:val="0D433F72"/>
    <w:rsid w:val="0D436541"/>
    <w:rsid w:val="0D43731A"/>
    <w:rsid w:val="0D4C612B"/>
    <w:rsid w:val="0D5F16D5"/>
    <w:rsid w:val="0D6C5EE5"/>
    <w:rsid w:val="0D7569F7"/>
    <w:rsid w:val="0D7B2671"/>
    <w:rsid w:val="0D8476AE"/>
    <w:rsid w:val="0D856DCC"/>
    <w:rsid w:val="0D9028BD"/>
    <w:rsid w:val="0D9127AE"/>
    <w:rsid w:val="0D9B051A"/>
    <w:rsid w:val="0DA02370"/>
    <w:rsid w:val="0DA327D8"/>
    <w:rsid w:val="0DB02915"/>
    <w:rsid w:val="0DB20C17"/>
    <w:rsid w:val="0DB55A7E"/>
    <w:rsid w:val="0DB60C93"/>
    <w:rsid w:val="0DC9217F"/>
    <w:rsid w:val="0DCC7F01"/>
    <w:rsid w:val="0DD91BFD"/>
    <w:rsid w:val="0DE26C42"/>
    <w:rsid w:val="0E0316FF"/>
    <w:rsid w:val="0E0D6AA9"/>
    <w:rsid w:val="0E1B2033"/>
    <w:rsid w:val="0E1C0BB0"/>
    <w:rsid w:val="0E2179FD"/>
    <w:rsid w:val="0E241493"/>
    <w:rsid w:val="0E255382"/>
    <w:rsid w:val="0E2F5CB2"/>
    <w:rsid w:val="0E3C0E71"/>
    <w:rsid w:val="0E4A392C"/>
    <w:rsid w:val="0E4E4B6B"/>
    <w:rsid w:val="0E4F2DA3"/>
    <w:rsid w:val="0E515477"/>
    <w:rsid w:val="0E521CA7"/>
    <w:rsid w:val="0E597FCE"/>
    <w:rsid w:val="0E5C2EA3"/>
    <w:rsid w:val="0E655DDB"/>
    <w:rsid w:val="0EA41F5E"/>
    <w:rsid w:val="0EA71CA3"/>
    <w:rsid w:val="0EAA2B76"/>
    <w:rsid w:val="0EAC1060"/>
    <w:rsid w:val="0EB0369B"/>
    <w:rsid w:val="0EBC50D5"/>
    <w:rsid w:val="0EC91ED6"/>
    <w:rsid w:val="0ED45DC2"/>
    <w:rsid w:val="0EE452DD"/>
    <w:rsid w:val="0EE47B6E"/>
    <w:rsid w:val="0F016110"/>
    <w:rsid w:val="0F0F1F61"/>
    <w:rsid w:val="0F1227A2"/>
    <w:rsid w:val="0F1801A5"/>
    <w:rsid w:val="0F1A4C8D"/>
    <w:rsid w:val="0F1B6BFB"/>
    <w:rsid w:val="0F2E3D3B"/>
    <w:rsid w:val="0F2E788D"/>
    <w:rsid w:val="0F382E53"/>
    <w:rsid w:val="0F384BB8"/>
    <w:rsid w:val="0F5B25DB"/>
    <w:rsid w:val="0F5B2655"/>
    <w:rsid w:val="0F637419"/>
    <w:rsid w:val="0F784FB5"/>
    <w:rsid w:val="0F841BAC"/>
    <w:rsid w:val="0F980A98"/>
    <w:rsid w:val="0F9A317D"/>
    <w:rsid w:val="0FA17F08"/>
    <w:rsid w:val="0FB75192"/>
    <w:rsid w:val="0FBB45AA"/>
    <w:rsid w:val="0FC621C4"/>
    <w:rsid w:val="0FE22574"/>
    <w:rsid w:val="0FEC238E"/>
    <w:rsid w:val="0FED0CB7"/>
    <w:rsid w:val="0FFA33CC"/>
    <w:rsid w:val="100219E7"/>
    <w:rsid w:val="100A7377"/>
    <w:rsid w:val="100D1BA1"/>
    <w:rsid w:val="101271B8"/>
    <w:rsid w:val="101C7C4F"/>
    <w:rsid w:val="10205149"/>
    <w:rsid w:val="10254086"/>
    <w:rsid w:val="102660B1"/>
    <w:rsid w:val="10270C3E"/>
    <w:rsid w:val="10280DFE"/>
    <w:rsid w:val="103670A0"/>
    <w:rsid w:val="103B5330"/>
    <w:rsid w:val="10402AAE"/>
    <w:rsid w:val="10444A16"/>
    <w:rsid w:val="105016E1"/>
    <w:rsid w:val="10520793"/>
    <w:rsid w:val="10572F3E"/>
    <w:rsid w:val="105838D7"/>
    <w:rsid w:val="105C6FA6"/>
    <w:rsid w:val="10624E9A"/>
    <w:rsid w:val="106B4ABC"/>
    <w:rsid w:val="107734BE"/>
    <w:rsid w:val="107D0E66"/>
    <w:rsid w:val="10831E63"/>
    <w:rsid w:val="10914580"/>
    <w:rsid w:val="109F048E"/>
    <w:rsid w:val="10A04E3C"/>
    <w:rsid w:val="10A41E19"/>
    <w:rsid w:val="10A818CA"/>
    <w:rsid w:val="10AC2039"/>
    <w:rsid w:val="10AF2C58"/>
    <w:rsid w:val="10AF2F75"/>
    <w:rsid w:val="10B01798"/>
    <w:rsid w:val="10B77D5F"/>
    <w:rsid w:val="10B955A2"/>
    <w:rsid w:val="10C22219"/>
    <w:rsid w:val="10D11FFE"/>
    <w:rsid w:val="10DA0BD7"/>
    <w:rsid w:val="10E53C52"/>
    <w:rsid w:val="10E5667A"/>
    <w:rsid w:val="10F17BE9"/>
    <w:rsid w:val="10F759FF"/>
    <w:rsid w:val="11021117"/>
    <w:rsid w:val="11027490"/>
    <w:rsid w:val="1103641D"/>
    <w:rsid w:val="1117032D"/>
    <w:rsid w:val="111B624F"/>
    <w:rsid w:val="111D29AA"/>
    <w:rsid w:val="11405FA6"/>
    <w:rsid w:val="115E55CB"/>
    <w:rsid w:val="11657B94"/>
    <w:rsid w:val="11683B30"/>
    <w:rsid w:val="11766E1A"/>
    <w:rsid w:val="11790D5B"/>
    <w:rsid w:val="117F6ACF"/>
    <w:rsid w:val="11923F5B"/>
    <w:rsid w:val="119F4A7F"/>
    <w:rsid w:val="11AA0753"/>
    <w:rsid w:val="11B11DE5"/>
    <w:rsid w:val="11B83D8F"/>
    <w:rsid w:val="11C313BD"/>
    <w:rsid w:val="11CA0B5F"/>
    <w:rsid w:val="11CB1AE1"/>
    <w:rsid w:val="11CE752D"/>
    <w:rsid w:val="11D968AE"/>
    <w:rsid w:val="11E015E1"/>
    <w:rsid w:val="11E40A4A"/>
    <w:rsid w:val="11E56AE0"/>
    <w:rsid w:val="11ED23B8"/>
    <w:rsid w:val="11F95053"/>
    <w:rsid w:val="11FE7297"/>
    <w:rsid w:val="12053FD3"/>
    <w:rsid w:val="12062D4C"/>
    <w:rsid w:val="12084DCB"/>
    <w:rsid w:val="120A31DF"/>
    <w:rsid w:val="120A74E2"/>
    <w:rsid w:val="120C2221"/>
    <w:rsid w:val="120D7DD3"/>
    <w:rsid w:val="121206AD"/>
    <w:rsid w:val="12177357"/>
    <w:rsid w:val="121A0B3B"/>
    <w:rsid w:val="12266F4A"/>
    <w:rsid w:val="12315DE3"/>
    <w:rsid w:val="12324728"/>
    <w:rsid w:val="12372E36"/>
    <w:rsid w:val="123B3BE2"/>
    <w:rsid w:val="125575F5"/>
    <w:rsid w:val="12601E40"/>
    <w:rsid w:val="12635AA8"/>
    <w:rsid w:val="127001C5"/>
    <w:rsid w:val="12744E48"/>
    <w:rsid w:val="127A5455"/>
    <w:rsid w:val="12816714"/>
    <w:rsid w:val="12887C05"/>
    <w:rsid w:val="128C7DEB"/>
    <w:rsid w:val="12902616"/>
    <w:rsid w:val="12A115C6"/>
    <w:rsid w:val="12A358E7"/>
    <w:rsid w:val="12AC5875"/>
    <w:rsid w:val="12AD32A1"/>
    <w:rsid w:val="12C0705F"/>
    <w:rsid w:val="12C16C73"/>
    <w:rsid w:val="12CE11AA"/>
    <w:rsid w:val="12D26EA8"/>
    <w:rsid w:val="12D70C28"/>
    <w:rsid w:val="12D87134"/>
    <w:rsid w:val="12DA08F3"/>
    <w:rsid w:val="12DF2D56"/>
    <w:rsid w:val="12E27315"/>
    <w:rsid w:val="12E56F85"/>
    <w:rsid w:val="12E873FA"/>
    <w:rsid w:val="12EB72F6"/>
    <w:rsid w:val="12ED7A68"/>
    <w:rsid w:val="12F11306"/>
    <w:rsid w:val="1304784E"/>
    <w:rsid w:val="130F2B6D"/>
    <w:rsid w:val="13147A63"/>
    <w:rsid w:val="131F6442"/>
    <w:rsid w:val="13257007"/>
    <w:rsid w:val="132A0CBC"/>
    <w:rsid w:val="132A2A6A"/>
    <w:rsid w:val="133A0167"/>
    <w:rsid w:val="133E6515"/>
    <w:rsid w:val="13422FEE"/>
    <w:rsid w:val="13457D46"/>
    <w:rsid w:val="13516583"/>
    <w:rsid w:val="1357451A"/>
    <w:rsid w:val="1362032F"/>
    <w:rsid w:val="13643372"/>
    <w:rsid w:val="136A5F2D"/>
    <w:rsid w:val="136F6EA1"/>
    <w:rsid w:val="138E23CC"/>
    <w:rsid w:val="13901E58"/>
    <w:rsid w:val="13955CCA"/>
    <w:rsid w:val="13971FAA"/>
    <w:rsid w:val="13A26AA4"/>
    <w:rsid w:val="13A445CA"/>
    <w:rsid w:val="13B9011A"/>
    <w:rsid w:val="13C20EF5"/>
    <w:rsid w:val="13C34677"/>
    <w:rsid w:val="13CB61CD"/>
    <w:rsid w:val="13CF391D"/>
    <w:rsid w:val="13D72C32"/>
    <w:rsid w:val="13D95A26"/>
    <w:rsid w:val="13E67280"/>
    <w:rsid w:val="13ED00FA"/>
    <w:rsid w:val="13F83514"/>
    <w:rsid w:val="13FA0089"/>
    <w:rsid w:val="13FA75EA"/>
    <w:rsid w:val="14126712"/>
    <w:rsid w:val="14144F8B"/>
    <w:rsid w:val="141554C8"/>
    <w:rsid w:val="14196B02"/>
    <w:rsid w:val="141C0605"/>
    <w:rsid w:val="142071CE"/>
    <w:rsid w:val="1421732F"/>
    <w:rsid w:val="14223828"/>
    <w:rsid w:val="14226D98"/>
    <w:rsid w:val="1422736C"/>
    <w:rsid w:val="142B4920"/>
    <w:rsid w:val="14316762"/>
    <w:rsid w:val="143D2CE1"/>
    <w:rsid w:val="144205B0"/>
    <w:rsid w:val="144C6A47"/>
    <w:rsid w:val="145204CA"/>
    <w:rsid w:val="146F244D"/>
    <w:rsid w:val="1475606E"/>
    <w:rsid w:val="14783CCD"/>
    <w:rsid w:val="14885727"/>
    <w:rsid w:val="148D6FE1"/>
    <w:rsid w:val="148E0052"/>
    <w:rsid w:val="14AA7620"/>
    <w:rsid w:val="14BA57AE"/>
    <w:rsid w:val="14BA7504"/>
    <w:rsid w:val="14BE790E"/>
    <w:rsid w:val="14C61549"/>
    <w:rsid w:val="14C645B6"/>
    <w:rsid w:val="14C9464A"/>
    <w:rsid w:val="14CD18FF"/>
    <w:rsid w:val="14DF603C"/>
    <w:rsid w:val="14EF5D19"/>
    <w:rsid w:val="14FF33C3"/>
    <w:rsid w:val="15091A66"/>
    <w:rsid w:val="150A7084"/>
    <w:rsid w:val="151238D6"/>
    <w:rsid w:val="151A7336"/>
    <w:rsid w:val="151C5ACE"/>
    <w:rsid w:val="151C63E2"/>
    <w:rsid w:val="151D6CFF"/>
    <w:rsid w:val="15277587"/>
    <w:rsid w:val="153652C6"/>
    <w:rsid w:val="1537321C"/>
    <w:rsid w:val="15415E49"/>
    <w:rsid w:val="15495848"/>
    <w:rsid w:val="154D1AB5"/>
    <w:rsid w:val="1557566D"/>
    <w:rsid w:val="15583EAD"/>
    <w:rsid w:val="15595B46"/>
    <w:rsid w:val="155A7934"/>
    <w:rsid w:val="156009C5"/>
    <w:rsid w:val="15694528"/>
    <w:rsid w:val="157625BB"/>
    <w:rsid w:val="15997EC9"/>
    <w:rsid w:val="15A20FDE"/>
    <w:rsid w:val="15AA1C40"/>
    <w:rsid w:val="15B62017"/>
    <w:rsid w:val="15C0755E"/>
    <w:rsid w:val="15CA2F3B"/>
    <w:rsid w:val="15D1446A"/>
    <w:rsid w:val="15D45BD7"/>
    <w:rsid w:val="15D55EAB"/>
    <w:rsid w:val="15DB2014"/>
    <w:rsid w:val="15DB44F0"/>
    <w:rsid w:val="15E16904"/>
    <w:rsid w:val="15F800DF"/>
    <w:rsid w:val="15FE6A06"/>
    <w:rsid w:val="16041063"/>
    <w:rsid w:val="16200519"/>
    <w:rsid w:val="162419F3"/>
    <w:rsid w:val="1629525B"/>
    <w:rsid w:val="162C46FD"/>
    <w:rsid w:val="16326F2A"/>
    <w:rsid w:val="163B0C56"/>
    <w:rsid w:val="163E1CFE"/>
    <w:rsid w:val="163E73B6"/>
    <w:rsid w:val="164108A7"/>
    <w:rsid w:val="16530ACF"/>
    <w:rsid w:val="16723623"/>
    <w:rsid w:val="16744777"/>
    <w:rsid w:val="167E675B"/>
    <w:rsid w:val="16853E45"/>
    <w:rsid w:val="16873D30"/>
    <w:rsid w:val="16992E4F"/>
    <w:rsid w:val="169E2AE1"/>
    <w:rsid w:val="169F376F"/>
    <w:rsid w:val="16A42C47"/>
    <w:rsid w:val="16A725A1"/>
    <w:rsid w:val="16A94687"/>
    <w:rsid w:val="16AD283B"/>
    <w:rsid w:val="16AE4956"/>
    <w:rsid w:val="16C034D1"/>
    <w:rsid w:val="16CF38AB"/>
    <w:rsid w:val="16E572A9"/>
    <w:rsid w:val="16E92565"/>
    <w:rsid w:val="170610F8"/>
    <w:rsid w:val="171A314D"/>
    <w:rsid w:val="171E2686"/>
    <w:rsid w:val="172123D6"/>
    <w:rsid w:val="1721500A"/>
    <w:rsid w:val="172F463D"/>
    <w:rsid w:val="17345C65"/>
    <w:rsid w:val="1741533C"/>
    <w:rsid w:val="1746377A"/>
    <w:rsid w:val="1749288A"/>
    <w:rsid w:val="17496230"/>
    <w:rsid w:val="17537A66"/>
    <w:rsid w:val="1754775B"/>
    <w:rsid w:val="17683521"/>
    <w:rsid w:val="176B104F"/>
    <w:rsid w:val="176E5B84"/>
    <w:rsid w:val="17836658"/>
    <w:rsid w:val="17844527"/>
    <w:rsid w:val="178C187B"/>
    <w:rsid w:val="1794217B"/>
    <w:rsid w:val="179825C8"/>
    <w:rsid w:val="17A27F5D"/>
    <w:rsid w:val="17AE4F8E"/>
    <w:rsid w:val="17B36D22"/>
    <w:rsid w:val="17B86896"/>
    <w:rsid w:val="17DA0251"/>
    <w:rsid w:val="17E72CD8"/>
    <w:rsid w:val="17E94BC3"/>
    <w:rsid w:val="17F87BAE"/>
    <w:rsid w:val="17FC336F"/>
    <w:rsid w:val="18036286"/>
    <w:rsid w:val="180C273E"/>
    <w:rsid w:val="180C3546"/>
    <w:rsid w:val="182B54CB"/>
    <w:rsid w:val="18430508"/>
    <w:rsid w:val="1854340F"/>
    <w:rsid w:val="185514AE"/>
    <w:rsid w:val="186F340C"/>
    <w:rsid w:val="18792518"/>
    <w:rsid w:val="189A0B59"/>
    <w:rsid w:val="189B3AC2"/>
    <w:rsid w:val="189C3090"/>
    <w:rsid w:val="18B22326"/>
    <w:rsid w:val="18B84CEA"/>
    <w:rsid w:val="18BB12B0"/>
    <w:rsid w:val="18CC227D"/>
    <w:rsid w:val="18D20F72"/>
    <w:rsid w:val="18E70105"/>
    <w:rsid w:val="18EB12DB"/>
    <w:rsid w:val="18EC2669"/>
    <w:rsid w:val="18F002A4"/>
    <w:rsid w:val="18F365C9"/>
    <w:rsid w:val="18F64B4C"/>
    <w:rsid w:val="18FE477D"/>
    <w:rsid w:val="1905758D"/>
    <w:rsid w:val="190B5852"/>
    <w:rsid w:val="19131E69"/>
    <w:rsid w:val="19242B82"/>
    <w:rsid w:val="192B15E1"/>
    <w:rsid w:val="193813AC"/>
    <w:rsid w:val="1938516E"/>
    <w:rsid w:val="193A48B3"/>
    <w:rsid w:val="19405606"/>
    <w:rsid w:val="194409F3"/>
    <w:rsid w:val="19697667"/>
    <w:rsid w:val="19707934"/>
    <w:rsid w:val="1982720A"/>
    <w:rsid w:val="19855777"/>
    <w:rsid w:val="19913482"/>
    <w:rsid w:val="199A3C4D"/>
    <w:rsid w:val="19A129A0"/>
    <w:rsid w:val="19A87BDF"/>
    <w:rsid w:val="19AA27D5"/>
    <w:rsid w:val="19AB6C74"/>
    <w:rsid w:val="19B149ED"/>
    <w:rsid w:val="19B164B9"/>
    <w:rsid w:val="19BD1BFC"/>
    <w:rsid w:val="19CE05F3"/>
    <w:rsid w:val="19D045E1"/>
    <w:rsid w:val="19E63BDB"/>
    <w:rsid w:val="19EB4F18"/>
    <w:rsid w:val="19EC0A79"/>
    <w:rsid w:val="19F706A7"/>
    <w:rsid w:val="1A007503"/>
    <w:rsid w:val="1A04715E"/>
    <w:rsid w:val="1A062596"/>
    <w:rsid w:val="1A06391A"/>
    <w:rsid w:val="1A0C4FDF"/>
    <w:rsid w:val="1A0E324D"/>
    <w:rsid w:val="1A1F09AD"/>
    <w:rsid w:val="1A2A15A2"/>
    <w:rsid w:val="1A34170F"/>
    <w:rsid w:val="1A3441CE"/>
    <w:rsid w:val="1A3C0AAA"/>
    <w:rsid w:val="1A3D5B41"/>
    <w:rsid w:val="1A4F2EBC"/>
    <w:rsid w:val="1A516B2E"/>
    <w:rsid w:val="1A584361"/>
    <w:rsid w:val="1A795F11"/>
    <w:rsid w:val="1A7F369B"/>
    <w:rsid w:val="1A824F3A"/>
    <w:rsid w:val="1A866FEF"/>
    <w:rsid w:val="1A893699"/>
    <w:rsid w:val="1AA76808"/>
    <w:rsid w:val="1ABD63EC"/>
    <w:rsid w:val="1AC16A7E"/>
    <w:rsid w:val="1AC74C86"/>
    <w:rsid w:val="1AD0039B"/>
    <w:rsid w:val="1AD72F6D"/>
    <w:rsid w:val="1AE57205"/>
    <w:rsid w:val="1AE76D8F"/>
    <w:rsid w:val="1AEC7A4D"/>
    <w:rsid w:val="1AF23E6D"/>
    <w:rsid w:val="1AFC15AD"/>
    <w:rsid w:val="1AFE1D64"/>
    <w:rsid w:val="1B0557AD"/>
    <w:rsid w:val="1B1C60D2"/>
    <w:rsid w:val="1B1E3E17"/>
    <w:rsid w:val="1B204569"/>
    <w:rsid w:val="1B3B23A6"/>
    <w:rsid w:val="1B3E02DE"/>
    <w:rsid w:val="1B443C9E"/>
    <w:rsid w:val="1B50416C"/>
    <w:rsid w:val="1B527002"/>
    <w:rsid w:val="1B5F5468"/>
    <w:rsid w:val="1B6669AB"/>
    <w:rsid w:val="1B6B3FFB"/>
    <w:rsid w:val="1B7349E9"/>
    <w:rsid w:val="1B7B12CE"/>
    <w:rsid w:val="1B7F1217"/>
    <w:rsid w:val="1B830F69"/>
    <w:rsid w:val="1B87543B"/>
    <w:rsid w:val="1B915FC0"/>
    <w:rsid w:val="1B9324D5"/>
    <w:rsid w:val="1BA43C4F"/>
    <w:rsid w:val="1BB343EE"/>
    <w:rsid w:val="1BB67591"/>
    <w:rsid w:val="1BC275FF"/>
    <w:rsid w:val="1BC670A8"/>
    <w:rsid w:val="1BCA303C"/>
    <w:rsid w:val="1BCD6688"/>
    <w:rsid w:val="1BD6378F"/>
    <w:rsid w:val="1BD72146"/>
    <w:rsid w:val="1BE21353"/>
    <w:rsid w:val="1BE7311D"/>
    <w:rsid w:val="1BEC2583"/>
    <w:rsid w:val="1C024584"/>
    <w:rsid w:val="1C085154"/>
    <w:rsid w:val="1C0B5590"/>
    <w:rsid w:val="1C0E7387"/>
    <w:rsid w:val="1C110473"/>
    <w:rsid w:val="1C136593"/>
    <w:rsid w:val="1C2C5946"/>
    <w:rsid w:val="1C3243AC"/>
    <w:rsid w:val="1C365C8F"/>
    <w:rsid w:val="1C4332DF"/>
    <w:rsid w:val="1C441085"/>
    <w:rsid w:val="1C463FF3"/>
    <w:rsid w:val="1C5C2331"/>
    <w:rsid w:val="1C630A1B"/>
    <w:rsid w:val="1C634573"/>
    <w:rsid w:val="1C683D33"/>
    <w:rsid w:val="1C7928E8"/>
    <w:rsid w:val="1C7F4580"/>
    <w:rsid w:val="1C8066B4"/>
    <w:rsid w:val="1C8B5FB5"/>
    <w:rsid w:val="1C954881"/>
    <w:rsid w:val="1C9E061A"/>
    <w:rsid w:val="1CA23BDE"/>
    <w:rsid w:val="1CAD6A04"/>
    <w:rsid w:val="1CB57E73"/>
    <w:rsid w:val="1CC07BE1"/>
    <w:rsid w:val="1CC22470"/>
    <w:rsid w:val="1CC61A56"/>
    <w:rsid w:val="1CC83D46"/>
    <w:rsid w:val="1CCC2866"/>
    <w:rsid w:val="1CD06913"/>
    <w:rsid w:val="1CD653DD"/>
    <w:rsid w:val="1CED4E25"/>
    <w:rsid w:val="1CF13AAA"/>
    <w:rsid w:val="1CF2280A"/>
    <w:rsid w:val="1CF47C1E"/>
    <w:rsid w:val="1CF60170"/>
    <w:rsid w:val="1D070FB1"/>
    <w:rsid w:val="1D097B94"/>
    <w:rsid w:val="1D2817C8"/>
    <w:rsid w:val="1D3954F9"/>
    <w:rsid w:val="1D535066"/>
    <w:rsid w:val="1D5B53E7"/>
    <w:rsid w:val="1D5C4168"/>
    <w:rsid w:val="1D5C72AB"/>
    <w:rsid w:val="1D5D57EA"/>
    <w:rsid w:val="1D6D50D7"/>
    <w:rsid w:val="1D6F3F14"/>
    <w:rsid w:val="1D714EA2"/>
    <w:rsid w:val="1D717944"/>
    <w:rsid w:val="1D80220C"/>
    <w:rsid w:val="1D85546D"/>
    <w:rsid w:val="1D992446"/>
    <w:rsid w:val="1DA82F09"/>
    <w:rsid w:val="1DA92872"/>
    <w:rsid w:val="1DAB47A7"/>
    <w:rsid w:val="1DC932FC"/>
    <w:rsid w:val="1DCF3786"/>
    <w:rsid w:val="1DD97388"/>
    <w:rsid w:val="1DDE2DCF"/>
    <w:rsid w:val="1DE049E4"/>
    <w:rsid w:val="1DE2200A"/>
    <w:rsid w:val="1DE226BC"/>
    <w:rsid w:val="1DE57D57"/>
    <w:rsid w:val="1DE63A32"/>
    <w:rsid w:val="1DF62DF6"/>
    <w:rsid w:val="1DFB3446"/>
    <w:rsid w:val="1DFE6FCD"/>
    <w:rsid w:val="1E127C5C"/>
    <w:rsid w:val="1E16510A"/>
    <w:rsid w:val="1E19711F"/>
    <w:rsid w:val="1E1A3B08"/>
    <w:rsid w:val="1E241CF4"/>
    <w:rsid w:val="1E324BDA"/>
    <w:rsid w:val="1E3E5CEA"/>
    <w:rsid w:val="1E4946EC"/>
    <w:rsid w:val="1E5242F2"/>
    <w:rsid w:val="1E5A2D1B"/>
    <w:rsid w:val="1E5A4EA5"/>
    <w:rsid w:val="1E7219FD"/>
    <w:rsid w:val="1E8806DC"/>
    <w:rsid w:val="1E8A1B32"/>
    <w:rsid w:val="1E8E20FF"/>
    <w:rsid w:val="1E8F52B7"/>
    <w:rsid w:val="1EB12D29"/>
    <w:rsid w:val="1EB268D8"/>
    <w:rsid w:val="1EB773A6"/>
    <w:rsid w:val="1EC271F2"/>
    <w:rsid w:val="1EC77C48"/>
    <w:rsid w:val="1EC9485A"/>
    <w:rsid w:val="1EC965A5"/>
    <w:rsid w:val="1ED1022E"/>
    <w:rsid w:val="1ED359DB"/>
    <w:rsid w:val="1ED6468E"/>
    <w:rsid w:val="1EE15C98"/>
    <w:rsid w:val="1EE455BF"/>
    <w:rsid w:val="1EE70C6D"/>
    <w:rsid w:val="1EF14181"/>
    <w:rsid w:val="1EF55F32"/>
    <w:rsid w:val="1EF627B8"/>
    <w:rsid w:val="1EF63D84"/>
    <w:rsid w:val="1F00466F"/>
    <w:rsid w:val="1F0F7DEE"/>
    <w:rsid w:val="1F117714"/>
    <w:rsid w:val="1F1801C3"/>
    <w:rsid w:val="1F206259"/>
    <w:rsid w:val="1F235E43"/>
    <w:rsid w:val="1F316D61"/>
    <w:rsid w:val="1F3233B1"/>
    <w:rsid w:val="1F39738D"/>
    <w:rsid w:val="1F4153C3"/>
    <w:rsid w:val="1F4F65C7"/>
    <w:rsid w:val="1F593D1D"/>
    <w:rsid w:val="1F5F4E35"/>
    <w:rsid w:val="1F5F658A"/>
    <w:rsid w:val="1F60313E"/>
    <w:rsid w:val="1F666BD8"/>
    <w:rsid w:val="1F700094"/>
    <w:rsid w:val="1F72557D"/>
    <w:rsid w:val="1F9C5001"/>
    <w:rsid w:val="1FA01BAE"/>
    <w:rsid w:val="1FAC6571"/>
    <w:rsid w:val="1FCC6E20"/>
    <w:rsid w:val="1FD67116"/>
    <w:rsid w:val="1FD720D1"/>
    <w:rsid w:val="1FD84014"/>
    <w:rsid w:val="1FDB75C6"/>
    <w:rsid w:val="1FF263B5"/>
    <w:rsid w:val="1FF67D68"/>
    <w:rsid w:val="1FFB46CE"/>
    <w:rsid w:val="1FFF5D37"/>
    <w:rsid w:val="200C7C97"/>
    <w:rsid w:val="200E06F7"/>
    <w:rsid w:val="201F043E"/>
    <w:rsid w:val="20204A29"/>
    <w:rsid w:val="20222135"/>
    <w:rsid w:val="20252704"/>
    <w:rsid w:val="202545A7"/>
    <w:rsid w:val="203E5D5A"/>
    <w:rsid w:val="204D5CC5"/>
    <w:rsid w:val="20571097"/>
    <w:rsid w:val="2058305A"/>
    <w:rsid w:val="205D59B9"/>
    <w:rsid w:val="20601203"/>
    <w:rsid w:val="2065434E"/>
    <w:rsid w:val="2067193A"/>
    <w:rsid w:val="20683FDF"/>
    <w:rsid w:val="20686881"/>
    <w:rsid w:val="20686BBB"/>
    <w:rsid w:val="20694BCD"/>
    <w:rsid w:val="20730A5A"/>
    <w:rsid w:val="207B4D9D"/>
    <w:rsid w:val="208047FA"/>
    <w:rsid w:val="20827A59"/>
    <w:rsid w:val="20881525"/>
    <w:rsid w:val="20931C74"/>
    <w:rsid w:val="209525A5"/>
    <w:rsid w:val="209825E6"/>
    <w:rsid w:val="209D201C"/>
    <w:rsid w:val="20A12E36"/>
    <w:rsid w:val="20A200E4"/>
    <w:rsid w:val="20A41E58"/>
    <w:rsid w:val="20AD0837"/>
    <w:rsid w:val="20AE44BE"/>
    <w:rsid w:val="20C967AB"/>
    <w:rsid w:val="20D6359C"/>
    <w:rsid w:val="20E63411"/>
    <w:rsid w:val="20E71F9A"/>
    <w:rsid w:val="20EC5803"/>
    <w:rsid w:val="20ED671B"/>
    <w:rsid w:val="20FC5B73"/>
    <w:rsid w:val="20FD2344"/>
    <w:rsid w:val="20FF5536"/>
    <w:rsid w:val="210553F1"/>
    <w:rsid w:val="212A4F89"/>
    <w:rsid w:val="212E46AC"/>
    <w:rsid w:val="2133559C"/>
    <w:rsid w:val="213B6FF0"/>
    <w:rsid w:val="213C4BDD"/>
    <w:rsid w:val="2142060E"/>
    <w:rsid w:val="21424BDA"/>
    <w:rsid w:val="215108D1"/>
    <w:rsid w:val="216830DB"/>
    <w:rsid w:val="21697719"/>
    <w:rsid w:val="216C6565"/>
    <w:rsid w:val="216F6122"/>
    <w:rsid w:val="217B030D"/>
    <w:rsid w:val="21892E16"/>
    <w:rsid w:val="21946548"/>
    <w:rsid w:val="21A61FC4"/>
    <w:rsid w:val="21A6701C"/>
    <w:rsid w:val="21A97893"/>
    <w:rsid w:val="21B17FE2"/>
    <w:rsid w:val="21BE2CFB"/>
    <w:rsid w:val="21C359FD"/>
    <w:rsid w:val="21CB0B5E"/>
    <w:rsid w:val="21D610A3"/>
    <w:rsid w:val="21DE15EF"/>
    <w:rsid w:val="21F61C8F"/>
    <w:rsid w:val="22104A63"/>
    <w:rsid w:val="22190D8A"/>
    <w:rsid w:val="223631D9"/>
    <w:rsid w:val="223C548E"/>
    <w:rsid w:val="22407BB4"/>
    <w:rsid w:val="224D6C35"/>
    <w:rsid w:val="225F17B4"/>
    <w:rsid w:val="2261757E"/>
    <w:rsid w:val="22643100"/>
    <w:rsid w:val="226950D3"/>
    <w:rsid w:val="22714556"/>
    <w:rsid w:val="22763A30"/>
    <w:rsid w:val="22770131"/>
    <w:rsid w:val="228730F0"/>
    <w:rsid w:val="228C104B"/>
    <w:rsid w:val="2292483A"/>
    <w:rsid w:val="229A0012"/>
    <w:rsid w:val="22B42350"/>
    <w:rsid w:val="22B56D1E"/>
    <w:rsid w:val="22BB548D"/>
    <w:rsid w:val="22C02987"/>
    <w:rsid w:val="22D27DF3"/>
    <w:rsid w:val="22D60519"/>
    <w:rsid w:val="22EC5E42"/>
    <w:rsid w:val="22F917D2"/>
    <w:rsid w:val="22F94ECC"/>
    <w:rsid w:val="230A4C43"/>
    <w:rsid w:val="230A7EFA"/>
    <w:rsid w:val="23144B4F"/>
    <w:rsid w:val="231560F9"/>
    <w:rsid w:val="231F1523"/>
    <w:rsid w:val="23250B58"/>
    <w:rsid w:val="23395384"/>
    <w:rsid w:val="2346744C"/>
    <w:rsid w:val="23554BB3"/>
    <w:rsid w:val="235F2283"/>
    <w:rsid w:val="2369313B"/>
    <w:rsid w:val="236B377E"/>
    <w:rsid w:val="2378320C"/>
    <w:rsid w:val="2378337E"/>
    <w:rsid w:val="237D7AFE"/>
    <w:rsid w:val="2380331B"/>
    <w:rsid w:val="239A59B8"/>
    <w:rsid w:val="23AE6DDA"/>
    <w:rsid w:val="23BB2BD3"/>
    <w:rsid w:val="23C153D4"/>
    <w:rsid w:val="23CE2DE4"/>
    <w:rsid w:val="23D33350"/>
    <w:rsid w:val="23DD37F8"/>
    <w:rsid w:val="23F0560A"/>
    <w:rsid w:val="23FF0FA2"/>
    <w:rsid w:val="240115C5"/>
    <w:rsid w:val="24062C22"/>
    <w:rsid w:val="241430A6"/>
    <w:rsid w:val="24286C5B"/>
    <w:rsid w:val="242B18E6"/>
    <w:rsid w:val="242D6CB7"/>
    <w:rsid w:val="24305BD3"/>
    <w:rsid w:val="2434641C"/>
    <w:rsid w:val="243A0981"/>
    <w:rsid w:val="243D5B7A"/>
    <w:rsid w:val="244141E7"/>
    <w:rsid w:val="244450F0"/>
    <w:rsid w:val="24466BFF"/>
    <w:rsid w:val="2448601E"/>
    <w:rsid w:val="24514A50"/>
    <w:rsid w:val="24551D0D"/>
    <w:rsid w:val="24633790"/>
    <w:rsid w:val="24651B54"/>
    <w:rsid w:val="246D6757"/>
    <w:rsid w:val="2479643F"/>
    <w:rsid w:val="248A20EB"/>
    <w:rsid w:val="248C70E1"/>
    <w:rsid w:val="249152E3"/>
    <w:rsid w:val="2492221D"/>
    <w:rsid w:val="2492400C"/>
    <w:rsid w:val="24C30005"/>
    <w:rsid w:val="24C34ACD"/>
    <w:rsid w:val="24C42EA1"/>
    <w:rsid w:val="24C6497E"/>
    <w:rsid w:val="24DE36B4"/>
    <w:rsid w:val="24E46337"/>
    <w:rsid w:val="24EB70CB"/>
    <w:rsid w:val="25021BBD"/>
    <w:rsid w:val="25023A3F"/>
    <w:rsid w:val="250B715F"/>
    <w:rsid w:val="250D5071"/>
    <w:rsid w:val="250D57C2"/>
    <w:rsid w:val="250F2D02"/>
    <w:rsid w:val="251D0EFB"/>
    <w:rsid w:val="251F561F"/>
    <w:rsid w:val="252B4438"/>
    <w:rsid w:val="252D360E"/>
    <w:rsid w:val="253255EE"/>
    <w:rsid w:val="25373AE2"/>
    <w:rsid w:val="25387269"/>
    <w:rsid w:val="254214D0"/>
    <w:rsid w:val="25452196"/>
    <w:rsid w:val="25473008"/>
    <w:rsid w:val="25492114"/>
    <w:rsid w:val="254A48EC"/>
    <w:rsid w:val="25517DD5"/>
    <w:rsid w:val="255B5049"/>
    <w:rsid w:val="255C0ABF"/>
    <w:rsid w:val="256335F3"/>
    <w:rsid w:val="25740871"/>
    <w:rsid w:val="25794E0D"/>
    <w:rsid w:val="25864F36"/>
    <w:rsid w:val="258B03EA"/>
    <w:rsid w:val="259066B3"/>
    <w:rsid w:val="25932EC4"/>
    <w:rsid w:val="25A81848"/>
    <w:rsid w:val="25B83F05"/>
    <w:rsid w:val="25C40AFC"/>
    <w:rsid w:val="25CB331D"/>
    <w:rsid w:val="25D24FC7"/>
    <w:rsid w:val="25DD7A58"/>
    <w:rsid w:val="25E062B2"/>
    <w:rsid w:val="25E22D30"/>
    <w:rsid w:val="25FD157D"/>
    <w:rsid w:val="26095D43"/>
    <w:rsid w:val="260E5D79"/>
    <w:rsid w:val="261A2945"/>
    <w:rsid w:val="261C5B04"/>
    <w:rsid w:val="26292161"/>
    <w:rsid w:val="26481605"/>
    <w:rsid w:val="264D2391"/>
    <w:rsid w:val="264D55B5"/>
    <w:rsid w:val="264E0D1A"/>
    <w:rsid w:val="264E70E5"/>
    <w:rsid w:val="26612E05"/>
    <w:rsid w:val="266544FA"/>
    <w:rsid w:val="26663961"/>
    <w:rsid w:val="2670334B"/>
    <w:rsid w:val="267A0CD7"/>
    <w:rsid w:val="26851904"/>
    <w:rsid w:val="268614CD"/>
    <w:rsid w:val="26863D7D"/>
    <w:rsid w:val="269404CF"/>
    <w:rsid w:val="269A360B"/>
    <w:rsid w:val="269B02B8"/>
    <w:rsid w:val="26B31F72"/>
    <w:rsid w:val="26B505E7"/>
    <w:rsid w:val="26B54B21"/>
    <w:rsid w:val="26B66402"/>
    <w:rsid w:val="26BD5C77"/>
    <w:rsid w:val="26BE72FA"/>
    <w:rsid w:val="26D26DD2"/>
    <w:rsid w:val="26D97AE9"/>
    <w:rsid w:val="26E06CB1"/>
    <w:rsid w:val="26E422D3"/>
    <w:rsid w:val="26E74F5B"/>
    <w:rsid w:val="26F97EEF"/>
    <w:rsid w:val="26FA3134"/>
    <w:rsid w:val="27026062"/>
    <w:rsid w:val="27223D2C"/>
    <w:rsid w:val="27257E07"/>
    <w:rsid w:val="272667A7"/>
    <w:rsid w:val="2727432F"/>
    <w:rsid w:val="272766A9"/>
    <w:rsid w:val="27333B64"/>
    <w:rsid w:val="273816D9"/>
    <w:rsid w:val="273C3E88"/>
    <w:rsid w:val="27403FD7"/>
    <w:rsid w:val="27472604"/>
    <w:rsid w:val="2753038A"/>
    <w:rsid w:val="275B0BAF"/>
    <w:rsid w:val="275B6273"/>
    <w:rsid w:val="275D322E"/>
    <w:rsid w:val="27653FCF"/>
    <w:rsid w:val="27702CEA"/>
    <w:rsid w:val="277D3EAD"/>
    <w:rsid w:val="279664C8"/>
    <w:rsid w:val="27A43656"/>
    <w:rsid w:val="27B349F2"/>
    <w:rsid w:val="27BA7039"/>
    <w:rsid w:val="27C40B06"/>
    <w:rsid w:val="27C50839"/>
    <w:rsid w:val="27C70B67"/>
    <w:rsid w:val="27DB5974"/>
    <w:rsid w:val="27DB7389"/>
    <w:rsid w:val="27DE45C3"/>
    <w:rsid w:val="27E32717"/>
    <w:rsid w:val="27E62FAC"/>
    <w:rsid w:val="27E85E8B"/>
    <w:rsid w:val="27F1110D"/>
    <w:rsid w:val="27F60600"/>
    <w:rsid w:val="281843F5"/>
    <w:rsid w:val="281D567C"/>
    <w:rsid w:val="28201C28"/>
    <w:rsid w:val="28206502"/>
    <w:rsid w:val="28243AD4"/>
    <w:rsid w:val="2825076A"/>
    <w:rsid w:val="28357A59"/>
    <w:rsid w:val="283700F0"/>
    <w:rsid w:val="283C2BCC"/>
    <w:rsid w:val="284303FE"/>
    <w:rsid w:val="28463A4A"/>
    <w:rsid w:val="28471CF6"/>
    <w:rsid w:val="28496999"/>
    <w:rsid w:val="284D66ED"/>
    <w:rsid w:val="285846C4"/>
    <w:rsid w:val="285A0AEA"/>
    <w:rsid w:val="285B42BA"/>
    <w:rsid w:val="285D283E"/>
    <w:rsid w:val="28685782"/>
    <w:rsid w:val="2868694E"/>
    <w:rsid w:val="28697639"/>
    <w:rsid w:val="28786E47"/>
    <w:rsid w:val="287C448F"/>
    <w:rsid w:val="287D41B5"/>
    <w:rsid w:val="287E4F92"/>
    <w:rsid w:val="28827325"/>
    <w:rsid w:val="2886653D"/>
    <w:rsid w:val="288A35AA"/>
    <w:rsid w:val="288C7A00"/>
    <w:rsid w:val="28976979"/>
    <w:rsid w:val="289B1FDE"/>
    <w:rsid w:val="289B3F5A"/>
    <w:rsid w:val="28A00991"/>
    <w:rsid w:val="28AA222B"/>
    <w:rsid w:val="28AF1235"/>
    <w:rsid w:val="28BC2A61"/>
    <w:rsid w:val="28CB3F50"/>
    <w:rsid w:val="28CD1A76"/>
    <w:rsid w:val="28DC2514"/>
    <w:rsid w:val="28EA0757"/>
    <w:rsid w:val="28EA6EE1"/>
    <w:rsid w:val="28F2772E"/>
    <w:rsid w:val="29007070"/>
    <w:rsid w:val="2903193C"/>
    <w:rsid w:val="290548E8"/>
    <w:rsid w:val="290A1587"/>
    <w:rsid w:val="290E0CC2"/>
    <w:rsid w:val="2916264F"/>
    <w:rsid w:val="292350A1"/>
    <w:rsid w:val="29240731"/>
    <w:rsid w:val="292B41B2"/>
    <w:rsid w:val="292E01A8"/>
    <w:rsid w:val="293E21BD"/>
    <w:rsid w:val="294243CC"/>
    <w:rsid w:val="29430470"/>
    <w:rsid w:val="29447B75"/>
    <w:rsid w:val="29451AFF"/>
    <w:rsid w:val="29477854"/>
    <w:rsid w:val="294B2D1A"/>
    <w:rsid w:val="29501633"/>
    <w:rsid w:val="295B63E0"/>
    <w:rsid w:val="2968668C"/>
    <w:rsid w:val="29742197"/>
    <w:rsid w:val="297B4378"/>
    <w:rsid w:val="297C3DE6"/>
    <w:rsid w:val="29845C9F"/>
    <w:rsid w:val="298A344A"/>
    <w:rsid w:val="298A4111"/>
    <w:rsid w:val="298F45E0"/>
    <w:rsid w:val="29A31438"/>
    <w:rsid w:val="29BD6915"/>
    <w:rsid w:val="29C516C1"/>
    <w:rsid w:val="29CC28D8"/>
    <w:rsid w:val="29D650F9"/>
    <w:rsid w:val="29DB03AA"/>
    <w:rsid w:val="29DF0AA1"/>
    <w:rsid w:val="29E24F71"/>
    <w:rsid w:val="29EE77FA"/>
    <w:rsid w:val="29F86C72"/>
    <w:rsid w:val="29F86FC6"/>
    <w:rsid w:val="2A047719"/>
    <w:rsid w:val="2A070FB7"/>
    <w:rsid w:val="2A081C43"/>
    <w:rsid w:val="2A0D6830"/>
    <w:rsid w:val="2A0D6942"/>
    <w:rsid w:val="2A104310"/>
    <w:rsid w:val="2A1369C6"/>
    <w:rsid w:val="2A18755E"/>
    <w:rsid w:val="2A1E395A"/>
    <w:rsid w:val="2A27613F"/>
    <w:rsid w:val="2A2D1961"/>
    <w:rsid w:val="2A347A75"/>
    <w:rsid w:val="2A3C41D4"/>
    <w:rsid w:val="2A5306A1"/>
    <w:rsid w:val="2A566CE3"/>
    <w:rsid w:val="2A581813"/>
    <w:rsid w:val="2A6274FD"/>
    <w:rsid w:val="2A716B2B"/>
    <w:rsid w:val="2A752133"/>
    <w:rsid w:val="2A7E1274"/>
    <w:rsid w:val="2A871F4B"/>
    <w:rsid w:val="2A933C0B"/>
    <w:rsid w:val="2A9F3AC3"/>
    <w:rsid w:val="2AA77E46"/>
    <w:rsid w:val="2AAC1425"/>
    <w:rsid w:val="2AAF44A4"/>
    <w:rsid w:val="2AB8768A"/>
    <w:rsid w:val="2AC90AA2"/>
    <w:rsid w:val="2AE62A5E"/>
    <w:rsid w:val="2AE7627B"/>
    <w:rsid w:val="2AE92F98"/>
    <w:rsid w:val="2AF94DA4"/>
    <w:rsid w:val="2AFD2F0D"/>
    <w:rsid w:val="2B07458A"/>
    <w:rsid w:val="2B091B18"/>
    <w:rsid w:val="2B0F7374"/>
    <w:rsid w:val="2B200583"/>
    <w:rsid w:val="2B2721B3"/>
    <w:rsid w:val="2B2A5452"/>
    <w:rsid w:val="2B33613E"/>
    <w:rsid w:val="2B376D5B"/>
    <w:rsid w:val="2B3868D5"/>
    <w:rsid w:val="2B393162"/>
    <w:rsid w:val="2B4917E2"/>
    <w:rsid w:val="2B4A2D8B"/>
    <w:rsid w:val="2B4B04AB"/>
    <w:rsid w:val="2B5234C8"/>
    <w:rsid w:val="2B5C7F1B"/>
    <w:rsid w:val="2B5E10AB"/>
    <w:rsid w:val="2B5F689C"/>
    <w:rsid w:val="2B66262F"/>
    <w:rsid w:val="2B665AA9"/>
    <w:rsid w:val="2B677BFF"/>
    <w:rsid w:val="2B6A6B02"/>
    <w:rsid w:val="2B7A26D5"/>
    <w:rsid w:val="2B7B675B"/>
    <w:rsid w:val="2B9056CA"/>
    <w:rsid w:val="2B977B28"/>
    <w:rsid w:val="2BA35890"/>
    <w:rsid w:val="2BAE47C8"/>
    <w:rsid w:val="2BB1742D"/>
    <w:rsid w:val="2BBD4C07"/>
    <w:rsid w:val="2BC77C06"/>
    <w:rsid w:val="2BC82E3B"/>
    <w:rsid w:val="2BCF3666"/>
    <w:rsid w:val="2BD55557"/>
    <w:rsid w:val="2BE70858"/>
    <w:rsid w:val="2BED66EB"/>
    <w:rsid w:val="2BEE53DF"/>
    <w:rsid w:val="2BFB520F"/>
    <w:rsid w:val="2C0003B4"/>
    <w:rsid w:val="2C10604F"/>
    <w:rsid w:val="2C11436F"/>
    <w:rsid w:val="2C156018"/>
    <w:rsid w:val="2C1C51EE"/>
    <w:rsid w:val="2C2767C2"/>
    <w:rsid w:val="2C2F0A0C"/>
    <w:rsid w:val="2C3016CB"/>
    <w:rsid w:val="2C361CA4"/>
    <w:rsid w:val="2C364822"/>
    <w:rsid w:val="2C39742E"/>
    <w:rsid w:val="2C421C34"/>
    <w:rsid w:val="2C475FE3"/>
    <w:rsid w:val="2C492527"/>
    <w:rsid w:val="2C4C2734"/>
    <w:rsid w:val="2C526E62"/>
    <w:rsid w:val="2C627343"/>
    <w:rsid w:val="2C6818BB"/>
    <w:rsid w:val="2C9C259E"/>
    <w:rsid w:val="2CA402AB"/>
    <w:rsid w:val="2CA43435"/>
    <w:rsid w:val="2CAD4B2B"/>
    <w:rsid w:val="2CAF6062"/>
    <w:rsid w:val="2CC413E2"/>
    <w:rsid w:val="2CD70C77"/>
    <w:rsid w:val="2CE62285"/>
    <w:rsid w:val="2CE67250"/>
    <w:rsid w:val="2CEF5652"/>
    <w:rsid w:val="2CF27CFD"/>
    <w:rsid w:val="2CF31149"/>
    <w:rsid w:val="2D0D0FDB"/>
    <w:rsid w:val="2D104627"/>
    <w:rsid w:val="2D12298A"/>
    <w:rsid w:val="2D1548C7"/>
    <w:rsid w:val="2D1914FF"/>
    <w:rsid w:val="2D2B1461"/>
    <w:rsid w:val="2D3E1F5E"/>
    <w:rsid w:val="2D3E30F6"/>
    <w:rsid w:val="2D417498"/>
    <w:rsid w:val="2D54790D"/>
    <w:rsid w:val="2D6055AE"/>
    <w:rsid w:val="2D6918CB"/>
    <w:rsid w:val="2D7352E2"/>
    <w:rsid w:val="2D8E211C"/>
    <w:rsid w:val="2D96384A"/>
    <w:rsid w:val="2D9D1097"/>
    <w:rsid w:val="2DB15E0A"/>
    <w:rsid w:val="2DB304D0"/>
    <w:rsid w:val="2DB6777A"/>
    <w:rsid w:val="2DC12029"/>
    <w:rsid w:val="2DC82B8D"/>
    <w:rsid w:val="2DC84F02"/>
    <w:rsid w:val="2DE55AB4"/>
    <w:rsid w:val="2DE945AE"/>
    <w:rsid w:val="2DEA7C21"/>
    <w:rsid w:val="2DF45CF7"/>
    <w:rsid w:val="2DF95C84"/>
    <w:rsid w:val="2E000DFE"/>
    <w:rsid w:val="2E01548B"/>
    <w:rsid w:val="2E045298"/>
    <w:rsid w:val="2E0777D8"/>
    <w:rsid w:val="2E0B35D3"/>
    <w:rsid w:val="2E0E0B66"/>
    <w:rsid w:val="2E121103"/>
    <w:rsid w:val="2E250A7D"/>
    <w:rsid w:val="2E2C68AE"/>
    <w:rsid w:val="2E424CB4"/>
    <w:rsid w:val="2E5858CC"/>
    <w:rsid w:val="2E5D3029"/>
    <w:rsid w:val="2E5E364B"/>
    <w:rsid w:val="2E6141FF"/>
    <w:rsid w:val="2E616941"/>
    <w:rsid w:val="2E6E2940"/>
    <w:rsid w:val="2E6E3675"/>
    <w:rsid w:val="2E716742"/>
    <w:rsid w:val="2E756E38"/>
    <w:rsid w:val="2E860F06"/>
    <w:rsid w:val="2E880765"/>
    <w:rsid w:val="2E890260"/>
    <w:rsid w:val="2E942B39"/>
    <w:rsid w:val="2EA339A5"/>
    <w:rsid w:val="2EA65243"/>
    <w:rsid w:val="2EAC0EA8"/>
    <w:rsid w:val="2EB765A5"/>
    <w:rsid w:val="2EC851B9"/>
    <w:rsid w:val="2ED771D6"/>
    <w:rsid w:val="2EDA4EED"/>
    <w:rsid w:val="2EDE49DD"/>
    <w:rsid w:val="2EE70873"/>
    <w:rsid w:val="2EEA2591"/>
    <w:rsid w:val="2EF24E3A"/>
    <w:rsid w:val="2EF53AD4"/>
    <w:rsid w:val="2EFA5732"/>
    <w:rsid w:val="2F040B13"/>
    <w:rsid w:val="2F162065"/>
    <w:rsid w:val="2F263CB1"/>
    <w:rsid w:val="2F3106E5"/>
    <w:rsid w:val="2F3844D8"/>
    <w:rsid w:val="2F3B6A98"/>
    <w:rsid w:val="2F403A7F"/>
    <w:rsid w:val="2F473A87"/>
    <w:rsid w:val="2F4D1B62"/>
    <w:rsid w:val="2F5059B5"/>
    <w:rsid w:val="2F5864BE"/>
    <w:rsid w:val="2F610C10"/>
    <w:rsid w:val="2F630419"/>
    <w:rsid w:val="2F781F62"/>
    <w:rsid w:val="2F7917BF"/>
    <w:rsid w:val="2F827A5E"/>
    <w:rsid w:val="2F8E1AF0"/>
    <w:rsid w:val="2FA33530"/>
    <w:rsid w:val="2FA620FF"/>
    <w:rsid w:val="2FB55145"/>
    <w:rsid w:val="2FBC4423"/>
    <w:rsid w:val="2FBC45F2"/>
    <w:rsid w:val="2FBD0C13"/>
    <w:rsid w:val="2FC00586"/>
    <w:rsid w:val="2FCE157A"/>
    <w:rsid w:val="2FD61A8E"/>
    <w:rsid w:val="2FD86AB4"/>
    <w:rsid w:val="2FDB0F1C"/>
    <w:rsid w:val="2FDE6E24"/>
    <w:rsid w:val="2FDF0610"/>
    <w:rsid w:val="2FE94AE6"/>
    <w:rsid w:val="2FEA1010"/>
    <w:rsid w:val="2FEB6EDA"/>
    <w:rsid w:val="2FF36392"/>
    <w:rsid w:val="2FF42381"/>
    <w:rsid w:val="2FF515FC"/>
    <w:rsid w:val="300124A9"/>
    <w:rsid w:val="3004737F"/>
    <w:rsid w:val="300734A0"/>
    <w:rsid w:val="300C37CC"/>
    <w:rsid w:val="300F1EE7"/>
    <w:rsid w:val="301A764F"/>
    <w:rsid w:val="30306FC4"/>
    <w:rsid w:val="303A7CB5"/>
    <w:rsid w:val="30403475"/>
    <w:rsid w:val="30420F9B"/>
    <w:rsid w:val="30430F4E"/>
    <w:rsid w:val="30553EB8"/>
    <w:rsid w:val="30571724"/>
    <w:rsid w:val="30601473"/>
    <w:rsid w:val="306313F8"/>
    <w:rsid w:val="30736FC9"/>
    <w:rsid w:val="307A6814"/>
    <w:rsid w:val="30850498"/>
    <w:rsid w:val="30851BB5"/>
    <w:rsid w:val="30874F67"/>
    <w:rsid w:val="30883269"/>
    <w:rsid w:val="308F5231"/>
    <w:rsid w:val="30910D8F"/>
    <w:rsid w:val="309252A6"/>
    <w:rsid w:val="309D61D2"/>
    <w:rsid w:val="30B11F1D"/>
    <w:rsid w:val="30B22F09"/>
    <w:rsid w:val="30BD0B2D"/>
    <w:rsid w:val="30BE5F0A"/>
    <w:rsid w:val="30BE7604"/>
    <w:rsid w:val="30C839DD"/>
    <w:rsid w:val="30CB35A4"/>
    <w:rsid w:val="30CF4DB1"/>
    <w:rsid w:val="30D0778F"/>
    <w:rsid w:val="30E16A06"/>
    <w:rsid w:val="30E402A4"/>
    <w:rsid w:val="30EC0F07"/>
    <w:rsid w:val="3105541D"/>
    <w:rsid w:val="31201EAB"/>
    <w:rsid w:val="31283ADD"/>
    <w:rsid w:val="31321010"/>
    <w:rsid w:val="31455466"/>
    <w:rsid w:val="314F4232"/>
    <w:rsid w:val="31536F7B"/>
    <w:rsid w:val="315D0A78"/>
    <w:rsid w:val="315E6058"/>
    <w:rsid w:val="316244BA"/>
    <w:rsid w:val="316359D5"/>
    <w:rsid w:val="3169171D"/>
    <w:rsid w:val="316B35BD"/>
    <w:rsid w:val="31796C3F"/>
    <w:rsid w:val="317A43EC"/>
    <w:rsid w:val="317A57A7"/>
    <w:rsid w:val="317B6345"/>
    <w:rsid w:val="317C228B"/>
    <w:rsid w:val="318A6919"/>
    <w:rsid w:val="318B5034"/>
    <w:rsid w:val="318F5797"/>
    <w:rsid w:val="31936D95"/>
    <w:rsid w:val="31973635"/>
    <w:rsid w:val="31992EB9"/>
    <w:rsid w:val="319C1EBF"/>
    <w:rsid w:val="319C27E8"/>
    <w:rsid w:val="319C7D36"/>
    <w:rsid w:val="31A56340"/>
    <w:rsid w:val="31A81DA0"/>
    <w:rsid w:val="31B20D48"/>
    <w:rsid w:val="31BA18DC"/>
    <w:rsid w:val="31BD2FCF"/>
    <w:rsid w:val="31CE34E0"/>
    <w:rsid w:val="31E62551"/>
    <w:rsid w:val="31E835A6"/>
    <w:rsid w:val="31F8557B"/>
    <w:rsid w:val="31FA02F1"/>
    <w:rsid w:val="320D55D9"/>
    <w:rsid w:val="321A1B4F"/>
    <w:rsid w:val="32202650"/>
    <w:rsid w:val="322F3459"/>
    <w:rsid w:val="32340DB8"/>
    <w:rsid w:val="32432382"/>
    <w:rsid w:val="3246740A"/>
    <w:rsid w:val="324C0F72"/>
    <w:rsid w:val="32536502"/>
    <w:rsid w:val="325D030E"/>
    <w:rsid w:val="32672F3B"/>
    <w:rsid w:val="32683C1A"/>
    <w:rsid w:val="327B225B"/>
    <w:rsid w:val="32803B5B"/>
    <w:rsid w:val="328741BC"/>
    <w:rsid w:val="32A0312E"/>
    <w:rsid w:val="32A33B7F"/>
    <w:rsid w:val="32A61CB5"/>
    <w:rsid w:val="32AD7BE9"/>
    <w:rsid w:val="32B04406"/>
    <w:rsid w:val="32B211FA"/>
    <w:rsid w:val="32C40F0C"/>
    <w:rsid w:val="32D3237F"/>
    <w:rsid w:val="32DA370D"/>
    <w:rsid w:val="32DD144F"/>
    <w:rsid w:val="32DF2AD1"/>
    <w:rsid w:val="32E164BB"/>
    <w:rsid w:val="32F72400"/>
    <w:rsid w:val="32FB701E"/>
    <w:rsid w:val="331A1010"/>
    <w:rsid w:val="33301130"/>
    <w:rsid w:val="33376A1B"/>
    <w:rsid w:val="33391390"/>
    <w:rsid w:val="33391DE5"/>
    <w:rsid w:val="333F4195"/>
    <w:rsid w:val="333F6920"/>
    <w:rsid w:val="33493C8C"/>
    <w:rsid w:val="334C1344"/>
    <w:rsid w:val="334D2131"/>
    <w:rsid w:val="334D61C6"/>
    <w:rsid w:val="33513241"/>
    <w:rsid w:val="335D4326"/>
    <w:rsid w:val="3367401C"/>
    <w:rsid w:val="336A2CE3"/>
    <w:rsid w:val="336F654B"/>
    <w:rsid w:val="33713A3C"/>
    <w:rsid w:val="337B35D0"/>
    <w:rsid w:val="33943153"/>
    <w:rsid w:val="33983AC4"/>
    <w:rsid w:val="33997993"/>
    <w:rsid w:val="339B0F7B"/>
    <w:rsid w:val="33A90982"/>
    <w:rsid w:val="33AE4BDC"/>
    <w:rsid w:val="33CA5530"/>
    <w:rsid w:val="33F14F1D"/>
    <w:rsid w:val="340121D5"/>
    <w:rsid w:val="34083CC0"/>
    <w:rsid w:val="34180991"/>
    <w:rsid w:val="341B4D8B"/>
    <w:rsid w:val="34256C0A"/>
    <w:rsid w:val="342B1924"/>
    <w:rsid w:val="342D61AB"/>
    <w:rsid w:val="34376337"/>
    <w:rsid w:val="34541626"/>
    <w:rsid w:val="345968B4"/>
    <w:rsid w:val="3463349E"/>
    <w:rsid w:val="346F10B1"/>
    <w:rsid w:val="34770AED"/>
    <w:rsid w:val="347C55CE"/>
    <w:rsid w:val="348469BF"/>
    <w:rsid w:val="34955E0D"/>
    <w:rsid w:val="349C5A8D"/>
    <w:rsid w:val="34A46AA0"/>
    <w:rsid w:val="34AB1A09"/>
    <w:rsid w:val="34AB4E4F"/>
    <w:rsid w:val="34AE0818"/>
    <w:rsid w:val="34B01D5A"/>
    <w:rsid w:val="34B61F58"/>
    <w:rsid w:val="34B71196"/>
    <w:rsid w:val="34C053B9"/>
    <w:rsid w:val="34D128B0"/>
    <w:rsid w:val="34D36B00"/>
    <w:rsid w:val="34D472AF"/>
    <w:rsid w:val="34E505F3"/>
    <w:rsid w:val="34E658CA"/>
    <w:rsid w:val="34EB1864"/>
    <w:rsid w:val="34EB7E53"/>
    <w:rsid w:val="34F30AB6"/>
    <w:rsid w:val="34F51A33"/>
    <w:rsid w:val="34FA7127"/>
    <w:rsid w:val="34FC3C8F"/>
    <w:rsid w:val="34FF0346"/>
    <w:rsid w:val="35003B43"/>
    <w:rsid w:val="3502519D"/>
    <w:rsid w:val="350E1BDA"/>
    <w:rsid w:val="351707C4"/>
    <w:rsid w:val="351C0B1F"/>
    <w:rsid w:val="3528691E"/>
    <w:rsid w:val="35352A53"/>
    <w:rsid w:val="354B6698"/>
    <w:rsid w:val="354E2190"/>
    <w:rsid w:val="354F5304"/>
    <w:rsid w:val="356D02BC"/>
    <w:rsid w:val="35700359"/>
    <w:rsid w:val="357263F6"/>
    <w:rsid w:val="3578720D"/>
    <w:rsid w:val="358526BA"/>
    <w:rsid w:val="35876AB8"/>
    <w:rsid w:val="35951B6D"/>
    <w:rsid w:val="35957A2C"/>
    <w:rsid w:val="359D0C08"/>
    <w:rsid w:val="35A35635"/>
    <w:rsid w:val="35A80303"/>
    <w:rsid w:val="35AB75E3"/>
    <w:rsid w:val="35AF70D3"/>
    <w:rsid w:val="35BB5CBB"/>
    <w:rsid w:val="35BC5A8D"/>
    <w:rsid w:val="35C6441D"/>
    <w:rsid w:val="35C66F06"/>
    <w:rsid w:val="35CE4FF9"/>
    <w:rsid w:val="35D83F92"/>
    <w:rsid w:val="35D95EFE"/>
    <w:rsid w:val="35DD4BDD"/>
    <w:rsid w:val="35DE3514"/>
    <w:rsid w:val="35E82679"/>
    <w:rsid w:val="35EE14FC"/>
    <w:rsid w:val="35FB5FCC"/>
    <w:rsid w:val="35FB77A0"/>
    <w:rsid w:val="35FC7755"/>
    <w:rsid w:val="360A60B7"/>
    <w:rsid w:val="361231BE"/>
    <w:rsid w:val="361509B9"/>
    <w:rsid w:val="36181117"/>
    <w:rsid w:val="36266C69"/>
    <w:rsid w:val="362C7C14"/>
    <w:rsid w:val="362F5B1E"/>
    <w:rsid w:val="36303F8E"/>
    <w:rsid w:val="36310FEF"/>
    <w:rsid w:val="363250AE"/>
    <w:rsid w:val="3635398B"/>
    <w:rsid w:val="363713B7"/>
    <w:rsid w:val="363B7CE6"/>
    <w:rsid w:val="363D581B"/>
    <w:rsid w:val="363D58DF"/>
    <w:rsid w:val="364301AC"/>
    <w:rsid w:val="364556C6"/>
    <w:rsid w:val="36463C3A"/>
    <w:rsid w:val="364E7E6C"/>
    <w:rsid w:val="36570B71"/>
    <w:rsid w:val="36596EA1"/>
    <w:rsid w:val="365F531E"/>
    <w:rsid w:val="36600561"/>
    <w:rsid w:val="36630477"/>
    <w:rsid w:val="366C6D72"/>
    <w:rsid w:val="367403B5"/>
    <w:rsid w:val="36750B82"/>
    <w:rsid w:val="36807C64"/>
    <w:rsid w:val="36871A39"/>
    <w:rsid w:val="368D02E5"/>
    <w:rsid w:val="36940C0C"/>
    <w:rsid w:val="36974472"/>
    <w:rsid w:val="369944A5"/>
    <w:rsid w:val="36AB4220"/>
    <w:rsid w:val="36BB192A"/>
    <w:rsid w:val="36D23B52"/>
    <w:rsid w:val="36DA76B7"/>
    <w:rsid w:val="36E25286"/>
    <w:rsid w:val="37011B87"/>
    <w:rsid w:val="37081B1F"/>
    <w:rsid w:val="372F06AE"/>
    <w:rsid w:val="37415715"/>
    <w:rsid w:val="374851FE"/>
    <w:rsid w:val="374C01E8"/>
    <w:rsid w:val="375A4E1C"/>
    <w:rsid w:val="375F77A6"/>
    <w:rsid w:val="37611EA9"/>
    <w:rsid w:val="377931ED"/>
    <w:rsid w:val="377B7EDC"/>
    <w:rsid w:val="3785139E"/>
    <w:rsid w:val="378C514D"/>
    <w:rsid w:val="378F5FB1"/>
    <w:rsid w:val="37A64091"/>
    <w:rsid w:val="37AD0256"/>
    <w:rsid w:val="37AF5484"/>
    <w:rsid w:val="37B30052"/>
    <w:rsid w:val="37B45699"/>
    <w:rsid w:val="37BD09EA"/>
    <w:rsid w:val="37C130EE"/>
    <w:rsid w:val="37C60BEC"/>
    <w:rsid w:val="37CB1054"/>
    <w:rsid w:val="37CF0ABF"/>
    <w:rsid w:val="37E9197E"/>
    <w:rsid w:val="37EB521F"/>
    <w:rsid w:val="380644C8"/>
    <w:rsid w:val="380D6333"/>
    <w:rsid w:val="38184D3B"/>
    <w:rsid w:val="38255F76"/>
    <w:rsid w:val="382947EF"/>
    <w:rsid w:val="382968F9"/>
    <w:rsid w:val="38327B47"/>
    <w:rsid w:val="38342E0E"/>
    <w:rsid w:val="38386DD3"/>
    <w:rsid w:val="38422A55"/>
    <w:rsid w:val="38445F77"/>
    <w:rsid w:val="38526CB0"/>
    <w:rsid w:val="38547C0B"/>
    <w:rsid w:val="385670CF"/>
    <w:rsid w:val="38616035"/>
    <w:rsid w:val="386728C0"/>
    <w:rsid w:val="387A06FC"/>
    <w:rsid w:val="3880681C"/>
    <w:rsid w:val="3881388F"/>
    <w:rsid w:val="388E1A34"/>
    <w:rsid w:val="38914EC4"/>
    <w:rsid w:val="38984584"/>
    <w:rsid w:val="38A01134"/>
    <w:rsid w:val="38A162C6"/>
    <w:rsid w:val="38A1734A"/>
    <w:rsid w:val="38A46EEC"/>
    <w:rsid w:val="38A52DF7"/>
    <w:rsid w:val="38A543BE"/>
    <w:rsid w:val="38B72CB1"/>
    <w:rsid w:val="38B93DC5"/>
    <w:rsid w:val="38C01FC8"/>
    <w:rsid w:val="38C56C0D"/>
    <w:rsid w:val="38D13A7E"/>
    <w:rsid w:val="38D81226"/>
    <w:rsid w:val="38DB1F8D"/>
    <w:rsid w:val="38DD223B"/>
    <w:rsid w:val="38DD57BF"/>
    <w:rsid w:val="38E04A8D"/>
    <w:rsid w:val="38ED1F80"/>
    <w:rsid w:val="38ED3A6E"/>
    <w:rsid w:val="390346CE"/>
    <w:rsid w:val="390521DA"/>
    <w:rsid w:val="3919370E"/>
    <w:rsid w:val="391E1FCF"/>
    <w:rsid w:val="392967E4"/>
    <w:rsid w:val="3929756A"/>
    <w:rsid w:val="393322C7"/>
    <w:rsid w:val="393C3807"/>
    <w:rsid w:val="394428D7"/>
    <w:rsid w:val="394971A3"/>
    <w:rsid w:val="394C2E8B"/>
    <w:rsid w:val="39551544"/>
    <w:rsid w:val="395735BC"/>
    <w:rsid w:val="39574DDC"/>
    <w:rsid w:val="395E321B"/>
    <w:rsid w:val="3962445C"/>
    <w:rsid w:val="396401D4"/>
    <w:rsid w:val="39682ADB"/>
    <w:rsid w:val="396E7A6D"/>
    <w:rsid w:val="396F2F00"/>
    <w:rsid w:val="39700FE6"/>
    <w:rsid w:val="39761CB6"/>
    <w:rsid w:val="397B4C7C"/>
    <w:rsid w:val="397D4DF2"/>
    <w:rsid w:val="399F15E3"/>
    <w:rsid w:val="39A9208B"/>
    <w:rsid w:val="39AA30E2"/>
    <w:rsid w:val="39B123FD"/>
    <w:rsid w:val="39C90037"/>
    <w:rsid w:val="39CB4426"/>
    <w:rsid w:val="39CF05D0"/>
    <w:rsid w:val="39D36C95"/>
    <w:rsid w:val="39E248DD"/>
    <w:rsid w:val="39F129C4"/>
    <w:rsid w:val="39F74BA5"/>
    <w:rsid w:val="39FD1950"/>
    <w:rsid w:val="3A015A23"/>
    <w:rsid w:val="3A046503"/>
    <w:rsid w:val="3A080674"/>
    <w:rsid w:val="3A15488F"/>
    <w:rsid w:val="3A176FF5"/>
    <w:rsid w:val="3A250B40"/>
    <w:rsid w:val="3A256F8B"/>
    <w:rsid w:val="3A275A8A"/>
    <w:rsid w:val="3A451DB4"/>
    <w:rsid w:val="3A45518F"/>
    <w:rsid w:val="3A5308B9"/>
    <w:rsid w:val="3A810EF5"/>
    <w:rsid w:val="3A830AB4"/>
    <w:rsid w:val="3A912746"/>
    <w:rsid w:val="3A9262F0"/>
    <w:rsid w:val="3A9E3272"/>
    <w:rsid w:val="3AAD3FA5"/>
    <w:rsid w:val="3ABC5104"/>
    <w:rsid w:val="3ABE3EF4"/>
    <w:rsid w:val="3AC06995"/>
    <w:rsid w:val="3ADC5073"/>
    <w:rsid w:val="3AEC4556"/>
    <w:rsid w:val="3AF14B68"/>
    <w:rsid w:val="3AF30F63"/>
    <w:rsid w:val="3AFB54F4"/>
    <w:rsid w:val="3B217320"/>
    <w:rsid w:val="3B263858"/>
    <w:rsid w:val="3B2A0FAA"/>
    <w:rsid w:val="3B351833"/>
    <w:rsid w:val="3B4200A1"/>
    <w:rsid w:val="3B44122B"/>
    <w:rsid w:val="3B4C09FD"/>
    <w:rsid w:val="3B503A62"/>
    <w:rsid w:val="3B5953EB"/>
    <w:rsid w:val="3B5F3D5F"/>
    <w:rsid w:val="3B751876"/>
    <w:rsid w:val="3B762441"/>
    <w:rsid w:val="3B81419B"/>
    <w:rsid w:val="3B837358"/>
    <w:rsid w:val="3B841D62"/>
    <w:rsid w:val="3B8E442A"/>
    <w:rsid w:val="3BA44737"/>
    <w:rsid w:val="3BA80FE3"/>
    <w:rsid w:val="3BB43FA5"/>
    <w:rsid w:val="3BBB7E54"/>
    <w:rsid w:val="3BBF2A02"/>
    <w:rsid w:val="3BC47524"/>
    <w:rsid w:val="3BD01B51"/>
    <w:rsid w:val="3BD04318"/>
    <w:rsid w:val="3BD5470A"/>
    <w:rsid w:val="3BDE3768"/>
    <w:rsid w:val="3BE3642D"/>
    <w:rsid w:val="3BE45E43"/>
    <w:rsid w:val="3C0168C9"/>
    <w:rsid w:val="3C090BBF"/>
    <w:rsid w:val="3C094DBB"/>
    <w:rsid w:val="3C0C48F8"/>
    <w:rsid w:val="3C1C78EF"/>
    <w:rsid w:val="3C1D466B"/>
    <w:rsid w:val="3C213BF5"/>
    <w:rsid w:val="3C2725F2"/>
    <w:rsid w:val="3C2A51BA"/>
    <w:rsid w:val="3C2D6FA3"/>
    <w:rsid w:val="3C3436C9"/>
    <w:rsid w:val="3C4165AB"/>
    <w:rsid w:val="3C534710"/>
    <w:rsid w:val="3C592540"/>
    <w:rsid w:val="3C6267FB"/>
    <w:rsid w:val="3C722673"/>
    <w:rsid w:val="3C771FCD"/>
    <w:rsid w:val="3C7725C0"/>
    <w:rsid w:val="3C834E15"/>
    <w:rsid w:val="3C865FBC"/>
    <w:rsid w:val="3C8841DA"/>
    <w:rsid w:val="3C8F108D"/>
    <w:rsid w:val="3C9219D1"/>
    <w:rsid w:val="3C932648"/>
    <w:rsid w:val="3CB163D2"/>
    <w:rsid w:val="3CB27178"/>
    <w:rsid w:val="3CB57109"/>
    <w:rsid w:val="3CB6726B"/>
    <w:rsid w:val="3CBC409C"/>
    <w:rsid w:val="3CBF5605"/>
    <w:rsid w:val="3CCC056A"/>
    <w:rsid w:val="3CCF365B"/>
    <w:rsid w:val="3CD25455"/>
    <w:rsid w:val="3CE162B7"/>
    <w:rsid w:val="3CE55282"/>
    <w:rsid w:val="3CEA615B"/>
    <w:rsid w:val="3CEE3777"/>
    <w:rsid w:val="3CF97E3F"/>
    <w:rsid w:val="3D0731E6"/>
    <w:rsid w:val="3D0F7CD8"/>
    <w:rsid w:val="3D100047"/>
    <w:rsid w:val="3D116594"/>
    <w:rsid w:val="3D141F11"/>
    <w:rsid w:val="3D1779E0"/>
    <w:rsid w:val="3D187BEF"/>
    <w:rsid w:val="3D1D63A1"/>
    <w:rsid w:val="3D1F64DB"/>
    <w:rsid w:val="3D2370FE"/>
    <w:rsid w:val="3D385437"/>
    <w:rsid w:val="3D3B687F"/>
    <w:rsid w:val="3D3D3216"/>
    <w:rsid w:val="3D456F15"/>
    <w:rsid w:val="3D491954"/>
    <w:rsid w:val="3D4B5297"/>
    <w:rsid w:val="3D5D4D3B"/>
    <w:rsid w:val="3D605157"/>
    <w:rsid w:val="3D695D2F"/>
    <w:rsid w:val="3D7465A3"/>
    <w:rsid w:val="3D790ED4"/>
    <w:rsid w:val="3D791D75"/>
    <w:rsid w:val="3D7D2CFD"/>
    <w:rsid w:val="3D881438"/>
    <w:rsid w:val="3D8A539D"/>
    <w:rsid w:val="3D8F68E0"/>
    <w:rsid w:val="3D970DA4"/>
    <w:rsid w:val="3DA07AAD"/>
    <w:rsid w:val="3DA37748"/>
    <w:rsid w:val="3DA912E1"/>
    <w:rsid w:val="3DBB3361"/>
    <w:rsid w:val="3DBF44D4"/>
    <w:rsid w:val="3DC62D32"/>
    <w:rsid w:val="3DC82974"/>
    <w:rsid w:val="3DDC47DD"/>
    <w:rsid w:val="3DF15A33"/>
    <w:rsid w:val="3DF32AD6"/>
    <w:rsid w:val="3DFC6E50"/>
    <w:rsid w:val="3E003F30"/>
    <w:rsid w:val="3E025148"/>
    <w:rsid w:val="3E14263F"/>
    <w:rsid w:val="3E157A46"/>
    <w:rsid w:val="3E163127"/>
    <w:rsid w:val="3E1B5E0E"/>
    <w:rsid w:val="3E1C72D0"/>
    <w:rsid w:val="3E2E2B5F"/>
    <w:rsid w:val="3E3A62CF"/>
    <w:rsid w:val="3E3C527C"/>
    <w:rsid w:val="3E5E5BFD"/>
    <w:rsid w:val="3E6001E6"/>
    <w:rsid w:val="3E637582"/>
    <w:rsid w:val="3E667380"/>
    <w:rsid w:val="3E770D27"/>
    <w:rsid w:val="3E7F33BB"/>
    <w:rsid w:val="3E8946EE"/>
    <w:rsid w:val="3E916A5A"/>
    <w:rsid w:val="3E9418D5"/>
    <w:rsid w:val="3E9C3F6D"/>
    <w:rsid w:val="3E9D611B"/>
    <w:rsid w:val="3E9E5F37"/>
    <w:rsid w:val="3EAA3F0D"/>
    <w:rsid w:val="3EC523F8"/>
    <w:rsid w:val="3ED27F06"/>
    <w:rsid w:val="3ED56EF3"/>
    <w:rsid w:val="3EDE7B8A"/>
    <w:rsid w:val="3F051B73"/>
    <w:rsid w:val="3F2350B4"/>
    <w:rsid w:val="3F2A77CA"/>
    <w:rsid w:val="3F2B0AF6"/>
    <w:rsid w:val="3F2F3516"/>
    <w:rsid w:val="3F3B34B8"/>
    <w:rsid w:val="3F3B3785"/>
    <w:rsid w:val="3F474FAB"/>
    <w:rsid w:val="3F4D4EDF"/>
    <w:rsid w:val="3F510C2F"/>
    <w:rsid w:val="3F5B336E"/>
    <w:rsid w:val="3F5B7984"/>
    <w:rsid w:val="3F6211A5"/>
    <w:rsid w:val="3F6F612B"/>
    <w:rsid w:val="3F8844F1"/>
    <w:rsid w:val="3F9115F7"/>
    <w:rsid w:val="3FA4132B"/>
    <w:rsid w:val="3FAA221A"/>
    <w:rsid w:val="3FAB0486"/>
    <w:rsid w:val="3FBF43B6"/>
    <w:rsid w:val="3FC20A8C"/>
    <w:rsid w:val="3FC36F46"/>
    <w:rsid w:val="3FCC01D7"/>
    <w:rsid w:val="3FCE16BA"/>
    <w:rsid w:val="3FDB4607"/>
    <w:rsid w:val="3FDF4E62"/>
    <w:rsid w:val="3FE756BB"/>
    <w:rsid w:val="3FF57DD8"/>
    <w:rsid w:val="3FF70569"/>
    <w:rsid w:val="3FF73B50"/>
    <w:rsid w:val="400C5E08"/>
    <w:rsid w:val="40120B49"/>
    <w:rsid w:val="401954D3"/>
    <w:rsid w:val="40222AFA"/>
    <w:rsid w:val="40257103"/>
    <w:rsid w:val="402C2D9E"/>
    <w:rsid w:val="403C3A6B"/>
    <w:rsid w:val="403F72A5"/>
    <w:rsid w:val="40451DD1"/>
    <w:rsid w:val="40585F39"/>
    <w:rsid w:val="4062422E"/>
    <w:rsid w:val="406325B7"/>
    <w:rsid w:val="40692CE8"/>
    <w:rsid w:val="406A3E50"/>
    <w:rsid w:val="407566A0"/>
    <w:rsid w:val="407B3AD1"/>
    <w:rsid w:val="407E2A9F"/>
    <w:rsid w:val="407F3B46"/>
    <w:rsid w:val="408A281A"/>
    <w:rsid w:val="40956EC5"/>
    <w:rsid w:val="409C1993"/>
    <w:rsid w:val="409D52A2"/>
    <w:rsid w:val="40A13C79"/>
    <w:rsid w:val="40A17660"/>
    <w:rsid w:val="40AA0BC3"/>
    <w:rsid w:val="40AA7B71"/>
    <w:rsid w:val="40B66A05"/>
    <w:rsid w:val="40C7080B"/>
    <w:rsid w:val="40DC4AF4"/>
    <w:rsid w:val="40EE10EE"/>
    <w:rsid w:val="40F10EA7"/>
    <w:rsid w:val="40F70E2B"/>
    <w:rsid w:val="4108544E"/>
    <w:rsid w:val="41106FD1"/>
    <w:rsid w:val="41140547"/>
    <w:rsid w:val="41140BDF"/>
    <w:rsid w:val="4114428E"/>
    <w:rsid w:val="41200E85"/>
    <w:rsid w:val="41377F7D"/>
    <w:rsid w:val="413A51DA"/>
    <w:rsid w:val="4143470E"/>
    <w:rsid w:val="414A5F02"/>
    <w:rsid w:val="415669EA"/>
    <w:rsid w:val="415837AD"/>
    <w:rsid w:val="416430E7"/>
    <w:rsid w:val="41646248"/>
    <w:rsid w:val="416C127F"/>
    <w:rsid w:val="41720B96"/>
    <w:rsid w:val="41765F5A"/>
    <w:rsid w:val="4185518C"/>
    <w:rsid w:val="4189672F"/>
    <w:rsid w:val="41900CD7"/>
    <w:rsid w:val="41974E37"/>
    <w:rsid w:val="419B675D"/>
    <w:rsid w:val="41A134D6"/>
    <w:rsid w:val="41A81461"/>
    <w:rsid w:val="41AB0B5C"/>
    <w:rsid w:val="41AD4111"/>
    <w:rsid w:val="41D103D1"/>
    <w:rsid w:val="41D46DAB"/>
    <w:rsid w:val="41E41072"/>
    <w:rsid w:val="41E53056"/>
    <w:rsid w:val="41E64B44"/>
    <w:rsid w:val="41E719A3"/>
    <w:rsid w:val="41EC0D67"/>
    <w:rsid w:val="41EC63BB"/>
    <w:rsid w:val="41ED6C33"/>
    <w:rsid w:val="41F035DE"/>
    <w:rsid w:val="41F6429A"/>
    <w:rsid w:val="41F755E0"/>
    <w:rsid w:val="41F976E1"/>
    <w:rsid w:val="420A7FF7"/>
    <w:rsid w:val="420D6D5B"/>
    <w:rsid w:val="421D1269"/>
    <w:rsid w:val="422159B1"/>
    <w:rsid w:val="422A188F"/>
    <w:rsid w:val="422F603E"/>
    <w:rsid w:val="42352AB5"/>
    <w:rsid w:val="42384E25"/>
    <w:rsid w:val="4248396B"/>
    <w:rsid w:val="425352B7"/>
    <w:rsid w:val="42544C4F"/>
    <w:rsid w:val="425525EC"/>
    <w:rsid w:val="42626682"/>
    <w:rsid w:val="427004B8"/>
    <w:rsid w:val="427577F8"/>
    <w:rsid w:val="42793880"/>
    <w:rsid w:val="427E6FEB"/>
    <w:rsid w:val="4286740D"/>
    <w:rsid w:val="42880158"/>
    <w:rsid w:val="428A7C17"/>
    <w:rsid w:val="429444DE"/>
    <w:rsid w:val="42985759"/>
    <w:rsid w:val="42A140AF"/>
    <w:rsid w:val="42BB414C"/>
    <w:rsid w:val="42BD2703"/>
    <w:rsid w:val="42C3727E"/>
    <w:rsid w:val="42C57F36"/>
    <w:rsid w:val="42CA6440"/>
    <w:rsid w:val="42DD39E3"/>
    <w:rsid w:val="42E6622B"/>
    <w:rsid w:val="42F20A5F"/>
    <w:rsid w:val="430A2273"/>
    <w:rsid w:val="430B5AB0"/>
    <w:rsid w:val="430E5A01"/>
    <w:rsid w:val="43105949"/>
    <w:rsid w:val="43123DB8"/>
    <w:rsid w:val="43140A2D"/>
    <w:rsid w:val="43172007"/>
    <w:rsid w:val="43176E12"/>
    <w:rsid w:val="431E31A2"/>
    <w:rsid w:val="43221C33"/>
    <w:rsid w:val="43232D05"/>
    <w:rsid w:val="432650E5"/>
    <w:rsid w:val="43272171"/>
    <w:rsid w:val="43300F8C"/>
    <w:rsid w:val="43324E9F"/>
    <w:rsid w:val="43350948"/>
    <w:rsid w:val="43391936"/>
    <w:rsid w:val="433C335D"/>
    <w:rsid w:val="434B75C0"/>
    <w:rsid w:val="43551666"/>
    <w:rsid w:val="43561376"/>
    <w:rsid w:val="436074C4"/>
    <w:rsid w:val="436332AB"/>
    <w:rsid w:val="436408FA"/>
    <w:rsid w:val="43641240"/>
    <w:rsid w:val="436562E8"/>
    <w:rsid w:val="43706931"/>
    <w:rsid w:val="43783408"/>
    <w:rsid w:val="43784DB6"/>
    <w:rsid w:val="437E6A62"/>
    <w:rsid w:val="438A2D5B"/>
    <w:rsid w:val="43947392"/>
    <w:rsid w:val="43A658E6"/>
    <w:rsid w:val="43A74F98"/>
    <w:rsid w:val="43AE7DCC"/>
    <w:rsid w:val="43B076F9"/>
    <w:rsid w:val="43B41C41"/>
    <w:rsid w:val="43B97924"/>
    <w:rsid w:val="43C006FD"/>
    <w:rsid w:val="43C00EBB"/>
    <w:rsid w:val="43C658E1"/>
    <w:rsid w:val="43CF3F94"/>
    <w:rsid w:val="43D243EC"/>
    <w:rsid w:val="43DB4F4D"/>
    <w:rsid w:val="43DD46A1"/>
    <w:rsid w:val="43DE0531"/>
    <w:rsid w:val="43E31A3B"/>
    <w:rsid w:val="43E8379F"/>
    <w:rsid w:val="43FD4DAB"/>
    <w:rsid w:val="440229FD"/>
    <w:rsid w:val="440C719A"/>
    <w:rsid w:val="44102817"/>
    <w:rsid w:val="4414733E"/>
    <w:rsid w:val="44157022"/>
    <w:rsid w:val="44163951"/>
    <w:rsid w:val="4416656F"/>
    <w:rsid w:val="441E71D2"/>
    <w:rsid w:val="442701F2"/>
    <w:rsid w:val="442B6FD9"/>
    <w:rsid w:val="442E1B0B"/>
    <w:rsid w:val="443933F0"/>
    <w:rsid w:val="44395507"/>
    <w:rsid w:val="443E7184"/>
    <w:rsid w:val="44446E9C"/>
    <w:rsid w:val="4448459A"/>
    <w:rsid w:val="444A595A"/>
    <w:rsid w:val="445350CD"/>
    <w:rsid w:val="44564BBE"/>
    <w:rsid w:val="445B167F"/>
    <w:rsid w:val="446156A8"/>
    <w:rsid w:val="44765407"/>
    <w:rsid w:val="4488544B"/>
    <w:rsid w:val="44896D41"/>
    <w:rsid w:val="449D2443"/>
    <w:rsid w:val="449F6565"/>
    <w:rsid w:val="44A50656"/>
    <w:rsid w:val="44B64C48"/>
    <w:rsid w:val="44C61BAA"/>
    <w:rsid w:val="44C85ABB"/>
    <w:rsid w:val="44CC18F5"/>
    <w:rsid w:val="44D02BC2"/>
    <w:rsid w:val="44D329E5"/>
    <w:rsid w:val="44E126D9"/>
    <w:rsid w:val="44E346A3"/>
    <w:rsid w:val="45102FBE"/>
    <w:rsid w:val="451600B7"/>
    <w:rsid w:val="451707F1"/>
    <w:rsid w:val="45181E73"/>
    <w:rsid w:val="45244B16"/>
    <w:rsid w:val="452A0159"/>
    <w:rsid w:val="4537567F"/>
    <w:rsid w:val="45450DA6"/>
    <w:rsid w:val="456651F2"/>
    <w:rsid w:val="456E5467"/>
    <w:rsid w:val="4581203B"/>
    <w:rsid w:val="4582210E"/>
    <w:rsid w:val="458E5A7A"/>
    <w:rsid w:val="459F01B2"/>
    <w:rsid w:val="459F05CE"/>
    <w:rsid w:val="45A42B29"/>
    <w:rsid w:val="45A7533B"/>
    <w:rsid w:val="45B26A4B"/>
    <w:rsid w:val="45C00E3E"/>
    <w:rsid w:val="45D27DED"/>
    <w:rsid w:val="45D41638"/>
    <w:rsid w:val="45E00BE3"/>
    <w:rsid w:val="45E306D3"/>
    <w:rsid w:val="45EE77A4"/>
    <w:rsid w:val="46072075"/>
    <w:rsid w:val="460F771A"/>
    <w:rsid w:val="461D6CF5"/>
    <w:rsid w:val="462008E0"/>
    <w:rsid w:val="462F0492"/>
    <w:rsid w:val="46406F84"/>
    <w:rsid w:val="46484168"/>
    <w:rsid w:val="464949DA"/>
    <w:rsid w:val="46516BD2"/>
    <w:rsid w:val="46542EBE"/>
    <w:rsid w:val="46591EF3"/>
    <w:rsid w:val="465C0C38"/>
    <w:rsid w:val="4661284A"/>
    <w:rsid w:val="46624E5D"/>
    <w:rsid w:val="466D4392"/>
    <w:rsid w:val="467557CF"/>
    <w:rsid w:val="46865A60"/>
    <w:rsid w:val="468A3978"/>
    <w:rsid w:val="468D7067"/>
    <w:rsid w:val="469E0CA1"/>
    <w:rsid w:val="469F284C"/>
    <w:rsid w:val="46A27E61"/>
    <w:rsid w:val="46A73A7B"/>
    <w:rsid w:val="46A852A1"/>
    <w:rsid w:val="46BE153E"/>
    <w:rsid w:val="46CF15EB"/>
    <w:rsid w:val="46EF22B3"/>
    <w:rsid w:val="46F26987"/>
    <w:rsid w:val="46F825E5"/>
    <w:rsid w:val="4703562D"/>
    <w:rsid w:val="4708292E"/>
    <w:rsid w:val="472015A9"/>
    <w:rsid w:val="47275169"/>
    <w:rsid w:val="472C3FE8"/>
    <w:rsid w:val="472D63FE"/>
    <w:rsid w:val="47347C1D"/>
    <w:rsid w:val="47397379"/>
    <w:rsid w:val="473B39D0"/>
    <w:rsid w:val="473C1CF5"/>
    <w:rsid w:val="474D4056"/>
    <w:rsid w:val="47504DA7"/>
    <w:rsid w:val="475A6C93"/>
    <w:rsid w:val="475E0317"/>
    <w:rsid w:val="47632B42"/>
    <w:rsid w:val="476849CF"/>
    <w:rsid w:val="476F0470"/>
    <w:rsid w:val="477112E0"/>
    <w:rsid w:val="47863660"/>
    <w:rsid w:val="47873A8F"/>
    <w:rsid w:val="478A40E5"/>
    <w:rsid w:val="478E6144"/>
    <w:rsid w:val="479225F5"/>
    <w:rsid w:val="47986A13"/>
    <w:rsid w:val="47990E08"/>
    <w:rsid w:val="479D6C6F"/>
    <w:rsid w:val="47B265AF"/>
    <w:rsid w:val="47CB05DB"/>
    <w:rsid w:val="47CE0419"/>
    <w:rsid w:val="47DA24FB"/>
    <w:rsid w:val="47E30E5E"/>
    <w:rsid w:val="47E46836"/>
    <w:rsid w:val="47E64D20"/>
    <w:rsid w:val="47F8654C"/>
    <w:rsid w:val="48007F0A"/>
    <w:rsid w:val="4818730C"/>
    <w:rsid w:val="481B3E57"/>
    <w:rsid w:val="483205D7"/>
    <w:rsid w:val="483A29CD"/>
    <w:rsid w:val="48420BDC"/>
    <w:rsid w:val="48483664"/>
    <w:rsid w:val="48540412"/>
    <w:rsid w:val="485479BE"/>
    <w:rsid w:val="48564F51"/>
    <w:rsid w:val="48662544"/>
    <w:rsid w:val="48710218"/>
    <w:rsid w:val="488C6E00"/>
    <w:rsid w:val="488E0DCA"/>
    <w:rsid w:val="48945014"/>
    <w:rsid w:val="48952158"/>
    <w:rsid w:val="489C3C76"/>
    <w:rsid w:val="48A631CE"/>
    <w:rsid w:val="48BB461C"/>
    <w:rsid w:val="48BD1CA8"/>
    <w:rsid w:val="48CC36A0"/>
    <w:rsid w:val="48D56B9A"/>
    <w:rsid w:val="48D77BAA"/>
    <w:rsid w:val="48E155A5"/>
    <w:rsid w:val="48E855F9"/>
    <w:rsid w:val="48ED0E86"/>
    <w:rsid w:val="48EE6DB8"/>
    <w:rsid w:val="48EF5F06"/>
    <w:rsid w:val="48FF0499"/>
    <w:rsid w:val="49033554"/>
    <w:rsid w:val="490A3A59"/>
    <w:rsid w:val="491312CF"/>
    <w:rsid w:val="491858F0"/>
    <w:rsid w:val="491D0802"/>
    <w:rsid w:val="49315AE0"/>
    <w:rsid w:val="49325BF9"/>
    <w:rsid w:val="49352F56"/>
    <w:rsid w:val="49372DE2"/>
    <w:rsid w:val="493C4701"/>
    <w:rsid w:val="493F2815"/>
    <w:rsid w:val="49470F79"/>
    <w:rsid w:val="49493847"/>
    <w:rsid w:val="495F4514"/>
    <w:rsid w:val="49666299"/>
    <w:rsid w:val="49667673"/>
    <w:rsid w:val="497838FA"/>
    <w:rsid w:val="497D2EED"/>
    <w:rsid w:val="498614D7"/>
    <w:rsid w:val="49861AA1"/>
    <w:rsid w:val="498F5898"/>
    <w:rsid w:val="49916FD6"/>
    <w:rsid w:val="49924B41"/>
    <w:rsid w:val="49950C2D"/>
    <w:rsid w:val="49A12900"/>
    <w:rsid w:val="49A4503C"/>
    <w:rsid w:val="49C14269"/>
    <w:rsid w:val="49CC00C7"/>
    <w:rsid w:val="49FE0702"/>
    <w:rsid w:val="4A06126A"/>
    <w:rsid w:val="4A0E5EB4"/>
    <w:rsid w:val="4A1D4B46"/>
    <w:rsid w:val="4A3E0542"/>
    <w:rsid w:val="4A432C19"/>
    <w:rsid w:val="4A4536BD"/>
    <w:rsid w:val="4A527BD5"/>
    <w:rsid w:val="4A58343D"/>
    <w:rsid w:val="4A5979E9"/>
    <w:rsid w:val="4A5B4858"/>
    <w:rsid w:val="4A5B65D6"/>
    <w:rsid w:val="4A6920B5"/>
    <w:rsid w:val="4A6E062B"/>
    <w:rsid w:val="4A802555"/>
    <w:rsid w:val="4A813F5B"/>
    <w:rsid w:val="4A8A31A5"/>
    <w:rsid w:val="4A9244C1"/>
    <w:rsid w:val="4A931CA4"/>
    <w:rsid w:val="4A9B77CE"/>
    <w:rsid w:val="4A9D14EE"/>
    <w:rsid w:val="4AAF7804"/>
    <w:rsid w:val="4AC9228C"/>
    <w:rsid w:val="4ACF4329"/>
    <w:rsid w:val="4AD45746"/>
    <w:rsid w:val="4ADA1944"/>
    <w:rsid w:val="4AE01685"/>
    <w:rsid w:val="4AE2595F"/>
    <w:rsid w:val="4B067DC5"/>
    <w:rsid w:val="4B0906E5"/>
    <w:rsid w:val="4B197EAB"/>
    <w:rsid w:val="4B1C6FC2"/>
    <w:rsid w:val="4B2F78EF"/>
    <w:rsid w:val="4B326CF8"/>
    <w:rsid w:val="4B441A86"/>
    <w:rsid w:val="4B46773A"/>
    <w:rsid w:val="4B5005B9"/>
    <w:rsid w:val="4B504FA5"/>
    <w:rsid w:val="4B625B98"/>
    <w:rsid w:val="4B687496"/>
    <w:rsid w:val="4B6D116B"/>
    <w:rsid w:val="4B717D1E"/>
    <w:rsid w:val="4B827CCB"/>
    <w:rsid w:val="4B8C414A"/>
    <w:rsid w:val="4B932E33"/>
    <w:rsid w:val="4B9504F3"/>
    <w:rsid w:val="4B9A5CD8"/>
    <w:rsid w:val="4B9A73A3"/>
    <w:rsid w:val="4BAA50E2"/>
    <w:rsid w:val="4BB3576F"/>
    <w:rsid w:val="4BB52B12"/>
    <w:rsid w:val="4BB65B68"/>
    <w:rsid w:val="4BCC423B"/>
    <w:rsid w:val="4BCD1008"/>
    <w:rsid w:val="4BD07479"/>
    <w:rsid w:val="4BDB6333"/>
    <w:rsid w:val="4BE36FA7"/>
    <w:rsid w:val="4BE862A1"/>
    <w:rsid w:val="4BEC7B8E"/>
    <w:rsid w:val="4C075DB9"/>
    <w:rsid w:val="4C116E70"/>
    <w:rsid w:val="4C225339"/>
    <w:rsid w:val="4C2F4672"/>
    <w:rsid w:val="4C331199"/>
    <w:rsid w:val="4C347AB6"/>
    <w:rsid w:val="4C63431C"/>
    <w:rsid w:val="4C6B5B4D"/>
    <w:rsid w:val="4C6F06C1"/>
    <w:rsid w:val="4C8432C7"/>
    <w:rsid w:val="4C8C275B"/>
    <w:rsid w:val="4C8F5111"/>
    <w:rsid w:val="4C923F22"/>
    <w:rsid w:val="4CA42A33"/>
    <w:rsid w:val="4CA933F9"/>
    <w:rsid w:val="4CAD70E0"/>
    <w:rsid w:val="4CB07667"/>
    <w:rsid w:val="4CB64358"/>
    <w:rsid w:val="4CB9218D"/>
    <w:rsid w:val="4CBC47F2"/>
    <w:rsid w:val="4CBD4F1A"/>
    <w:rsid w:val="4CBE18C2"/>
    <w:rsid w:val="4CD00D4A"/>
    <w:rsid w:val="4CDB0217"/>
    <w:rsid w:val="4CF424C6"/>
    <w:rsid w:val="4CF92478"/>
    <w:rsid w:val="4CFC4315"/>
    <w:rsid w:val="4D021D86"/>
    <w:rsid w:val="4D02596F"/>
    <w:rsid w:val="4D090A1F"/>
    <w:rsid w:val="4D1D67F6"/>
    <w:rsid w:val="4D1F3437"/>
    <w:rsid w:val="4D2515D1"/>
    <w:rsid w:val="4D2B63AF"/>
    <w:rsid w:val="4D346296"/>
    <w:rsid w:val="4D3853FE"/>
    <w:rsid w:val="4D3B0DF4"/>
    <w:rsid w:val="4D3E64AE"/>
    <w:rsid w:val="4D447988"/>
    <w:rsid w:val="4D4502CC"/>
    <w:rsid w:val="4D465A38"/>
    <w:rsid w:val="4D4E7696"/>
    <w:rsid w:val="4D517CDF"/>
    <w:rsid w:val="4D6C4012"/>
    <w:rsid w:val="4D70684F"/>
    <w:rsid w:val="4D761C74"/>
    <w:rsid w:val="4D7F6F33"/>
    <w:rsid w:val="4D904391"/>
    <w:rsid w:val="4D991057"/>
    <w:rsid w:val="4D9E397A"/>
    <w:rsid w:val="4DA4699A"/>
    <w:rsid w:val="4DAB41CC"/>
    <w:rsid w:val="4DB0141A"/>
    <w:rsid w:val="4DB16597"/>
    <w:rsid w:val="4DBE0EA5"/>
    <w:rsid w:val="4DC20E8A"/>
    <w:rsid w:val="4DC621EC"/>
    <w:rsid w:val="4DCE505B"/>
    <w:rsid w:val="4DD71D97"/>
    <w:rsid w:val="4DD94895"/>
    <w:rsid w:val="4DDA6A40"/>
    <w:rsid w:val="4DDE26C9"/>
    <w:rsid w:val="4DE137EE"/>
    <w:rsid w:val="4DF40D68"/>
    <w:rsid w:val="4DF711BF"/>
    <w:rsid w:val="4E0C2ABC"/>
    <w:rsid w:val="4E0D65CD"/>
    <w:rsid w:val="4E141297"/>
    <w:rsid w:val="4E195D0C"/>
    <w:rsid w:val="4E256670"/>
    <w:rsid w:val="4E4A4AC8"/>
    <w:rsid w:val="4E4E2F3A"/>
    <w:rsid w:val="4E5E66C6"/>
    <w:rsid w:val="4E6D00AC"/>
    <w:rsid w:val="4E74636C"/>
    <w:rsid w:val="4E944C60"/>
    <w:rsid w:val="4E9B1B4B"/>
    <w:rsid w:val="4E9B2C2D"/>
    <w:rsid w:val="4EA26CAC"/>
    <w:rsid w:val="4EB8094F"/>
    <w:rsid w:val="4EC01F84"/>
    <w:rsid w:val="4EC63D8E"/>
    <w:rsid w:val="4EC74D90"/>
    <w:rsid w:val="4EC86E27"/>
    <w:rsid w:val="4ECE214E"/>
    <w:rsid w:val="4EDD4105"/>
    <w:rsid w:val="4EDE412D"/>
    <w:rsid w:val="4EFF17AB"/>
    <w:rsid w:val="4F146015"/>
    <w:rsid w:val="4F280017"/>
    <w:rsid w:val="4F2844FE"/>
    <w:rsid w:val="4F394DD9"/>
    <w:rsid w:val="4F3A4A27"/>
    <w:rsid w:val="4F3C39AA"/>
    <w:rsid w:val="4F4331C8"/>
    <w:rsid w:val="4F460F3A"/>
    <w:rsid w:val="4F4B747F"/>
    <w:rsid w:val="4F4E4F29"/>
    <w:rsid w:val="4F5839F6"/>
    <w:rsid w:val="4F5D32A4"/>
    <w:rsid w:val="4F5E6898"/>
    <w:rsid w:val="4F5E6A2F"/>
    <w:rsid w:val="4F6B3428"/>
    <w:rsid w:val="4F6C34E7"/>
    <w:rsid w:val="4F700E05"/>
    <w:rsid w:val="4F7C5BA3"/>
    <w:rsid w:val="4F81195C"/>
    <w:rsid w:val="4F824A7A"/>
    <w:rsid w:val="4F8B1BBF"/>
    <w:rsid w:val="4F9547EC"/>
    <w:rsid w:val="4F9564D6"/>
    <w:rsid w:val="4F9D7B44"/>
    <w:rsid w:val="4FA0465B"/>
    <w:rsid w:val="4FAA3699"/>
    <w:rsid w:val="4FAC6C8C"/>
    <w:rsid w:val="4FB0014A"/>
    <w:rsid w:val="4FCE140C"/>
    <w:rsid w:val="4FDA42FE"/>
    <w:rsid w:val="4FE44A6C"/>
    <w:rsid w:val="4FE45773"/>
    <w:rsid w:val="4FE61C25"/>
    <w:rsid w:val="500100D3"/>
    <w:rsid w:val="5003076B"/>
    <w:rsid w:val="50080E30"/>
    <w:rsid w:val="501A008F"/>
    <w:rsid w:val="501C315F"/>
    <w:rsid w:val="50280C66"/>
    <w:rsid w:val="502D6ABE"/>
    <w:rsid w:val="503205D1"/>
    <w:rsid w:val="503C3EBF"/>
    <w:rsid w:val="50473B13"/>
    <w:rsid w:val="50544478"/>
    <w:rsid w:val="50551558"/>
    <w:rsid w:val="50570F57"/>
    <w:rsid w:val="505F5F27"/>
    <w:rsid w:val="50600B78"/>
    <w:rsid w:val="50662CA9"/>
    <w:rsid w:val="50672CDB"/>
    <w:rsid w:val="506A3ECB"/>
    <w:rsid w:val="507844F4"/>
    <w:rsid w:val="507A4D64"/>
    <w:rsid w:val="507C161F"/>
    <w:rsid w:val="509A3769"/>
    <w:rsid w:val="50A054C6"/>
    <w:rsid w:val="50AA5A7A"/>
    <w:rsid w:val="50B17DEA"/>
    <w:rsid w:val="50BC5A36"/>
    <w:rsid w:val="50C23D07"/>
    <w:rsid w:val="50CD4603"/>
    <w:rsid w:val="50D62937"/>
    <w:rsid w:val="50DE6667"/>
    <w:rsid w:val="51045B07"/>
    <w:rsid w:val="51087240"/>
    <w:rsid w:val="510F1C3C"/>
    <w:rsid w:val="51111A9C"/>
    <w:rsid w:val="512B156E"/>
    <w:rsid w:val="512F1E1F"/>
    <w:rsid w:val="51350EEF"/>
    <w:rsid w:val="51410238"/>
    <w:rsid w:val="514124C5"/>
    <w:rsid w:val="51477D68"/>
    <w:rsid w:val="514B017E"/>
    <w:rsid w:val="5151508A"/>
    <w:rsid w:val="515B3813"/>
    <w:rsid w:val="515C6A1C"/>
    <w:rsid w:val="51650DD1"/>
    <w:rsid w:val="516F2DB1"/>
    <w:rsid w:val="51744A4A"/>
    <w:rsid w:val="51750D79"/>
    <w:rsid w:val="5176689F"/>
    <w:rsid w:val="517D501A"/>
    <w:rsid w:val="517E2FD9"/>
    <w:rsid w:val="519B6306"/>
    <w:rsid w:val="519F4486"/>
    <w:rsid w:val="51A452F8"/>
    <w:rsid w:val="51A72EFC"/>
    <w:rsid w:val="51AC0951"/>
    <w:rsid w:val="51AF1064"/>
    <w:rsid w:val="51C43DED"/>
    <w:rsid w:val="51CB3A3C"/>
    <w:rsid w:val="51CC2BC2"/>
    <w:rsid w:val="51D830B6"/>
    <w:rsid w:val="51E205A4"/>
    <w:rsid w:val="51E53006"/>
    <w:rsid w:val="51E91DC3"/>
    <w:rsid w:val="51FC6F2A"/>
    <w:rsid w:val="51FF4AE6"/>
    <w:rsid w:val="520443D3"/>
    <w:rsid w:val="52185028"/>
    <w:rsid w:val="521E53AC"/>
    <w:rsid w:val="522A0EBE"/>
    <w:rsid w:val="523336B1"/>
    <w:rsid w:val="52377DDC"/>
    <w:rsid w:val="523C53F3"/>
    <w:rsid w:val="523F38F9"/>
    <w:rsid w:val="52401CE8"/>
    <w:rsid w:val="5242431B"/>
    <w:rsid w:val="524E4713"/>
    <w:rsid w:val="52531F13"/>
    <w:rsid w:val="52544998"/>
    <w:rsid w:val="52546BE0"/>
    <w:rsid w:val="52566E10"/>
    <w:rsid w:val="5259060C"/>
    <w:rsid w:val="525941F7"/>
    <w:rsid w:val="525B75EF"/>
    <w:rsid w:val="526202BC"/>
    <w:rsid w:val="526B5CD8"/>
    <w:rsid w:val="526C4F83"/>
    <w:rsid w:val="52706D8F"/>
    <w:rsid w:val="5275209D"/>
    <w:rsid w:val="52770B21"/>
    <w:rsid w:val="5279397B"/>
    <w:rsid w:val="5283444E"/>
    <w:rsid w:val="52861ACE"/>
    <w:rsid w:val="528C0F02"/>
    <w:rsid w:val="52951AB7"/>
    <w:rsid w:val="529E1C09"/>
    <w:rsid w:val="52A15F2B"/>
    <w:rsid w:val="52A376F1"/>
    <w:rsid w:val="52AF4A7B"/>
    <w:rsid w:val="52B32B6B"/>
    <w:rsid w:val="52B43B88"/>
    <w:rsid w:val="52DC6BD6"/>
    <w:rsid w:val="52E3570F"/>
    <w:rsid w:val="52E42A4A"/>
    <w:rsid w:val="52E609DD"/>
    <w:rsid w:val="52E64830"/>
    <w:rsid w:val="52FD1165"/>
    <w:rsid w:val="52FF78E7"/>
    <w:rsid w:val="53135EC7"/>
    <w:rsid w:val="53383D46"/>
    <w:rsid w:val="533D4580"/>
    <w:rsid w:val="53414FAA"/>
    <w:rsid w:val="53446786"/>
    <w:rsid w:val="536964DD"/>
    <w:rsid w:val="536A15F0"/>
    <w:rsid w:val="53716F4F"/>
    <w:rsid w:val="537231BE"/>
    <w:rsid w:val="53837B15"/>
    <w:rsid w:val="538746FC"/>
    <w:rsid w:val="538B37A2"/>
    <w:rsid w:val="538B6E42"/>
    <w:rsid w:val="538C495E"/>
    <w:rsid w:val="538E344F"/>
    <w:rsid w:val="5393377C"/>
    <w:rsid w:val="539347B3"/>
    <w:rsid w:val="53986C4A"/>
    <w:rsid w:val="539C673B"/>
    <w:rsid w:val="539E40EB"/>
    <w:rsid w:val="53A07C03"/>
    <w:rsid w:val="53A92F5C"/>
    <w:rsid w:val="53A95E44"/>
    <w:rsid w:val="53B11B75"/>
    <w:rsid w:val="53B25903"/>
    <w:rsid w:val="53B51901"/>
    <w:rsid w:val="53B82B75"/>
    <w:rsid w:val="53BC45AE"/>
    <w:rsid w:val="53BC62DF"/>
    <w:rsid w:val="53BD0653"/>
    <w:rsid w:val="53C15CC1"/>
    <w:rsid w:val="53C5255F"/>
    <w:rsid w:val="53E02CBD"/>
    <w:rsid w:val="53E127E4"/>
    <w:rsid w:val="53F75FFA"/>
    <w:rsid w:val="54036A69"/>
    <w:rsid w:val="54124273"/>
    <w:rsid w:val="54127D53"/>
    <w:rsid w:val="54145A91"/>
    <w:rsid w:val="54287F00"/>
    <w:rsid w:val="542907F9"/>
    <w:rsid w:val="542A78FC"/>
    <w:rsid w:val="542E48F7"/>
    <w:rsid w:val="54516500"/>
    <w:rsid w:val="546347BD"/>
    <w:rsid w:val="546B5E83"/>
    <w:rsid w:val="5473710C"/>
    <w:rsid w:val="548E7FE9"/>
    <w:rsid w:val="5490662A"/>
    <w:rsid w:val="549142D4"/>
    <w:rsid w:val="549C5809"/>
    <w:rsid w:val="54A0435F"/>
    <w:rsid w:val="54A1551C"/>
    <w:rsid w:val="54A32AA3"/>
    <w:rsid w:val="54A6749B"/>
    <w:rsid w:val="54A96BCA"/>
    <w:rsid w:val="54BD2943"/>
    <w:rsid w:val="54D03C93"/>
    <w:rsid w:val="54D6560F"/>
    <w:rsid w:val="54D96799"/>
    <w:rsid w:val="54DE09E3"/>
    <w:rsid w:val="54E12281"/>
    <w:rsid w:val="54E62666"/>
    <w:rsid w:val="54E66B22"/>
    <w:rsid w:val="54F0519B"/>
    <w:rsid w:val="54F86BA1"/>
    <w:rsid w:val="54FE741D"/>
    <w:rsid w:val="5503089E"/>
    <w:rsid w:val="5503317B"/>
    <w:rsid w:val="55055F70"/>
    <w:rsid w:val="551068BB"/>
    <w:rsid w:val="5519624B"/>
    <w:rsid w:val="55213750"/>
    <w:rsid w:val="55217476"/>
    <w:rsid w:val="552A5F48"/>
    <w:rsid w:val="55394246"/>
    <w:rsid w:val="553C1235"/>
    <w:rsid w:val="55484043"/>
    <w:rsid w:val="554B4D08"/>
    <w:rsid w:val="555571D9"/>
    <w:rsid w:val="55621D2B"/>
    <w:rsid w:val="556D5638"/>
    <w:rsid w:val="55750460"/>
    <w:rsid w:val="5580080A"/>
    <w:rsid w:val="55815FF0"/>
    <w:rsid w:val="55872E29"/>
    <w:rsid w:val="558879FE"/>
    <w:rsid w:val="559674D1"/>
    <w:rsid w:val="55A3492C"/>
    <w:rsid w:val="55A3500D"/>
    <w:rsid w:val="55A51501"/>
    <w:rsid w:val="55B40C38"/>
    <w:rsid w:val="55BE092C"/>
    <w:rsid w:val="55C63691"/>
    <w:rsid w:val="55E6064E"/>
    <w:rsid w:val="55E71B19"/>
    <w:rsid w:val="55E86AB6"/>
    <w:rsid w:val="55F606BA"/>
    <w:rsid w:val="55FB173A"/>
    <w:rsid w:val="55FB7808"/>
    <w:rsid w:val="55FF4B9F"/>
    <w:rsid w:val="55FF50B5"/>
    <w:rsid w:val="56080E28"/>
    <w:rsid w:val="56125ED4"/>
    <w:rsid w:val="56176B82"/>
    <w:rsid w:val="561850A2"/>
    <w:rsid w:val="561B0C94"/>
    <w:rsid w:val="561F0A4B"/>
    <w:rsid w:val="56364D1F"/>
    <w:rsid w:val="563A3F75"/>
    <w:rsid w:val="563D4B66"/>
    <w:rsid w:val="563D798B"/>
    <w:rsid w:val="56484DC9"/>
    <w:rsid w:val="564C1E6A"/>
    <w:rsid w:val="566903DB"/>
    <w:rsid w:val="56743A94"/>
    <w:rsid w:val="567809C3"/>
    <w:rsid w:val="568832FC"/>
    <w:rsid w:val="569212CF"/>
    <w:rsid w:val="569306BF"/>
    <w:rsid w:val="56950D77"/>
    <w:rsid w:val="569951D6"/>
    <w:rsid w:val="569E3803"/>
    <w:rsid w:val="56A31E28"/>
    <w:rsid w:val="56A4075B"/>
    <w:rsid w:val="56A53892"/>
    <w:rsid w:val="56AD75FB"/>
    <w:rsid w:val="56C51E9D"/>
    <w:rsid w:val="56C65BD3"/>
    <w:rsid w:val="56C71313"/>
    <w:rsid w:val="56D61A64"/>
    <w:rsid w:val="56DB7600"/>
    <w:rsid w:val="56DC53F6"/>
    <w:rsid w:val="56EF5668"/>
    <w:rsid w:val="56FB2217"/>
    <w:rsid w:val="57272B15"/>
    <w:rsid w:val="573A28E4"/>
    <w:rsid w:val="574F2519"/>
    <w:rsid w:val="575A7321"/>
    <w:rsid w:val="575B4A1C"/>
    <w:rsid w:val="575C5753"/>
    <w:rsid w:val="57606126"/>
    <w:rsid w:val="57634C6A"/>
    <w:rsid w:val="5765128E"/>
    <w:rsid w:val="576A6CED"/>
    <w:rsid w:val="57831C50"/>
    <w:rsid w:val="57861C50"/>
    <w:rsid w:val="57871F21"/>
    <w:rsid w:val="578816B4"/>
    <w:rsid w:val="578F2469"/>
    <w:rsid w:val="579E3BFF"/>
    <w:rsid w:val="57A85800"/>
    <w:rsid w:val="57B64202"/>
    <w:rsid w:val="57BA277F"/>
    <w:rsid w:val="57BD51B8"/>
    <w:rsid w:val="57BE4AFC"/>
    <w:rsid w:val="57CA16F3"/>
    <w:rsid w:val="57CA5A63"/>
    <w:rsid w:val="57CE5D38"/>
    <w:rsid w:val="57CF0AB7"/>
    <w:rsid w:val="57E36383"/>
    <w:rsid w:val="57E74D5A"/>
    <w:rsid w:val="580F2590"/>
    <w:rsid w:val="58207565"/>
    <w:rsid w:val="5822508B"/>
    <w:rsid w:val="58226E39"/>
    <w:rsid w:val="5822724B"/>
    <w:rsid w:val="58251B81"/>
    <w:rsid w:val="582C2B4A"/>
    <w:rsid w:val="582D2DC0"/>
    <w:rsid w:val="582E3A30"/>
    <w:rsid w:val="58447E3B"/>
    <w:rsid w:val="584973B6"/>
    <w:rsid w:val="584F0BFF"/>
    <w:rsid w:val="58543064"/>
    <w:rsid w:val="585C6251"/>
    <w:rsid w:val="587A7C9E"/>
    <w:rsid w:val="587E53C1"/>
    <w:rsid w:val="587F423F"/>
    <w:rsid w:val="589A10C5"/>
    <w:rsid w:val="58A56266"/>
    <w:rsid w:val="58A75C55"/>
    <w:rsid w:val="58B10670"/>
    <w:rsid w:val="58B323EC"/>
    <w:rsid w:val="58B91A08"/>
    <w:rsid w:val="58D058FC"/>
    <w:rsid w:val="58D5034F"/>
    <w:rsid w:val="58D565A1"/>
    <w:rsid w:val="58D56AD8"/>
    <w:rsid w:val="58DA6810"/>
    <w:rsid w:val="58DF27DB"/>
    <w:rsid w:val="58EF3B48"/>
    <w:rsid w:val="58F26A30"/>
    <w:rsid w:val="58F702C5"/>
    <w:rsid w:val="58FF174C"/>
    <w:rsid w:val="590645DA"/>
    <w:rsid w:val="590820BB"/>
    <w:rsid w:val="590E6ACF"/>
    <w:rsid w:val="591314FA"/>
    <w:rsid w:val="591F5A9C"/>
    <w:rsid w:val="592C528D"/>
    <w:rsid w:val="59432025"/>
    <w:rsid w:val="594E6188"/>
    <w:rsid w:val="59502709"/>
    <w:rsid w:val="59617E35"/>
    <w:rsid w:val="5965348E"/>
    <w:rsid w:val="5968439D"/>
    <w:rsid w:val="596A0289"/>
    <w:rsid w:val="596B480F"/>
    <w:rsid w:val="597D4965"/>
    <w:rsid w:val="597D4C6F"/>
    <w:rsid w:val="59870C42"/>
    <w:rsid w:val="598846BE"/>
    <w:rsid w:val="59887E20"/>
    <w:rsid w:val="598A113A"/>
    <w:rsid w:val="59A73D6B"/>
    <w:rsid w:val="59B44408"/>
    <w:rsid w:val="59B8661C"/>
    <w:rsid w:val="59C363FA"/>
    <w:rsid w:val="59C86BAF"/>
    <w:rsid w:val="59E03791"/>
    <w:rsid w:val="59E90106"/>
    <w:rsid w:val="5A0174AA"/>
    <w:rsid w:val="5A032C9A"/>
    <w:rsid w:val="5A041F9C"/>
    <w:rsid w:val="5A07277D"/>
    <w:rsid w:val="5A0B7E14"/>
    <w:rsid w:val="5A112C7A"/>
    <w:rsid w:val="5A1C5FBD"/>
    <w:rsid w:val="5A241579"/>
    <w:rsid w:val="5A39637B"/>
    <w:rsid w:val="5A3F0176"/>
    <w:rsid w:val="5A4178F3"/>
    <w:rsid w:val="5A4A01F0"/>
    <w:rsid w:val="5A4B6B1B"/>
    <w:rsid w:val="5A55237A"/>
    <w:rsid w:val="5A571237"/>
    <w:rsid w:val="5A744DB9"/>
    <w:rsid w:val="5A7E7147"/>
    <w:rsid w:val="5A885626"/>
    <w:rsid w:val="5A9102A6"/>
    <w:rsid w:val="5AA4447D"/>
    <w:rsid w:val="5AA93FD1"/>
    <w:rsid w:val="5AAA5CBE"/>
    <w:rsid w:val="5AAC5686"/>
    <w:rsid w:val="5AB277EC"/>
    <w:rsid w:val="5AB93F0C"/>
    <w:rsid w:val="5ABD5BE9"/>
    <w:rsid w:val="5AC3633A"/>
    <w:rsid w:val="5AE07A0A"/>
    <w:rsid w:val="5AEA3C95"/>
    <w:rsid w:val="5AF25B13"/>
    <w:rsid w:val="5AF5778B"/>
    <w:rsid w:val="5AFC5403"/>
    <w:rsid w:val="5B0950C2"/>
    <w:rsid w:val="5B113E9E"/>
    <w:rsid w:val="5B156152"/>
    <w:rsid w:val="5B247817"/>
    <w:rsid w:val="5B323B2C"/>
    <w:rsid w:val="5B402790"/>
    <w:rsid w:val="5B4A24A8"/>
    <w:rsid w:val="5B576F80"/>
    <w:rsid w:val="5B5A452A"/>
    <w:rsid w:val="5B61290C"/>
    <w:rsid w:val="5B6C4D6C"/>
    <w:rsid w:val="5B8027F4"/>
    <w:rsid w:val="5B865F53"/>
    <w:rsid w:val="5B8B4EDF"/>
    <w:rsid w:val="5B8F2D2A"/>
    <w:rsid w:val="5B957F1C"/>
    <w:rsid w:val="5B984E7B"/>
    <w:rsid w:val="5B9A08D9"/>
    <w:rsid w:val="5B9A09B7"/>
    <w:rsid w:val="5B9F7409"/>
    <w:rsid w:val="5BA55137"/>
    <w:rsid w:val="5BB4249E"/>
    <w:rsid w:val="5BB57FC4"/>
    <w:rsid w:val="5BB902EE"/>
    <w:rsid w:val="5BBA5DF3"/>
    <w:rsid w:val="5BBD4DAC"/>
    <w:rsid w:val="5BCA1AA2"/>
    <w:rsid w:val="5BCB1ED2"/>
    <w:rsid w:val="5BCD355F"/>
    <w:rsid w:val="5BD2759D"/>
    <w:rsid w:val="5BD4669C"/>
    <w:rsid w:val="5BD75AB2"/>
    <w:rsid w:val="5BD91F04"/>
    <w:rsid w:val="5BE55298"/>
    <w:rsid w:val="5BE90452"/>
    <w:rsid w:val="5BF0608B"/>
    <w:rsid w:val="5C05333F"/>
    <w:rsid w:val="5C05719D"/>
    <w:rsid w:val="5C0F5E9D"/>
    <w:rsid w:val="5C190436"/>
    <w:rsid w:val="5C1A0524"/>
    <w:rsid w:val="5C1C61D8"/>
    <w:rsid w:val="5C2E46FC"/>
    <w:rsid w:val="5C405F6E"/>
    <w:rsid w:val="5C453983"/>
    <w:rsid w:val="5C4708E2"/>
    <w:rsid w:val="5C4E5704"/>
    <w:rsid w:val="5C550F13"/>
    <w:rsid w:val="5C5958C8"/>
    <w:rsid w:val="5C597B2B"/>
    <w:rsid w:val="5C5B5C22"/>
    <w:rsid w:val="5C602626"/>
    <w:rsid w:val="5C60665C"/>
    <w:rsid w:val="5C630585"/>
    <w:rsid w:val="5C6519EA"/>
    <w:rsid w:val="5C6A307B"/>
    <w:rsid w:val="5C7B6BAF"/>
    <w:rsid w:val="5C7D3833"/>
    <w:rsid w:val="5C7D3B22"/>
    <w:rsid w:val="5C7F3C7D"/>
    <w:rsid w:val="5C82028D"/>
    <w:rsid w:val="5C877BB2"/>
    <w:rsid w:val="5C8956D8"/>
    <w:rsid w:val="5C8E73AF"/>
    <w:rsid w:val="5C8F0B89"/>
    <w:rsid w:val="5C8F70D8"/>
    <w:rsid w:val="5C9347A9"/>
    <w:rsid w:val="5C940E82"/>
    <w:rsid w:val="5CBA3AE4"/>
    <w:rsid w:val="5CBD605E"/>
    <w:rsid w:val="5CBF559E"/>
    <w:rsid w:val="5CC23F95"/>
    <w:rsid w:val="5CC6209F"/>
    <w:rsid w:val="5CC934CD"/>
    <w:rsid w:val="5CCC346B"/>
    <w:rsid w:val="5CD14553"/>
    <w:rsid w:val="5CDF6D30"/>
    <w:rsid w:val="5CE809FE"/>
    <w:rsid w:val="5CEC7C13"/>
    <w:rsid w:val="5D09051F"/>
    <w:rsid w:val="5D127FA0"/>
    <w:rsid w:val="5D13446D"/>
    <w:rsid w:val="5D193F9A"/>
    <w:rsid w:val="5D2D470B"/>
    <w:rsid w:val="5D2E2753"/>
    <w:rsid w:val="5D2E5553"/>
    <w:rsid w:val="5D4F6922"/>
    <w:rsid w:val="5D503B28"/>
    <w:rsid w:val="5D563BED"/>
    <w:rsid w:val="5D5777EC"/>
    <w:rsid w:val="5D6E48CE"/>
    <w:rsid w:val="5D704D3A"/>
    <w:rsid w:val="5D81328C"/>
    <w:rsid w:val="5D883BE2"/>
    <w:rsid w:val="5D8A795A"/>
    <w:rsid w:val="5D8B1FAD"/>
    <w:rsid w:val="5D8F6D1E"/>
    <w:rsid w:val="5D916F3A"/>
    <w:rsid w:val="5D96697A"/>
    <w:rsid w:val="5DA94BB6"/>
    <w:rsid w:val="5DB513FB"/>
    <w:rsid w:val="5DCD08A5"/>
    <w:rsid w:val="5DD850BE"/>
    <w:rsid w:val="5DE25438"/>
    <w:rsid w:val="5DE60909"/>
    <w:rsid w:val="5DEC0CDE"/>
    <w:rsid w:val="5DF40455"/>
    <w:rsid w:val="5DF5627F"/>
    <w:rsid w:val="5DFE5C52"/>
    <w:rsid w:val="5E0A7C13"/>
    <w:rsid w:val="5E0B0AD6"/>
    <w:rsid w:val="5E0C4813"/>
    <w:rsid w:val="5E122D21"/>
    <w:rsid w:val="5E207B58"/>
    <w:rsid w:val="5E321B48"/>
    <w:rsid w:val="5E327DFC"/>
    <w:rsid w:val="5E3D7C41"/>
    <w:rsid w:val="5E4254E9"/>
    <w:rsid w:val="5E463726"/>
    <w:rsid w:val="5E464AD9"/>
    <w:rsid w:val="5E4A70E9"/>
    <w:rsid w:val="5E581500"/>
    <w:rsid w:val="5E736640"/>
    <w:rsid w:val="5E79177D"/>
    <w:rsid w:val="5E7B3747"/>
    <w:rsid w:val="5E830395"/>
    <w:rsid w:val="5E8B006E"/>
    <w:rsid w:val="5E8B37F3"/>
    <w:rsid w:val="5E940762"/>
    <w:rsid w:val="5E9D6647"/>
    <w:rsid w:val="5EAF3975"/>
    <w:rsid w:val="5EB61B49"/>
    <w:rsid w:val="5EC62C14"/>
    <w:rsid w:val="5ED10064"/>
    <w:rsid w:val="5EDA3B4B"/>
    <w:rsid w:val="5EDA5D8B"/>
    <w:rsid w:val="5EE0439E"/>
    <w:rsid w:val="5EE16C35"/>
    <w:rsid w:val="5EEA61D6"/>
    <w:rsid w:val="5EFC152A"/>
    <w:rsid w:val="5F112D8A"/>
    <w:rsid w:val="5F341C71"/>
    <w:rsid w:val="5F411371"/>
    <w:rsid w:val="5F431C58"/>
    <w:rsid w:val="5F4D6E91"/>
    <w:rsid w:val="5F522A8A"/>
    <w:rsid w:val="5F5D3B71"/>
    <w:rsid w:val="5F615571"/>
    <w:rsid w:val="5F655DAB"/>
    <w:rsid w:val="5F685A79"/>
    <w:rsid w:val="5F7268F8"/>
    <w:rsid w:val="5F7438CB"/>
    <w:rsid w:val="5F7C5773"/>
    <w:rsid w:val="5F8B0570"/>
    <w:rsid w:val="5F8C082C"/>
    <w:rsid w:val="5F8C391F"/>
    <w:rsid w:val="5F95583C"/>
    <w:rsid w:val="5FA1646A"/>
    <w:rsid w:val="5FB4304D"/>
    <w:rsid w:val="5FB94527"/>
    <w:rsid w:val="5FC44E2A"/>
    <w:rsid w:val="5FC6622C"/>
    <w:rsid w:val="5FD21C77"/>
    <w:rsid w:val="5FD924D3"/>
    <w:rsid w:val="5FE27ACF"/>
    <w:rsid w:val="5FE70A4B"/>
    <w:rsid w:val="5FEF619A"/>
    <w:rsid w:val="5FF54EEA"/>
    <w:rsid w:val="5FF773A9"/>
    <w:rsid w:val="5FFD7DE8"/>
    <w:rsid w:val="601610DA"/>
    <w:rsid w:val="601675AC"/>
    <w:rsid w:val="6025377E"/>
    <w:rsid w:val="602C045F"/>
    <w:rsid w:val="602D7E3E"/>
    <w:rsid w:val="603218A9"/>
    <w:rsid w:val="60353ADA"/>
    <w:rsid w:val="6038672D"/>
    <w:rsid w:val="603C73ED"/>
    <w:rsid w:val="603E364A"/>
    <w:rsid w:val="60402F83"/>
    <w:rsid w:val="60591866"/>
    <w:rsid w:val="605B1E44"/>
    <w:rsid w:val="606C29F4"/>
    <w:rsid w:val="606C2C8F"/>
    <w:rsid w:val="60716BAF"/>
    <w:rsid w:val="607459D0"/>
    <w:rsid w:val="60763A79"/>
    <w:rsid w:val="607C6844"/>
    <w:rsid w:val="607F642D"/>
    <w:rsid w:val="608003EA"/>
    <w:rsid w:val="60816518"/>
    <w:rsid w:val="608C0487"/>
    <w:rsid w:val="60A8357B"/>
    <w:rsid w:val="60AE2C77"/>
    <w:rsid w:val="60BA2960"/>
    <w:rsid w:val="60BA5919"/>
    <w:rsid w:val="60BF3D90"/>
    <w:rsid w:val="60C27E22"/>
    <w:rsid w:val="60DD3A26"/>
    <w:rsid w:val="60E213D6"/>
    <w:rsid w:val="60EE553E"/>
    <w:rsid w:val="60F94514"/>
    <w:rsid w:val="61010588"/>
    <w:rsid w:val="61080514"/>
    <w:rsid w:val="61170BD6"/>
    <w:rsid w:val="61204499"/>
    <w:rsid w:val="61277D1A"/>
    <w:rsid w:val="612968C7"/>
    <w:rsid w:val="612A5C2C"/>
    <w:rsid w:val="61354C2B"/>
    <w:rsid w:val="61355E2F"/>
    <w:rsid w:val="614C7797"/>
    <w:rsid w:val="615122FF"/>
    <w:rsid w:val="615C2068"/>
    <w:rsid w:val="615E6EB0"/>
    <w:rsid w:val="61693D2A"/>
    <w:rsid w:val="61714AF2"/>
    <w:rsid w:val="617157EF"/>
    <w:rsid w:val="61870A0B"/>
    <w:rsid w:val="61873256"/>
    <w:rsid w:val="618D23FE"/>
    <w:rsid w:val="61942060"/>
    <w:rsid w:val="619A1CC6"/>
    <w:rsid w:val="619E0BB2"/>
    <w:rsid w:val="61A00E13"/>
    <w:rsid w:val="61A20385"/>
    <w:rsid w:val="61A74DDB"/>
    <w:rsid w:val="61AB4343"/>
    <w:rsid w:val="61BA5B6C"/>
    <w:rsid w:val="61CA69A5"/>
    <w:rsid w:val="61CB179F"/>
    <w:rsid w:val="61CE1DDF"/>
    <w:rsid w:val="61D20753"/>
    <w:rsid w:val="61D41430"/>
    <w:rsid w:val="61D60C14"/>
    <w:rsid w:val="61E30F2A"/>
    <w:rsid w:val="61E34544"/>
    <w:rsid w:val="61EB73DC"/>
    <w:rsid w:val="61FA1EC6"/>
    <w:rsid w:val="61FD3ED8"/>
    <w:rsid w:val="62051CA5"/>
    <w:rsid w:val="62130374"/>
    <w:rsid w:val="62140B89"/>
    <w:rsid w:val="621E11AD"/>
    <w:rsid w:val="62293945"/>
    <w:rsid w:val="6230510D"/>
    <w:rsid w:val="62337403"/>
    <w:rsid w:val="623F15C0"/>
    <w:rsid w:val="62404A8B"/>
    <w:rsid w:val="62487DE4"/>
    <w:rsid w:val="624A106F"/>
    <w:rsid w:val="624C0A27"/>
    <w:rsid w:val="624D4635"/>
    <w:rsid w:val="625C58C6"/>
    <w:rsid w:val="6263230B"/>
    <w:rsid w:val="626866FE"/>
    <w:rsid w:val="626A7C77"/>
    <w:rsid w:val="626C104E"/>
    <w:rsid w:val="627322FB"/>
    <w:rsid w:val="627666FF"/>
    <w:rsid w:val="62772441"/>
    <w:rsid w:val="62791502"/>
    <w:rsid w:val="627F1633"/>
    <w:rsid w:val="62867AA6"/>
    <w:rsid w:val="629B6418"/>
    <w:rsid w:val="62A0321E"/>
    <w:rsid w:val="62A27A19"/>
    <w:rsid w:val="62A750F4"/>
    <w:rsid w:val="62B3440B"/>
    <w:rsid w:val="62BC3EB0"/>
    <w:rsid w:val="62CE0729"/>
    <w:rsid w:val="62CF550E"/>
    <w:rsid w:val="62D022B3"/>
    <w:rsid w:val="62DE0F63"/>
    <w:rsid w:val="62E551E2"/>
    <w:rsid w:val="62EC5C2F"/>
    <w:rsid w:val="63004992"/>
    <w:rsid w:val="6304076A"/>
    <w:rsid w:val="630858F8"/>
    <w:rsid w:val="631B0CBA"/>
    <w:rsid w:val="631C1056"/>
    <w:rsid w:val="63262301"/>
    <w:rsid w:val="633043AF"/>
    <w:rsid w:val="63365E8E"/>
    <w:rsid w:val="63387E58"/>
    <w:rsid w:val="633D6BC2"/>
    <w:rsid w:val="63415C5C"/>
    <w:rsid w:val="6344460C"/>
    <w:rsid w:val="634E0757"/>
    <w:rsid w:val="6360460B"/>
    <w:rsid w:val="6370227B"/>
    <w:rsid w:val="63732C3E"/>
    <w:rsid w:val="637844DC"/>
    <w:rsid w:val="637C7D45"/>
    <w:rsid w:val="638035D4"/>
    <w:rsid w:val="63836F3A"/>
    <w:rsid w:val="638D4142"/>
    <w:rsid w:val="638E3ABB"/>
    <w:rsid w:val="63AD5DD7"/>
    <w:rsid w:val="63BE46AF"/>
    <w:rsid w:val="63C62EBC"/>
    <w:rsid w:val="63CE3DE0"/>
    <w:rsid w:val="63CE58D0"/>
    <w:rsid w:val="63D843DB"/>
    <w:rsid w:val="63DB3562"/>
    <w:rsid w:val="63E21FE9"/>
    <w:rsid w:val="63FB446A"/>
    <w:rsid w:val="63FB7E15"/>
    <w:rsid w:val="64050005"/>
    <w:rsid w:val="640E4F6F"/>
    <w:rsid w:val="64132628"/>
    <w:rsid w:val="64146902"/>
    <w:rsid w:val="641612C9"/>
    <w:rsid w:val="64282D87"/>
    <w:rsid w:val="64310E2C"/>
    <w:rsid w:val="64370110"/>
    <w:rsid w:val="643F0DC9"/>
    <w:rsid w:val="6454612A"/>
    <w:rsid w:val="645B56F0"/>
    <w:rsid w:val="645C14D9"/>
    <w:rsid w:val="64680E0B"/>
    <w:rsid w:val="64682F28"/>
    <w:rsid w:val="64721148"/>
    <w:rsid w:val="647647C1"/>
    <w:rsid w:val="647B624F"/>
    <w:rsid w:val="647D5CD9"/>
    <w:rsid w:val="64835413"/>
    <w:rsid w:val="648A46E4"/>
    <w:rsid w:val="648B6636"/>
    <w:rsid w:val="64967C7F"/>
    <w:rsid w:val="649F43C3"/>
    <w:rsid w:val="64B21544"/>
    <w:rsid w:val="64BF74AD"/>
    <w:rsid w:val="64C002CD"/>
    <w:rsid w:val="64C6151F"/>
    <w:rsid w:val="64CE4121"/>
    <w:rsid w:val="64DD4813"/>
    <w:rsid w:val="64DF6B47"/>
    <w:rsid w:val="64EA30FA"/>
    <w:rsid w:val="650C6EA7"/>
    <w:rsid w:val="650D2572"/>
    <w:rsid w:val="650F6997"/>
    <w:rsid w:val="651363E4"/>
    <w:rsid w:val="65171AF0"/>
    <w:rsid w:val="65172DA7"/>
    <w:rsid w:val="651F7D11"/>
    <w:rsid w:val="65235162"/>
    <w:rsid w:val="652A76A4"/>
    <w:rsid w:val="65330D60"/>
    <w:rsid w:val="65407A0F"/>
    <w:rsid w:val="6558733B"/>
    <w:rsid w:val="655A5FF7"/>
    <w:rsid w:val="656071F2"/>
    <w:rsid w:val="657A6B85"/>
    <w:rsid w:val="6585096D"/>
    <w:rsid w:val="659200E3"/>
    <w:rsid w:val="6599413B"/>
    <w:rsid w:val="65A93AEA"/>
    <w:rsid w:val="65B739EC"/>
    <w:rsid w:val="65BF5C8F"/>
    <w:rsid w:val="65CB0B10"/>
    <w:rsid w:val="65CB1327"/>
    <w:rsid w:val="65D248F4"/>
    <w:rsid w:val="65D639F8"/>
    <w:rsid w:val="65D822C1"/>
    <w:rsid w:val="65E055BC"/>
    <w:rsid w:val="65F012DD"/>
    <w:rsid w:val="65F82C6C"/>
    <w:rsid w:val="65FA04E6"/>
    <w:rsid w:val="660846E6"/>
    <w:rsid w:val="66155F50"/>
    <w:rsid w:val="662E332D"/>
    <w:rsid w:val="663B69C4"/>
    <w:rsid w:val="663C1A0D"/>
    <w:rsid w:val="665A1AAA"/>
    <w:rsid w:val="666F3F89"/>
    <w:rsid w:val="66722A8A"/>
    <w:rsid w:val="66725C36"/>
    <w:rsid w:val="66845C57"/>
    <w:rsid w:val="66890422"/>
    <w:rsid w:val="669F17D2"/>
    <w:rsid w:val="66A80CC8"/>
    <w:rsid w:val="66A8411A"/>
    <w:rsid w:val="66AB4DF2"/>
    <w:rsid w:val="66B85DE7"/>
    <w:rsid w:val="66C03FBD"/>
    <w:rsid w:val="66C35995"/>
    <w:rsid w:val="66C7514F"/>
    <w:rsid w:val="66D77CE6"/>
    <w:rsid w:val="66EB5B82"/>
    <w:rsid w:val="6708720F"/>
    <w:rsid w:val="67120E9E"/>
    <w:rsid w:val="67164125"/>
    <w:rsid w:val="67213E84"/>
    <w:rsid w:val="6722430F"/>
    <w:rsid w:val="67272DB3"/>
    <w:rsid w:val="67306444"/>
    <w:rsid w:val="67316DA2"/>
    <w:rsid w:val="6737292B"/>
    <w:rsid w:val="673B00EB"/>
    <w:rsid w:val="673C62B4"/>
    <w:rsid w:val="673F2D5D"/>
    <w:rsid w:val="6743358B"/>
    <w:rsid w:val="674C42BD"/>
    <w:rsid w:val="6751773B"/>
    <w:rsid w:val="6754326C"/>
    <w:rsid w:val="67554F40"/>
    <w:rsid w:val="6759586E"/>
    <w:rsid w:val="675C5183"/>
    <w:rsid w:val="676A2DDC"/>
    <w:rsid w:val="676C2442"/>
    <w:rsid w:val="677A27ED"/>
    <w:rsid w:val="677B2C4D"/>
    <w:rsid w:val="678C06FD"/>
    <w:rsid w:val="678D7F9E"/>
    <w:rsid w:val="679D4CF7"/>
    <w:rsid w:val="67AB6E4B"/>
    <w:rsid w:val="67B35750"/>
    <w:rsid w:val="67B524DA"/>
    <w:rsid w:val="67BD092C"/>
    <w:rsid w:val="67C02C18"/>
    <w:rsid w:val="67C15585"/>
    <w:rsid w:val="67D34322"/>
    <w:rsid w:val="67E4235D"/>
    <w:rsid w:val="67F72037"/>
    <w:rsid w:val="67FD38DD"/>
    <w:rsid w:val="680A39FF"/>
    <w:rsid w:val="680D5952"/>
    <w:rsid w:val="68140955"/>
    <w:rsid w:val="6817628E"/>
    <w:rsid w:val="681A1141"/>
    <w:rsid w:val="681F412C"/>
    <w:rsid w:val="68224AD1"/>
    <w:rsid w:val="68364600"/>
    <w:rsid w:val="683910B1"/>
    <w:rsid w:val="683948F6"/>
    <w:rsid w:val="683B7D40"/>
    <w:rsid w:val="68403510"/>
    <w:rsid w:val="684E73BD"/>
    <w:rsid w:val="685272C6"/>
    <w:rsid w:val="685A077A"/>
    <w:rsid w:val="685E5C6B"/>
    <w:rsid w:val="6860521B"/>
    <w:rsid w:val="68674F05"/>
    <w:rsid w:val="686A3AA5"/>
    <w:rsid w:val="687D7DEE"/>
    <w:rsid w:val="68936871"/>
    <w:rsid w:val="689615CB"/>
    <w:rsid w:val="68961CEF"/>
    <w:rsid w:val="68A570AF"/>
    <w:rsid w:val="68AD2AD2"/>
    <w:rsid w:val="68B45B62"/>
    <w:rsid w:val="68C00241"/>
    <w:rsid w:val="68D10A1C"/>
    <w:rsid w:val="68D859C7"/>
    <w:rsid w:val="68DF0914"/>
    <w:rsid w:val="68EC20A8"/>
    <w:rsid w:val="68F42334"/>
    <w:rsid w:val="68FD2E6C"/>
    <w:rsid w:val="690371D5"/>
    <w:rsid w:val="690F3FB5"/>
    <w:rsid w:val="69162CF0"/>
    <w:rsid w:val="691F746E"/>
    <w:rsid w:val="691F7933"/>
    <w:rsid w:val="69240DCF"/>
    <w:rsid w:val="692A63BE"/>
    <w:rsid w:val="69335360"/>
    <w:rsid w:val="69416AAB"/>
    <w:rsid w:val="694655CB"/>
    <w:rsid w:val="694B441D"/>
    <w:rsid w:val="69526F04"/>
    <w:rsid w:val="6953024D"/>
    <w:rsid w:val="69564E57"/>
    <w:rsid w:val="696B3309"/>
    <w:rsid w:val="696E26CF"/>
    <w:rsid w:val="696F3EA8"/>
    <w:rsid w:val="697D5532"/>
    <w:rsid w:val="69841670"/>
    <w:rsid w:val="698C6BE4"/>
    <w:rsid w:val="69934D1F"/>
    <w:rsid w:val="6995297C"/>
    <w:rsid w:val="699658D9"/>
    <w:rsid w:val="69995F28"/>
    <w:rsid w:val="699C2075"/>
    <w:rsid w:val="69A00A1D"/>
    <w:rsid w:val="69A73642"/>
    <w:rsid w:val="69A94A5E"/>
    <w:rsid w:val="69AC5625"/>
    <w:rsid w:val="69B535F6"/>
    <w:rsid w:val="69C266CE"/>
    <w:rsid w:val="69C63A4C"/>
    <w:rsid w:val="69C83CE4"/>
    <w:rsid w:val="69CB5B2D"/>
    <w:rsid w:val="69D16911"/>
    <w:rsid w:val="69E36A69"/>
    <w:rsid w:val="69E752E1"/>
    <w:rsid w:val="69EC1412"/>
    <w:rsid w:val="69F43222"/>
    <w:rsid w:val="69F55E93"/>
    <w:rsid w:val="69FC46E6"/>
    <w:rsid w:val="69FD46D7"/>
    <w:rsid w:val="6A086F97"/>
    <w:rsid w:val="6A1E32C0"/>
    <w:rsid w:val="6A201237"/>
    <w:rsid w:val="6A28325A"/>
    <w:rsid w:val="6A302E5C"/>
    <w:rsid w:val="6A303B47"/>
    <w:rsid w:val="6A4175F2"/>
    <w:rsid w:val="6A48205B"/>
    <w:rsid w:val="6A572F4E"/>
    <w:rsid w:val="6A5D745E"/>
    <w:rsid w:val="6A6136E2"/>
    <w:rsid w:val="6A6807A7"/>
    <w:rsid w:val="6A8B3798"/>
    <w:rsid w:val="6AA27B89"/>
    <w:rsid w:val="6AC7523F"/>
    <w:rsid w:val="6ACD4B93"/>
    <w:rsid w:val="6ACF6504"/>
    <w:rsid w:val="6AD77142"/>
    <w:rsid w:val="6AE27E2E"/>
    <w:rsid w:val="6AE61DAD"/>
    <w:rsid w:val="6AEA7C8A"/>
    <w:rsid w:val="6AEB57B0"/>
    <w:rsid w:val="6AF120A0"/>
    <w:rsid w:val="6AF1726A"/>
    <w:rsid w:val="6B016237"/>
    <w:rsid w:val="6B187B5F"/>
    <w:rsid w:val="6B2111EB"/>
    <w:rsid w:val="6B2807B2"/>
    <w:rsid w:val="6B29190F"/>
    <w:rsid w:val="6B2B454C"/>
    <w:rsid w:val="6B3E66B1"/>
    <w:rsid w:val="6B4A697B"/>
    <w:rsid w:val="6B5236CE"/>
    <w:rsid w:val="6B5E30F6"/>
    <w:rsid w:val="6B60619E"/>
    <w:rsid w:val="6B6326F6"/>
    <w:rsid w:val="6B7739CC"/>
    <w:rsid w:val="6B7D0485"/>
    <w:rsid w:val="6B814A32"/>
    <w:rsid w:val="6B843989"/>
    <w:rsid w:val="6B875286"/>
    <w:rsid w:val="6B972E34"/>
    <w:rsid w:val="6B9B3407"/>
    <w:rsid w:val="6B9D6AAA"/>
    <w:rsid w:val="6BA72998"/>
    <w:rsid w:val="6BA75B7B"/>
    <w:rsid w:val="6BB12556"/>
    <w:rsid w:val="6BB472CC"/>
    <w:rsid w:val="6BCE7FCB"/>
    <w:rsid w:val="6BCF3E8A"/>
    <w:rsid w:val="6BE2506D"/>
    <w:rsid w:val="6BF55C4E"/>
    <w:rsid w:val="6BFD5511"/>
    <w:rsid w:val="6BFE1D76"/>
    <w:rsid w:val="6C034BD8"/>
    <w:rsid w:val="6C1D10D0"/>
    <w:rsid w:val="6C1F4726"/>
    <w:rsid w:val="6C2D0BF5"/>
    <w:rsid w:val="6C2D6302"/>
    <w:rsid w:val="6C3C2767"/>
    <w:rsid w:val="6C403A34"/>
    <w:rsid w:val="6C45090D"/>
    <w:rsid w:val="6C4A50B9"/>
    <w:rsid w:val="6C513E49"/>
    <w:rsid w:val="6C564F9A"/>
    <w:rsid w:val="6C5814A6"/>
    <w:rsid w:val="6C594BFD"/>
    <w:rsid w:val="6C682153"/>
    <w:rsid w:val="6C710D22"/>
    <w:rsid w:val="6C721D8C"/>
    <w:rsid w:val="6C762552"/>
    <w:rsid w:val="6C7926A6"/>
    <w:rsid w:val="6C841E4F"/>
    <w:rsid w:val="6C866612"/>
    <w:rsid w:val="6C8C72D3"/>
    <w:rsid w:val="6C9617C5"/>
    <w:rsid w:val="6C984095"/>
    <w:rsid w:val="6CA100C9"/>
    <w:rsid w:val="6CA34A14"/>
    <w:rsid w:val="6CA74D30"/>
    <w:rsid w:val="6CAB479F"/>
    <w:rsid w:val="6CB5791E"/>
    <w:rsid w:val="6CC44733"/>
    <w:rsid w:val="6CDE028F"/>
    <w:rsid w:val="6CDF6882"/>
    <w:rsid w:val="6CE069F7"/>
    <w:rsid w:val="6CE24BAE"/>
    <w:rsid w:val="6CF50B68"/>
    <w:rsid w:val="6D034BB4"/>
    <w:rsid w:val="6D0A4613"/>
    <w:rsid w:val="6D196605"/>
    <w:rsid w:val="6D356589"/>
    <w:rsid w:val="6D373701"/>
    <w:rsid w:val="6D486EEA"/>
    <w:rsid w:val="6D532D5E"/>
    <w:rsid w:val="6D535020"/>
    <w:rsid w:val="6D5653A5"/>
    <w:rsid w:val="6D621CE7"/>
    <w:rsid w:val="6D63226D"/>
    <w:rsid w:val="6D6830E8"/>
    <w:rsid w:val="6D6D6950"/>
    <w:rsid w:val="6D6E4853"/>
    <w:rsid w:val="6D8F3676"/>
    <w:rsid w:val="6D904050"/>
    <w:rsid w:val="6D940FD7"/>
    <w:rsid w:val="6D981054"/>
    <w:rsid w:val="6D98614F"/>
    <w:rsid w:val="6D9914F3"/>
    <w:rsid w:val="6D9E4D5C"/>
    <w:rsid w:val="6DA46F96"/>
    <w:rsid w:val="6DBC5324"/>
    <w:rsid w:val="6DBD645A"/>
    <w:rsid w:val="6DDA7762"/>
    <w:rsid w:val="6DE76D1A"/>
    <w:rsid w:val="6DEA1D4F"/>
    <w:rsid w:val="6DEE1688"/>
    <w:rsid w:val="6DEF5282"/>
    <w:rsid w:val="6DF635AC"/>
    <w:rsid w:val="6DF76BCD"/>
    <w:rsid w:val="6DF92DF7"/>
    <w:rsid w:val="6DF92EF0"/>
    <w:rsid w:val="6E0440FB"/>
    <w:rsid w:val="6E1119D2"/>
    <w:rsid w:val="6E111A99"/>
    <w:rsid w:val="6E1419C2"/>
    <w:rsid w:val="6E1D3ED3"/>
    <w:rsid w:val="6E1D45CF"/>
    <w:rsid w:val="6E201C15"/>
    <w:rsid w:val="6E27085A"/>
    <w:rsid w:val="6E2F6904"/>
    <w:rsid w:val="6E3B6A4F"/>
    <w:rsid w:val="6E4012F5"/>
    <w:rsid w:val="6E5F098F"/>
    <w:rsid w:val="6E6C3273"/>
    <w:rsid w:val="6E753D0F"/>
    <w:rsid w:val="6E773B4C"/>
    <w:rsid w:val="6EA044F5"/>
    <w:rsid w:val="6EA12D56"/>
    <w:rsid w:val="6EA32411"/>
    <w:rsid w:val="6EA76461"/>
    <w:rsid w:val="6EAE5FCA"/>
    <w:rsid w:val="6EB0012C"/>
    <w:rsid w:val="6EB92BC3"/>
    <w:rsid w:val="6EBE64D1"/>
    <w:rsid w:val="6EC32CCC"/>
    <w:rsid w:val="6EC42B5A"/>
    <w:rsid w:val="6EC9147E"/>
    <w:rsid w:val="6EC92A07"/>
    <w:rsid w:val="6ECC1ED8"/>
    <w:rsid w:val="6EE32527"/>
    <w:rsid w:val="6EFA5237"/>
    <w:rsid w:val="6EFC541C"/>
    <w:rsid w:val="6EFF2521"/>
    <w:rsid w:val="6F087AB3"/>
    <w:rsid w:val="6F162E82"/>
    <w:rsid w:val="6F1A6664"/>
    <w:rsid w:val="6F216309"/>
    <w:rsid w:val="6F2667AC"/>
    <w:rsid w:val="6F267133"/>
    <w:rsid w:val="6F282B2F"/>
    <w:rsid w:val="6F285225"/>
    <w:rsid w:val="6F2E3EBD"/>
    <w:rsid w:val="6F332352"/>
    <w:rsid w:val="6F4A75D6"/>
    <w:rsid w:val="6F4F27B2"/>
    <w:rsid w:val="6F520F28"/>
    <w:rsid w:val="6F6417C4"/>
    <w:rsid w:val="6F641A17"/>
    <w:rsid w:val="6F670BD2"/>
    <w:rsid w:val="6F6C2FEF"/>
    <w:rsid w:val="6F751AEC"/>
    <w:rsid w:val="6F876E7F"/>
    <w:rsid w:val="6F8E16DE"/>
    <w:rsid w:val="6F941EA6"/>
    <w:rsid w:val="6FB840D1"/>
    <w:rsid w:val="6FB95B5C"/>
    <w:rsid w:val="6FC137E1"/>
    <w:rsid w:val="6FC243D4"/>
    <w:rsid w:val="6FC7262A"/>
    <w:rsid w:val="6FC80F79"/>
    <w:rsid w:val="6FC81DF8"/>
    <w:rsid w:val="6FCE7B7A"/>
    <w:rsid w:val="6FD16BC7"/>
    <w:rsid w:val="6FD42F16"/>
    <w:rsid w:val="6FD46EC6"/>
    <w:rsid w:val="6FE221AA"/>
    <w:rsid w:val="6FE7583F"/>
    <w:rsid w:val="6FE846F1"/>
    <w:rsid w:val="6FEE064D"/>
    <w:rsid w:val="70063B8B"/>
    <w:rsid w:val="70085FCA"/>
    <w:rsid w:val="7019623F"/>
    <w:rsid w:val="701A7EF7"/>
    <w:rsid w:val="701D0C3D"/>
    <w:rsid w:val="703674CE"/>
    <w:rsid w:val="70385B69"/>
    <w:rsid w:val="703D1676"/>
    <w:rsid w:val="7040034C"/>
    <w:rsid w:val="704C6CF1"/>
    <w:rsid w:val="704F685C"/>
    <w:rsid w:val="705067E1"/>
    <w:rsid w:val="706D598E"/>
    <w:rsid w:val="70854D7D"/>
    <w:rsid w:val="708B4DDD"/>
    <w:rsid w:val="708F0AF3"/>
    <w:rsid w:val="70932B72"/>
    <w:rsid w:val="70940989"/>
    <w:rsid w:val="709B0D8D"/>
    <w:rsid w:val="70A22DB5"/>
    <w:rsid w:val="70A62558"/>
    <w:rsid w:val="70B330D3"/>
    <w:rsid w:val="70B76860"/>
    <w:rsid w:val="70C06F78"/>
    <w:rsid w:val="70C426B0"/>
    <w:rsid w:val="70CC4DD8"/>
    <w:rsid w:val="70CF66BA"/>
    <w:rsid w:val="70D770AA"/>
    <w:rsid w:val="70DF36C1"/>
    <w:rsid w:val="70E17439"/>
    <w:rsid w:val="70F15002"/>
    <w:rsid w:val="70F439EF"/>
    <w:rsid w:val="70F614D3"/>
    <w:rsid w:val="70FB0057"/>
    <w:rsid w:val="7104661F"/>
    <w:rsid w:val="711F09F8"/>
    <w:rsid w:val="711F1B34"/>
    <w:rsid w:val="712B667C"/>
    <w:rsid w:val="71306A35"/>
    <w:rsid w:val="71312FFC"/>
    <w:rsid w:val="71351C5B"/>
    <w:rsid w:val="71532927"/>
    <w:rsid w:val="7169576C"/>
    <w:rsid w:val="71733A89"/>
    <w:rsid w:val="71740ABB"/>
    <w:rsid w:val="717914A0"/>
    <w:rsid w:val="717C4802"/>
    <w:rsid w:val="71831776"/>
    <w:rsid w:val="71832ABA"/>
    <w:rsid w:val="718A2B2B"/>
    <w:rsid w:val="7194581F"/>
    <w:rsid w:val="71955869"/>
    <w:rsid w:val="719646C8"/>
    <w:rsid w:val="719A09DE"/>
    <w:rsid w:val="71A0702B"/>
    <w:rsid w:val="71A55F82"/>
    <w:rsid w:val="71B305AA"/>
    <w:rsid w:val="71B96086"/>
    <w:rsid w:val="71C10FC0"/>
    <w:rsid w:val="71C54248"/>
    <w:rsid w:val="71CB7678"/>
    <w:rsid w:val="71CD56C5"/>
    <w:rsid w:val="71CF0761"/>
    <w:rsid w:val="71CF29F1"/>
    <w:rsid w:val="71D5087F"/>
    <w:rsid w:val="71E24C44"/>
    <w:rsid w:val="7202155A"/>
    <w:rsid w:val="720930EC"/>
    <w:rsid w:val="720C6738"/>
    <w:rsid w:val="720C7379"/>
    <w:rsid w:val="72251AB3"/>
    <w:rsid w:val="722877C7"/>
    <w:rsid w:val="722F605C"/>
    <w:rsid w:val="723172D3"/>
    <w:rsid w:val="72361A07"/>
    <w:rsid w:val="723B2A8C"/>
    <w:rsid w:val="723B526F"/>
    <w:rsid w:val="72406B5D"/>
    <w:rsid w:val="72427089"/>
    <w:rsid w:val="726037B9"/>
    <w:rsid w:val="726F4F19"/>
    <w:rsid w:val="727367B7"/>
    <w:rsid w:val="728652B2"/>
    <w:rsid w:val="72871302"/>
    <w:rsid w:val="728C4A86"/>
    <w:rsid w:val="72982DFF"/>
    <w:rsid w:val="72995026"/>
    <w:rsid w:val="72AE3C93"/>
    <w:rsid w:val="72AE660D"/>
    <w:rsid w:val="72BA6194"/>
    <w:rsid w:val="72BF7C4E"/>
    <w:rsid w:val="72D67792"/>
    <w:rsid w:val="72DF5B4D"/>
    <w:rsid w:val="72E7797E"/>
    <w:rsid w:val="72F32FAA"/>
    <w:rsid w:val="72FF004B"/>
    <w:rsid w:val="73041AED"/>
    <w:rsid w:val="73072C34"/>
    <w:rsid w:val="730833A3"/>
    <w:rsid w:val="730B11B5"/>
    <w:rsid w:val="730E25F3"/>
    <w:rsid w:val="73151F7E"/>
    <w:rsid w:val="731A3C0F"/>
    <w:rsid w:val="731A6C33"/>
    <w:rsid w:val="7346211D"/>
    <w:rsid w:val="73466F84"/>
    <w:rsid w:val="73473913"/>
    <w:rsid w:val="734824D7"/>
    <w:rsid w:val="73490491"/>
    <w:rsid w:val="734B2C0B"/>
    <w:rsid w:val="734D3C1E"/>
    <w:rsid w:val="73680487"/>
    <w:rsid w:val="736D76AA"/>
    <w:rsid w:val="737E18B7"/>
    <w:rsid w:val="73A23FDE"/>
    <w:rsid w:val="73A254D1"/>
    <w:rsid w:val="73AB01D2"/>
    <w:rsid w:val="73C44343"/>
    <w:rsid w:val="73D2575F"/>
    <w:rsid w:val="73D2750D"/>
    <w:rsid w:val="73D61E19"/>
    <w:rsid w:val="73F41B79"/>
    <w:rsid w:val="73F931EF"/>
    <w:rsid w:val="73FF7D0D"/>
    <w:rsid w:val="74061450"/>
    <w:rsid w:val="7407306A"/>
    <w:rsid w:val="74086EB5"/>
    <w:rsid w:val="740873D5"/>
    <w:rsid w:val="740D2C3B"/>
    <w:rsid w:val="741620D3"/>
    <w:rsid w:val="741A38FA"/>
    <w:rsid w:val="741B0F34"/>
    <w:rsid w:val="743B7A60"/>
    <w:rsid w:val="744A1799"/>
    <w:rsid w:val="744F4027"/>
    <w:rsid w:val="74506E71"/>
    <w:rsid w:val="745756B7"/>
    <w:rsid w:val="745B2F93"/>
    <w:rsid w:val="74604B19"/>
    <w:rsid w:val="746E1ACA"/>
    <w:rsid w:val="74877B4D"/>
    <w:rsid w:val="748E051F"/>
    <w:rsid w:val="74923C14"/>
    <w:rsid w:val="74A52E74"/>
    <w:rsid w:val="74B178CB"/>
    <w:rsid w:val="74B310ED"/>
    <w:rsid w:val="74B9486A"/>
    <w:rsid w:val="74CB0B2C"/>
    <w:rsid w:val="74CF4C3F"/>
    <w:rsid w:val="74D13E3E"/>
    <w:rsid w:val="74D177C5"/>
    <w:rsid w:val="74D23356"/>
    <w:rsid w:val="74D24B85"/>
    <w:rsid w:val="74D602FF"/>
    <w:rsid w:val="74D6302D"/>
    <w:rsid w:val="74D6574F"/>
    <w:rsid w:val="74DB208E"/>
    <w:rsid w:val="74EC45FF"/>
    <w:rsid w:val="74FB1DDD"/>
    <w:rsid w:val="74FD19CB"/>
    <w:rsid w:val="74FD5572"/>
    <w:rsid w:val="75072755"/>
    <w:rsid w:val="750850DA"/>
    <w:rsid w:val="750A7ABF"/>
    <w:rsid w:val="750F07DE"/>
    <w:rsid w:val="752814E0"/>
    <w:rsid w:val="752D7DD2"/>
    <w:rsid w:val="75333040"/>
    <w:rsid w:val="75475CD9"/>
    <w:rsid w:val="754C749B"/>
    <w:rsid w:val="754E31FC"/>
    <w:rsid w:val="754F7F9E"/>
    <w:rsid w:val="75581C94"/>
    <w:rsid w:val="756158FE"/>
    <w:rsid w:val="7563305D"/>
    <w:rsid w:val="756E14B8"/>
    <w:rsid w:val="7570492E"/>
    <w:rsid w:val="75752846"/>
    <w:rsid w:val="75814A1B"/>
    <w:rsid w:val="758A5CF7"/>
    <w:rsid w:val="75A736AF"/>
    <w:rsid w:val="75A80F22"/>
    <w:rsid w:val="75AA1CD8"/>
    <w:rsid w:val="75AD4614"/>
    <w:rsid w:val="75AD7B2F"/>
    <w:rsid w:val="75D94C4A"/>
    <w:rsid w:val="75E35A02"/>
    <w:rsid w:val="75E874BC"/>
    <w:rsid w:val="75F25C45"/>
    <w:rsid w:val="760D2A7F"/>
    <w:rsid w:val="761A53C5"/>
    <w:rsid w:val="761E4ABF"/>
    <w:rsid w:val="761F6017"/>
    <w:rsid w:val="76272459"/>
    <w:rsid w:val="762C1BC5"/>
    <w:rsid w:val="76407334"/>
    <w:rsid w:val="7650152B"/>
    <w:rsid w:val="7651397D"/>
    <w:rsid w:val="765815CB"/>
    <w:rsid w:val="76586F31"/>
    <w:rsid w:val="765C387D"/>
    <w:rsid w:val="765E3757"/>
    <w:rsid w:val="76657206"/>
    <w:rsid w:val="7667329E"/>
    <w:rsid w:val="766928A3"/>
    <w:rsid w:val="766D4043"/>
    <w:rsid w:val="766E5D8E"/>
    <w:rsid w:val="767B0974"/>
    <w:rsid w:val="7691027C"/>
    <w:rsid w:val="76935BD2"/>
    <w:rsid w:val="76942024"/>
    <w:rsid w:val="76AC2348"/>
    <w:rsid w:val="76B5221B"/>
    <w:rsid w:val="76B75AAC"/>
    <w:rsid w:val="76CD220E"/>
    <w:rsid w:val="76DC4D0E"/>
    <w:rsid w:val="76EB7264"/>
    <w:rsid w:val="76EC70A4"/>
    <w:rsid w:val="76FA5E72"/>
    <w:rsid w:val="76FB0AD5"/>
    <w:rsid w:val="770014AF"/>
    <w:rsid w:val="770538CA"/>
    <w:rsid w:val="770617EB"/>
    <w:rsid w:val="770943E5"/>
    <w:rsid w:val="77112567"/>
    <w:rsid w:val="77144054"/>
    <w:rsid w:val="772C579E"/>
    <w:rsid w:val="772D3FA6"/>
    <w:rsid w:val="773478D9"/>
    <w:rsid w:val="773825D5"/>
    <w:rsid w:val="7748758C"/>
    <w:rsid w:val="77553692"/>
    <w:rsid w:val="775841CD"/>
    <w:rsid w:val="77674410"/>
    <w:rsid w:val="77680B0C"/>
    <w:rsid w:val="776C3C22"/>
    <w:rsid w:val="776E3A21"/>
    <w:rsid w:val="777C2FAE"/>
    <w:rsid w:val="777D1F12"/>
    <w:rsid w:val="7782124A"/>
    <w:rsid w:val="77860D3A"/>
    <w:rsid w:val="778A2838"/>
    <w:rsid w:val="778B45A3"/>
    <w:rsid w:val="778E4F70"/>
    <w:rsid w:val="77963B82"/>
    <w:rsid w:val="779C42CA"/>
    <w:rsid w:val="779F63A6"/>
    <w:rsid w:val="77A664ED"/>
    <w:rsid w:val="77AB69F3"/>
    <w:rsid w:val="77B94133"/>
    <w:rsid w:val="77C96E79"/>
    <w:rsid w:val="77D00278"/>
    <w:rsid w:val="77D31C28"/>
    <w:rsid w:val="77DE5881"/>
    <w:rsid w:val="77E05652"/>
    <w:rsid w:val="77EA3DCE"/>
    <w:rsid w:val="77F425A8"/>
    <w:rsid w:val="78026A1C"/>
    <w:rsid w:val="78064045"/>
    <w:rsid w:val="780B2412"/>
    <w:rsid w:val="780F6F82"/>
    <w:rsid w:val="781C75D4"/>
    <w:rsid w:val="782115C4"/>
    <w:rsid w:val="78267390"/>
    <w:rsid w:val="782E2FFB"/>
    <w:rsid w:val="783370E7"/>
    <w:rsid w:val="78340796"/>
    <w:rsid w:val="783B67B7"/>
    <w:rsid w:val="78424338"/>
    <w:rsid w:val="78495879"/>
    <w:rsid w:val="78554632"/>
    <w:rsid w:val="785726D7"/>
    <w:rsid w:val="78586302"/>
    <w:rsid w:val="78646B19"/>
    <w:rsid w:val="78811502"/>
    <w:rsid w:val="788334CC"/>
    <w:rsid w:val="788D737B"/>
    <w:rsid w:val="788F1E71"/>
    <w:rsid w:val="78A826FA"/>
    <w:rsid w:val="78CE2999"/>
    <w:rsid w:val="78CF3758"/>
    <w:rsid w:val="78E20BC8"/>
    <w:rsid w:val="78E3451C"/>
    <w:rsid w:val="78EA4756"/>
    <w:rsid w:val="79061C08"/>
    <w:rsid w:val="790653DF"/>
    <w:rsid w:val="79127C99"/>
    <w:rsid w:val="79132AA2"/>
    <w:rsid w:val="793242EA"/>
    <w:rsid w:val="794175AC"/>
    <w:rsid w:val="79471BC0"/>
    <w:rsid w:val="794E6BD4"/>
    <w:rsid w:val="79507E8B"/>
    <w:rsid w:val="79647F07"/>
    <w:rsid w:val="796A45E3"/>
    <w:rsid w:val="796B792F"/>
    <w:rsid w:val="796D3987"/>
    <w:rsid w:val="79757FC4"/>
    <w:rsid w:val="797B7BF8"/>
    <w:rsid w:val="798021EC"/>
    <w:rsid w:val="799379E4"/>
    <w:rsid w:val="79954B37"/>
    <w:rsid w:val="79964AA4"/>
    <w:rsid w:val="799E680F"/>
    <w:rsid w:val="79B672FA"/>
    <w:rsid w:val="79BA6C6F"/>
    <w:rsid w:val="79C1605A"/>
    <w:rsid w:val="79C30024"/>
    <w:rsid w:val="79C46A79"/>
    <w:rsid w:val="79C51A28"/>
    <w:rsid w:val="79C532D0"/>
    <w:rsid w:val="79C75A75"/>
    <w:rsid w:val="79D51E67"/>
    <w:rsid w:val="79D63034"/>
    <w:rsid w:val="79D744BF"/>
    <w:rsid w:val="79DE2130"/>
    <w:rsid w:val="79E10F84"/>
    <w:rsid w:val="79F232ED"/>
    <w:rsid w:val="79F5251F"/>
    <w:rsid w:val="79F90075"/>
    <w:rsid w:val="79F9310E"/>
    <w:rsid w:val="79FA6E68"/>
    <w:rsid w:val="79FF300D"/>
    <w:rsid w:val="7A1179D8"/>
    <w:rsid w:val="7A263B8E"/>
    <w:rsid w:val="7A3072B6"/>
    <w:rsid w:val="7A3727C0"/>
    <w:rsid w:val="7A3F5929"/>
    <w:rsid w:val="7A431165"/>
    <w:rsid w:val="7A4354F4"/>
    <w:rsid w:val="7A45504D"/>
    <w:rsid w:val="7A4A50B8"/>
    <w:rsid w:val="7A516535"/>
    <w:rsid w:val="7A560E98"/>
    <w:rsid w:val="7A595654"/>
    <w:rsid w:val="7A6A6DFC"/>
    <w:rsid w:val="7A731AD0"/>
    <w:rsid w:val="7A770E0E"/>
    <w:rsid w:val="7A7F5DA7"/>
    <w:rsid w:val="7A8721A0"/>
    <w:rsid w:val="7A9B4AFD"/>
    <w:rsid w:val="7AA716F4"/>
    <w:rsid w:val="7ACB4CB6"/>
    <w:rsid w:val="7AD26520"/>
    <w:rsid w:val="7AD7365B"/>
    <w:rsid w:val="7AD9057B"/>
    <w:rsid w:val="7ADA0D70"/>
    <w:rsid w:val="7AF21308"/>
    <w:rsid w:val="7AF34939"/>
    <w:rsid w:val="7B0C77A9"/>
    <w:rsid w:val="7B130B37"/>
    <w:rsid w:val="7B164183"/>
    <w:rsid w:val="7B22169F"/>
    <w:rsid w:val="7B267565"/>
    <w:rsid w:val="7B31682F"/>
    <w:rsid w:val="7B3332A1"/>
    <w:rsid w:val="7B356567"/>
    <w:rsid w:val="7B3804BA"/>
    <w:rsid w:val="7B3C0B32"/>
    <w:rsid w:val="7B3E6D6E"/>
    <w:rsid w:val="7B4C62CC"/>
    <w:rsid w:val="7B5101DB"/>
    <w:rsid w:val="7B526640"/>
    <w:rsid w:val="7B5817ED"/>
    <w:rsid w:val="7B5B2A4D"/>
    <w:rsid w:val="7B6433D3"/>
    <w:rsid w:val="7B6A615C"/>
    <w:rsid w:val="7B7415E3"/>
    <w:rsid w:val="7B74227B"/>
    <w:rsid w:val="7B7C10BA"/>
    <w:rsid w:val="7B7C2037"/>
    <w:rsid w:val="7B8437E3"/>
    <w:rsid w:val="7B8657AD"/>
    <w:rsid w:val="7B871525"/>
    <w:rsid w:val="7B8A4677"/>
    <w:rsid w:val="7B8D1606"/>
    <w:rsid w:val="7B8D54D8"/>
    <w:rsid w:val="7B936C7C"/>
    <w:rsid w:val="7BA038FA"/>
    <w:rsid w:val="7BA45C33"/>
    <w:rsid w:val="7BB17472"/>
    <w:rsid w:val="7BB31275"/>
    <w:rsid w:val="7BB42D68"/>
    <w:rsid w:val="7BB572AB"/>
    <w:rsid w:val="7BC861D0"/>
    <w:rsid w:val="7BE60FA4"/>
    <w:rsid w:val="7BEB77DB"/>
    <w:rsid w:val="7C047AE7"/>
    <w:rsid w:val="7C102F10"/>
    <w:rsid w:val="7C353951"/>
    <w:rsid w:val="7C366FEC"/>
    <w:rsid w:val="7C385222"/>
    <w:rsid w:val="7C3972C6"/>
    <w:rsid w:val="7C3F595C"/>
    <w:rsid w:val="7C43156A"/>
    <w:rsid w:val="7C463728"/>
    <w:rsid w:val="7C5510E6"/>
    <w:rsid w:val="7C5C40BF"/>
    <w:rsid w:val="7C6333F8"/>
    <w:rsid w:val="7C685C59"/>
    <w:rsid w:val="7C6A4FBC"/>
    <w:rsid w:val="7C8B121F"/>
    <w:rsid w:val="7C973A0A"/>
    <w:rsid w:val="7C991510"/>
    <w:rsid w:val="7C9932BE"/>
    <w:rsid w:val="7CA06875"/>
    <w:rsid w:val="7CA455F6"/>
    <w:rsid w:val="7CB127EC"/>
    <w:rsid w:val="7CB5209B"/>
    <w:rsid w:val="7CBB1486"/>
    <w:rsid w:val="7CCB2E5A"/>
    <w:rsid w:val="7CD12312"/>
    <w:rsid w:val="7CD91FC8"/>
    <w:rsid w:val="7CDC1484"/>
    <w:rsid w:val="7CDC3642"/>
    <w:rsid w:val="7CDD54FD"/>
    <w:rsid w:val="7CEB43CC"/>
    <w:rsid w:val="7CFE2349"/>
    <w:rsid w:val="7D0A0F9D"/>
    <w:rsid w:val="7D0C03A1"/>
    <w:rsid w:val="7D144031"/>
    <w:rsid w:val="7D1E3461"/>
    <w:rsid w:val="7D307367"/>
    <w:rsid w:val="7D3905FD"/>
    <w:rsid w:val="7D4F1BCF"/>
    <w:rsid w:val="7D53082A"/>
    <w:rsid w:val="7D5C4DEB"/>
    <w:rsid w:val="7D5C4F1A"/>
    <w:rsid w:val="7D616FF2"/>
    <w:rsid w:val="7D63792D"/>
    <w:rsid w:val="7D7579C2"/>
    <w:rsid w:val="7D765669"/>
    <w:rsid w:val="7D7F0706"/>
    <w:rsid w:val="7D833B3C"/>
    <w:rsid w:val="7D8E0949"/>
    <w:rsid w:val="7D8E0B10"/>
    <w:rsid w:val="7D935EB4"/>
    <w:rsid w:val="7D99109C"/>
    <w:rsid w:val="7DA37C8F"/>
    <w:rsid w:val="7DAD14CF"/>
    <w:rsid w:val="7DB639FC"/>
    <w:rsid w:val="7DB7626F"/>
    <w:rsid w:val="7DB856DC"/>
    <w:rsid w:val="7DD337D9"/>
    <w:rsid w:val="7DEA3FC2"/>
    <w:rsid w:val="7DEB7C96"/>
    <w:rsid w:val="7DF32D12"/>
    <w:rsid w:val="7DF51BAE"/>
    <w:rsid w:val="7DFF35F5"/>
    <w:rsid w:val="7E0B4983"/>
    <w:rsid w:val="7E153B4B"/>
    <w:rsid w:val="7E156974"/>
    <w:rsid w:val="7E1771A5"/>
    <w:rsid w:val="7E1D1303"/>
    <w:rsid w:val="7E1F289D"/>
    <w:rsid w:val="7E3314F0"/>
    <w:rsid w:val="7E353820"/>
    <w:rsid w:val="7E4427FE"/>
    <w:rsid w:val="7E552C85"/>
    <w:rsid w:val="7E631DD5"/>
    <w:rsid w:val="7E640F7B"/>
    <w:rsid w:val="7E6416AA"/>
    <w:rsid w:val="7E781A74"/>
    <w:rsid w:val="7E791E35"/>
    <w:rsid w:val="7E933D3D"/>
    <w:rsid w:val="7E984997"/>
    <w:rsid w:val="7E9C0E44"/>
    <w:rsid w:val="7EA128FE"/>
    <w:rsid w:val="7EA61CC2"/>
    <w:rsid w:val="7EAB1EEB"/>
    <w:rsid w:val="7EAC5E6C"/>
    <w:rsid w:val="7EBD792C"/>
    <w:rsid w:val="7EC0633F"/>
    <w:rsid w:val="7ED05499"/>
    <w:rsid w:val="7EE5326C"/>
    <w:rsid w:val="7EEF57CB"/>
    <w:rsid w:val="7EF574EF"/>
    <w:rsid w:val="7F0D589F"/>
    <w:rsid w:val="7F10630D"/>
    <w:rsid w:val="7F1A7F5F"/>
    <w:rsid w:val="7F2D4800"/>
    <w:rsid w:val="7F3219FF"/>
    <w:rsid w:val="7F333489"/>
    <w:rsid w:val="7F43729D"/>
    <w:rsid w:val="7F460DAF"/>
    <w:rsid w:val="7F531E90"/>
    <w:rsid w:val="7F5923A2"/>
    <w:rsid w:val="7F5A7C95"/>
    <w:rsid w:val="7F5E4A10"/>
    <w:rsid w:val="7F671451"/>
    <w:rsid w:val="7F6A0F42"/>
    <w:rsid w:val="7F8A3392"/>
    <w:rsid w:val="7FBF1C71"/>
    <w:rsid w:val="7FC57E92"/>
    <w:rsid w:val="7FCE165F"/>
    <w:rsid w:val="7FD01B22"/>
    <w:rsid w:val="7FD71CCE"/>
    <w:rsid w:val="7FDF6A22"/>
    <w:rsid w:val="7FE505C8"/>
    <w:rsid w:val="7FF30A60"/>
    <w:rsid w:val="7FFA7C3E"/>
    <w:rsid w:val="7FFF3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afterLines="0"/>
    </w:pPr>
    <w:rPr>
      <w:rFonts w:ascii="Tahoma" w:hAnsi="Tahoma" w:eastAsia="微软雅黑" w:cs="Times New Roman"/>
      <w:sz w:val="22"/>
      <w:szCs w:val="22"/>
      <w:lang w:val="en-US" w:eastAsia="zh-CN" w:bidi="ar-SA"/>
    </w:rPr>
  </w:style>
  <w:style w:type="paragraph" w:styleId="4">
    <w:name w:val="heading 1"/>
    <w:basedOn w:val="1"/>
    <w:next w:val="1"/>
    <w:qFormat/>
    <w:uiPriority w:val="9"/>
    <w:pPr>
      <w:keepNext/>
      <w:keepLines/>
      <w:spacing w:line="360" w:lineRule="auto"/>
      <w:jc w:val="left"/>
      <w:outlineLvl w:val="0"/>
    </w:pPr>
    <w:rPr>
      <w:b/>
      <w:bCs/>
      <w:kern w:val="44"/>
      <w:sz w:val="28"/>
      <w:szCs w:val="44"/>
    </w:rPr>
  </w:style>
  <w:style w:type="paragraph" w:styleId="5">
    <w:name w:val="heading 2"/>
    <w:basedOn w:val="1"/>
    <w:next w:val="1"/>
    <w:unhideWhenUsed/>
    <w:qFormat/>
    <w:uiPriority w:val="0"/>
    <w:pPr>
      <w:keepNext/>
      <w:keepLines/>
      <w:spacing w:before="50" w:beforeLines="50" w:beforeAutospacing="0" w:after="50" w:afterLines="50" w:afterAutospacing="0" w:line="360" w:lineRule="auto"/>
      <w:outlineLvl w:val="1"/>
    </w:pPr>
    <w:rPr>
      <w:rFonts w:ascii="Times New Roman" w:hAnsi="Times New Roman" w:eastAsia="宋体"/>
      <w:b/>
      <w:sz w:val="24"/>
    </w:rPr>
  </w:style>
  <w:style w:type="paragraph" w:styleId="6">
    <w:name w:val="heading 3"/>
    <w:basedOn w:val="1"/>
    <w:next w:val="1"/>
    <w:unhideWhenUsed/>
    <w:qFormat/>
    <w:uiPriority w:val="0"/>
    <w:pPr>
      <w:keepNext/>
      <w:keepLines/>
      <w:spacing w:before="50" w:beforeLines="50" w:beforeAutospacing="0" w:after="50" w:afterLines="50" w:afterAutospacing="0" w:line="360" w:lineRule="auto"/>
      <w:outlineLvl w:val="2"/>
    </w:pPr>
    <w:rPr>
      <w:rFonts w:ascii="Times New Roman" w:hAnsi="Times New Roman" w:eastAsia="宋体"/>
      <w:b/>
      <w:sz w:val="24"/>
    </w:rPr>
  </w:style>
  <w:style w:type="paragraph" w:styleId="7">
    <w:name w:val="heading 4"/>
    <w:basedOn w:val="1"/>
    <w:next w:val="1"/>
    <w:qFormat/>
    <w:uiPriority w:val="0"/>
    <w:pPr>
      <w:tabs>
        <w:tab w:val="left" w:pos="864"/>
      </w:tabs>
      <w:ind w:firstLine="0" w:firstLineChars="0"/>
      <w:jc w:val="left"/>
      <w:outlineLvl w:val="3"/>
    </w:pPr>
    <w:rPr>
      <w:rFonts w:ascii="黑体" w:hAnsi="黑体"/>
      <w:b/>
      <w:sz w:val="28"/>
    </w:rPr>
  </w:style>
  <w:style w:type="character" w:default="1" w:styleId="21">
    <w:name w:val="Default Paragraph Font"/>
    <w:semiHidden/>
    <w:qFormat/>
    <w:uiPriority w:val="0"/>
  </w:style>
  <w:style w:type="table" w:default="1" w:styleId="1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eastAsia="仿宋_GB2312"/>
      <w:sz w:val="32"/>
      <w:szCs w:val="20"/>
    </w:rPr>
  </w:style>
  <w:style w:type="paragraph" w:styleId="3">
    <w:name w:val="toc 1"/>
    <w:basedOn w:val="1"/>
    <w:next w:val="1"/>
    <w:qFormat/>
    <w:uiPriority w:val="0"/>
  </w:style>
  <w:style w:type="paragraph" w:styleId="8">
    <w:name w:val="List 3"/>
    <w:basedOn w:val="1"/>
    <w:qFormat/>
    <w:uiPriority w:val="0"/>
    <w:pPr>
      <w:ind w:left="100" w:leftChars="400" w:hanging="200" w:hangingChars="200"/>
      <w:contextualSpacing/>
    </w:pPr>
    <w:rPr>
      <w:rFonts w:ascii="Arial" w:hAnsi="Arial"/>
      <w:sz w:val="24"/>
      <w:lang w:val="zh-CN"/>
    </w:rPr>
  </w:style>
  <w:style w:type="paragraph" w:styleId="9">
    <w:name w:val="Normal Indent"/>
    <w:basedOn w:val="1"/>
    <w:next w:val="10"/>
    <w:qFormat/>
    <w:uiPriority w:val="0"/>
    <w:pPr>
      <w:spacing w:line="264" w:lineRule="auto"/>
      <w:ind w:firstLine="476"/>
    </w:pPr>
    <w:rPr>
      <w:rFonts w:ascii="Arial" w:hAnsi="Arial" w:cs="Arial"/>
      <w:spacing w:val="10"/>
      <w:sz w:val="24"/>
      <w:szCs w:val="20"/>
    </w:rPr>
  </w:style>
  <w:style w:type="paragraph" w:styleId="10">
    <w:name w:val="Body Text First Indent 2"/>
    <w:basedOn w:val="7"/>
    <w:next w:val="1"/>
    <w:unhideWhenUsed/>
    <w:qFormat/>
    <w:uiPriority w:val="99"/>
    <w:pPr>
      <w:spacing w:before="120" w:after="120" w:line="240" w:lineRule="auto"/>
      <w:ind w:firstLine="420" w:firstLineChars="200"/>
    </w:pPr>
    <w:rPr>
      <w:rFonts w:ascii="Times New Roman" w:hAnsi="Times New Roman"/>
      <w:sz w:val="21"/>
    </w:rPr>
  </w:style>
  <w:style w:type="paragraph" w:styleId="11">
    <w:name w:val="annotation text"/>
    <w:basedOn w:val="1"/>
    <w:qFormat/>
    <w:uiPriority w:val="0"/>
    <w:pPr>
      <w:jc w:val="left"/>
    </w:pPr>
    <w:rPr>
      <w:rFonts w:eastAsia="宋体"/>
      <w:kern w:val="2"/>
      <w:sz w:val="21"/>
      <w:szCs w:val="24"/>
      <w:lang w:bidi="ar-SA"/>
    </w:rPr>
  </w:style>
  <w:style w:type="paragraph" w:styleId="12">
    <w:name w:val="Body Text"/>
    <w:basedOn w:val="1"/>
    <w:qFormat/>
    <w:uiPriority w:val="0"/>
    <w:pPr>
      <w:spacing w:after="120"/>
    </w:pPr>
  </w:style>
  <w:style w:type="paragraph" w:styleId="13">
    <w:name w:val="Body Text Indent"/>
    <w:basedOn w:val="1"/>
    <w:qFormat/>
    <w:uiPriority w:val="0"/>
    <w:pPr>
      <w:ind w:firstLine="6460" w:firstLineChars="2307"/>
    </w:pPr>
    <w:rPr>
      <w:sz w:val="28"/>
    </w:rPr>
  </w:style>
  <w:style w:type="paragraph" w:styleId="14">
    <w:name w:val="Body Text Indent 2"/>
    <w:basedOn w:val="1"/>
    <w:qFormat/>
    <w:uiPriority w:val="0"/>
    <w:pPr>
      <w:spacing w:line="460" w:lineRule="exact"/>
      <w:ind w:firstLine="480" w:firstLineChars="200"/>
    </w:pPr>
    <w:rPr>
      <w:color w:val="FF0000"/>
      <w:sz w:val="24"/>
    </w:rPr>
  </w:style>
  <w:style w:type="paragraph" w:styleId="15">
    <w:name w:val="footer"/>
    <w:basedOn w:val="1"/>
    <w:qFormat/>
    <w:uiPriority w:val="0"/>
    <w:pPr>
      <w:tabs>
        <w:tab w:val="center" w:pos="4153"/>
        <w:tab w:val="right" w:pos="8306"/>
      </w:tabs>
    </w:pPr>
    <w:rPr>
      <w:rFonts w:ascii="Tahoma" w:hAnsi="Tahoma"/>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kern w:val="2"/>
      <w:sz w:val="18"/>
      <w:szCs w:val="18"/>
    </w:rPr>
  </w:style>
  <w:style w:type="paragraph" w:styleId="1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18">
    <w:name w:val="Body Text First Indent"/>
    <w:basedOn w:val="12"/>
    <w:qFormat/>
    <w:uiPriority w:val="0"/>
    <w:pPr>
      <w:ind w:firstLine="420" w:firstLineChars="1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character" w:customStyle="1" w:styleId="25">
    <w:name w:val="page number"/>
    <w:basedOn w:val="21"/>
    <w:qFormat/>
    <w:uiPriority w:val="0"/>
  </w:style>
  <w:style w:type="character" w:customStyle="1" w:styleId="26">
    <w:name w:val="fontstyle01"/>
    <w:basedOn w:val="21"/>
    <w:qFormat/>
    <w:uiPriority w:val="0"/>
    <w:rPr>
      <w:rFonts w:ascii="宋体" w:hAnsi="宋体" w:eastAsia="宋体" w:cs="宋体"/>
      <w:color w:val="000000"/>
      <w:sz w:val="22"/>
      <w:szCs w:val="22"/>
    </w:rPr>
  </w:style>
  <w:style w:type="paragraph" w:customStyle="1" w:styleId="27">
    <w:name w:val="改正文一"/>
    <w:basedOn w:val="1"/>
    <w:qFormat/>
    <w:uiPriority w:val="0"/>
    <w:pPr>
      <w:spacing w:line="360" w:lineRule="auto"/>
      <w:ind w:firstLine="964" w:firstLineChars="200"/>
    </w:pPr>
    <w:rPr>
      <w:rFonts w:ascii="Times New Roman" w:hAnsi="Times New Roman"/>
      <w:sz w:val="24"/>
    </w:rPr>
  </w:style>
  <w:style w:type="paragraph" w:customStyle="1" w:styleId="28">
    <w:name w:val="List Paragraph1"/>
    <w:basedOn w:val="1"/>
    <w:qFormat/>
    <w:uiPriority w:val="0"/>
    <w:pPr>
      <w:widowControl/>
      <w:ind w:left="720"/>
      <w:jc w:val="left"/>
    </w:pPr>
    <w:rPr>
      <w:rFonts w:ascii="Calibri" w:hAnsi="Calibri"/>
      <w:kern w:val="0"/>
      <w:sz w:val="24"/>
      <w:lang w:eastAsia="en-US"/>
    </w:rPr>
  </w:style>
  <w:style w:type="paragraph" w:customStyle="1" w:styleId="29">
    <w:name w:val="改表内容居中"/>
    <w:basedOn w:val="1"/>
    <w:qFormat/>
    <w:uiPriority w:val="0"/>
    <w:pPr>
      <w:jc w:val="center"/>
      <w:textAlignment w:val="center"/>
    </w:pPr>
    <w:rPr>
      <w:rFonts w:ascii="Times New Roman" w:hAnsi="Times New Roman"/>
    </w:rPr>
  </w:style>
  <w:style w:type="paragraph" w:customStyle="1" w:styleId="30">
    <w:name w:val="流程图"/>
    <w:basedOn w:val="1"/>
    <w:qFormat/>
    <w:uiPriority w:val="0"/>
    <w:pPr>
      <w:adjustRightInd w:val="0"/>
      <w:spacing w:line="200" w:lineRule="atLeast"/>
      <w:textAlignment w:val="baseline"/>
    </w:pPr>
    <w:rPr>
      <w:kern w:val="0"/>
      <w:szCs w:val="20"/>
    </w:rPr>
  </w:style>
  <w:style w:type="paragraph" w:customStyle="1" w:styleId="31">
    <w:name w:val="标题4"/>
    <w:basedOn w:val="1"/>
    <w:qFormat/>
    <w:uiPriority w:val="0"/>
    <w:pPr>
      <w:spacing w:line="360" w:lineRule="auto"/>
    </w:pPr>
    <w:rPr>
      <w:rFonts w:ascii="Times New Roman" w:hAnsi="Times New Roman"/>
      <w:b/>
      <w:sz w:val="24"/>
    </w:rPr>
  </w:style>
  <w:style w:type="paragraph" w:customStyle="1" w:styleId="32">
    <w:name w:val="正文开头二"/>
    <w:basedOn w:val="1"/>
    <w:qFormat/>
    <w:uiPriority w:val="0"/>
    <w:pPr>
      <w:autoSpaceDE w:val="0"/>
      <w:autoSpaceDN w:val="0"/>
      <w:adjustRightInd w:val="0"/>
      <w:spacing w:before="60" w:beforeLines="0" w:line="400" w:lineRule="atLeast"/>
      <w:textAlignment w:val="baseline"/>
    </w:pPr>
    <w:rPr>
      <w:kern w:val="0"/>
      <w:szCs w:val="20"/>
    </w:rPr>
  </w:style>
  <w:style w:type="paragraph" w:customStyle="1" w:styleId="33">
    <w:name w:val="样式17"/>
    <w:basedOn w:val="1"/>
    <w:qFormat/>
    <w:uiPriority w:val="0"/>
    <w:pPr>
      <w:spacing w:line="360" w:lineRule="auto"/>
      <w:ind w:firstLine="480" w:firstLineChars="200"/>
    </w:pPr>
    <w:rPr>
      <w:rFonts w:ascii="Arial" w:hAnsi="Arial" w:cs="Arial"/>
      <w:sz w:val="24"/>
      <w:szCs w:val="24"/>
    </w:rPr>
  </w:style>
  <w:style w:type="paragraph" w:styleId="34">
    <w:name w:val="List Paragraph"/>
    <w:basedOn w:val="1"/>
    <w:qFormat/>
    <w:uiPriority w:val="0"/>
    <w:pPr>
      <w:ind w:firstLine="420" w:firstLineChars="200"/>
    </w:pPr>
    <w:rPr>
      <w:szCs w:val="20"/>
    </w:rPr>
  </w:style>
  <w:style w:type="paragraph" w:customStyle="1" w:styleId="35">
    <w:name w:val="表格文本"/>
    <w:basedOn w:val="1"/>
    <w:next w:val="1"/>
    <w:qFormat/>
    <w:uiPriority w:val="0"/>
    <w:pPr>
      <w:spacing w:line="240" w:lineRule="exact"/>
      <w:jc w:val="center"/>
    </w:pPr>
    <w:rPr>
      <w:rFonts w:eastAsia="Times New Roman"/>
      <w:szCs w:val="20"/>
    </w:rPr>
  </w:style>
  <w:style w:type="paragraph" w:customStyle="1" w:styleId="36">
    <w:name w:val="表格正文"/>
    <w:basedOn w:val="1"/>
    <w:qFormat/>
    <w:uiPriority w:val="0"/>
    <w:pPr>
      <w:spacing w:line="360" w:lineRule="exact"/>
      <w:jc w:val="center"/>
    </w:pPr>
    <w:rPr>
      <w:rFonts w:ascii="Arial" w:hAnsi="Arial"/>
    </w:rPr>
  </w:style>
  <w:style w:type="paragraph" w:customStyle="1" w:styleId="37">
    <w:name w:val="样式14"/>
    <w:basedOn w:val="1"/>
    <w:qFormat/>
    <w:uiPriority w:val="0"/>
    <w:pPr>
      <w:spacing w:line="240" w:lineRule="auto"/>
      <w:ind w:firstLine="0" w:firstLineChars="0"/>
      <w:jc w:val="center"/>
    </w:pPr>
    <w:rPr>
      <w:rFonts w:cs="Arial"/>
      <w:bCs/>
      <w:sz w:val="21"/>
      <w:szCs w:val="24"/>
    </w:rPr>
  </w:style>
  <w:style w:type="paragraph" w:customStyle="1" w:styleId="38">
    <w:name w:val="表格"/>
    <w:qFormat/>
    <w:uiPriority w:val="0"/>
    <w:pPr>
      <w:widowControl w:val="0"/>
      <w:adjustRightInd w:val="0"/>
      <w:snapToGrid w:val="0"/>
      <w:jc w:val="center"/>
    </w:pPr>
    <w:rPr>
      <w:rFonts w:ascii="Times New Roman" w:hAnsi="Times New Roman" w:eastAsia="宋体" w:cs="Times New Roman"/>
      <w:color w:val="000000"/>
      <w:kern w:val="2"/>
      <w:sz w:val="24"/>
      <w:lang w:val="en-US" w:eastAsia="zh-CN" w:bidi="ar-SA"/>
    </w:rPr>
  </w:style>
  <w:style w:type="paragraph" w:customStyle="1" w:styleId="39">
    <w:name w:val="报告正文-连续目录"/>
    <w:basedOn w:val="1"/>
    <w:qFormat/>
    <w:uiPriority w:val="0"/>
    <w:pPr>
      <w:adjustRightInd w:val="0"/>
      <w:snapToGrid w:val="0"/>
      <w:spacing w:line="440" w:lineRule="exact"/>
      <w:ind w:firstLine="200" w:firstLineChars="200"/>
    </w:pPr>
    <w:rPr>
      <w:rFonts w:ascii="Arial" w:hAnsi="Arial"/>
      <w:snapToGrid w:val="0"/>
      <w:kern w:val="0"/>
      <w:sz w:val="24"/>
      <w:szCs w:val="20"/>
    </w:rPr>
  </w:style>
  <w:style w:type="paragraph" w:customStyle="1" w:styleId="40">
    <w:name w:val="正文2"/>
    <w:basedOn w:val="1"/>
    <w:qFormat/>
    <w:uiPriority w:val="0"/>
    <w:pPr>
      <w:adjustRightInd w:val="0"/>
      <w:snapToGrid w:val="0"/>
      <w:spacing w:line="440" w:lineRule="atLeast"/>
      <w:ind w:firstLine="510"/>
    </w:pPr>
    <w:rPr>
      <w:szCs w:val="20"/>
    </w:rPr>
  </w:style>
  <w:style w:type="paragraph" w:customStyle="1" w:styleId="41">
    <w:name w:val=" Char Char1"/>
    <w:basedOn w:val="1"/>
    <w:qFormat/>
    <w:uiPriority w:val="0"/>
    <w:pPr>
      <w:spacing w:line="360" w:lineRule="auto"/>
      <w:ind w:firstLine="200" w:firstLineChars="200"/>
    </w:pPr>
    <w:rPr>
      <w:rFonts w:ascii="宋体" w:hAnsi="宋体" w:cs="宋体"/>
      <w:sz w:val="24"/>
    </w:rPr>
  </w:style>
  <w:style w:type="character" w:customStyle="1" w:styleId="42">
    <w:name w:val="15"/>
    <w:basedOn w:val="21"/>
    <w:qFormat/>
    <w:uiPriority w:val="0"/>
    <w:rPr>
      <w:rFonts w:hint="eastAsia" w:ascii="宋体" w:hAnsi="宋体" w:eastAsia="宋体" w:cs="宋体"/>
      <w:color w:val="000000"/>
      <w:sz w:val="22"/>
      <w:szCs w:val="22"/>
    </w:rPr>
  </w:style>
  <w:style w:type="paragraph" w:customStyle="1" w:styleId="43">
    <w:name w:val="Default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4">
    <w:name w:val="font11"/>
    <w:basedOn w:val="21"/>
    <w:qFormat/>
    <w:uiPriority w:val="0"/>
    <w:rPr>
      <w:rFonts w:hint="default" w:ascii="Times New Roman" w:hAnsi="Times New Roman" w:cs="Times New Roman"/>
      <w:color w:val="000000"/>
      <w:sz w:val="24"/>
      <w:szCs w:val="24"/>
      <w:u w:val="none"/>
    </w:rPr>
  </w:style>
  <w:style w:type="paragraph" w:customStyle="1" w:styleId="45">
    <w:name w:val="居中正文"/>
    <w:basedOn w:val="18"/>
    <w:qFormat/>
    <w:uiPriority w:val="0"/>
    <w:pPr>
      <w:adjustRightInd w:val="0"/>
      <w:spacing w:after="0" w:line="360" w:lineRule="auto"/>
      <w:ind w:firstLine="0" w:firstLineChars="0"/>
      <w:jc w:val="center"/>
      <w:textAlignment w:val="baseline"/>
    </w:pPr>
    <w:rPr>
      <w:rFonts w:ascii="宋体"/>
      <w:kern w:val="28"/>
      <w:sz w:val="24"/>
      <w:szCs w:val="20"/>
    </w:rPr>
  </w:style>
  <w:style w:type="character" w:customStyle="1" w:styleId="46">
    <w:name w:val="font21"/>
    <w:qFormat/>
    <w:uiPriority w:val="0"/>
    <w:rPr>
      <w:rFonts w:hint="eastAsia" w:ascii="宋体" w:hAnsi="宋体" w:eastAsia="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3.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32</Pages>
  <Words>14688</Words>
  <Characters>18384</Characters>
  <Lines>1</Lines>
  <Paragraphs>1</Paragraphs>
  <TotalTime>3</TotalTime>
  <ScaleCrop>false</ScaleCrop>
  <LinksUpToDate>false</LinksUpToDate>
  <CharactersWithSpaces>18705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2018-06-04T01:49:00Z</dcterms:created>
  <dc:creator>Administrator</dc:creator>
  <cp:lastModifiedBy>q'q'q'q'q'q</cp:lastModifiedBy>
  <cp:lastPrinted>2018-11-28T03:18:00Z</cp:lastPrinted>
  <dcterms:modified xsi:type="dcterms:W3CDTF">2023-01-06T07:01:06Z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89D90458CC514685926828518911EF3E</vt:lpwstr>
  </property>
</Properties>
</file>