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Times New Roman" w:hAnsi="Times New Roman" w:eastAsia="微软雅黑"/>
          <w:b/>
          <w:color w:val="auto"/>
          <w:sz w:val="32"/>
          <w:szCs w:val="32"/>
          <w:lang w:eastAsia="zh-CN"/>
        </w:rPr>
      </w:pPr>
    </w:p>
    <w:p>
      <w:pPr>
        <w:spacing w:line="480" w:lineRule="exact"/>
        <w:jc w:val="center"/>
        <w:rPr>
          <w:rFonts w:hint="eastAsia" w:ascii="Times New Roman" w:hAnsi="Times New Roman" w:eastAsia="微软雅黑"/>
          <w:b/>
          <w:color w:val="auto"/>
          <w:sz w:val="32"/>
          <w:szCs w:val="32"/>
          <w:lang w:eastAsia="zh-CN"/>
        </w:rPr>
      </w:pPr>
      <w:bookmarkStart w:id="0" w:name="_GoBack"/>
      <w:bookmarkEnd w:id="0"/>
      <w:r>
        <w:rPr>
          <w:rFonts w:hint="eastAsia" w:ascii="Times New Roman" w:hAnsi="Times New Roman" w:eastAsia="微软雅黑"/>
          <w:b/>
          <w:color w:val="auto"/>
          <w:sz w:val="32"/>
          <w:szCs w:val="32"/>
          <w:lang w:eastAsia="zh-CN"/>
        </w:rPr>
        <w:t>重庆达建机械有限公司</w:t>
      </w:r>
    </w:p>
    <w:p>
      <w:pPr>
        <w:spacing w:line="480" w:lineRule="exact"/>
        <w:jc w:val="center"/>
        <w:rPr>
          <w:rFonts w:ascii="Times New Roman" w:hAnsi="Times New Roman" w:eastAsia="微软雅黑"/>
          <w:color w:val="auto"/>
          <w:sz w:val="22"/>
          <w:szCs w:val="22"/>
        </w:rPr>
      </w:pPr>
      <w:r>
        <w:rPr>
          <w:rFonts w:hint="eastAsia" w:ascii="Times New Roman" w:hAnsi="Times New Roman" w:eastAsia="微软雅黑"/>
          <w:b/>
          <w:color w:val="auto"/>
          <w:sz w:val="32"/>
          <w:szCs w:val="32"/>
          <w:lang w:eastAsia="zh-CN"/>
        </w:rPr>
        <w:t>达建机械精密仪器配件加工项目</w:t>
      </w:r>
      <w:r>
        <w:rPr>
          <w:rFonts w:ascii="Times New Roman" w:hAnsi="Times New Roman" w:eastAsia="微软雅黑"/>
          <w:b/>
          <w:color w:val="auto"/>
          <w:sz w:val="32"/>
          <w:szCs w:val="32"/>
        </w:rPr>
        <w:t>竣工环境保护验收意见</w:t>
      </w:r>
    </w:p>
    <w:p>
      <w:pPr>
        <w:spacing w:line="360" w:lineRule="auto"/>
        <w:ind w:firstLine="480" w:firstLineChars="200"/>
        <w:rPr>
          <w:rFonts w:ascii="Times New Roman" w:hAnsi="Times New Roman"/>
          <w:color w:val="auto"/>
          <w:sz w:val="24"/>
        </w:rPr>
      </w:pP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27</w:t>
      </w:r>
      <w:r>
        <w:rPr>
          <w:rFonts w:hint="eastAsia" w:ascii="仿宋" w:hAnsi="仿宋" w:eastAsia="仿宋" w:cs="仿宋"/>
          <w:color w:val="auto"/>
          <w:sz w:val="28"/>
          <w:szCs w:val="28"/>
        </w:rPr>
        <w:t>日，</w:t>
      </w:r>
      <w:r>
        <w:rPr>
          <w:rFonts w:hint="eastAsia" w:ascii="仿宋" w:hAnsi="仿宋" w:eastAsia="仿宋" w:cs="仿宋"/>
          <w:color w:val="auto"/>
          <w:sz w:val="28"/>
          <w:szCs w:val="28"/>
          <w:lang w:eastAsia="zh-CN"/>
        </w:rPr>
        <w:t>重庆达建机械有限公司</w:t>
      </w:r>
      <w:r>
        <w:rPr>
          <w:rFonts w:hint="eastAsia" w:ascii="仿宋" w:hAnsi="仿宋" w:eastAsia="仿宋" w:cs="仿宋"/>
          <w:color w:val="auto"/>
          <w:sz w:val="28"/>
          <w:szCs w:val="28"/>
        </w:rPr>
        <w:t>组织有关单位及专家召开了</w:t>
      </w:r>
      <w:r>
        <w:rPr>
          <w:rFonts w:hint="eastAsia" w:ascii="仿宋" w:hAnsi="仿宋" w:eastAsia="仿宋" w:cs="仿宋"/>
          <w:color w:val="auto"/>
          <w:sz w:val="28"/>
          <w:szCs w:val="28"/>
          <w:lang w:eastAsia="zh-CN"/>
        </w:rPr>
        <w:t>达建机械精密仪器配件加工项目</w:t>
      </w:r>
      <w:r>
        <w:rPr>
          <w:rFonts w:hint="eastAsia" w:ascii="仿宋" w:hAnsi="仿宋" w:eastAsia="仿宋" w:cs="仿宋"/>
          <w:color w:val="auto"/>
          <w:sz w:val="28"/>
          <w:szCs w:val="28"/>
        </w:rPr>
        <w:t>竣工环境保护验收会。验收组通过踏勘现场以及听取建设单位对该项目在建设中执行环境影响评价和“三同时”制度情况的介绍、对该项目竣工验收监测情况的介绍，咨询了有关问题，经认真讨论，形成如下竣工环境保护验收意见：</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一、工程建设基本情况</w:t>
      </w:r>
    </w:p>
    <w:p>
      <w:pPr>
        <w:spacing w:line="480" w:lineRule="exact"/>
        <w:ind w:firstLine="560" w:firstLineChars="200"/>
        <w:rPr>
          <w:rFonts w:ascii="微软雅黑" w:hAnsi="微软雅黑" w:eastAsia="微软雅黑"/>
          <w:b/>
          <w:bCs/>
          <w:color w:val="auto"/>
          <w:sz w:val="28"/>
          <w:szCs w:val="28"/>
        </w:rPr>
      </w:pPr>
      <w:r>
        <w:rPr>
          <w:rFonts w:ascii="微软雅黑" w:hAnsi="微软雅黑" w:eastAsia="微软雅黑"/>
          <w:b/>
          <w:bCs/>
          <w:color w:val="auto"/>
          <w:sz w:val="28"/>
          <w:szCs w:val="28"/>
        </w:rPr>
        <w:t>（一）建设地点、规模、主要建设内容</w:t>
      </w:r>
    </w:p>
    <w:p>
      <w:pPr>
        <w:spacing w:line="480" w:lineRule="exact"/>
        <w:ind w:firstLine="560" w:firstLineChars="200"/>
        <w:rPr>
          <w:rFonts w:ascii="微软雅黑" w:hAnsi="微软雅黑" w:eastAsia="微软雅黑"/>
          <w:color w:val="auto"/>
          <w:sz w:val="28"/>
          <w:szCs w:val="28"/>
        </w:rPr>
      </w:pPr>
      <w:r>
        <w:rPr>
          <w:rFonts w:ascii="微软雅黑" w:hAnsi="微软雅黑" w:eastAsia="微软雅黑"/>
          <w:b/>
          <w:bCs/>
          <w:color w:val="auto"/>
          <w:sz w:val="28"/>
          <w:szCs w:val="28"/>
        </w:rPr>
        <w:t>环评及批复建设内容</w:t>
      </w:r>
      <w:r>
        <w:rPr>
          <w:rFonts w:hint="eastAsia" w:ascii="微软雅黑" w:hAnsi="微软雅黑" w:eastAsia="微软雅黑"/>
          <w:b/>
          <w:bCs/>
          <w:color w:val="auto"/>
          <w:sz w:val="28"/>
          <w:szCs w:val="28"/>
        </w:rPr>
        <w:t>：</w:t>
      </w:r>
      <w:r>
        <w:rPr>
          <w:rFonts w:hint="eastAsia" w:ascii="仿宋" w:hAnsi="仿宋" w:eastAsia="仿宋" w:cs="仿宋"/>
          <w:color w:val="auto"/>
          <w:sz w:val="28"/>
          <w:szCs w:val="28"/>
          <w:lang w:eastAsia="zh-CN"/>
        </w:rPr>
        <w:t>重庆达建机械有限公司</w:t>
      </w:r>
      <w:r>
        <w:rPr>
          <w:rFonts w:hint="eastAsia" w:ascii="仿宋" w:hAnsi="仿宋" w:eastAsia="仿宋" w:cs="仿宋"/>
          <w:color w:val="auto"/>
          <w:sz w:val="28"/>
          <w:szCs w:val="28"/>
          <w:lang w:eastAsia="zh-CN"/>
        </w:rPr>
        <w:t>购置重庆欧隆房地产开发有限公司合川区草街街道金凤环路2号12号厂房1-1地块（御志标准厂房），项目占地面积约为1952.83㎡，投资1000万元，通过购置CNC加工中心、数控车床设备等设备，建设“达建机械精密仪器配件加工项目”。建成后可形成年产法兰20万件、管阀件50万件、大盲塞50万件、小盲塞50万件、焊环15万件、铝塞子50万件、卡圈50万件</w:t>
      </w:r>
      <w:r>
        <w:rPr>
          <w:rFonts w:hint="eastAsia" w:ascii="仿宋" w:hAnsi="仿宋" w:eastAsia="仿宋" w:cs="仿宋"/>
          <w:color w:val="auto"/>
          <w:sz w:val="28"/>
          <w:szCs w:val="28"/>
        </w:rPr>
        <w:t>。配套建设环保工程、公用工程、辅助工程和储运工程。</w:t>
      </w:r>
    </w:p>
    <w:p>
      <w:pPr>
        <w:spacing w:line="480" w:lineRule="exact"/>
        <w:ind w:firstLine="560" w:firstLineChars="200"/>
        <w:rPr>
          <w:rFonts w:ascii="微软雅黑" w:hAnsi="微软雅黑" w:eastAsia="微软雅黑"/>
          <w:color w:val="auto"/>
          <w:sz w:val="28"/>
          <w:szCs w:val="28"/>
        </w:rPr>
      </w:pPr>
      <w:r>
        <w:rPr>
          <w:rFonts w:ascii="微软雅黑" w:hAnsi="微软雅黑" w:eastAsia="微软雅黑"/>
          <w:b/>
          <w:bCs/>
          <w:color w:val="auto"/>
          <w:sz w:val="28"/>
          <w:szCs w:val="28"/>
        </w:rPr>
        <w:t>项目实际建设内容</w:t>
      </w:r>
      <w:r>
        <w:rPr>
          <w:rFonts w:hint="eastAsia" w:ascii="微软雅黑" w:hAnsi="微软雅黑" w:eastAsia="微软雅黑"/>
          <w:b/>
          <w:bCs/>
          <w:color w:val="auto"/>
          <w:sz w:val="28"/>
          <w:szCs w:val="28"/>
        </w:rPr>
        <w:t>：</w:t>
      </w:r>
      <w:r>
        <w:rPr>
          <w:rFonts w:hint="eastAsia" w:ascii="仿宋" w:hAnsi="仿宋" w:eastAsia="仿宋" w:cs="仿宋"/>
          <w:color w:val="auto"/>
          <w:sz w:val="28"/>
          <w:szCs w:val="28"/>
          <w:lang w:eastAsia="zh-CN"/>
        </w:rPr>
        <w:t>项目</w:t>
      </w:r>
      <w:r>
        <w:rPr>
          <w:rFonts w:hint="eastAsia" w:ascii="仿宋" w:hAnsi="仿宋" w:eastAsia="仿宋" w:cs="仿宋"/>
          <w:color w:val="auto"/>
          <w:sz w:val="28"/>
          <w:szCs w:val="28"/>
          <w:lang w:val="en-US" w:eastAsia="zh-CN"/>
        </w:rPr>
        <w:t>实际建设位于</w:t>
      </w:r>
      <w:r>
        <w:rPr>
          <w:rFonts w:hint="eastAsia" w:ascii="仿宋" w:hAnsi="仿宋" w:eastAsia="仿宋" w:cs="仿宋"/>
          <w:color w:val="auto"/>
          <w:sz w:val="28"/>
          <w:szCs w:val="28"/>
          <w:lang w:eastAsia="zh-CN"/>
        </w:rPr>
        <w:t>合川区草街街道金凤环路2号12号厂房1-1地块（御志标准厂房），占地面积约为1952.83㎡。</w:t>
      </w:r>
      <w:r>
        <w:rPr>
          <w:rFonts w:hint="eastAsia" w:ascii="仿宋" w:hAnsi="仿宋" w:eastAsia="仿宋" w:cs="仿宋"/>
          <w:color w:val="auto"/>
          <w:sz w:val="28"/>
          <w:szCs w:val="28"/>
          <w:lang w:val="en-US" w:eastAsia="zh-CN"/>
        </w:rPr>
        <w:t>生产规模为</w:t>
      </w:r>
      <w:r>
        <w:rPr>
          <w:rFonts w:hint="eastAsia" w:ascii="仿宋" w:hAnsi="仿宋" w:eastAsia="仿宋" w:cs="仿宋"/>
          <w:color w:val="auto"/>
          <w:sz w:val="28"/>
          <w:szCs w:val="28"/>
          <w:lang w:eastAsia="zh-CN"/>
        </w:rPr>
        <w:t>年产法兰20万件、管阀件50万件、大盲塞50万件、小盲塞50万件、焊环15万件、铝塞子50万件、卡圈50万件。配套建</w:t>
      </w:r>
      <w:r>
        <w:rPr>
          <w:rFonts w:hint="eastAsia" w:ascii="仿宋" w:hAnsi="仿宋" w:eastAsia="仿宋" w:cs="仿宋"/>
          <w:color w:val="auto"/>
          <w:sz w:val="28"/>
          <w:szCs w:val="28"/>
          <w:lang w:val="en-US" w:eastAsia="zh-CN"/>
        </w:rPr>
        <w:t>成了</w:t>
      </w:r>
      <w:r>
        <w:rPr>
          <w:rFonts w:hint="eastAsia" w:ascii="仿宋" w:hAnsi="仿宋" w:eastAsia="仿宋" w:cs="仿宋"/>
          <w:color w:val="auto"/>
          <w:sz w:val="28"/>
          <w:szCs w:val="28"/>
          <w:lang w:eastAsia="zh-CN"/>
        </w:rPr>
        <w:t>环保工程、公用工程、辅助工程和储运工程</w:t>
      </w:r>
      <w:r>
        <w:rPr>
          <w:rFonts w:hint="eastAsia" w:ascii="仿宋" w:hAnsi="仿宋" w:eastAsia="仿宋" w:cs="仿宋"/>
          <w:color w:val="auto"/>
          <w:sz w:val="28"/>
          <w:szCs w:val="28"/>
        </w:rPr>
        <w:t>。</w:t>
      </w:r>
    </w:p>
    <w:p>
      <w:pPr>
        <w:spacing w:line="480" w:lineRule="exact"/>
        <w:ind w:firstLine="560" w:firstLineChars="200"/>
        <w:rPr>
          <w:rFonts w:ascii="微软雅黑" w:hAnsi="微软雅黑" w:eastAsia="微软雅黑"/>
          <w:b/>
          <w:bCs/>
          <w:color w:val="auto"/>
          <w:sz w:val="28"/>
          <w:szCs w:val="28"/>
        </w:rPr>
      </w:pPr>
      <w:r>
        <w:rPr>
          <w:rFonts w:ascii="微软雅黑" w:hAnsi="微软雅黑" w:eastAsia="微软雅黑"/>
          <w:b/>
          <w:bCs/>
          <w:color w:val="auto"/>
          <w:sz w:val="28"/>
          <w:szCs w:val="28"/>
        </w:rPr>
        <w:t>（二）建设过程及环保审批情况</w:t>
      </w:r>
    </w:p>
    <w:p>
      <w:pPr>
        <w:spacing w:line="48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重庆达建机械有限公司</w:t>
      </w:r>
      <w:r>
        <w:rPr>
          <w:rFonts w:hint="eastAsia" w:ascii="仿宋" w:hAnsi="仿宋" w:eastAsia="仿宋" w:cs="仿宋"/>
          <w:color w:val="auto"/>
          <w:sz w:val="28"/>
          <w:szCs w:val="28"/>
        </w:rPr>
        <w:t>于2022年6月取得了重庆市铜梁区发展和改革委员会核发的《重庆市企业投资项目备案证》，备案项目编码：2206-500151-04-05-669072</w:t>
      </w:r>
      <w:r>
        <w:rPr>
          <w:rFonts w:hint="eastAsia" w:ascii="仿宋" w:hAnsi="仿宋" w:eastAsia="仿宋" w:cs="仿宋"/>
          <w:color w:val="auto"/>
          <w:sz w:val="28"/>
          <w:szCs w:val="28"/>
          <w:lang w:eastAsia="zh-CN"/>
        </w:rPr>
        <w:t>。</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于2022年</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月委托重庆三三环保工程有限公司编制了《</w:t>
      </w:r>
      <w:r>
        <w:rPr>
          <w:rFonts w:hint="eastAsia" w:ascii="仿宋" w:hAnsi="仿宋" w:eastAsia="仿宋" w:cs="仿宋"/>
          <w:color w:val="auto"/>
          <w:sz w:val="28"/>
          <w:szCs w:val="28"/>
          <w:lang w:eastAsia="zh-CN"/>
        </w:rPr>
        <w:t>重庆达建机械有限公司达建机械精密仪器配件加工项目</w:t>
      </w:r>
      <w:r>
        <w:rPr>
          <w:rFonts w:hint="eastAsia" w:ascii="仿宋" w:hAnsi="仿宋" w:eastAsia="仿宋" w:cs="仿宋"/>
          <w:color w:val="auto"/>
          <w:sz w:val="28"/>
          <w:szCs w:val="28"/>
        </w:rPr>
        <w:t>环境影响报告表》，重庆市合川区生态环境局生态环境局于2022年</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日进行了批复（渝（合）环准【2022】068号）。</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企业于202</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13日</w:t>
      </w:r>
      <w:r>
        <w:rPr>
          <w:rFonts w:hint="eastAsia" w:ascii="仿宋" w:hAnsi="仿宋" w:eastAsia="仿宋" w:cs="仿宋"/>
          <w:color w:val="auto"/>
          <w:sz w:val="28"/>
          <w:szCs w:val="28"/>
        </w:rPr>
        <w:t>在全国排污许可证管理信息平台填报完成（登记编号: 915001090703201145001W），项目于2022年</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月开工建设，202</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月建成并进行生产调试。</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项目至实施以来无环境问题投诉、违法及处罚记录等。</w:t>
      </w:r>
    </w:p>
    <w:p>
      <w:pPr>
        <w:spacing w:line="480" w:lineRule="exact"/>
        <w:ind w:firstLine="560" w:firstLineChars="20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（三）投资情况</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项目实际总投资</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000万元，其中环保投资</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rPr>
        <w:t>万元。</w:t>
      </w:r>
    </w:p>
    <w:p>
      <w:pPr>
        <w:spacing w:line="480" w:lineRule="exact"/>
        <w:ind w:firstLine="560" w:firstLineChars="200"/>
        <w:rPr>
          <w:rFonts w:ascii="微软雅黑" w:hAnsi="微软雅黑" w:eastAsia="微软雅黑"/>
          <w:b/>
          <w:bCs/>
          <w:color w:val="auto"/>
          <w:sz w:val="28"/>
          <w:szCs w:val="28"/>
        </w:rPr>
      </w:pPr>
      <w:r>
        <w:rPr>
          <w:rFonts w:ascii="微软雅黑" w:hAnsi="微软雅黑" w:eastAsia="微软雅黑"/>
          <w:b/>
          <w:bCs/>
          <w:color w:val="auto"/>
          <w:sz w:val="28"/>
          <w:szCs w:val="28"/>
        </w:rPr>
        <w:t>（</w:t>
      </w:r>
      <w:r>
        <w:rPr>
          <w:rFonts w:hint="eastAsia" w:ascii="微软雅黑" w:hAnsi="微软雅黑" w:eastAsia="微软雅黑"/>
          <w:b/>
          <w:bCs/>
          <w:color w:val="auto"/>
          <w:sz w:val="28"/>
          <w:szCs w:val="28"/>
        </w:rPr>
        <w:t>四</w:t>
      </w:r>
      <w:r>
        <w:rPr>
          <w:rFonts w:ascii="微软雅黑" w:hAnsi="微软雅黑" w:eastAsia="微软雅黑"/>
          <w:b/>
          <w:bCs/>
          <w:color w:val="auto"/>
          <w:sz w:val="28"/>
          <w:szCs w:val="28"/>
        </w:rPr>
        <w:t>）验收范围</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本次验收对</w:t>
      </w:r>
      <w:r>
        <w:rPr>
          <w:rFonts w:hint="eastAsia" w:ascii="仿宋" w:hAnsi="仿宋" w:eastAsia="仿宋" w:cs="仿宋"/>
          <w:color w:val="auto"/>
          <w:sz w:val="28"/>
          <w:szCs w:val="28"/>
          <w:lang w:eastAsia="zh-CN"/>
        </w:rPr>
        <w:t>重庆达建机械有限公司达建机械精密仪器配件加工项目</w:t>
      </w:r>
      <w:r>
        <w:rPr>
          <w:rFonts w:hint="eastAsia" w:ascii="仿宋" w:hAnsi="仿宋" w:eastAsia="仿宋" w:cs="仿宋"/>
          <w:color w:val="auto"/>
          <w:sz w:val="28"/>
          <w:szCs w:val="28"/>
        </w:rPr>
        <w:t>实际建设内容进行</w:t>
      </w:r>
      <w:r>
        <w:rPr>
          <w:rFonts w:hint="eastAsia" w:ascii="仿宋" w:hAnsi="仿宋" w:eastAsia="仿宋" w:cs="仿宋"/>
          <w:color w:val="auto"/>
          <w:sz w:val="28"/>
          <w:szCs w:val="28"/>
          <w:lang w:val="en-US" w:eastAsia="zh-CN"/>
        </w:rPr>
        <w:t>整体</w:t>
      </w:r>
      <w:r>
        <w:rPr>
          <w:rFonts w:hint="eastAsia" w:ascii="仿宋" w:hAnsi="仿宋" w:eastAsia="仿宋" w:cs="仿宋"/>
          <w:color w:val="auto"/>
          <w:sz w:val="28"/>
          <w:szCs w:val="28"/>
        </w:rPr>
        <w:t>验收。</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二、工程变动情况</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根据现场调查，项目实际建设内容项目与原环评及其批复对比，项目建设</w:t>
      </w:r>
      <w:r>
        <w:rPr>
          <w:rFonts w:hint="eastAsia" w:ascii="仿宋" w:hAnsi="仿宋" w:eastAsia="仿宋" w:cs="仿宋"/>
          <w:color w:val="auto"/>
          <w:sz w:val="28"/>
          <w:szCs w:val="28"/>
          <w:lang w:val="en-US" w:eastAsia="zh-CN"/>
        </w:rPr>
        <w:t>的</w:t>
      </w:r>
      <w:r>
        <w:rPr>
          <w:rFonts w:hint="eastAsia" w:ascii="仿宋" w:hAnsi="仿宋" w:eastAsia="仿宋" w:cs="仿宋"/>
          <w:color w:val="auto"/>
          <w:sz w:val="28"/>
          <w:szCs w:val="28"/>
        </w:rPr>
        <w:t>地点、性质、规模、工艺、环保措施与环评基本一致，根据环办环评函[2020]688号《污染影响类建设项目重大变动清单（试行）》的要求，项目</w:t>
      </w:r>
      <w:r>
        <w:rPr>
          <w:rFonts w:hint="eastAsia" w:ascii="仿宋" w:hAnsi="仿宋" w:eastAsia="仿宋" w:cs="仿宋"/>
          <w:color w:val="auto"/>
          <w:sz w:val="28"/>
          <w:szCs w:val="28"/>
          <w:lang w:val="en-US" w:eastAsia="zh-CN"/>
        </w:rPr>
        <w:t>无</w:t>
      </w:r>
      <w:r>
        <w:rPr>
          <w:rFonts w:hint="eastAsia" w:ascii="仿宋" w:hAnsi="仿宋" w:eastAsia="仿宋" w:cs="仿宋"/>
          <w:color w:val="auto"/>
          <w:sz w:val="28"/>
          <w:szCs w:val="28"/>
        </w:rPr>
        <w:t>重大变动。</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三、环境保护设施建设情况</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（一）废气</w:t>
      </w:r>
    </w:p>
    <w:p>
      <w:pPr>
        <w:spacing w:line="48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iCs/>
          <w:color w:val="auto"/>
          <w:sz w:val="28"/>
          <w:szCs w:val="28"/>
        </w:rPr>
        <w:t>本项目营运期</w:t>
      </w:r>
      <w:r>
        <w:rPr>
          <w:rFonts w:hint="eastAsia" w:ascii="仿宋" w:hAnsi="仿宋" w:eastAsia="仿宋" w:cs="仿宋"/>
          <w:iCs/>
          <w:color w:val="auto"/>
          <w:sz w:val="28"/>
          <w:szCs w:val="28"/>
          <w:lang w:val="en-US" w:eastAsia="zh-CN"/>
        </w:rPr>
        <w:t>无</w:t>
      </w:r>
      <w:r>
        <w:rPr>
          <w:rFonts w:hint="eastAsia" w:ascii="仿宋" w:hAnsi="仿宋" w:eastAsia="仿宋" w:cs="仿宋"/>
          <w:iCs/>
          <w:color w:val="auto"/>
          <w:sz w:val="28"/>
          <w:szCs w:val="28"/>
        </w:rPr>
        <w:t>废气</w:t>
      </w:r>
      <w:r>
        <w:rPr>
          <w:rFonts w:hint="eastAsia" w:ascii="仿宋" w:hAnsi="仿宋" w:eastAsia="仿宋" w:cs="仿宋"/>
          <w:iCs/>
          <w:color w:val="auto"/>
          <w:sz w:val="28"/>
          <w:szCs w:val="28"/>
          <w:lang w:val="en-US" w:eastAsia="zh-CN"/>
        </w:rPr>
        <w:t>产生</w:t>
      </w:r>
      <w:r>
        <w:rPr>
          <w:rFonts w:hint="eastAsia" w:ascii="仿宋" w:hAnsi="仿宋" w:eastAsia="仿宋" w:cs="仿宋"/>
          <w:color w:val="auto"/>
          <w:sz w:val="28"/>
          <w:szCs w:val="28"/>
          <w:lang w:eastAsia="zh-CN"/>
        </w:rPr>
        <w:t>。</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（二）废水</w:t>
      </w:r>
    </w:p>
    <w:p>
      <w:pPr>
        <w:spacing w:line="48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项目产生的废水为主要地面清洁废水、清洗废水、冷却废水、抛光机废水及生活污水。</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地面清洁废水、清洗废水、冷却废水、抛光机废水经自建废水处理设施（破乳+混凝+絮凝+气浮”工艺，处理规模5m³/d）预处理达《污水综合排放标准》(GB8978-1996)三级标准后，排入御志标准厂房已建生化池；生活污水排入御志标准厂房已建生化池；废水经御志标准厂房已建生化池处理达《污水综合排放标准》(GB8978-1996)三级标准后，经园区污水管网排至南溪组团C区污水处理厂，经污水处理厂处理达《城镇污水处理厂污染物排放标准》（GB18918-2002）一级B标后排入嘉陵江</w:t>
      </w:r>
      <w:r>
        <w:rPr>
          <w:rFonts w:hint="eastAsia" w:ascii="仿宋" w:hAnsi="仿宋" w:eastAsia="仿宋" w:cs="仿宋"/>
          <w:color w:val="auto"/>
          <w:sz w:val="28"/>
          <w:szCs w:val="28"/>
        </w:rPr>
        <w:t>。</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（三）噪声</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项目选用低噪声设备，采取了合理布设噪声设备位置，</w:t>
      </w:r>
      <w:r>
        <w:rPr>
          <w:rFonts w:hint="eastAsia" w:ascii="仿宋" w:hAnsi="仿宋" w:eastAsia="仿宋" w:cs="仿宋"/>
          <w:color w:val="auto"/>
          <w:sz w:val="28"/>
          <w:szCs w:val="28"/>
          <w:lang w:val="en-US" w:eastAsia="zh-CN"/>
        </w:rPr>
        <w:t>采取了</w:t>
      </w:r>
      <w:r>
        <w:rPr>
          <w:rFonts w:hint="eastAsia" w:ascii="仿宋" w:hAnsi="仿宋" w:eastAsia="仿宋" w:cs="仿宋"/>
          <w:color w:val="auto"/>
          <w:sz w:val="28"/>
          <w:szCs w:val="28"/>
        </w:rPr>
        <w:t>隔声、减振等措施。</w:t>
      </w:r>
    </w:p>
    <w:p>
      <w:pPr>
        <w:spacing w:line="480" w:lineRule="exact"/>
        <w:ind w:firstLine="560" w:firstLineChars="200"/>
        <w:rPr>
          <w:rFonts w:hint="eastAsia" w:ascii="仿宋" w:hAnsi="仿宋" w:eastAsia="仿宋" w:cs="仿宋"/>
          <w:iCs/>
          <w:color w:val="auto"/>
          <w:sz w:val="28"/>
          <w:szCs w:val="28"/>
        </w:rPr>
      </w:pPr>
      <w:r>
        <w:rPr>
          <w:rFonts w:hint="eastAsia" w:ascii="仿宋" w:hAnsi="仿宋" w:eastAsia="仿宋" w:cs="仿宋"/>
          <w:iCs/>
          <w:color w:val="auto"/>
          <w:sz w:val="28"/>
          <w:szCs w:val="28"/>
        </w:rPr>
        <w:t>（四）固体废物</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项目产生的固体废物为一般固体废物、危险废物和生活垃圾。</w:t>
      </w:r>
    </w:p>
    <w:p>
      <w:pPr>
        <w:spacing w:line="480" w:lineRule="exact"/>
        <w:ind w:firstLine="560" w:firstLineChars="200"/>
        <w:rPr>
          <w:rFonts w:hint="eastAsia" w:ascii="仿宋" w:hAnsi="仿宋" w:eastAsia="仿宋" w:cs="仿宋"/>
          <w:bCs/>
          <w:color w:val="0000FF"/>
          <w:sz w:val="28"/>
          <w:szCs w:val="28"/>
        </w:rPr>
      </w:pPr>
      <w:r>
        <w:rPr>
          <w:rFonts w:hint="eastAsia" w:ascii="仿宋" w:hAnsi="仿宋" w:eastAsia="仿宋" w:cs="仿宋"/>
          <w:bCs/>
          <w:color w:val="auto"/>
          <w:sz w:val="28"/>
          <w:szCs w:val="28"/>
        </w:rPr>
        <w:t>一般固体废物：一般工业固废主要为废边角料及金属废屑</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废石子</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厂区西南侧设置一般固废暂存间，建筑面积约30㎡，用于存放生产过程中产生的一般工业固废</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一般固体废物</w:t>
      </w:r>
      <w:r>
        <w:rPr>
          <w:rFonts w:hint="eastAsia" w:ascii="仿宋" w:hAnsi="仿宋" w:eastAsia="仿宋" w:cs="仿宋"/>
          <w:bCs/>
          <w:color w:val="auto"/>
          <w:sz w:val="28"/>
          <w:szCs w:val="28"/>
          <w:lang w:val="en-US" w:eastAsia="zh-CN"/>
        </w:rPr>
        <w:t>外售处置</w:t>
      </w:r>
      <w:r>
        <w:rPr>
          <w:rFonts w:hint="eastAsia" w:ascii="仿宋" w:hAnsi="仿宋" w:eastAsia="仿宋" w:cs="仿宋"/>
          <w:bCs/>
          <w:color w:val="auto"/>
          <w:sz w:val="28"/>
          <w:szCs w:val="28"/>
        </w:rPr>
        <w:t>。</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危险废物：项目营运期危险废物主要为废润滑油</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废润滑油桶、废切削液桶</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清洗废油</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废棉纱手套</w:t>
      </w:r>
      <w:r>
        <w:rPr>
          <w:rFonts w:hint="eastAsia" w:ascii="仿宋" w:hAnsi="仿宋" w:eastAsia="仿宋" w:cs="仿宋"/>
          <w:bCs/>
          <w:color w:val="auto"/>
          <w:sz w:val="28"/>
          <w:szCs w:val="28"/>
          <w:lang w:val="en-US" w:eastAsia="zh-CN"/>
        </w:rPr>
        <w:t>和</w:t>
      </w:r>
      <w:r>
        <w:rPr>
          <w:rFonts w:hint="eastAsia" w:ascii="仿宋" w:hAnsi="仿宋" w:eastAsia="仿宋" w:cs="仿宋"/>
          <w:bCs/>
          <w:color w:val="auto"/>
          <w:sz w:val="28"/>
          <w:szCs w:val="28"/>
        </w:rPr>
        <w:t>废切削液等</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厂区西南侧设置一危险废物暂存间，建筑面积约10㎡，危险废物分类收集在危废暂存间，暂存</w:t>
      </w:r>
      <w:r>
        <w:rPr>
          <w:rFonts w:hint="eastAsia" w:ascii="仿宋" w:hAnsi="仿宋" w:eastAsia="仿宋" w:cs="仿宋"/>
          <w:bCs/>
          <w:color w:val="auto"/>
          <w:sz w:val="28"/>
          <w:szCs w:val="28"/>
          <w:lang w:val="en-US" w:eastAsia="zh-CN"/>
        </w:rPr>
        <w:t>间有三防措施</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企业</w:t>
      </w:r>
      <w:r>
        <w:rPr>
          <w:rFonts w:hint="eastAsia" w:ascii="仿宋" w:hAnsi="仿宋" w:eastAsia="仿宋" w:cs="仿宋"/>
          <w:bCs/>
          <w:color w:val="auto"/>
          <w:sz w:val="28"/>
          <w:szCs w:val="28"/>
        </w:rPr>
        <w:t>与重庆</w:t>
      </w:r>
      <w:r>
        <w:rPr>
          <w:rFonts w:hint="eastAsia" w:ascii="仿宋" w:hAnsi="仿宋" w:eastAsia="仿宋" w:cs="仿宋"/>
          <w:bCs/>
          <w:color w:val="auto"/>
          <w:sz w:val="28"/>
          <w:szCs w:val="28"/>
          <w:lang w:val="en-US" w:eastAsia="zh-CN"/>
        </w:rPr>
        <w:t>途维环保</w:t>
      </w:r>
      <w:r>
        <w:rPr>
          <w:rFonts w:hint="eastAsia" w:ascii="仿宋" w:hAnsi="仿宋" w:eastAsia="仿宋" w:cs="仿宋"/>
          <w:bCs/>
          <w:color w:val="auto"/>
          <w:sz w:val="28"/>
          <w:szCs w:val="28"/>
        </w:rPr>
        <w:t>科技有限公司签定了《危险废物</w:t>
      </w:r>
      <w:r>
        <w:rPr>
          <w:rFonts w:hint="eastAsia" w:ascii="仿宋" w:hAnsi="仿宋" w:eastAsia="仿宋" w:cs="仿宋"/>
          <w:bCs/>
          <w:color w:val="auto"/>
          <w:sz w:val="28"/>
          <w:szCs w:val="28"/>
          <w:lang w:val="en-US" w:eastAsia="zh-CN"/>
        </w:rPr>
        <w:t>安全处置委托协议</w:t>
      </w:r>
      <w:r>
        <w:rPr>
          <w:rFonts w:hint="eastAsia" w:ascii="仿宋" w:hAnsi="仿宋" w:eastAsia="仿宋" w:cs="仿宋"/>
          <w:bCs/>
          <w:color w:val="auto"/>
          <w:sz w:val="28"/>
          <w:szCs w:val="28"/>
        </w:rPr>
        <w:t>》。</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生活垃圾交市政环卫部门统一收运处理。</w:t>
      </w:r>
    </w:p>
    <w:p>
      <w:pPr>
        <w:pStyle w:val="2"/>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五</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其他</w:t>
      </w:r>
      <w:r>
        <w:rPr>
          <w:rFonts w:hint="eastAsia" w:ascii="仿宋" w:hAnsi="仿宋" w:eastAsia="仿宋" w:cs="仿宋"/>
          <w:bCs/>
          <w:color w:val="auto"/>
          <w:sz w:val="28"/>
          <w:szCs w:val="28"/>
          <w:lang w:eastAsia="zh-CN"/>
        </w:rPr>
        <w:t>环境保护设施</w:t>
      </w:r>
    </w:p>
    <w:p>
      <w:pPr>
        <w:spacing w:line="480" w:lineRule="exact"/>
        <w:ind w:firstLine="560" w:firstLineChars="20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根据现场调查，项目环境风险防范措施</w:t>
      </w:r>
      <w:r>
        <w:rPr>
          <w:rFonts w:hint="eastAsia" w:ascii="仿宋" w:hAnsi="仿宋" w:eastAsia="仿宋" w:cs="仿宋"/>
          <w:bCs/>
          <w:color w:val="auto"/>
          <w:sz w:val="28"/>
          <w:szCs w:val="28"/>
          <w:lang w:val="en-US" w:eastAsia="zh-CN"/>
        </w:rPr>
        <w:t>如下</w:t>
      </w:r>
      <w:r>
        <w:rPr>
          <w:rFonts w:hint="eastAsia" w:ascii="仿宋" w:hAnsi="仿宋" w:eastAsia="仿宋" w:cs="仿宋"/>
          <w:bCs/>
          <w:color w:val="auto"/>
          <w:sz w:val="28"/>
          <w:szCs w:val="28"/>
          <w:lang w:eastAsia="zh-CN"/>
        </w:rPr>
        <w:t>：</w:t>
      </w:r>
    </w:p>
    <w:p>
      <w:pPr>
        <w:spacing w:line="480" w:lineRule="exact"/>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1.在油桶底部设置托盘，防止油料泄漏。</w:t>
      </w:r>
    </w:p>
    <w:p>
      <w:pPr>
        <w:spacing w:line="480" w:lineRule="exact"/>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2.危废间地面采用防腐、防渗材料进行铺设，在含油的危险废物盛放容器下方放置铁皮托盘。</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四、验收监测</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重庆开创检测技术有限公司于2023年2月06日-2月07日对项目进行了验收监测（开创环（检）字[2023]第YS028号）。验收监测期间主体工程工况稳定、环保设施运行正常</w:t>
      </w:r>
      <w:r>
        <w:rPr>
          <w:rFonts w:hint="eastAsia" w:ascii="仿宋" w:hAnsi="仿宋" w:eastAsia="仿宋" w:cs="仿宋"/>
          <w:color w:val="auto"/>
          <w:sz w:val="28"/>
          <w:szCs w:val="28"/>
        </w:rPr>
        <w:t>。</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一</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废水监测结果</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验收监测期间，生化池废水排口W-1废水检测项目中 pH、阴离子表面活性剂、化学需氧量、五日生化需氧量、悬浮物、石油类排放浓度均满足《污水综合排放标准》(GB8978-1996）表4中三级标准排放限值要求，氨氮排放浓度满足《污水排入城镇下水道水质标准》(GB/T 31962-2015)表1标准排放限值。</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噪声监测结果</w:t>
      </w:r>
    </w:p>
    <w:p>
      <w:pPr>
        <w:spacing w:line="48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验收监测期间，项目厂界监测点（C1、C2）昼间</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夜</w:t>
      </w:r>
      <w:r>
        <w:rPr>
          <w:rFonts w:hint="eastAsia" w:ascii="仿宋" w:hAnsi="仿宋" w:eastAsia="仿宋" w:cs="仿宋"/>
          <w:bCs/>
          <w:color w:val="auto"/>
          <w:sz w:val="28"/>
          <w:szCs w:val="28"/>
        </w:rPr>
        <w:t>间噪声排放均</w:t>
      </w:r>
      <w:r>
        <w:rPr>
          <w:rFonts w:hint="eastAsia" w:ascii="仿宋" w:hAnsi="仿宋" w:eastAsia="仿宋" w:cs="仿宋"/>
          <w:bCs/>
          <w:color w:val="auto"/>
          <w:sz w:val="28"/>
          <w:szCs w:val="28"/>
          <w:lang w:val="en-US" w:eastAsia="zh-CN"/>
        </w:rPr>
        <w:t>满足</w:t>
      </w:r>
      <w:r>
        <w:rPr>
          <w:rFonts w:hint="eastAsia" w:ascii="仿宋" w:hAnsi="仿宋" w:eastAsia="仿宋" w:cs="仿宋"/>
          <w:bCs/>
          <w:color w:val="auto"/>
          <w:sz w:val="28"/>
          <w:szCs w:val="28"/>
        </w:rPr>
        <w:t>《工业企业厂界环境噪声排放标准》（GB 12348-2008）表1中3类标准限值的规定</w:t>
      </w:r>
      <w:r>
        <w:rPr>
          <w:rFonts w:hint="eastAsia" w:ascii="仿宋" w:hAnsi="仿宋" w:eastAsia="仿宋" w:cs="仿宋"/>
          <w:color w:val="auto"/>
          <w:sz w:val="28"/>
          <w:szCs w:val="28"/>
        </w:rPr>
        <w:t>。</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五、污染物排污总量</w:t>
      </w:r>
    </w:p>
    <w:p>
      <w:pPr>
        <w:pStyle w:val="2"/>
        <w:spacing w:line="480" w:lineRule="exact"/>
        <w:ind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根据验收监测结果核算，项目废水、废气污染物排污总量满足环评及批复文件要求。</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六、环境影响</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重庆达建机械有限公司达建机械精密仪器配件加工项目</w:t>
      </w:r>
      <w:r>
        <w:rPr>
          <w:rFonts w:hint="eastAsia" w:ascii="仿宋" w:hAnsi="仿宋" w:eastAsia="仿宋" w:cs="仿宋"/>
          <w:bCs/>
          <w:color w:val="auto"/>
          <w:sz w:val="28"/>
          <w:szCs w:val="28"/>
        </w:rPr>
        <w:t>排放废水、废气、固废、噪声对环境的影响符合环评预期。</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七、环境管理情况</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验收项目执行了环境影响评价制度和环保“三同时”制度，建立了环境管理规章制度，有兼职人员负责项目环境管理工作，环境管理总体符合环保要求。</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八、验收结论</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通过现场检查，</w:t>
      </w:r>
      <w:r>
        <w:rPr>
          <w:rFonts w:hint="eastAsia" w:ascii="仿宋" w:hAnsi="仿宋" w:eastAsia="仿宋" w:cs="仿宋"/>
          <w:bCs/>
          <w:color w:val="auto"/>
          <w:sz w:val="28"/>
          <w:szCs w:val="28"/>
          <w:lang w:eastAsia="zh-CN"/>
        </w:rPr>
        <w:t>重庆达建机械有限公司达建机械精密仪器配件加工项目</w:t>
      </w:r>
      <w:r>
        <w:rPr>
          <w:rFonts w:hint="eastAsia" w:ascii="仿宋" w:hAnsi="仿宋" w:eastAsia="仿宋" w:cs="仿宋"/>
          <w:bCs/>
          <w:color w:val="auto"/>
          <w:sz w:val="28"/>
          <w:szCs w:val="28"/>
        </w:rPr>
        <w:t>环保审批手续及环保档案资料基本齐全，建立了环境管理规章制度。项目环保设施及环境管理措施已按环评及批复要求落实，各环保设施运行正常，排放的污染物能满足验收标准要求。项目符合环保验收条件，验收组原则同意</w:t>
      </w:r>
      <w:r>
        <w:rPr>
          <w:rFonts w:hint="eastAsia" w:ascii="仿宋" w:hAnsi="仿宋" w:eastAsia="仿宋" w:cs="仿宋"/>
          <w:color w:val="auto"/>
          <w:sz w:val="28"/>
          <w:szCs w:val="28"/>
        </w:rPr>
        <w:t>项目</w:t>
      </w:r>
      <w:r>
        <w:rPr>
          <w:rFonts w:hint="eastAsia" w:ascii="仿宋" w:hAnsi="仿宋" w:eastAsia="仿宋" w:cs="仿宋"/>
          <w:bCs/>
          <w:color w:val="auto"/>
          <w:sz w:val="28"/>
          <w:szCs w:val="28"/>
        </w:rPr>
        <w:t>通过竣工环保验收。</w:t>
      </w:r>
    </w:p>
    <w:p>
      <w:pPr>
        <w:spacing w:line="480" w:lineRule="exact"/>
        <w:ind w:left="420" w:leftChars="200" w:firstLine="140" w:firstLineChars="50"/>
        <w:rPr>
          <w:rFonts w:ascii="微软雅黑" w:hAnsi="微软雅黑" w:eastAsia="微软雅黑"/>
          <w:b/>
          <w:bCs/>
          <w:color w:val="auto"/>
          <w:sz w:val="28"/>
          <w:szCs w:val="28"/>
        </w:rPr>
      </w:pPr>
      <w:r>
        <w:rPr>
          <w:rFonts w:hint="eastAsia" w:ascii="微软雅黑" w:hAnsi="微软雅黑" w:eastAsia="微软雅黑"/>
          <w:b/>
          <w:bCs/>
          <w:color w:val="auto"/>
          <w:sz w:val="28"/>
          <w:szCs w:val="28"/>
        </w:rPr>
        <w:t>九、后续要求及建议</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1、完善危废暂存间标识，严格分区暂存，补充危废内部管理台账。</w:t>
      </w:r>
    </w:p>
    <w:p>
      <w:pPr>
        <w:spacing w:line="48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2、废</w:t>
      </w:r>
      <w:r>
        <w:rPr>
          <w:rFonts w:hint="eastAsia" w:ascii="仿宋" w:hAnsi="仿宋" w:eastAsia="仿宋" w:cs="仿宋"/>
          <w:bCs/>
          <w:color w:val="auto"/>
          <w:sz w:val="28"/>
          <w:szCs w:val="28"/>
          <w:lang w:val="en-US" w:eastAsia="zh-CN"/>
        </w:rPr>
        <w:t>水处理工艺流程图上墙，完善废水</w:t>
      </w:r>
      <w:r>
        <w:rPr>
          <w:rFonts w:hint="eastAsia" w:ascii="仿宋" w:hAnsi="仿宋" w:eastAsia="仿宋" w:cs="仿宋"/>
          <w:bCs/>
          <w:color w:val="auto"/>
          <w:sz w:val="28"/>
          <w:szCs w:val="28"/>
        </w:rPr>
        <w:t>管道走向标识。</w:t>
      </w:r>
    </w:p>
    <w:p>
      <w:pPr>
        <w:spacing w:line="480" w:lineRule="exact"/>
        <w:ind w:firstLine="560" w:firstLineChars="200"/>
        <w:rPr>
          <w:rFonts w:ascii="微软雅黑" w:hAnsi="微软雅黑" w:eastAsia="微软雅黑"/>
          <w:bCs/>
          <w:color w:val="auto"/>
          <w:sz w:val="28"/>
          <w:szCs w:val="28"/>
        </w:rPr>
      </w:pPr>
    </w:p>
    <w:p>
      <w:pPr>
        <w:spacing w:line="480" w:lineRule="exact"/>
        <w:ind w:firstLine="560" w:firstLineChars="200"/>
        <w:rPr>
          <w:rFonts w:ascii="微软雅黑" w:hAnsi="微软雅黑" w:eastAsia="微软雅黑"/>
          <w:bCs/>
          <w:color w:val="auto"/>
          <w:sz w:val="28"/>
          <w:szCs w:val="28"/>
        </w:rPr>
      </w:pPr>
    </w:p>
    <w:p>
      <w:pPr>
        <w:spacing w:line="480" w:lineRule="exact"/>
        <w:ind w:firstLine="2800" w:firstLineChars="1000"/>
        <w:rPr>
          <w:rFonts w:hint="eastAsia" w:ascii="微软雅黑" w:hAnsi="微软雅黑" w:eastAsia="微软雅黑"/>
          <w:bCs/>
          <w:color w:val="auto"/>
          <w:sz w:val="28"/>
          <w:szCs w:val="28"/>
        </w:rPr>
      </w:pPr>
    </w:p>
    <w:p>
      <w:pPr>
        <w:spacing w:line="480" w:lineRule="exact"/>
        <w:ind w:firstLine="2800" w:firstLineChars="1000"/>
        <w:rPr>
          <w:rFonts w:ascii="微软雅黑" w:hAnsi="微软雅黑" w:eastAsia="微软雅黑"/>
          <w:bCs/>
          <w:color w:val="auto"/>
          <w:sz w:val="28"/>
          <w:szCs w:val="28"/>
        </w:rPr>
      </w:pPr>
      <w:r>
        <w:rPr>
          <w:rFonts w:hint="eastAsia" w:ascii="微软雅黑" w:hAnsi="微软雅黑" w:eastAsia="微软雅黑"/>
          <w:bCs/>
          <w:color w:val="auto"/>
          <w:sz w:val="28"/>
          <w:szCs w:val="28"/>
        </w:rPr>
        <w:t>验收组：</w:t>
      </w:r>
    </w:p>
    <w:p>
      <w:pPr>
        <w:spacing w:line="480" w:lineRule="exact"/>
        <w:ind w:firstLine="560" w:firstLineChars="200"/>
        <w:rPr>
          <w:rFonts w:ascii="微软雅黑" w:hAnsi="微软雅黑" w:eastAsia="微软雅黑"/>
          <w:bCs/>
          <w:color w:val="auto"/>
          <w:sz w:val="28"/>
          <w:szCs w:val="28"/>
        </w:rPr>
      </w:pPr>
    </w:p>
    <w:p>
      <w:pPr>
        <w:spacing w:line="480" w:lineRule="exact"/>
        <w:ind w:firstLine="560" w:firstLineChars="200"/>
        <w:rPr>
          <w:rFonts w:ascii="微软雅黑" w:hAnsi="微软雅黑" w:eastAsia="微软雅黑"/>
          <w:bCs/>
          <w:color w:val="auto"/>
          <w:sz w:val="28"/>
          <w:szCs w:val="28"/>
        </w:rPr>
      </w:pPr>
      <w:r>
        <w:rPr>
          <w:rFonts w:hint="eastAsia" w:ascii="微软雅黑" w:hAnsi="微软雅黑" w:eastAsia="微软雅黑"/>
          <w:bCs/>
          <w:color w:val="auto"/>
          <w:sz w:val="28"/>
          <w:szCs w:val="28"/>
        </w:rPr>
        <w:t xml:space="preserve">                                     </w:t>
      </w:r>
    </w:p>
    <w:p>
      <w:pPr>
        <w:spacing w:line="480" w:lineRule="exact"/>
        <w:ind w:firstLine="560" w:firstLineChars="200"/>
        <w:rPr>
          <w:rFonts w:ascii="微软雅黑" w:hAnsi="微软雅黑" w:eastAsia="微软雅黑"/>
          <w:bCs/>
          <w:color w:val="auto"/>
          <w:sz w:val="28"/>
          <w:szCs w:val="28"/>
        </w:rPr>
      </w:pPr>
      <w:r>
        <w:rPr>
          <w:rFonts w:hint="eastAsia" w:ascii="微软雅黑" w:hAnsi="微软雅黑" w:eastAsia="微软雅黑"/>
          <w:bCs/>
          <w:color w:val="auto"/>
          <w:sz w:val="28"/>
          <w:szCs w:val="28"/>
        </w:rPr>
        <w:t xml:space="preserve">                                        202</w:t>
      </w:r>
      <w:r>
        <w:rPr>
          <w:rFonts w:hint="eastAsia" w:ascii="微软雅黑" w:hAnsi="微软雅黑" w:eastAsia="微软雅黑"/>
          <w:bCs/>
          <w:color w:val="auto"/>
          <w:sz w:val="28"/>
          <w:szCs w:val="28"/>
          <w:lang w:val="en-US" w:eastAsia="zh-CN"/>
        </w:rPr>
        <w:t>3</w:t>
      </w:r>
      <w:r>
        <w:rPr>
          <w:rFonts w:hint="eastAsia" w:ascii="微软雅黑" w:hAnsi="微软雅黑" w:eastAsia="微软雅黑"/>
          <w:bCs/>
          <w:color w:val="auto"/>
          <w:sz w:val="28"/>
          <w:szCs w:val="28"/>
        </w:rPr>
        <w:t>年</w:t>
      </w:r>
      <w:r>
        <w:rPr>
          <w:rFonts w:hint="eastAsia" w:ascii="微软雅黑" w:hAnsi="微软雅黑" w:eastAsia="微软雅黑"/>
          <w:bCs/>
          <w:color w:val="auto"/>
          <w:sz w:val="28"/>
          <w:szCs w:val="28"/>
          <w:lang w:val="en-US" w:eastAsia="zh-CN"/>
        </w:rPr>
        <w:t>2</w:t>
      </w:r>
      <w:r>
        <w:rPr>
          <w:rFonts w:hint="eastAsia" w:ascii="微软雅黑" w:hAnsi="微软雅黑" w:eastAsia="微软雅黑"/>
          <w:bCs/>
          <w:color w:val="auto"/>
          <w:sz w:val="28"/>
          <w:szCs w:val="28"/>
        </w:rPr>
        <w:t>月</w:t>
      </w:r>
      <w:r>
        <w:rPr>
          <w:rFonts w:hint="eastAsia" w:ascii="微软雅黑" w:hAnsi="微软雅黑" w:eastAsia="微软雅黑"/>
          <w:bCs/>
          <w:color w:val="auto"/>
          <w:sz w:val="28"/>
          <w:szCs w:val="28"/>
          <w:lang w:val="en-US" w:eastAsia="zh-CN"/>
        </w:rPr>
        <w:t>27</w:t>
      </w:r>
      <w:r>
        <w:rPr>
          <w:rFonts w:hint="eastAsia" w:ascii="微软雅黑" w:hAnsi="微软雅黑" w:eastAsia="微软雅黑"/>
          <w:bCs/>
          <w:color w:val="auto"/>
          <w:sz w:val="28"/>
          <w:szCs w:val="28"/>
        </w:rPr>
        <w:t xml:space="preserve">日 </w:t>
      </w:r>
    </w:p>
    <w:sectPr>
      <w:footerReference r:id="rId3" w:type="default"/>
      <w:pgSz w:w="11906" w:h="16838"/>
      <w:pgMar w:top="873"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rect id="文本框 1" o:spid="_x0000_s1026" o:spt="1" style="position:absolute;left:0pt;margin-top:-9.05pt;height:144pt;width:10.5pt;mso-position-horizontal:center;mso-position-horizontal-relative:margin;z-index:251659264;mso-width-relative:page;mso-height-relative:page;" filled="f" stroked="f" coordsize="21600,21600" o:gfxdata="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Qg2AstYAAAAHAQAADwAAAAAAAAABACAAAAAiAAAAZHJzL2Rvd25yZXYueG1sUEsB&#10;AhQAFAAAAAgAh07iQKDihta+AQAAhAMAAA4AAAAAAAAAAQAgAAAAJQEAAGRycy9lMm9Eb2MueG1s&#10;UEsFBgAAAAAGAAYAWQEAAFUFAAAAAA==&#10;">
          <v:path/>
          <v:fill on="f" focussize="0,0"/>
          <v:stroke on="f"/>
          <v:imagedata o:title=""/>
          <o:lock v:ext="edit"/>
          <v:textbox inset="0mm,0mm,0mm,0mm" style="mso-fit-shape-to-text:t;">
            <w:txbxContent>
              <w:p>
                <w:pPr>
                  <w:pStyle w:val="8"/>
                  <w:jc w:val="center"/>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 PAGE  \* MERGEFORMAT </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attachedTemplate r:id="rId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I0MDYwMjA0Y2E5NGUxNzI1NjMyMTQ2NmE1MmJjY2UifQ=="/>
    <w:docVar w:name="KSO_WPS_MARK_KEY" w:val="da0610b6-6b83-446c-8d84-353ba5136387"/>
  </w:docVars>
  <w:rsids>
    <w:rsidRoot w:val="3069116A"/>
    <w:rsid w:val="00014BF6"/>
    <w:rsid w:val="00085999"/>
    <w:rsid w:val="000A64CD"/>
    <w:rsid w:val="000D7172"/>
    <w:rsid w:val="000F5DDE"/>
    <w:rsid w:val="000F61DB"/>
    <w:rsid w:val="001240A4"/>
    <w:rsid w:val="0012759E"/>
    <w:rsid w:val="0019289A"/>
    <w:rsid w:val="001960C0"/>
    <w:rsid w:val="001E0575"/>
    <w:rsid w:val="00206E6F"/>
    <w:rsid w:val="0021510A"/>
    <w:rsid w:val="002261DE"/>
    <w:rsid w:val="002634BA"/>
    <w:rsid w:val="00285589"/>
    <w:rsid w:val="00286A33"/>
    <w:rsid w:val="00293D18"/>
    <w:rsid w:val="00297080"/>
    <w:rsid w:val="002A41B9"/>
    <w:rsid w:val="002B1581"/>
    <w:rsid w:val="002C23CC"/>
    <w:rsid w:val="002F7445"/>
    <w:rsid w:val="003379AE"/>
    <w:rsid w:val="003A269E"/>
    <w:rsid w:val="003B20C8"/>
    <w:rsid w:val="003D36EE"/>
    <w:rsid w:val="003D7317"/>
    <w:rsid w:val="003E7039"/>
    <w:rsid w:val="003F7D2D"/>
    <w:rsid w:val="0041149B"/>
    <w:rsid w:val="0044734F"/>
    <w:rsid w:val="00452519"/>
    <w:rsid w:val="00491874"/>
    <w:rsid w:val="005344B2"/>
    <w:rsid w:val="005734FB"/>
    <w:rsid w:val="005B02FB"/>
    <w:rsid w:val="005B4396"/>
    <w:rsid w:val="00670C7F"/>
    <w:rsid w:val="006777AF"/>
    <w:rsid w:val="006A5373"/>
    <w:rsid w:val="006B59B8"/>
    <w:rsid w:val="006F5B37"/>
    <w:rsid w:val="00700859"/>
    <w:rsid w:val="00741565"/>
    <w:rsid w:val="007D5F3D"/>
    <w:rsid w:val="007F701E"/>
    <w:rsid w:val="00801B4C"/>
    <w:rsid w:val="008279F2"/>
    <w:rsid w:val="008A026F"/>
    <w:rsid w:val="008F5E40"/>
    <w:rsid w:val="00936AE3"/>
    <w:rsid w:val="00966ECB"/>
    <w:rsid w:val="009B455F"/>
    <w:rsid w:val="009C7F7F"/>
    <w:rsid w:val="009D258D"/>
    <w:rsid w:val="00A06FFD"/>
    <w:rsid w:val="00A12933"/>
    <w:rsid w:val="00A200E5"/>
    <w:rsid w:val="00A374FE"/>
    <w:rsid w:val="00A50D42"/>
    <w:rsid w:val="00AA0376"/>
    <w:rsid w:val="00AA04D4"/>
    <w:rsid w:val="00AA0FA1"/>
    <w:rsid w:val="00AA1E26"/>
    <w:rsid w:val="00AF0CD9"/>
    <w:rsid w:val="00B01A1D"/>
    <w:rsid w:val="00B079B7"/>
    <w:rsid w:val="00B348AD"/>
    <w:rsid w:val="00B56935"/>
    <w:rsid w:val="00B642F4"/>
    <w:rsid w:val="00B650B6"/>
    <w:rsid w:val="00B67243"/>
    <w:rsid w:val="00B77B55"/>
    <w:rsid w:val="00BA1E1A"/>
    <w:rsid w:val="00BB4C41"/>
    <w:rsid w:val="00BC7434"/>
    <w:rsid w:val="00BD233A"/>
    <w:rsid w:val="00C70C35"/>
    <w:rsid w:val="00CB0190"/>
    <w:rsid w:val="00CB3121"/>
    <w:rsid w:val="00D05706"/>
    <w:rsid w:val="00D43815"/>
    <w:rsid w:val="00D4475E"/>
    <w:rsid w:val="00D67FE0"/>
    <w:rsid w:val="00D82351"/>
    <w:rsid w:val="00D9274C"/>
    <w:rsid w:val="00D95271"/>
    <w:rsid w:val="00DF35AD"/>
    <w:rsid w:val="00DF601B"/>
    <w:rsid w:val="00DF7A9F"/>
    <w:rsid w:val="00E478D0"/>
    <w:rsid w:val="00E71100"/>
    <w:rsid w:val="00EB0B4C"/>
    <w:rsid w:val="00ED4E74"/>
    <w:rsid w:val="00F05C97"/>
    <w:rsid w:val="00F47128"/>
    <w:rsid w:val="00F611E8"/>
    <w:rsid w:val="00F8379D"/>
    <w:rsid w:val="00F8767D"/>
    <w:rsid w:val="00F925E5"/>
    <w:rsid w:val="00F97052"/>
    <w:rsid w:val="00FA3780"/>
    <w:rsid w:val="00FB3826"/>
    <w:rsid w:val="00FC5294"/>
    <w:rsid w:val="00FD29E7"/>
    <w:rsid w:val="00FE6FDA"/>
    <w:rsid w:val="00FF0777"/>
    <w:rsid w:val="01D625EE"/>
    <w:rsid w:val="01E67010"/>
    <w:rsid w:val="0307757B"/>
    <w:rsid w:val="038F71C9"/>
    <w:rsid w:val="03A07EB3"/>
    <w:rsid w:val="04246451"/>
    <w:rsid w:val="04514571"/>
    <w:rsid w:val="051C2760"/>
    <w:rsid w:val="05797C60"/>
    <w:rsid w:val="058D10E0"/>
    <w:rsid w:val="06404B04"/>
    <w:rsid w:val="06B83F1C"/>
    <w:rsid w:val="07287282"/>
    <w:rsid w:val="08383BC8"/>
    <w:rsid w:val="08B374B6"/>
    <w:rsid w:val="0960649F"/>
    <w:rsid w:val="0963297B"/>
    <w:rsid w:val="09951334"/>
    <w:rsid w:val="09EA4D65"/>
    <w:rsid w:val="0A104A22"/>
    <w:rsid w:val="0A386783"/>
    <w:rsid w:val="0A466107"/>
    <w:rsid w:val="0A564BDF"/>
    <w:rsid w:val="0C1C02B4"/>
    <w:rsid w:val="0C436DA2"/>
    <w:rsid w:val="0C4C1587"/>
    <w:rsid w:val="0CA21D1B"/>
    <w:rsid w:val="0CAA5073"/>
    <w:rsid w:val="0D533015"/>
    <w:rsid w:val="0DBD1FD1"/>
    <w:rsid w:val="0DFA6F42"/>
    <w:rsid w:val="0E2724D4"/>
    <w:rsid w:val="0E541828"/>
    <w:rsid w:val="0E6454B7"/>
    <w:rsid w:val="0FAC5576"/>
    <w:rsid w:val="10336F8E"/>
    <w:rsid w:val="1057176D"/>
    <w:rsid w:val="11360C84"/>
    <w:rsid w:val="11AF49CC"/>
    <w:rsid w:val="12A65A60"/>
    <w:rsid w:val="12DE6E73"/>
    <w:rsid w:val="13672AAA"/>
    <w:rsid w:val="136F06D4"/>
    <w:rsid w:val="13753F1B"/>
    <w:rsid w:val="13E46B53"/>
    <w:rsid w:val="140C65E0"/>
    <w:rsid w:val="14C02644"/>
    <w:rsid w:val="14D42C8D"/>
    <w:rsid w:val="15223768"/>
    <w:rsid w:val="158D7916"/>
    <w:rsid w:val="15EC2259"/>
    <w:rsid w:val="15ED45DF"/>
    <w:rsid w:val="16E66022"/>
    <w:rsid w:val="17144548"/>
    <w:rsid w:val="17285513"/>
    <w:rsid w:val="1731668F"/>
    <w:rsid w:val="1750136A"/>
    <w:rsid w:val="18111D97"/>
    <w:rsid w:val="18141E5A"/>
    <w:rsid w:val="186D0013"/>
    <w:rsid w:val="189B62B5"/>
    <w:rsid w:val="18D25736"/>
    <w:rsid w:val="1AA1731A"/>
    <w:rsid w:val="1AAA3581"/>
    <w:rsid w:val="1B122762"/>
    <w:rsid w:val="1B2208D0"/>
    <w:rsid w:val="1B682381"/>
    <w:rsid w:val="1B8F5B60"/>
    <w:rsid w:val="1BF713A7"/>
    <w:rsid w:val="1C62278C"/>
    <w:rsid w:val="1CB70BA3"/>
    <w:rsid w:val="1E080E4B"/>
    <w:rsid w:val="1E25455A"/>
    <w:rsid w:val="1E34479D"/>
    <w:rsid w:val="1E517AD5"/>
    <w:rsid w:val="1ED220D2"/>
    <w:rsid w:val="1F374545"/>
    <w:rsid w:val="1FB45B95"/>
    <w:rsid w:val="1FBF78E5"/>
    <w:rsid w:val="20495D87"/>
    <w:rsid w:val="204A2B7A"/>
    <w:rsid w:val="20931C4F"/>
    <w:rsid w:val="20EC135F"/>
    <w:rsid w:val="213E4596"/>
    <w:rsid w:val="21584C46"/>
    <w:rsid w:val="21BF24B2"/>
    <w:rsid w:val="222955AF"/>
    <w:rsid w:val="22691E12"/>
    <w:rsid w:val="226C12D2"/>
    <w:rsid w:val="228F4984"/>
    <w:rsid w:val="2329469A"/>
    <w:rsid w:val="235978A2"/>
    <w:rsid w:val="23CB2115"/>
    <w:rsid w:val="23D22A8E"/>
    <w:rsid w:val="2455090C"/>
    <w:rsid w:val="24B054EC"/>
    <w:rsid w:val="25981AB5"/>
    <w:rsid w:val="26321F0A"/>
    <w:rsid w:val="264B31E0"/>
    <w:rsid w:val="265C7907"/>
    <w:rsid w:val="27E234BC"/>
    <w:rsid w:val="27E84E8C"/>
    <w:rsid w:val="28045EEE"/>
    <w:rsid w:val="284C0671"/>
    <w:rsid w:val="29562E31"/>
    <w:rsid w:val="29E72052"/>
    <w:rsid w:val="2A226880"/>
    <w:rsid w:val="2A5C7D9B"/>
    <w:rsid w:val="2A765030"/>
    <w:rsid w:val="2A8E512C"/>
    <w:rsid w:val="2ADA6991"/>
    <w:rsid w:val="2B0A6FB1"/>
    <w:rsid w:val="2B0B7B88"/>
    <w:rsid w:val="2B3E63AC"/>
    <w:rsid w:val="2BCA48A8"/>
    <w:rsid w:val="2C0C0B07"/>
    <w:rsid w:val="2C0D0143"/>
    <w:rsid w:val="2C654085"/>
    <w:rsid w:val="2C8E101C"/>
    <w:rsid w:val="2D8A43D9"/>
    <w:rsid w:val="2E151A76"/>
    <w:rsid w:val="2E64193A"/>
    <w:rsid w:val="2ED8642A"/>
    <w:rsid w:val="2FA379D4"/>
    <w:rsid w:val="3021158F"/>
    <w:rsid w:val="30584100"/>
    <w:rsid w:val="30643CC7"/>
    <w:rsid w:val="3069116A"/>
    <w:rsid w:val="307A28DD"/>
    <w:rsid w:val="30BA6D84"/>
    <w:rsid w:val="312C276E"/>
    <w:rsid w:val="316E7B6E"/>
    <w:rsid w:val="32250B75"/>
    <w:rsid w:val="323C02EE"/>
    <w:rsid w:val="32C57C62"/>
    <w:rsid w:val="33904C29"/>
    <w:rsid w:val="33AA1769"/>
    <w:rsid w:val="33E06524"/>
    <w:rsid w:val="34030A42"/>
    <w:rsid w:val="343A6E48"/>
    <w:rsid w:val="3491097A"/>
    <w:rsid w:val="34BA5230"/>
    <w:rsid w:val="34E100AB"/>
    <w:rsid w:val="357560ED"/>
    <w:rsid w:val="358A322F"/>
    <w:rsid w:val="36054F45"/>
    <w:rsid w:val="360E68E4"/>
    <w:rsid w:val="361A3129"/>
    <w:rsid w:val="362D1DA6"/>
    <w:rsid w:val="36304799"/>
    <w:rsid w:val="363F39AC"/>
    <w:rsid w:val="366110AB"/>
    <w:rsid w:val="36D93CDC"/>
    <w:rsid w:val="37450315"/>
    <w:rsid w:val="37DA353A"/>
    <w:rsid w:val="381A45AC"/>
    <w:rsid w:val="385610F9"/>
    <w:rsid w:val="38D35E02"/>
    <w:rsid w:val="3A1219DE"/>
    <w:rsid w:val="3A1A0729"/>
    <w:rsid w:val="3AA41348"/>
    <w:rsid w:val="3B1E6D99"/>
    <w:rsid w:val="3B551DD7"/>
    <w:rsid w:val="3B952CE7"/>
    <w:rsid w:val="3C0C2142"/>
    <w:rsid w:val="3C333A50"/>
    <w:rsid w:val="3C3C047F"/>
    <w:rsid w:val="3D3A282B"/>
    <w:rsid w:val="3D4E5423"/>
    <w:rsid w:val="3DB46FC5"/>
    <w:rsid w:val="3E4B3711"/>
    <w:rsid w:val="3E790CAC"/>
    <w:rsid w:val="3E962118"/>
    <w:rsid w:val="3EA01CAF"/>
    <w:rsid w:val="3F4040B6"/>
    <w:rsid w:val="404073A5"/>
    <w:rsid w:val="4069434C"/>
    <w:rsid w:val="410E0280"/>
    <w:rsid w:val="41104D39"/>
    <w:rsid w:val="41175FD9"/>
    <w:rsid w:val="41872CB2"/>
    <w:rsid w:val="4194717D"/>
    <w:rsid w:val="42354D6D"/>
    <w:rsid w:val="42B13D38"/>
    <w:rsid w:val="42B20E91"/>
    <w:rsid w:val="42D357B4"/>
    <w:rsid w:val="42F72BD0"/>
    <w:rsid w:val="434C761A"/>
    <w:rsid w:val="438B12DA"/>
    <w:rsid w:val="439B1B38"/>
    <w:rsid w:val="43A71BC5"/>
    <w:rsid w:val="43EE7018"/>
    <w:rsid w:val="44423604"/>
    <w:rsid w:val="44B00772"/>
    <w:rsid w:val="4597723C"/>
    <w:rsid w:val="45B20519"/>
    <w:rsid w:val="45D8784E"/>
    <w:rsid w:val="45F238A2"/>
    <w:rsid w:val="46B27135"/>
    <w:rsid w:val="471821DF"/>
    <w:rsid w:val="472B0A50"/>
    <w:rsid w:val="476C199D"/>
    <w:rsid w:val="47BC0997"/>
    <w:rsid w:val="47E80223"/>
    <w:rsid w:val="487F1F40"/>
    <w:rsid w:val="49583A49"/>
    <w:rsid w:val="4AA3092D"/>
    <w:rsid w:val="4BAE0273"/>
    <w:rsid w:val="4C052F7B"/>
    <w:rsid w:val="4C3F7C92"/>
    <w:rsid w:val="4D323AA0"/>
    <w:rsid w:val="4DC112FA"/>
    <w:rsid w:val="4DDF5C24"/>
    <w:rsid w:val="4F133DD7"/>
    <w:rsid w:val="4F1B230A"/>
    <w:rsid w:val="4F63535B"/>
    <w:rsid w:val="4F9F566B"/>
    <w:rsid w:val="4FB8497E"/>
    <w:rsid w:val="4FD150FA"/>
    <w:rsid w:val="503C0C40"/>
    <w:rsid w:val="513A5793"/>
    <w:rsid w:val="51A5504B"/>
    <w:rsid w:val="51CF20E6"/>
    <w:rsid w:val="52493750"/>
    <w:rsid w:val="536F17F8"/>
    <w:rsid w:val="54170CED"/>
    <w:rsid w:val="54651056"/>
    <w:rsid w:val="546649A9"/>
    <w:rsid w:val="55117E64"/>
    <w:rsid w:val="55224C2D"/>
    <w:rsid w:val="55307D52"/>
    <w:rsid w:val="55886E91"/>
    <w:rsid w:val="55B70DA4"/>
    <w:rsid w:val="56585DA5"/>
    <w:rsid w:val="567C39ED"/>
    <w:rsid w:val="56AB0D99"/>
    <w:rsid w:val="56EC7006"/>
    <w:rsid w:val="585E7A8C"/>
    <w:rsid w:val="58704048"/>
    <w:rsid w:val="589F108B"/>
    <w:rsid w:val="58A25F48"/>
    <w:rsid w:val="58B60EAD"/>
    <w:rsid w:val="592D3CE7"/>
    <w:rsid w:val="598B74E7"/>
    <w:rsid w:val="598C3104"/>
    <w:rsid w:val="5A1A1CBA"/>
    <w:rsid w:val="5A447F9A"/>
    <w:rsid w:val="5AE40D1D"/>
    <w:rsid w:val="5BDC19F5"/>
    <w:rsid w:val="5C754F2E"/>
    <w:rsid w:val="5D752101"/>
    <w:rsid w:val="5EFA0B0F"/>
    <w:rsid w:val="5F0B14B3"/>
    <w:rsid w:val="5F867CB5"/>
    <w:rsid w:val="5FA37A53"/>
    <w:rsid w:val="5FB41813"/>
    <w:rsid w:val="5FBD6E8B"/>
    <w:rsid w:val="607F1B4D"/>
    <w:rsid w:val="60802A5D"/>
    <w:rsid w:val="60C8751F"/>
    <w:rsid w:val="60FB12CE"/>
    <w:rsid w:val="61451B66"/>
    <w:rsid w:val="61B13C78"/>
    <w:rsid w:val="61D1562D"/>
    <w:rsid w:val="61E37639"/>
    <w:rsid w:val="61F726EF"/>
    <w:rsid w:val="628E2720"/>
    <w:rsid w:val="62BB4B46"/>
    <w:rsid w:val="64665031"/>
    <w:rsid w:val="64A1396F"/>
    <w:rsid w:val="64C5396E"/>
    <w:rsid w:val="661D4CF5"/>
    <w:rsid w:val="66D56AA0"/>
    <w:rsid w:val="67C63C85"/>
    <w:rsid w:val="67D92871"/>
    <w:rsid w:val="67EB799C"/>
    <w:rsid w:val="67FD51CC"/>
    <w:rsid w:val="68A865B1"/>
    <w:rsid w:val="68D4417F"/>
    <w:rsid w:val="69171127"/>
    <w:rsid w:val="69B147B8"/>
    <w:rsid w:val="6A231CFA"/>
    <w:rsid w:val="6A687275"/>
    <w:rsid w:val="6B052DB8"/>
    <w:rsid w:val="6B1251A6"/>
    <w:rsid w:val="6B364148"/>
    <w:rsid w:val="6BFA67F6"/>
    <w:rsid w:val="6C126676"/>
    <w:rsid w:val="6C47110C"/>
    <w:rsid w:val="6CB033EB"/>
    <w:rsid w:val="6CF6556B"/>
    <w:rsid w:val="6D535020"/>
    <w:rsid w:val="6DE20811"/>
    <w:rsid w:val="6E056521"/>
    <w:rsid w:val="6E212C4D"/>
    <w:rsid w:val="6F136315"/>
    <w:rsid w:val="6F147A20"/>
    <w:rsid w:val="6F2D6397"/>
    <w:rsid w:val="6F5B7DC3"/>
    <w:rsid w:val="6F773AB6"/>
    <w:rsid w:val="70103888"/>
    <w:rsid w:val="70693A57"/>
    <w:rsid w:val="712F3172"/>
    <w:rsid w:val="714E561F"/>
    <w:rsid w:val="71A212BE"/>
    <w:rsid w:val="730E4732"/>
    <w:rsid w:val="734F51D6"/>
    <w:rsid w:val="738D071B"/>
    <w:rsid w:val="73970283"/>
    <w:rsid w:val="74CF6D79"/>
    <w:rsid w:val="75734D20"/>
    <w:rsid w:val="76B93FEC"/>
    <w:rsid w:val="77513504"/>
    <w:rsid w:val="77560455"/>
    <w:rsid w:val="77B21B30"/>
    <w:rsid w:val="781A365F"/>
    <w:rsid w:val="781F41AE"/>
    <w:rsid w:val="782A7918"/>
    <w:rsid w:val="78533592"/>
    <w:rsid w:val="785E1CB7"/>
    <w:rsid w:val="78A7612D"/>
    <w:rsid w:val="78C05BB1"/>
    <w:rsid w:val="78CB0D18"/>
    <w:rsid w:val="79EE2C15"/>
    <w:rsid w:val="7A0128FA"/>
    <w:rsid w:val="7A0732F3"/>
    <w:rsid w:val="7A172116"/>
    <w:rsid w:val="7A9D1530"/>
    <w:rsid w:val="7B524077"/>
    <w:rsid w:val="7BE01E2D"/>
    <w:rsid w:val="7C240B22"/>
    <w:rsid w:val="7CA01FE2"/>
    <w:rsid w:val="7CBC0D5A"/>
    <w:rsid w:val="7CC57B26"/>
    <w:rsid w:val="7CCF6CE0"/>
    <w:rsid w:val="7D184638"/>
    <w:rsid w:val="7E6C0ECD"/>
    <w:rsid w:val="7E90249F"/>
    <w:rsid w:val="7EA434A4"/>
    <w:rsid w:val="7ECD36F3"/>
    <w:rsid w:val="7F1255AA"/>
    <w:rsid w:val="7F3938BE"/>
    <w:rsid w:val="7F471DFC"/>
    <w:rsid w:val="7F623E3B"/>
    <w:rsid w:val="7F902A52"/>
    <w:rsid w:val="7FB83C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5"/>
    <w:next w:val="6"/>
    <w:qFormat/>
    <w:uiPriority w:val="0"/>
    <w:pPr>
      <w:keepNext/>
      <w:keepLines/>
      <w:spacing w:line="576" w:lineRule="auto"/>
    </w:pPr>
    <w:rPr>
      <w:rFonts w:eastAsia="黑体" w:asciiTheme="minorHAnsi" w:hAnsiTheme="minorHAnsi"/>
      <w:kern w:val="44"/>
    </w:rPr>
  </w:style>
  <w:style w:type="paragraph" w:styleId="6">
    <w:name w:val="heading 2"/>
    <w:basedOn w:val="4"/>
    <w:next w:val="1"/>
    <w:unhideWhenUsed/>
    <w:qFormat/>
    <w:uiPriority w:val="0"/>
    <w:pPr>
      <w:spacing w:before="260" w:after="260" w:line="415" w:lineRule="auto"/>
      <w:jc w:val="both"/>
      <w:outlineLvl w:val="1"/>
    </w:pPr>
    <w:rPr>
      <w:rFonts w:ascii="Arial" w:hAnsi="Arial"/>
      <w:kern w:val="0"/>
      <w:sz w:val="28"/>
      <w:szCs w:val="30"/>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unhideWhenUsed/>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styleId="3">
    <w:name w:val="List 3"/>
    <w:basedOn w:val="1"/>
    <w:next w:val="1"/>
    <w:qFormat/>
    <w:uiPriority w:val="0"/>
    <w:pPr>
      <w:autoSpaceDE w:val="0"/>
      <w:autoSpaceDN w:val="0"/>
      <w:adjustRightInd w:val="0"/>
      <w:spacing w:line="288" w:lineRule="auto"/>
      <w:ind w:left="1260" w:hanging="420"/>
      <w:jc w:val="left"/>
      <w:textAlignment w:val="baseline"/>
    </w:pPr>
    <w:rPr>
      <w:kern w:val="0"/>
      <w:sz w:val="24"/>
      <w:szCs w:val="20"/>
    </w:rPr>
  </w:style>
  <w:style w:type="paragraph" w:styleId="5">
    <w:name w:val="Title"/>
    <w:basedOn w:val="1"/>
    <w:qFormat/>
    <w:uiPriority w:val="0"/>
    <w:pPr>
      <w:jc w:val="center"/>
      <w:outlineLvl w:val="0"/>
    </w:pPr>
    <w:rPr>
      <w:rFonts w:ascii="Arial" w:hAnsi="Arial"/>
      <w:b/>
      <w:sz w:val="32"/>
    </w:rPr>
  </w:style>
  <w:style w:type="paragraph" w:styleId="7">
    <w:name w:val="Body Text Indent 2"/>
    <w:basedOn w:val="1"/>
    <w:next w:val="1"/>
    <w:qFormat/>
    <w:uiPriority w:val="0"/>
    <w:pPr>
      <w:spacing w:after="120" w:line="480" w:lineRule="auto"/>
      <w:ind w:left="420" w:leftChars="200"/>
    </w:pPr>
    <w:rPr>
      <w:rFonts w:ascii="Times New Roman" w:hAnsi="Tahoma"/>
      <w:sz w:val="24"/>
      <w:szCs w:val="30"/>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1">
    <w:name w:val="Table Grid"/>
    <w:basedOn w:val="1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表5.1-1"/>
    <w:qFormat/>
    <w:uiPriority w:val="0"/>
    <w:pPr>
      <w:wordWrap w:val="0"/>
      <w:jc w:val="center"/>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4</Pages>
  <Words>2326</Words>
  <Characters>2549</Characters>
  <Lines>18</Lines>
  <Paragraphs>5</Paragraphs>
  <TotalTime>3</TotalTime>
  <ScaleCrop>false</ScaleCrop>
  <LinksUpToDate>false</LinksUpToDate>
  <CharactersWithSpaces>2631</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2022-01-27T13:49:00Z</dcterms:created>
  <dc:creator>L°</dc:creator>
  <cp:lastModifiedBy>托阳树</cp:lastModifiedBy>
  <cp:lastPrinted>2022-01-28T06:52:00Z</cp:lastPrinted>
  <dcterms:modified xsi:type="dcterms:W3CDTF">2023-02-27T06:29:04Z</dcterms:modified>
  <dc:title>重庆安唯昕科技有限公司</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68011AFD69324BB6B10B67089E81DB33</vt:lpwstr>
  </property>
</Properties>
</file>