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微软雅黑" w:hAnsi="微软雅黑" w:eastAsia="微软雅黑"/>
          <w:sz w:val="52"/>
          <w:szCs w:val="52"/>
        </w:rPr>
      </w:pPr>
      <w:r>
        <w:rPr>
          <w:rFonts w:hint="eastAsia" w:ascii="微软雅黑" w:hAnsi="微软雅黑" w:eastAsia="微软雅黑"/>
          <w:sz w:val="44"/>
          <w:szCs w:val="44"/>
        </w:rPr>
        <w:t xml:space="preserve">  </w:t>
      </w:r>
      <w:r>
        <w:rPr>
          <w:rFonts w:hint="eastAsia" w:ascii="微软雅黑" w:hAnsi="微软雅黑" w:eastAsia="微软雅黑"/>
          <w:sz w:val="52"/>
          <w:szCs w:val="52"/>
        </w:rPr>
        <w:t xml:space="preserve"> </w:t>
      </w:r>
      <w:r>
        <w:rPr>
          <w:rFonts w:hint="eastAsia" w:ascii="微软雅黑" w:hAnsi="微软雅黑" w:eastAsia="微软雅黑"/>
          <w:sz w:val="44"/>
          <w:szCs w:val="44"/>
        </w:rPr>
        <w:t xml:space="preserve">  </w:t>
      </w:r>
      <w:r>
        <w:rPr>
          <w:rFonts w:hint="eastAsia" w:ascii="微软雅黑" w:hAnsi="微软雅黑" w:eastAsia="微软雅黑"/>
          <w:sz w:val="44"/>
          <w:szCs w:val="44"/>
          <w:lang w:val="en-US" w:eastAsia="zh-CN"/>
        </w:rPr>
        <w:t>新疆太姥矿业</w:t>
      </w:r>
      <w:r>
        <w:rPr>
          <w:rFonts w:hint="eastAsia" w:ascii="微软雅黑" w:hAnsi="微软雅黑" w:eastAsia="微软雅黑"/>
          <w:sz w:val="44"/>
          <w:szCs w:val="44"/>
        </w:rPr>
        <w:t>有限公司固体废物</w:t>
      </w:r>
      <w:r>
        <w:rPr>
          <w:rFonts w:ascii="微软雅黑" w:hAnsi="微软雅黑" w:eastAsia="微软雅黑"/>
          <w:sz w:val="44"/>
          <w:szCs w:val="44"/>
        </w:rPr>
        <w:t>信息公开</w:t>
      </w:r>
      <w:r>
        <w:rPr>
          <w:rFonts w:hint="eastAsia" w:ascii="微软雅黑" w:hAnsi="微软雅黑" w:eastAsia="微软雅黑"/>
          <w:sz w:val="44"/>
          <w:szCs w:val="44"/>
        </w:rPr>
        <w:t>表</w:t>
      </w:r>
    </w:p>
    <w:p>
      <w:pPr>
        <w:spacing w:line="500" w:lineRule="exact"/>
        <w:jc w:val="center"/>
        <w:rPr>
          <w:rFonts w:hint="eastAsia" w:ascii="微软雅黑" w:hAnsi="微软雅黑" w:eastAsia="微软雅黑"/>
          <w:sz w:val="30"/>
          <w:szCs w:val="30"/>
        </w:rPr>
      </w:pPr>
    </w:p>
    <w:p>
      <w:pPr>
        <w:jc w:val="center"/>
        <w:rPr>
          <w:rFonts w:hint="eastAsia" w:ascii="微软雅黑" w:hAnsi="微软雅黑" w:eastAsia="微软雅黑"/>
          <w:color w:val="4F81BD"/>
          <w:sz w:val="32"/>
          <w:szCs w:val="32"/>
        </w:rPr>
      </w:pPr>
      <w:r>
        <w:rPr>
          <w:rFonts w:ascii="微软雅黑" w:hAnsi="微软雅黑" w:eastAsia="微软雅黑"/>
          <w:sz w:val="32"/>
          <w:szCs w:val="32"/>
        </w:rPr>
        <w:t>单位基本信息</w:t>
      </w:r>
    </w:p>
    <w:tbl>
      <w:tblPr>
        <w:tblStyle w:val="6"/>
        <w:tblW w:w="14109" w:type="dxa"/>
        <w:tblInd w:w="0" w:type="dxa"/>
        <w:tblBorders>
          <w:top w:val="single" w:color="BFBFBF" w:sz="6" w:space="0"/>
          <w:left w:val="single" w:color="BFBFBF" w:sz="6" w:space="0"/>
          <w:bottom w:val="single" w:color="BFBFBF" w:sz="6" w:space="0"/>
          <w:right w:val="single" w:color="BFBFBF" w:sz="6" w:space="0"/>
          <w:insideH w:val="single" w:color="BFBFBF" w:sz="6" w:space="0"/>
          <w:insideV w:val="single" w:color="BFBFBF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4"/>
        <w:gridCol w:w="5388"/>
        <w:gridCol w:w="2411"/>
        <w:gridCol w:w="4206"/>
      </w:tblGrid>
      <w:tr>
        <w:tblPrEx>
          <w:tblBorders>
            <w:top w:val="single" w:color="BFBFBF" w:sz="6" w:space="0"/>
            <w:left w:val="single" w:color="BFBFBF" w:sz="6" w:space="0"/>
            <w:bottom w:val="single" w:color="BFBFBF" w:sz="6" w:space="0"/>
            <w:right w:val="single" w:color="BFBFBF" w:sz="6" w:space="0"/>
            <w:insideH w:val="single" w:color="BFBFBF" w:sz="6" w:space="0"/>
            <w:insideV w:val="single" w:color="BFBFBF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104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ascii="微软雅黑" w:hAnsi="微软雅黑" w:eastAsia="微软雅黑"/>
                <w:color w:val="4F81BD"/>
                <w:sz w:val="24"/>
              </w:rPr>
              <w:t>单位名称</w:t>
            </w:r>
          </w:p>
        </w:tc>
        <w:tc>
          <w:tcPr>
            <w:tcW w:w="5388" w:type="dxa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新疆太姥矿业</w:t>
            </w:r>
            <w:r>
              <w:rPr>
                <w:rFonts w:hint="eastAsia" w:ascii="微软雅黑" w:hAnsi="微软雅黑" w:eastAsia="微软雅黑"/>
                <w:sz w:val="24"/>
              </w:rPr>
              <w:t>有限公司</w:t>
            </w:r>
          </w:p>
        </w:tc>
        <w:tc>
          <w:tcPr>
            <w:tcW w:w="2411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统一社会信用</w:t>
            </w:r>
            <w:r>
              <w:rPr>
                <w:rFonts w:ascii="微软雅黑" w:hAnsi="微软雅黑" w:eastAsia="微软雅黑"/>
                <w:color w:val="4F81BD"/>
                <w:sz w:val="24"/>
              </w:rPr>
              <w:t>代码</w:t>
            </w:r>
          </w:p>
        </w:tc>
        <w:tc>
          <w:tcPr>
            <w:tcW w:w="4206" w:type="dxa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</w:rPr>
              <w:t>91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652222792265217P</w:t>
            </w:r>
          </w:p>
        </w:tc>
      </w:tr>
      <w:tr>
        <w:tblPrEx>
          <w:tblBorders>
            <w:top w:val="single" w:color="BFBFBF" w:sz="6" w:space="0"/>
            <w:left w:val="single" w:color="BFBFBF" w:sz="6" w:space="0"/>
            <w:bottom w:val="single" w:color="BFBFBF" w:sz="6" w:space="0"/>
            <w:right w:val="single" w:color="BFBFBF" w:sz="6" w:space="0"/>
            <w:insideH w:val="single" w:color="BFBFBF" w:sz="6" w:space="0"/>
            <w:insideV w:val="single" w:color="BFBFBF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104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注册</w:t>
            </w:r>
            <w:r>
              <w:rPr>
                <w:rFonts w:ascii="微软雅黑" w:hAnsi="微软雅黑" w:eastAsia="微软雅黑"/>
                <w:color w:val="4F81BD"/>
                <w:sz w:val="24"/>
              </w:rPr>
              <w:t>地址</w:t>
            </w:r>
          </w:p>
        </w:tc>
        <w:tc>
          <w:tcPr>
            <w:tcW w:w="5388" w:type="dxa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新疆哈密巴里坤县博尔羌吉镇</w:t>
            </w:r>
          </w:p>
        </w:tc>
        <w:tc>
          <w:tcPr>
            <w:tcW w:w="2411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生产经营</w:t>
            </w:r>
            <w:r>
              <w:rPr>
                <w:rFonts w:ascii="微软雅黑" w:hAnsi="微软雅黑" w:eastAsia="微软雅黑"/>
                <w:color w:val="4F81BD"/>
                <w:sz w:val="24"/>
              </w:rPr>
              <w:t>地</w:t>
            </w: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址</w:t>
            </w:r>
          </w:p>
        </w:tc>
        <w:tc>
          <w:tcPr>
            <w:tcW w:w="4206" w:type="dxa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新疆哈密巴里坤县博尔羌吉镇</w:t>
            </w:r>
          </w:p>
        </w:tc>
      </w:tr>
      <w:tr>
        <w:tblPrEx>
          <w:tblBorders>
            <w:top w:val="single" w:color="BFBFBF" w:sz="6" w:space="0"/>
            <w:left w:val="single" w:color="BFBFBF" w:sz="6" w:space="0"/>
            <w:bottom w:val="single" w:color="BFBFBF" w:sz="6" w:space="0"/>
            <w:right w:val="single" w:color="BFBFBF" w:sz="6" w:space="0"/>
            <w:insideH w:val="single" w:color="BFBFBF" w:sz="6" w:space="0"/>
            <w:insideV w:val="single" w:color="BFBFBF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104" w:type="dxa"/>
            <w:shd w:val="clear" w:color="auto" w:fill="DAEEF3"/>
            <w:noWrap w:val="0"/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 xml:space="preserve"> </w:t>
            </w:r>
            <w:r>
              <w:rPr>
                <w:rFonts w:ascii="微软雅黑" w:hAnsi="微软雅黑" w:eastAsia="微软雅黑"/>
                <w:color w:val="4F81BD"/>
                <w:sz w:val="24"/>
              </w:rPr>
              <w:t>法定代表人</w:t>
            </w:r>
          </w:p>
        </w:tc>
        <w:tc>
          <w:tcPr>
            <w:tcW w:w="5388" w:type="dxa"/>
            <w:shd w:val="clear" w:color="auto" w:fill="FFFFFF"/>
            <w:noWrap w:val="0"/>
            <w:vAlign w:val="center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陈莹</w:t>
            </w:r>
          </w:p>
        </w:tc>
        <w:tc>
          <w:tcPr>
            <w:tcW w:w="2411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ascii="微软雅黑" w:hAnsi="微软雅黑" w:eastAsia="微软雅黑"/>
                <w:color w:val="4F81BD"/>
                <w:sz w:val="24"/>
              </w:rPr>
              <w:t>邮政编码</w:t>
            </w:r>
          </w:p>
        </w:tc>
        <w:tc>
          <w:tcPr>
            <w:tcW w:w="4206" w:type="dxa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839200</w:t>
            </w:r>
          </w:p>
        </w:tc>
      </w:tr>
      <w:tr>
        <w:tblPrEx>
          <w:tblBorders>
            <w:top w:val="single" w:color="BFBFBF" w:sz="6" w:space="0"/>
            <w:left w:val="single" w:color="BFBFBF" w:sz="6" w:space="0"/>
            <w:bottom w:val="single" w:color="BFBFBF" w:sz="6" w:space="0"/>
            <w:right w:val="single" w:color="BFBFBF" w:sz="6" w:space="0"/>
            <w:insideH w:val="single" w:color="BFBFBF" w:sz="6" w:space="0"/>
            <w:insideV w:val="single" w:color="BFBFBF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2104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eastAsia"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环保负责人</w:t>
            </w:r>
          </w:p>
        </w:tc>
        <w:tc>
          <w:tcPr>
            <w:tcW w:w="5388" w:type="dxa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谷安明</w:t>
            </w:r>
          </w:p>
        </w:tc>
        <w:tc>
          <w:tcPr>
            <w:tcW w:w="2411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eastAsia"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联系电话</w:t>
            </w:r>
          </w:p>
        </w:tc>
        <w:tc>
          <w:tcPr>
            <w:tcW w:w="4206" w:type="dxa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0902-6974044</w:t>
            </w:r>
          </w:p>
        </w:tc>
      </w:tr>
      <w:tr>
        <w:tblPrEx>
          <w:tblBorders>
            <w:top w:val="single" w:color="BFBFBF" w:sz="6" w:space="0"/>
            <w:left w:val="single" w:color="BFBFBF" w:sz="6" w:space="0"/>
            <w:bottom w:val="single" w:color="BFBFBF" w:sz="6" w:space="0"/>
            <w:right w:val="single" w:color="BFBFBF" w:sz="6" w:space="0"/>
            <w:insideH w:val="single" w:color="BFBFBF" w:sz="6" w:space="0"/>
            <w:insideV w:val="single" w:color="BFBFBF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104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eastAsia" w:ascii="微软雅黑" w:hAnsi="微软雅黑" w:eastAsia="微软雅黑"/>
                <w:color w:val="4F81BD"/>
                <w:sz w:val="24"/>
              </w:rPr>
            </w:pPr>
            <w:r>
              <w:rPr>
                <w:rFonts w:ascii="微软雅黑" w:hAnsi="微软雅黑" w:eastAsia="微软雅黑"/>
                <w:color w:val="4F81BD"/>
                <w:sz w:val="24"/>
              </w:rPr>
              <w:t>行业类别</w:t>
            </w:r>
          </w:p>
        </w:tc>
        <w:tc>
          <w:tcPr>
            <w:tcW w:w="5388" w:type="dxa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2"/>
                <w:szCs w:val="22"/>
                <w:lang w:val="en-US" w:eastAsia="zh-CN"/>
              </w:rPr>
              <w:t>其他原油制造、其他开采专业及辅助性活动C2519</w:t>
            </w:r>
          </w:p>
        </w:tc>
        <w:tc>
          <w:tcPr>
            <w:tcW w:w="2411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ascii="微软雅黑" w:hAnsi="微软雅黑" w:eastAsia="微软雅黑"/>
                <w:color w:val="4F81BD"/>
                <w:sz w:val="24"/>
              </w:rPr>
              <w:t>电子邮箱</w:t>
            </w:r>
          </w:p>
        </w:tc>
        <w:tc>
          <w:tcPr>
            <w:tcW w:w="4206" w:type="dxa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349098728</w:t>
            </w:r>
            <w:r>
              <w:rPr>
                <w:rFonts w:hint="eastAsia" w:ascii="微软雅黑" w:hAnsi="微软雅黑" w:eastAsia="微软雅黑"/>
                <w:sz w:val="24"/>
              </w:rPr>
              <w:t>@qq.com</w:t>
            </w:r>
          </w:p>
        </w:tc>
      </w:tr>
      <w:tr>
        <w:tblPrEx>
          <w:tblBorders>
            <w:top w:val="single" w:color="BFBFBF" w:sz="6" w:space="0"/>
            <w:left w:val="single" w:color="BFBFBF" w:sz="6" w:space="0"/>
            <w:bottom w:val="single" w:color="BFBFBF" w:sz="6" w:space="0"/>
            <w:right w:val="single" w:color="BFBFBF" w:sz="6" w:space="0"/>
            <w:insideH w:val="single" w:color="BFBFBF" w:sz="6" w:space="0"/>
            <w:insideV w:val="single" w:color="BFBFBF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</w:trPr>
        <w:tc>
          <w:tcPr>
            <w:tcW w:w="2104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企业性质</w:t>
            </w:r>
          </w:p>
        </w:tc>
        <w:tc>
          <w:tcPr>
            <w:tcW w:w="5388" w:type="dxa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</w:rPr>
              <w:t>民营企业</w:t>
            </w:r>
          </w:p>
        </w:tc>
        <w:tc>
          <w:tcPr>
            <w:tcW w:w="2411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eastAsia"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环境管理类别</w:t>
            </w:r>
          </w:p>
        </w:tc>
        <w:tc>
          <w:tcPr>
            <w:tcW w:w="4206" w:type="dxa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</w:rPr>
              <w:t>重点排污企业</w:t>
            </w:r>
          </w:p>
        </w:tc>
      </w:tr>
      <w:tr>
        <w:tblPrEx>
          <w:tblBorders>
            <w:top w:val="single" w:color="BFBFBF" w:sz="6" w:space="0"/>
            <w:left w:val="single" w:color="BFBFBF" w:sz="6" w:space="0"/>
            <w:bottom w:val="single" w:color="BFBFBF" w:sz="6" w:space="0"/>
            <w:right w:val="single" w:color="BFBFBF" w:sz="6" w:space="0"/>
            <w:insideH w:val="single" w:color="BFBFBF" w:sz="6" w:space="0"/>
            <w:insideV w:val="single" w:color="BFBFBF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2" w:hRule="atLeast"/>
        </w:trPr>
        <w:tc>
          <w:tcPr>
            <w:tcW w:w="2104" w:type="dxa"/>
            <w:shd w:val="clear" w:color="auto" w:fill="DAEEF3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ascii="微软雅黑" w:hAnsi="微软雅黑" w:eastAsia="微软雅黑"/>
                <w:color w:val="4F81BD"/>
                <w:sz w:val="24"/>
              </w:rPr>
              <w:t>单位简介</w:t>
            </w:r>
          </w:p>
        </w:tc>
        <w:tc>
          <w:tcPr>
            <w:tcW w:w="12005" w:type="dxa"/>
            <w:gridSpan w:val="3"/>
            <w:shd w:val="clear" w:color="auto" w:fill="FFFFFF"/>
            <w:noWrap w:val="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>
            <w:pPr>
              <w:spacing w:line="500" w:lineRule="exact"/>
              <w:ind w:firstLine="240" w:firstLineChars="100"/>
              <w:rPr>
                <w:rFonts w:hint="eastAsia"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新疆太姥矿业</w:t>
            </w:r>
            <w:r>
              <w:rPr>
                <w:rFonts w:hint="eastAsia" w:ascii="微软雅黑" w:hAnsi="微软雅黑" w:eastAsia="微软雅黑"/>
                <w:sz w:val="24"/>
              </w:rPr>
              <w:t>有限公司是一家专业从事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矿山开采、油页岩加工、销售为一体的民营</w:t>
            </w:r>
            <w:r>
              <w:rPr>
                <w:rFonts w:hint="eastAsia" w:ascii="微软雅黑" w:hAnsi="微软雅黑" w:eastAsia="微软雅黑"/>
                <w:sz w:val="24"/>
              </w:rPr>
              <w:t>高新技术企业，成立于2006年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8</w:t>
            </w:r>
            <w:r>
              <w:rPr>
                <w:rFonts w:hint="eastAsia" w:ascii="微软雅黑" w:hAnsi="微软雅黑" w:eastAsia="微软雅黑"/>
                <w:sz w:val="24"/>
              </w:rPr>
              <w:t>月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31日</w:t>
            </w:r>
            <w:r>
              <w:rPr>
                <w:rFonts w:hint="eastAsia" w:ascii="微软雅黑" w:hAnsi="微软雅黑" w:eastAsia="微软雅黑"/>
                <w:sz w:val="24"/>
              </w:rPr>
              <w:t>，设计年生产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页岩油6万</w:t>
            </w:r>
            <w:r>
              <w:rPr>
                <w:rFonts w:hint="eastAsia" w:ascii="微软雅黑" w:hAnsi="微软雅黑" w:eastAsia="微软雅黑"/>
                <w:sz w:val="24"/>
              </w:rPr>
              <w:t>吨。公司201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4</w:t>
            </w:r>
            <w:r>
              <w:rPr>
                <w:rFonts w:hint="eastAsia" w:ascii="微软雅黑" w:hAnsi="微软雅黑" w:eastAsia="微软雅黑"/>
                <w:sz w:val="24"/>
              </w:rPr>
              <w:t>年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1</w:t>
            </w:r>
            <w:r>
              <w:rPr>
                <w:rFonts w:hint="eastAsia" w:ascii="微软雅黑" w:hAnsi="微软雅黑" w:eastAsia="微软雅黑"/>
                <w:sz w:val="24"/>
              </w:rPr>
              <w:t>月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14日</w:t>
            </w:r>
            <w:r>
              <w:rPr>
                <w:rFonts w:hint="eastAsia" w:ascii="微软雅黑" w:hAnsi="微软雅黑" w:eastAsia="微软雅黑"/>
                <w:sz w:val="24"/>
              </w:rPr>
              <w:t>通过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自治区环保厅的环评批复，批复文号为新环函【2014】42号。2016年变更该项目环境影响报告书，并于2016年3月28日得到自治区环保厅的批复，批复文号为新环函【2016】290号</w:t>
            </w:r>
            <w:r>
              <w:rPr>
                <w:rFonts w:hint="eastAsia" w:ascii="微软雅黑" w:hAnsi="微软雅黑" w:eastAsia="微软雅黑"/>
                <w:sz w:val="24"/>
              </w:rPr>
              <w:t>。</w:t>
            </w:r>
          </w:p>
        </w:tc>
      </w:tr>
    </w:tbl>
    <w:p>
      <w:pPr>
        <w:spacing w:line="500" w:lineRule="exact"/>
        <w:ind w:left="720"/>
        <w:rPr>
          <w:rFonts w:hint="eastAsia" w:ascii="微软雅黑" w:hAnsi="微软雅黑" w:eastAsia="微软雅黑"/>
          <w:color w:val="000000"/>
          <w:sz w:val="24"/>
        </w:rPr>
      </w:pPr>
    </w:p>
    <w:p>
      <w:pPr>
        <w:spacing w:line="500" w:lineRule="exact"/>
        <w:rPr>
          <w:rFonts w:hint="eastAsia" w:ascii="微软雅黑" w:hAnsi="微软雅黑" w:eastAsia="微软雅黑"/>
          <w:color w:val="000000"/>
          <w:sz w:val="24"/>
        </w:rPr>
      </w:pPr>
    </w:p>
    <w:p>
      <w:pPr>
        <w:spacing w:line="500" w:lineRule="exact"/>
        <w:jc w:val="center"/>
        <w:rPr>
          <w:rFonts w:ascii="微软雅黑" w:hAnsi="微软雅黑" w:eastAsia="微软雅黑"/>
          <w:color w:val="000000"/>
          <w:sz w:val="30"/>
          <w:szCs w:val="30"/>
        </w:rPr>
      </w:pPr>
      <w:r>
        <w:rPr>
          <w:rFonts w:hint="eastAsia" w:ascii="微软雅黑" w:hAnsi="微软雅黑" w:eastAsia="微软雅黑"/>
          <w:sz w:val="30"/>
          <w:szCs w:val="30"/>
        </w:rPr>
        <w:t>固体（危险）废物排放信息（202</w:t>
      </w:r>
      <w:r>
        <w:rPr>
          <w:rFonts w:hint="eastAsia" w:ascii="微软雅黑" w:hAnsi="微软雅黑" w:eastAsia="微软雅黑"/>
          <w:sz w:val="30"/>
          <w:szCs w:val="30"/>
          <w:lang w:val="en-US" w:eastAsia="zh-CN"/>
        </w:rPr>
        <w:t>2</w:t>
      </w:r>
      <w:r>
        <w:rPr>
          <w:rFonts w:hint="eastAsia" w:ascii="微软雅黑" w:hAnsi="微软雅黑" w:eastAsia="微软雅黑"/>
          <w:sz w:val="30"/>
          <w:szCs w:val="30"/>
        </w:rPr>
        <w:t>年度）</w:t>
      </w:r>
    </w:p>
    <w:tbl>
      <w:tblPr>
        <w:tblStyle w:val="6"/>
        <w:tblW w:w="5000" w:type="pct"/>
        <w:tblInd w:w="0" w:type="dxa"/>
        <w:tblBorders>
          <w:top w:val="single" w:color="BFBFBF" w:sz="4" w:space="0"/>
          <w:left w:val="single" w:color="BFBFBF" w:sz="4" w:space="0"/>
          <w:bottom w:val="single" w:color="BFBFBF" w:sz="4" w:space="0"/>
          <w:right w:val="single" w:color="BFBFBF" w:sz="4" w:space="0"/>
          <w:insideH w:val="single" w:color="BFBFBF" w:sz="4" w:space="0"/>
          <w:insideV w:val="single" w:color="BFBFBF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6"/>
        <w:gridCol w:w="1759"/>
        <w:gridCol w:w="1552"/>
        <w:gridCol w:w="1731"/>
        <w:gridCol w:w="1674"/>
        <w:gridCol w:w="1558"/>
        <w:gridCol w:w="3464"/>
      </w:tblGrid>
      <w:tr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59" w:type="pct"/>
            <w:shd w:val="clear" w:color="auto" w:fill="DAEEF3"/>
            <w:noWrap w:val="0"/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固体（危险）名称</w:t>
            </w:r>
          </w:p>
        </w:tc>
        <w:tc>
          <w:tcPr>
            <w:tcW w:w="620" w:type="pct"/>
            <w:shd w:val="clear" w:color="auto" w:fill="DAEEF3"/>
            <w:noWrap w:val="0"/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固废类别</w:t>
            </w:r>
          </w:p>
        </w:tc>
        <w:tc>
          <w:tcPr>
            <w:tcW w:w="547" w:type="pct"/>
            <w:shd w:val="clear" w:color="auto" w:fill="DAEEF3"/>
            <w:noWrap w:val="0"/>
            <w:vAlign w:val="center"/>
          </w:tcPr>
          <w:p>
            <w:pPr>
              <w:spacing w:line="500" w:lineRule="exact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危 废 代 码</w:t>
            </w:r>
          </w:p>
        </w:tc>
        <w:tc>
          <w:tcPr>
            <w:tcW w:w="610" w:type="pct"/>
            <w:shd w:val="clear" w:color="auto" w:fill="DAEEF3"/>
            <w:noWrap w:val="0"/>
            <w:vAlign w:val="center"/>
          </w:tcPr>
          <w:p>
            <w:pPr>
              <w:spacing w:line="500" w:lineRule="exact"/>
              <w:ind w:firstLine="117" w:firstLineChars="49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产 生 量</w:t>
            </w:r>
          </w:p>
        </w:tc>
        <w:tc>
          <w:tcPr>
            <w:tcW w:w="590" w:type="pct"/>
            <w:shd w:val="clear" w:color="auto" w:fill="DAEEF3"/>
            <w:noWrap w:val="0"/>
            <w:vAlign w:val="center"/>
          </w:tcPr>
          <w:p>
            <w:pPr>
              <w:spacing w:line="500" w:lineRule="exact"/>
              <w:ind w:firstLine="117" w:firstLineChars="49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贮 存 量</w:t>
            </w:r>
          </w:p>
        </w:tc>
        <w:tc>
          <w:tcPr>
            <w:tcW w:w="549" w:type="pct"/>
            <w:shd w:val="clear" w:color="auto" w:fill="DAEEF3"/>
            <w:noWrap w:val="0"/>
            <w:vAlign w:val="center"/>
          </w:tcPr>
          <w:p>
            <w:pPr>
              <w:spacing w:line="500" w:lineRule="exact"/>
              <w:ind w:firstLine="117" w:firstLineChars="49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处 置 量</w:t>
            </w:r>
          </w:p>
        </w:tc>
        <w:tc>
          <w:tcPr>
            <w:tcW w:w="1221" w:type="pct"/>
            <w:shd w:val="clear" w:color="auto" w:fill="DAEEF3"/>
            <w:noWrap w:val="0"/>
            <w:vAlign w:val="center"/>
          </w:tcPr>
          <w:p>
            <w:pPr>
              <w:spacing w:line="500" w:lineRule="exact"/>
              <w:ind w:firstLine="1077" w:firstLineChars="449"/>
              <w:rPr>
                <w:rFonts w:ascii="微软雅黑" w:hAnsi="微软雅黑" w:eastAsia="微软雅黑"/>
                <w:color w:val="4F81BD"/>
                <w:sz w:val="24"/>
              </w:rPr>
            </w:pPr>
            <w:r>
              <w:rPr>
                <w:rFonts w:hint="eastAsia" w:ascii="微软雅黑" w:hAnsi="微软雅黑" w:eastAsia="微软雅黑"/>
                <w:color w:val="4F81BD"/>
                <w:sz w:val="24"/>
              </w:rPr>
              <w:t>备    注</w:t>
            </w:r>
          </w:p>
        </w:tc>
      </w:tr>
      <w:tr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59" w:type="pct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废</w:t>
            </w:r>
            <w:r>
              <w:rPr>
                <w:rFonts w:hint="eastAsia" w:ascii="微软雅黑" w:hAnsi="微软雅黑" w:eastAsia="微软雅黑"/>
                <w:sz w:val="24"/>
              </w:rPr>
              <w:t>渣</w:t>
            </w:r>
          </w:p>
        </w:tc>
        <w:tc>
          <w:tcPr>
            <w:tcW w:w="620" w:type="pct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</w:rPr>
              <w:t xml:space="preserve">一般工业固废 </w:t>
            </w:r>
          </w:p>
        </w:tc>
        <w:tc>
          <w:tcPr>
            <w:tcW w:w="547" w:type="pct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</w:p>
        </w:tc>
        <w:tc>
          <w:tcPr>
            <w:tcW w:w="610" w:type="pct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1482359</w:t>
            </w:r>
            <w:r>
              <w:rPr>
                <w:rFonts w:hint="eastAsia" w:ascii="微软雅黑" w:hAnsi="微软雅黑" w:eastAsia="微软雅黑"/>
                <w:sz w:val="24"/>
              </w:rPr>
              <w:t>吨</w:t>
            </w:r>
          </w:p>
        </w:tc>
        <w:tc>
          <w:tcPr>
            <w:tcW w:w="590" w:type="pct"/>
            <w:noWrap w:val="0"/>
            <w:vAlign w:val="top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1482359吨</w:t>
            </w:r>
          </w:p>
        </w:tc>
        <w:tc>
          <w:tcPr>
            <w:tcW w:w="549" w:type="pct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/>
                <w:sz w:val="24"/>
              </w:rPr>
              <w:t>吨</w:t>
            </w:r>
          </w:p>
        </w:tc>
        <w:tc>
          <w:tcPr>
            <w:tcW w:w="1221" w:type="pct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</w:p>
        </w:tc>
      </w:tr>
      <w:tr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859" w:type="pct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油泥</w:t>
            </w:r>
          </w:p>
        </w:tc>
        <w:tc>
          <w:tcPr>
            <w:tcW w:w="620" w:type="pct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</w:rPr>
              <w:t>危险废物</w:t>
            </w:r>
          </w:p>
        </w:tc>
        <w:tc>
          <w:tcPr>
            <w:tcW w:w="547" w:type="pct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900-210-08</w:t>
            </w:r>
            <w:r>
              <w:rPr>
                <w:rFonts w:ascii="微软雅黑" w:hAnsi="微软雅黑" w:eastAsia="微软雅黑"/>
                <w:sz w:val="24"/>
              </w:rPr>
              <w:t xml:space="preserve"> </w:t>
            </w:r>
          </w:p>
        </w:tc>
        <w:tc>
          <w:tcPr>
            <w:tcW w:w="610" w:type="pct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55.26</w:t>
            </w:r>
            <w:r>
              <w:rPr>
                <w:rFonts w:hint="eastAsia" w:ascii="微软雅黑" w:hAnsi="微软雅黑" w:eastAsia="微软雅黑"/>
                <w:sz w:val="24"/>
              </w:rPr>
              <w:t>吨</w:t>
            </w:r>
          </w:p>
        </w:tc>
        <w:tc>
          <w:tcPr>
            <w:tcW w:w="590" w:type="pct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40吨</w:t>
            </w:r>
          </w:p>
        </w:tc>
        <w:tc>
          <w:tcPr>
            <w:tcW w:w="549" w:type="pct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30.26</w:t>
            </w:r>
            <w:r>
              <w:rPr>
                <w:rFonts w:hint="eastAsia" w:ascii="微软雅黑" w:hAnsi="微软雅黑" w:eastAsia="微软雅黑"/>
                <w:sz w:val="24"/>
              </w:rPr>
              <w:t>吨</w:t>
            </w:r>
          </w:p>
        </w:tc>
        <w:tc>
          <w:tcPr>
            <w:tcW w:w="1221" w:type="pct"/>
            <w:noWrap w:val="0"/>
            <w:vAlign w:val="top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处置量包括上年度20吨</w:t>
            </w:r>
          </w:p>
        </w:tc>
      </w:tr>
      <w:tr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859" w:type="pct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污泥</w:t>
            </w:r>
          </w:p>
        </w:tc>
        <w:tc>
          <w:tcPr>
            <w:tcW w:w="620" w:type="pct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</w:rPr>
              <w:t>危险废物</w:t>
            </w:r>
          </w:p>
        </w:tc>
        <w:tc>
          <w:tcPr>
            <w:tcW w:w="547" w:type="pct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900-210-08</w:t>
            </w:r>
          </w:p>
        </w:tc>
        <w:tc>
          <w:tcPr>
            <w:tcW w:w="610" w:type="pct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8.74</w:t>
            </w:r>
            <w:r>
              <w:rPr>
                <w:rFonts w:hint="eastAsia" w:ascii="微软雅黑" w:hAnsi="微软雅黑" w:eastAsia="微软雅黑"/>
                <w:sz w:val="24"/>
              </w:rPr>
              <w:t>吨</w:t>
            </w:r>
          </w:p>
        </w:tc>
        <w:tc>
          <w:tcPr>
            <w:tcW w:w="590" w:type="pct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6.4吨</w:t>
            </w:r>
          </w:p>
        </w:tc>
        <w:tc>
          <w:tcPr>
            <w:tcW w:w="549" w:type="pct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4.74</w:t>
            </w:r>
            <w:r>
              <w:rPr>
                <w:rFonts w:hint="eastAsia" w:ascii="微软雅黑" w:hAnsi="微软雅黑" w:eastAsia="微软雅黑"/>
                <w:sz w:val="24"/>
              </w:rPr>
              <w:t>吨</w:t>
            </w:r>
          </w:p>
        </w:tc>
        <w:tc>
          <w:tcPr>
            <w:tcW w:w="1221" w:type="pct"/>
            <w:noWrap w:val="0"/>
            <w:vAlign w:val="top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处置包括上年度2.4吨</w:t>
            </w:r>
          </w:p>
        </w:tc>
      </w:tr>
      <w:tr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859" w:type="pct"/>
            <w:noWrap w:val="0"/>
            <w:vAlign w:val="top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废铅酸蓄电池</w:t>
            </w:r>
          </w:p>
        </w:tc>
        <w:tc>
          <w:tcPr>
            <w:tcW w:w="620" w:type="pct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危险废物</w:t>
            </w:r>
          </w:p>
        </w:tc>
        <w:tc>
          <w:tcPr>
            <w:tcW w:w="547" w:type="pct"/>
            <w:noWrap w:val="0"/>
            <w:vAlign w:val="top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900-052-31</w:t>
            </w:r>
          </w:p>
        </w:tc>
        <w:tc>
          <w:tcPr>
            <w:tcW w:w="610" w:type="pct"/>
            <w:noWrap w:val="0"/>
            <w:vAlign w:val="top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0吨</w:t>
            </w:r>
          </w:p>
        </w:tc>
        <w:tc>
          <w:tcPr>
            <w:tcW w:w="590" w:type="pct"/>
            <w:noWrap w:val="0"/>
            <w:vAlign w:val="top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0吨</w:t>
            </w:r>
          </w:p>
        </w:tc>
        <w:tc>
          <w:tcPr>
            <w:tcW w:w="549" w:type="pct"/>
            <w:noWrap w:val="0"/>
            <w:vAlign w:val="top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0吨</w:t>
            </w:r>
          </w:p>
        </w:tc>
        <w:tc>
          <w:tcPr>
            <w:tcW w:w="1221" w:type="pct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sz w:val="24"/>
              </w:rPr>
            </w:pPr>
          </w:p>
        </w:tc>
      </w:tr>
    </w:tbl>
    <w:p>
      <w:pPr>
        <w:spacing w:line="500" w:lineRule="exact"/>
        <w:rPr>
          <w:rFonts w:hint="eastAsia" w:ascii="微软雅黑" w:hAnsi="微软雅黑" w:eastAsia="微软雅黑"/>
          <w:sz w:val="24"/>
        </w:rPr>
      </w:pPr>
    </w:p>
    <w:p>
      <w:pPr>
        <w:spacing w:line="500" w:lineRule="exact"/>
        <w:rPr>
          <w:rFonts w:hint="eastAsia" w:ascii="微软雅黑" w:hAnsi="微软雅黑" w:eastAsia="微软雅黑"/>
          <w:sz w:val="30"/>
          <w:szCs w:val="30"/>
        </w:rPr>
      </w:pPr>
    </w:p>
    <w:p>
      <w:pPr>
        <w:spacing w:line="500" w:lineRule="exact"/>
        <w:jc w:val="center"/>
        <w:rPr>
          <w:rFonts w:hint="eastAsia" w:ascii="微软雅黑" w:hAnsi="微软雅黑" w:eastAsia="微软雅黑"/>
          <w:color w:val="000000"/>
          <w:sz w:val="30"/>
          <w:szCs w:val="30"/>
        </w:rPr>
      </w:pPr>
      <w:r>
        <w:rPr>
          <w:rFonts w:hint="eastAsia" w:ascii="微软雅黑" w:hAnsi="微软雅黑" w:eastAsia="微软雅黑"/>
          <w:sz w:val="30"/>
          <w:szCs w:val="30"/>
        </w:rPr>
        <w:t xml:space="preserve">    固体（危险）废物贮存及处置信息（202</w:t>
      </w:r>
      <w:r>
        <w:rPr>
          <w:rFonts w:hint="eastAsia" w:ascii="微软雅黑" w:hAnsi="微软雅黑" w:eastAsia="微软雅黑"/>
          <w:sz w:val="30"/>
          <w:szCs w:val="30"/>
          <w:lang w:val="en-US" w:eastAsia="zh-CN"/>
        </w:rPr>
        <w:t>2</w:t>
      </w:r>
      <w:bookmarkStart w:id="0" w:name="_GoBack"/>
      <w:bookmarkEnd w:id="0"/>
      <w:r>
        <w:rPr>
          <w:rFonts w:hint="eastAsia" w:ascii="微软雅黑" w:hAnsi="微软雅黑" w:eastAsia="微软雅黑"/>
          <w:sz w:val="30"/>
          <w:szCs w:val="30"/>
        </w:rPr>
        <w:t>年</w:t>
      </w:r>
      <w:r>
        <w:rPr>
          <w:rFonts w:hint="eastAsia" w:ascii="微软雅黑" w:hAnsi="微软雅黑" w:eastAsia="微软雅黑"/>
          <w:sz w:val="30"/>
          <w:szCs w:val="30"/>
          <w:lang w:val="en-US" w:eastAsia="zh-CN"/>
        </w:rPr>
        <w:t>度</w:t>
      </w:r>
      <w:r>
        <w:rPr>
          <w:rFonts w:hint="eastAsia" w:ascii="微软雅黑" w:hAnsi="微软雅黑" w:eastAsia="微软雅黑"/>
          <w:sz w:val="30"/>
          <w:szCs w:val="30"/>
        </w:rPr>
        <w:t>）</w:t>
      </w:r>
    </w:p>
    <w:tbl>
      <w:tblPr>
        <w:tblStyle w:val="6"/>
        <w:tblW w:w="14197" w:type="dxa"/>
        <w:tblInd w:w="3" w:type="dxa"/>
        <w:tblBorders>
          <w:top w:val="single" w:color="BFBFBF" w:sz="4" w:space="0"/>
          <w:left w:val="single" w:color="BFBFBF" w:sz="4" w:space="0"/>
          <w:bottom w:val="single" w:color="BFBFBF" w:sz="4" w:space="0"/>
          <w:right w:val="single" w:color="BFBFBF" w:sz="4" w:space="0"/>
          <w:insideH w:val="single" w:color="BFBFBF" w:sz="4" w:space="0"/>
          <w:insideV w:val="single" w:color="BFBFBF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7"/>
        <w:gridCol w:w="11540"/>
      </w:tblGrid>
      <w:tr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657" w:type="dxa"/>
            <w:shd w:val="clear" w:color="auto" w:fill="D9E2F3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color w:val="4472C4"/>
                <w:sz w:val="24"/>
              </w:rPr>
            </w:pPr>
            <w:r>
              <w:rPr>
                <w:rFonts w:hint="eastAsia" w:ascii="微软雅黑" w:hAnsi="微软雅黑" w:eastAsia="微软雅黑"/>
                <w:color w:val="4472C4"/>
                <w:sz w:val="24"/>
              </w:rPr>
              <w:t>贮存场所或设施</w:t>
            </w:r>
          </w:p>
          <w:p>
            <w:pPr>
              <w:spacing w:line="500" w:lineRule="exact"/>
              <w:rPr>
                <w:rFonts w:hint="eastAsia" w:ascii="微软雅黑" w:hAnsi="微软雅黑" w:eastAsia="微软雅黑"/>
                <w:color w:val="4472C4"/>
                <w:sz w:val="24"/>
              </w:rPr>
            </w:pPr>
            <w:r>
              <w:rPr>
                <w:rFonts w:hint="eastAsia" w:ascii="微软雅黑" w:hAnsi="微软雅黑" w:eastAsia="微软雅黑"/>
                <w:color w:val="4472C4"/>
                <w:sz w:val="24"/>
              </w:rPr>
              <w:t>位置、类型及面积</w:t>
            </w:r>
          </w:p>
        </w:tc>
        <w:tc>
          <w:tcPr>
            <w:tcW w:w="11540" w:type="dxa"/>
            <w:noWrap w:val="0"/>
            <w:vAlign w:val="top"/>
          </w:tcPr>
          <w:p>
            <w:pPr>
              <w:spacing w:line="500" w:lineRule="exact"/>
              <w:ind w:firstLine="480" w:firstLineChars="200"/>
              <w:rPr>
                <w:rFonts w:hint="default" w:ascii="微软雅黑" w:hAnsi="微软雅黑" w:eastAsia="微软雅黑"/>
                <w:sz w:val="24"/>
                <w:lang w:val="en-US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1、废渣堆场</w:t>
            </w:r>
            <w:r>
              <w:rPr>
                <w:rFonts w:hint="eastAsia" w:ascii="微软雅黑" w:hAnsi="微软雅黑" w:eastAsia="微软雅黑"/>
                <w:sz w:val="24"/>
              </w:rPr>
              <w:t>, 经纬度坐标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92.465497，44.351308</w:t>
            </w:r>
            <w:r>
              <w:rPr>
                <w:rFonts w:hint="eastAsia" w:ascii="微软雅黑" w:hAnsi="微软雅黑" w:eastAsia="微软雅黑"/>
                <w:sz w:val="24"/>
              </w:rPr>
              <w:t xml:space="preserve"> ， 属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一般固体废物（废渣）</w:t>
            </w:r>
            <w:r>
              <w:rPr>
                <w:rFonts w:hint="eastAsia" w:ascii="微软雅黑" w:hAnsi="微软雅黑" w:eastAsia="微软雅黑"/>
                <w:sz w:val="24"/>
              </w:rPr>
              <w:t>贮存仓库，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贮存设施为天然堆场，无法确定大小及能力，且产出量全部堆放。2、高浓池，经纬度坐标92.465497，44.351302，属危险废物（油泥、污泥）贮存池，大小3000立方米，贮存能力2000吨，生产过程中的油泥及污水处理站产生的污泥由此贮存。3、危险废物库房，经纬度92.465479,44.351303，属危险废物（废铅酸蓄电池）贮存仓库，面积16.2平方米，贮存能力2吨。</w:t>
            </w:r>
          </w:p>
        </w:tc>
      </w:tr>
      <w:tr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657" w:type="dxa"/>
            <w:shd w:val="clear" w:color="auto" w:fill="D9E2F3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color w:val="4472C4"/>
                <w:sz w:val="24"/>
              </w:rPr>
            </w:pPr>
            <w:r>
              <w:rPr>
                <w:rFonts w:hint="eastAsia" w:ascii="微软雅黑" w:hAnsi="微软雅黑" w:eastAsia="微软雅黑"/>
                <w:color w:val="4472C4"/>
                <w:sz w:val="24"/>
              </w:rPr>
              <w:t>年累计贮存量</w:t>
            </w:r>
          </w:p>
        </w:tc>
        <w:tc>
          <w:tcPr>
            <w:tcW w:w="11540" w:type="dxa"/>
            <w:noWrap w:val="0"/>
            <w:vAlign w:val="top"/>
          </w:tcPr>
          <w:p>
            <w:pPr>
              <w:spacing w:line="500" w:lineRule="exact"/>
              <w:ind w:firstLine="480" w:firstLineChars="200"/>
              <w:rPr>
                <w:rFonts w:ascii="微软雅黑" w:hAnsi="微软雅黑" w:eastAsia="微软雅黑"/>
                <w:sz w:val="24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废渣1482359</w:t>
            </w:r>
            <w:r>
              <w:rPr>
                <w:rFonts w:hint="eastAsia" w:ascii="微软雅黑" w:hAnsi="微软雅黑" w:eastAsia="微软雅黑"/>
                <w:sz w:val="24"/>
              </w:rPr>
              <w:t>吨，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油泥、污泥46.4</w:t>
            </w:r>
            <w:r>
              <w:rPr>
                <w:rFonts w:hint="eastAsia" w:ascii="微软雅黑" w:hAnsi="微软雅黑" w:eastAsia="微软雅黑"/>
                <w:sz w:val="24"/>
              </w:rPr>
              <w:t>吨，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废铅酸蓄电池0吨</w:t>
            </w:r>
            <w:r>
              <w:rPr>
                <w:rFonts w:hint="eastAsia" w:ascii="微软雅黑" w:hAnsi="微软雅黑" w:eastAsia="微软雅黑"/>
                <w:sz w:val="24"/>
              </w:rPr>
              <w:t>。</w:t>
            </w:r>
          </w:p>
        </w:tc>
      </w:tr>
      <w:tr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657" w:type="dxa"/>
            <w:shd w:val="clear" w:color="auto" w:fill="D9E2F3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color w:val="4472C4"/>
                <w:sz w:val="24"/>
              </w:rPr>
            </w:pPr>
            <w:r>
              <w:rPr>
                <w:rFonts w:hint="eastAsia" w:ascii="微软雅黑" w:hAnsi="微软雅黑" w:eastAsia="微软雅黑"/>
                <w:color w:val="4472C4"/>
                <w:sz w:val="24"/>
              </w:rPr>
              <w:t>处置及利用情况</w:t>
            </w:r>
          </w:p>
          <w:p>
            <w:pPr>
              <w:spacing w:line="500" w:lineRule="exact"/>
              <w:rPr>
                <w:rFonts w:hint="eastAsia" w:ascii="微软雅黑" w:hAnsi="微软雅黑" w:eastAsia="微软雅黑"/>
                <w:color w:val="4472C4"/>
                <w:sz w:val="24"/>
              </w:rPr>
            </w:pPr>
          </w:p>
        </w:tc>
        <w:tc>
          <w:tcPr>
            <w:tcW w:w="11540" w:type="dxa"/>
            <w:noWrap w:val="0"/>
            <w:vAlign w:val="top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</w:rPr>
              <w:t>　　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废</w:t>
            </w:r>
            <w:r>
              <w:rPr>
                <w:rFonts w:hint="eastAsia" w:ascii="微软雅黑" w:hAnsi="微软雅黑" w:eastAsia="微软雅黑"/>
                <w:sz w:val="24"/>
              </w:rPr>
              <w:t>渣</w:t>
            </w: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暂存于废渣堆场，待联系外部建材厂运出综合利用；油泥、污泥每年设备大检修时产出，委托有资质单位进行无害化处置；废铅酸蓄电池是矿山自卸车及机械设备检修产生，委托有资质单位就行规范化处置。</w:t>
            </w:r>
          </w:p>
        </w:tc>
      </w:tr>
      <w:tr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657" w:type="dxa"/>
            <w:shd w:val="clear" w:color="auto" w:fill="D9E2F3"/>
            <w:noWrap w:val="0"/>
            <w:vAlign w:val="top"/>
          </w:tcPr>
          <w:p>
            <w:pPr>
              <w:spacing w:line="500" w:lineRule="exact"/>
              <w:rPr>
                <w:rFonts w:ascii="微软雅黑" w:hAnsi="微软雅黑" w:eastAsia="微软雅黑"/>
                <w:color w:val="4472C4"/>
                <w:sz w:val="24"/>
              </w:rPr>
            </w:pPr>
            <w:r>
              <w:rPr>
                <w:rFonts w:hint="eastAsia" w:ascii="微软雅黑" w:hAnsi="微软雅黑" w:eastAsia="微软雅黑"/>
                <w:color w:val="4472C4"/>
                <w:sz w:val="24"/>
              </w:rPr>
              <w:t>委托处置第三方单位</w:t>
            </w:r>
          </w:p>
          <w:p>
            <w:pPr>
              <w:spacing w:line="500" w:lineRule="exact"/>
              <w:rPr>
                <w:rFonts w:hint="eastAsia" w:ascii="微软雅黑" w:hAnsi="微软雅黑" w:eastAsia="微软雅黑"/>
                <w:color w:val="4472C4"/>
                <w:sz w:val="24"/>
              </w:rPr>
            </w:pPr>
            <w:r>
              <w:rPr>
                <w:rFonts w:hint="eastAsia" w:ascii="微软雅黑" w:hAnsi="微软雅黑" w:eastAsia="微软雅黑"/>
                <w:color w:val="4472C4"/>
                <w:sz w:val="24"/>
              </w:rPr>
              <w:t>名称、资质及技术能力</w:t>
            </w:r>
          </w:p>
        </w:tc>
        <w:tc>
          <w:tcPr>
            <w:tcW w:w="11540" w:type="dxa"/>
            <w:tcBorders>
              <w:top w:val="nil"/>
            </w:tcBorders>
            <w:noWrap w:val="0"/>
            <w:vAlign w:val="top"/>
          </w:tcPr>
          <w:p>
            <w:pPr>
              <w:spacing w:line="500" w:lineRule="exact"/>
              <w:rPr>
                <w:rFonts w:hint="default" w:ascii="微软雅黑" w:hAnsi="微软雅黑" w:eastAsia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4"/>
                <w:lang w:val="en-US" w:eastAsia="zh-CN"/>
              </w:rPr>
              <w:t>新疆西域北控环境工程有限公司；新疆国瑞再生资源有限公司哈密分公司</w:t>
            </w:r>
          </w:p>
        </w:tc>
      </w:tr>
      <w:tr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1" w:hRule="atLeast"/>
        </w:trPr>
        <w:tc>
          <w:tcPr>
            <w:tcW w:w="2657" w:type="dxa"/>
            <w:shd w:val="clear" w:color="auto" w:fill="D9E2F3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color w:val="4472C4"/>
                <w:sz w:val="24"/>
              </w:rPr>
            </w:pPr>
            <w:r>
              <w:rPr>
                <w:rFonts w:hint="eastAsia" w:ascii="微软雅黑" w:hAnsi="微软雅黑" w:eastAsia="微软雅黑"/>
                <w:color w:val="4472C4"/>
                <w:sz w:val="24"/>
              </w:rPr>
              <w:t>相关文件</w:t>
            </w:r>
          </w:p>
        </w:tc>
        <w:tc>
          <w:tcPr>
            <w:tcW w:w="11540" w:type="dxa"/>
            <w:noWrap w:val="0"/>
            <w:vAlign w:val="top"/>
          </w:tcPr>
          <w:p>
            <w:pPr>
              <w:spacing w:line="500" w:lineRule="exact"/>
              <w:rPr>
                <w:rFonts w:hint="eastAsia" w:ascii="微软雅黑" w:hAnsi="微软雅黑" w:eastAsia="微软雅黑"/>
                <w:color w:val="0070C0"/>
                <w:sz w:val="24"/>
              </w:rPr>
            </w:pPr>
          </w:p>
        </w:tc>
      </w:tr>
    </w:tbl>
    <w:p>
      <w:pPr>
        <w:spacing w:line="500" w:lineRule="exact"/>
        <w:jc w:val="left"/>
        <w:rPr>
          <w:rFonts w:ascii="微软雅黑" w:hAnsi="微软雅黑" w:eastAsia="微软雅黑"/>
          <w:sz w:val="24"/>
        </w:rPr>
      </w:pPr>
    </w:p>
    <w:p>
      <w:pPr>
        <w:spacing w:line="500" w:lineRule="exact"/>
        <w:rPr>
          <w:rFonts w:hint="eastAsia" w:ascii="微软雅黑" w:hAnsi="微软雅黑" w:eastAsia="微软雅黑"/>
          <w:sz w:val="24"/>
        </w:rPr>
      </w:pPr>
    </w:p>
    <w:sectPr>
      <w:footerReference r:id="rId3" w:type="default"/>
      <w:footerReference r:id="rId4" w:type="even"/>
      <w:pgSz w:w="16838" w:h="11906" w:orient="landscape"/>
      <w:pgMar w:top="1797" w:right="1440" w:bottom="179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</w:t>
    </w:r>
    <w:r>
      <w:fldChar w:fldCharType="end"/>
    </w:r>
  </w:p>
  <w:p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>
    <w:pPr>
      <w:pStyle w:val="4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jMzBlYWM1YzdhNDRlN2MxYTQ2ZTE2MTMyYjllY2QifQ=="/>
  </w:docVars>
  <w:rsids>
    <w:rsidRoot w:val="007A4C10"/>
    <w:rsid w:val="000216CB"/>
    <w:rsid w:val="0002274D"/>
    <w:rsid w:val="000414FD"/>
    <w:rsid w:val="00044AFF"/>
    <w:rsid w:val="000474A0"/>
    <w:rsid w:val="00076C93"/>
    <w:rsid w:val="000927FA"/>
    <w:rsid w:val="0009590B"/>
    <w:rsid w:val="000B36E2"/>
    <w:rsid w:val="000C1C8E"/>
    <w:rsid w:val="000C491C"/>
    <w:rsid w:val="000D2E5E"/>
    <w:rsid w:val="000D3084"/>
    <w:rsid w:val="000E7732"/>
    <w:rsid w:val="000F2FBB"/>
    <w:rsid w:val="000F3061"/>
    <w:rsid w:val="000F3BBF"/>
    <w:rsid w:val="00135EE0"/>
    <w:rsid w:val="00156E0E"/>
    <w:rsid w:val="00180C46"/>
    <w:rsid w:val="00185BB2"/>
    <w:rsid w:val="001911C5"/>
    <w:rsid w:val="00192878"/>
    <w:rsid w:val="001A3125"/>
    <w:rsid w:val="001B4710"/>
    <w:rsid w:val="001D201F"/>
    <w:rsid w:val="001D7574"/>
    <w:rsid w:val="001E5ECB"/>
    <w:rsid w:val="001F2B0E"/>
    <w:rsid w:val="002009D4"/>
    <w:rsid w:val="00213BA2"/>
    <w:rsid w:val="00221F2E"/>
    <w:rsid w:val="00222580"/>
    <w:rsid w:val="00227DF1"/>
    <w:rsid w:val="00234E83"/>
    <w:rsid w:val="002456DE"/>
    <w:rsid w:val="0027089A"/>
    <w:rsid w:val="00271F74"/>
    <w:rsid w:val="00282F03"/>
    <w:rsid w:val="00286DD9"/>
    <w:rsid w:val="00291565"/>
    <w:rsid w:val="00294CC4"/>
    <w:rsid w:val="00296FBF"/>
    <w:rsid w:val="002B3662"/>
    <w:rsid w:val="002B62AF"/>
    <w:rsid w:val="002D6FA1"/>
    <w:rsid w:val="002F4487"/>
    <w:rsid w:val="00311C5D"/>
    <w:rsid w:val="00315523"/>
    <w:rsid w:val="003244C6"/>
    <w:rsid w:val="0032634D"/>
    <w:rsid w:val="00334631"/>
    <w:rsid w:val="00342C40"/>
    <w:rsid w:val="003437B1"/>
    <w:rsid w:val="0034548F"/>
    <w:rsid w:val="00345F43"/>
    <w:rsid w:val="0035736B"/>
    <w:rsid w:val="00360717"/>
    <w:rsid w:val="00361F12"/>
    <w:rsid w:val="00374597"/>
    <w:rsid w:val="00392963"/>
    <w:rsid w:val="00392A7A"/>
    <w:rsid w:val="003A139B"/>
    <w:rsid w:val="003A243B"/>
    <w:rsid w:val="003C6B72"/>
    <w:rsid w:val="003D1559"/>
    <w:rsid w:val="003D5BFE"/>
    <w:rsid w:val="003E2CFF"/>
    <w:rsid w:val="003F246E"/>
    <w:rsid w:val="00407FFA"/>
    <w:rsid w:val="00425E0F"/>
    <w:rsid w:val="00427B89"/>
    <w:rsid w:val="004314C8"/>
    <w:rsid w:val="00442300"/>
    <w:rsid w:val="004872F3"/>
    <w:rsid w:val="004923CA"/>
    <w:rsid w:val="004A26B9"/>
    <w:rsid w:val="004A3829"/>
    <w:rsid w:val="004A564F"/>
    <w:rsid w:val="004B6F4A"/>
    <w:rsid w:val="004C32DA"/>
    <w:rsid w:val="004C4AA7"/>
    <w:rsid w:val="004D179F"/>
    <w:rsid w:val="004D210B"/>
    <w:rsid w:val="004D437E"/>
    <w:rsid w:val="004D56F8"/>
    <w:rsid w:val="004D6A55"/>
    <w:rsid w:val="004D7FE9"/>
    <w:rsid w:val="00510D7D"/>
    <w:rsid w:val="00514CF7"/>
    <w:rsid w:val="00516FD3"/>
    <w:rsid w:val="005201B0"/>
    <w:rsid w:val="00530A13"/>
    <w:rsid w:val="005322FB"/>
    <w:rsid w:val="00534191"/>
    <w:rsid w:val="0053602F"/>
    <w:rsid w:val="0053608A"/>
    <w:rsid w:val="005433E2"/>
    <w:rsid w:val="005508C8"/>
    <w:rsid w:val="00550AD6"/>
    <w:rsid w:val="00557A69"/>
    <w:rsid w:val="005710E1"/>
    <w:rsid w:val="00576277"/>
    <w:rsid w:val="005822E3"/>
    <w:rsid w:val="005A1CFA"/>
    <w:rsid w:val="005A1EF9"/>
    <w:rsid w:val="005B305B"/>
    <w:rsid w:val="005B6A3B"/>
    <w:rsid w:val="005C666B"/>
    <w:rsid w:val="005E108F"/>
    <w:rsid w:val="005E23BB"/>
    <w:rsid w:val="005E666C"/>
    <w:rsid w:val="005F18F1"/>
    <w:rsid w:val="005F650D"/>
    <w:rsid w:val="00601673"/>
    <w:rsid w:val="00614ABF"/>
    <w:rsid w:val="00634FF8"/>
    <w:rsid w:val="0065183C"/>
    <w:rsid w:val="00662CDC"/>
    <w:rsid w:val="00665633"/>
    <w:rsid w:val="006662BF"/>
    <w:rsid w:val="006717D8"/>
    <w:rsid w:val="00674067"/>
    <w:rsid w:val="00676E17"/>
    <w:rsid w:val="00691C07"/>
    <w:rsid w:val="006A1468"/>
    <w:rsid w:val="006B4842"/>
    <w:rsid w:val="006B7324"/>
    <w:rsid w:val="006C2E54"/>
    <w:rsid w:val="006E4F05"/>
    <w:rsid w:val="006F6977"/>
    <w:rsid w:val="00703408"/>
    <w:rsid w:val="00704053"/>
    <w:rsid w:val="00704A13"/>
    <w:rsid w:val="00737165"/>
    <w:rsid w:val="00747F73"/>
    <w:rsid w:val="007544D1"/>
    <w:rsid w:val="0076783E"/>
    <w:rsid w:val="00780200"/>
    <w:rsid w:val="00793FB1"/>
    <w:rsid w:val="007962BA"/>
    <w:rsid w:val="00796B8F"/>
    <w:rsid w:val="007A4557"/>
    <w:rsid w:val="007A45B4"/>
    <w:rsid w:val="007A4C10"/>
    <w:rsid w:val="007C5ED8"/>
    <w:rsid w:val="007D5441"/>
    <w:rsid w:val="007E0965"/>
    <w:rsid w:val="007E5AA0"/>
    <w:rsid w:val="007F5958"/>
    <w:rsid w:val="007F7081"/>
    <w:rsid w:val="00831C4A"/>
    <w:rsid w:val="0083449F"/>
    <w:rsid w:val="00840344"/>
    <w:rsid w:val="008403B5"/>
    <w:rsid w:val="00857921"/>
    <w:rsid w:val="00862DDD"/>
    <w:rsid w:val="008670E2"/>
    <w:rsid w:val="00881B6D"/>
    <w:rsid w:val="008C1939"/>
    <w:rsid w:val="008C217B"/>
    <w:rsid w:val="008D11B6"/>
    <w:rsid w:val="008F29F5"/>
    <w:rsid w:val="009113E8"/>
    <w:rsid w:val="00912629"/>
    <w:rsid w:val="00914CE8"/>
    <w:rsid w:val="00915068"/>
    <w:rsid w:val="0091707D"/>
    <w:rsid w:val="00957155"/>
    <w:rsid w:val="009750FE"/>
    <w:rsid w:val="00976973"/>
    <w:rsid w:val="009A6CDC"/>
    <w:rsid w:val="009B19F1"/>
    <w:rsid w:val="009B688E"/>
    <w:rsid w:val="009C7594"/>
    <w:rsid w:val="009D2C7F"/>
    <w:rsid w:val="009D6614"/>
    <w:rsid w:val="009E45CA"/>
    <w:rsid w:val="009E7D7D"/>
    <w:rsid w:val="009F0552"/>
    <w:rsid w:val="009F6093"/>
    <w:rsid w:val="00A06878"/>
    <w:rsid w:val="00A11A66"/>
    <w:rsid w:val="00A411A3"/>
    <w:rsid w:val="00A508B3"/>
    <w:rsid w:val="00A526DE"/>
    <w:rsid w:val="00A64170"/>
    <w:rsid w:val="00A64F38"/>
    <w:rsid w:val="00A74ED6"/>
    <w:rsid w:val="00A75615"/>
    <w:rsid w:val="00A940A4"/>
    <w:rsid w:val="00A94C26"/>
    <w:rsid w:val="00A964C9"/>
    <w:rsid w:val="00AB0685"/>
    <w:rsid w:val="00AB50D1"/>
    <w:rsid w:val="00AC2100"/>
    <w:rsid w:val="00AD284D"/>
    <w:rsid w:val="00AD399D"/>
    <w:rsid w:val="00AD412F"/>
    <w:rsid w:val="00AD728D"/>
    <w:rsid w:val="00AE185B"/>
    <w:rsid w:val="00AE3A16"/>
    <w:rsid w:val="00AE498D"/>
    <w:rsid w:val="00AE4BAF"/>
    <w:rsid w:val="00B022B1"/>
    <w:rsid w:val="00B202A4"/>
    <w:rsid w:val="00B226E5"/>
    <w:rsid w:val="00B35A71"/>
    <w:rsid w:val="00B3745A"/>
    <w:rsid w:val="00B6716D"/>
    <w:rsid w:val="00B75733"/>
    <w:rsid w:val="00B77CE3"/>
    <w:rsid w:val="00B82B61"/>
    <w:rsid w:val="00BA106D"/>
    <w:rsid w:val="00BA43BC"/>
    <w:rsid w:val="00BA7FEA"/>
    <w:rsid w:val="00BB0FA9"/>
    <w:rsid w:val="00BB2056"/>
    <w:rsid w:val="00BC62C0"/>
    <w:rsid w:val="00BE37F6"/>
    <w:rsid w:val="00BF2E54"/>
    <w:rsid w:val="00BF6780"/>
    <w:rsid w:val="00C07AC7"/>
    <w:rsid w:val="00C07EC8"/>
    <w:rsid w:val="00C11E8D"/>
    <w:rsid w:val="00C30ACA"/>
    <w:rsid w:val="00C31423"/>
    <w:rsid w:val="00C3522D"/>
    <w:rsid w:val="00C43CD5"/>
    <w:rsid w:val="00C4603A"/>
    <w:rsid w:val="00C608B0"/>
    <w:rsid w:val="00C60B7E"/>
    <w:rsid w:val="00C732D5"/>
    <w:rsid w:val="00C77435"/>
    <w:rsid w:val="00C911CA"/>
    <w:rsid w:val="00C95860"/>
    <w:rsid w:val="00C95BD1"/>
    <w:rsid w:val="00CD25E8"/>
    <w:rsid w:val="00CD3DD8"/>
    <w:rsid w:val="00CE15F7"/>
    <w:rsid w:val="00CE1A96"/>
    <w:rsid w:val="00CE7D06"/>
    <w:rsid w:val="00CF6A4A"/>
    <w:rsid w:val="00D020EF"/>
    <w:rsid w:val="00D15544"/>
    <w:rsid w:val="00D33735"/>
    <w:rsid w:val="00D50027"/>
    <w:rsid w:val="00D5180B"/>
    <w:rsid w:val="00D53295"/>
    <w:rsid w:val="00D7769F"/>
    <w:rsid w:val="00D808B4"/>
    <w:rsid w:val="00D9632C"/>
    <w:rsid w:val="00DA3DEE"/>
    <w:rsid w:val="00DC5AB8"/>
    <w:rsid w:val="00DD2EB7"/>
    <w:rsid w:val="00DE0F2E"/>
    <w:rsid w:val="00DE5F4F"/>
    <w:rsid w:val="00DE697F"/>
    <w:rsid w:val="00E00D10"/>
    <w:rsid w:val="00E06DD1"/>
    <w:rsid w:val="00E1342F"/>
    <w:rsid w:val="00E16036"/>
    <w:rsid w:val="00E200BB"/>
    <w:rsid w:val="00E34F4F"/>
    <w:rsid w:val="00E424DF"/>
    <w:rsid w:val="00E5077F"/>
    <w:rsid w:val="00E552A0"/>
    <w:rsid w:val="00E56512"/>
    <w:rsid w:val="00E6240E"/>
    <w:rsid w:val="00E7116A"/>
    <w:rsid w:val="00E82286"/>
    <w:rsid w:val="00E91CDC"/>
    <w:rsid w:val="00E92D26"/>
    <w:rsid w:val="00E936B5"/>
    <w:rsid w:val="00E94D6F"/>
    <w:rsid w:val="00EA4B99"/>
    <w:rsid w:val="00EB03CC"/>
    <w:rsid w:val="00EB5EB4"/>
    <w:rsid w:val="00EC349B"/>
    <w:rsid w:val="00ED56DA"/>
    <w:rsid w:val="00EE1384"/>
    <w:rsid w:val="00EE212E"/>
    <w:rsid w:val="00EF6E7C"/>
    <w:rsid w:val="00F14267"/>
    <w:rsid w:val="00F50CA8"/>
    <w:rsid w:val="00F572F9"/>
    <w:rsid w:val="00F66254"/>
    <w:rsid w:val="00F73F00"/>
    <w:rsid w:val="00F75587"/>
    <w:rsid w:val="00F806B4"/>
    <w:rsid w:val="00F911E5"/>
    <w:rsid w:val="00F9140C"/>
    <w:rsid w:val="00F96481"/>
    <w:rsid w:val="00FB4FF5"/>
    <w:rsid w:val="00FD0D64"/>
    <w:rsid w:val="00FD4C12"/>
    <w:rsid w:val="00FE057D"/>
    <w:rsid w:val="00FF4439"/>
    <w:rsid w:val="01891B53"/>
    <w:rsid w:val="024B505A"/>
    <w:rsid w:val="332B21BB"/>
    <w:rsid w:val="3EC676C5"/>
    <w:rsid w:val="473A07C7"/>
    <w:rsid w:val="525C5EBF"/>
    <w:rsid w:val="55A97243"/>
    <w:rsid w:val="581B6C97"/>
    <w:rsid w:val="69747710"/>
    <w:rsid w:val="6B9B71D6"/>
    <w:rsid w:val="6C77379F"/>
    <w:rsid w:val="77531A8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unhideWhenUsed/>
    <w:qFormat/>
    <w:uiPriority w:val="99"/>
    <w:pPr>
      <w:jc w:val="left"/>
    </w:p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4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Strong"/>
    <w:qFormat/>
    <w:uiPriority w:val="0"/>
    <w:rPr>
      <w:b/>
      <w:bCs/>
    </w:rPr>
  </w:style>
  <w:style w:type="character" w:styleId="9">
    <w:name w:val="page number"/>
    <w:basedOn w:val="7"/>
    <w:qFormat/>
    <w:uiPriority w:val="0"/>
  </w:style>
  <w:style w:type="character" w:styleId="10">
    <w:name w:val="FollowedHyperlink"/>
    <w:qFormat/>
    <w:uiPriority w:val="0"/>
    <w:rPr>
      <w:color w:val="800080"/>
      <w:u w:val="single"/>
    </w:rPr>
  </w:style>
  <w:style w:type="character" w:styleId="11">
    <w:name w:val="Hyperlink"/>
    <w:qFormat/>
    <w:uiPriority w:val="0"/>
    <w:rPr>
      <w:color w:val="282828"/>
      <w:u w:val="none"/>
    </w:rPr>
  </w:style>
  <w:style w:type="character" w:customStyle="1" w:styleId="12">
    <w:name w:val="页眉 Char"/>
    <w:link w:val="5"/>
    <w:qFormat/>
    <w:uiPriority w:val="0"/>
    <w:rPr>
      <w:kern w:val="2"/>
      <w:sz w:val="18"/>
      <w:szCs w:val="18"/>
    </w:rPr>
  </w:style>
  <w:style w:type="paragraph" w:customStyle="1" w:styleId="13">
    <w:name w:val=" Char1 Char Char"/>
    <w:basedOn w:val="1"/>
    <w:uiPriority w:val="0"/>
    <w:pPr>
      <w:widowControl/>
      <w:adjustRightInd w:val="0"/>
      <w:spacing w:after="160" w:line="240" w:lineRule="exact"/>
      <w:jc w:val="left"/>
      <w:textAlignment w:val="baseline"/>
    </w:pPr>
    <w:rPr>
      <w:rFonts w:ascii="Arial" w:hAnsi="Arial" w:eastAsia="Times New Roman" w:cs="Verdana"/>
      <w:b/>
      <w:kern w:val="0"/>
      <w:sz w:val="24"/>
      <w:lang w:eastAsia="en-US"/>
    </w:rPr>
  </w:style>
  <w:style w:type="character" w:customStyle="1" w:styleId="14">
    <w:name w:val="批注文字 Char"/>
    <w:link w:val="2"/>
    <w:qFormat/>
    <w:uiPriority w:val="99"/>
    <w:rPr>
      <w:kern w:val="2"/>
      <w:sz w:val="21"/>
      <w:szCs w:val="24"/>
    </w:rPr>
  </w:style>
  <w:style w:type="character" w:customStyle="1" w:styleId="15">
    <w:name w:val="页脚 Char"/>
    <w:link w:val="4"/>
    <w:qFormat/>
    <w:uiPriority w:val="99"/>
    <w:rPr>
      <w:kern w:val="2"/>
      <w:sz w:val="18"/>
      <w:szCs w:val="18"/>
    </w:r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Calibri" w:eastAsia="仿宋_GB2312" w:cs="仿宋_GB2312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822</Words>
  <Characters>1034</Characters>
  <Lines>7</Lines>
  <Paragraphs>2</Paragraphs>
  <TotalTime>287</TotalTime>
  <ScaleCrop>false</ScaleCrop>
  <LinksUpToDate>false</LinksUpToDate>
  <CharactersWithSpaces>1065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2015-09-19T11:51:00Z</dcterms:created>
  <dc:creator>User</dc:creator>
  <cp:lastModifiedBy>停在风里的眼</cp:lastModifiedBy>
  <dcterms:modified xsi:type="dcterms:W3CDTF">2023-03-06T08:34:53Z</dcterms:modified>
  <dc:title>企事业单位环境信息公开表</dc:title>
  <cp:revision>138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7E2122E48B1941E68A0BBCAC46884523</vt:lpwstr>
  </property>
</Properties>
</file>