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rPr>
      </w:pPr>
    </w:p>
    <w:p>
      <w:pPr>
        <w:jc w:val="center"/>
        <w:rPr>
          <w:sz w:val="28"/>
        </w:rPr>
      </w:pPr>
    </w:p>
    <w:p>
      <w:pPr>
        <w:ind w:firstLine="0" w:firstLineChars="0"/>
        <w:jc w:val="center"/>
        <w:rPr>
          <w:b/>
          <w:sz w:val="44"/>
          <w:szCs w:val="44"/>
        </w:rPr>
      </w:pPr>
      <w:r>
        <w:rPr>
          <w:rFonts w:hint="eastAsia"/>
          <w:b/>
          <w:sz w:val="44"/>
          <w:szCs w:val="44"/>
        </w:rPr>
        <w:t>济南中仁谊科医学检验实验室有限公司济南中仁谊科医学检验实验室</w:t>
      </w:r>
    </w:p>
    <w:p>
      <w:pPr>
        <w:spacing w:line="720" w:lineRule="auto"/>
        <w:ind w:firstLine="0" w:firstLineChars="0"/>
        <w:jc w:val="center"/>
        <w:rPr>
          <w:b/>
          <w:bCs/>
          <w:sz w:val="72"/>
          <w:szCs w:val="72"/>
        </w:rPr>
      </w:pPr>
      <w:r>
        <w:rPr>
          <w:b/>
          <w:bCs/>
          <w:sz w:val="72"/>
          <w:szCs w:val="72"/>
        </w:rPr>
        <w:t>竣工环境</w:t>
      </w:r>
      <w:bookmarkStart w:id="373" w:name="_GoBack"/>
      <w:bookmarkEnd w:id="373"/>
      <w:r>
        <w:rPr>
          <w:b/>
          <w:bCs/>
          <w:sz w:val="72"/>
          <w:szCs w:val="72"/>
        </w:rPr>
        <w:t>保护验收</w:t>
      </w:r>
    </w:p>
    <w:p>
      <w:pPr>
        <w:spacing w:line="720" w:lineRule="auto"/>
        <w:ind w:firstLine="0" w:firstLineChars="0"/>
        <w:jc w:val="center"/>
        <w:rPr>
          <w:b/>
          <w:bCs/>
          <w:sz w:val="48"/>
          <w:szCs w:val="48"/>
        </w:rPr>
      </w:pPr>
      <w:r>
        <w:rPr>
          <w:b/>
          <w:bCs/>
          <w:sz w:val="72"/>
          <w:szCs w:val="72"/>
        </w:rPr>
        <w:t>监测报告表</w:t>
      </w:r>
    </w:p>
    <w:p>
      <w:pPr>
        <w:ind w:firstLine="883"/>
        <w:jc w:val="center"/>
        <w:rPr>
          <w:b/>
          <w:sz w:val="44"/>
          <w:szCs w:val="44"/>
        </w:rPr>
      </w:pPr>
    </w:p>
    <w:p>
      <w:pPr>
        <w:ind w:firstLine="883"/>
        <w:jc w:val="center"/>
        <w:rPr>
          <w:b/>
          <w:sz w:val="44"/>
          <w:szCs w:val="44"/>
        </w:rPr>
      </w:pPr>
    </w:p>
    <w:p>
      <w:pPr>
        <w:ind w:firstLine="883"/>
        <w:jc w:val="center"/>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480"/>
      </w:pPr>
    </w:p>
    <w:p>
      <w:pPr>
        <w:pStyle w:val="27"/>
        <w:ind w:firstLine="883"/>
        <w:rPr>
          <w:rFonts w:ascii="Times New Roman" w:hAnsi="Times New Roman"/>
          <w:b/>
          <w:color w:val="auto"/>
          <w:sz w:val="44"/>
          <w:szCs w:val="44"/>
        </w:rPr>
      </w:pPr>
    </w:p>
    <w:p>
      <w:pPr>
        <w:tabs>
          <w:tab w:val="left" w:pos="2100"/>
        </w:tabs>
        <w:ind w:right="-706" w:rightChars="-294" w:firstLine="0" w:firstLineChars="0"/>
        <w:rPr>
          <w:b/>
          <w:bCs/>
          <w:sz w:val="32"/>
          <w:szCs w:val="32"/>
        </w:rPr>
      </w:pPr>
    </w:p>
    <w:p>
      <w:pPr>
        <w:tabs>
          <w:tab w:val="left" w:pos="2100"/>
        </w:tabs>
        <w:ind w:right="-706" w:rightChars="-294" w:firstLine="0" w:firstLineChars="0"/>
        <w:rPr>
          <w:b/>
          <w:bCs/>
          <w:sz w:val="32"/>
          <w:szCs w:val="32"/>
        </w:rPr>
      </w:pPr>
    </w:p>
    <w:p>
      <w:pPr>
        <w:tabs>
          <w:tab w:val="left" w:pos="2100"/>
        </w:tabs>
        <w:ind w:right="-706" w:rightChars="-294" w:firstLine="0" w:firstLineChars="0"/>
        <w:jc w:val="center"/>
        <w:rPr>
          <w:b/>
          <w:bCs/>
          <w:sz w:val="32"/>
          <w:szCs w:val="32"/>
        </w:rPr>
      </w:pPr>
      <w:r>
        <w:rPr>
          <w:b/>
          <w:bCs/>
          <w:sz w:val="32"/>
          <w:szCs w:val="32"/>
        </w:rPr>
        <w:t>建设单位：</w:t>
      </w:r>
      <w:r>
        <w:rPr>
          <w:rFonts w:hint="eastAsia"/>
          <w:b/>
          <w:bCs/>
          <w:sz w:val="32"/>
          <w:szCs w:val="32"/>
        </w:rPr>
        <w:t>济南中仁谊科医学检验实验室有限公司</w:t>
      </w:r>
    </w:p>
    <w:p>
      <w:pPr>
        <w:ind w:firstLine="643"/>
        <w:jc w:val="center"/>
        <w:rPr>
          <w:b/>
          <w:bCs/>
          <w:sz w:val="32"/>
          <w:szCs w:val="32"/>
        </w:rPr>
      </w:pPr>
      <w:r>
        <w:rPr>
          <w:b/>
          <w:bCs/>
          <w:sz w:val="32"/>
          <w:szCs w:val="32"/>
        </w:rPr>
        <w:t>202</w:t>
      </w:r>
      <w:r>
        <w:rPr>
          <w:rFonts w:hint="eastAsia"/>
          <w:b/>
          <w:bCs/>
          <w:sz w:val="32"/>
          <w:szCs w:val="32"/>
        </w:rPr>
        <w:t>3</w:t>
      </w:r>
      <w:r>
        <w:rPr>
          <w:b/>
          <w:bCs/>
          <w:sz w:val="32"/>
          <w:szCs w:val="32"/>
        </w:rPr>
        <w:t>年</w:t>
      </w:r>
      <w:r>
        <w:rPr>
          <w:rFonts w:hint="eastAsia"/>
          <w:b/>
          <w:bCs/>
          <w:sz w:val="32"/>
          <w:szCs w:val="32"/>
        </w:rPr>
        <w:t>3</w:t>
      </w:r>
      <w:r>
        <w:rPr>
          <w:b/>
          <w:bCs/>
          <w:sz w:val="32"/>
          <w:szCs w:val="32"/>
        </w:rPr>
        <w:t>月</w:t>
      </w:r>
    </w:p>
    <w:p>
      <w:pPr>
        <w:ind w:firstLine="643"/>
        <w:rPr>
          <w:b/>
          <w:bCs/>
          <w:sz w:val="32"/>
          <w:szCs w:val="32"/>
        </w:rPr>
      </w:pPr>
    </w:p>
    <w:p>
      <w:pPr>
        <w:ind w:firstLine="0" w:firstLineChars="0"/>
        <w:rPr>
          <w:b/>
          <w:bCs/>
          <w:sz w:val="32"/>
          <w:szCs w:val="32"/>
        </w:rPr>
      </w:pPr>
    </w:p>
    <w:p>
      <w:pPr>
        <w:pStyle w:val="5"/>
        <w:rPr>
          <w:sz w:val="36"/>
          <w:szCs w:val="22"/>
        </w:rPr>
        <w:sectPr>
          <w:pgSz w:w="11906" w:h="16838"/>
          <w:pgMar w:top="1440" w:right="1800" w:bottom="1440" w:left="1800" w:header="851" w:footer="992" w:gutter="0"/>
          <w:cols w:space="720" w:num="1"/>
          <w:docGrid w:type="lines" w:linePitch="312" w:charSpace="0"/>
        </w:sectPr>
      </w:pPr>
      <w:bookmarkStart w:id="0" w:name="_Toc21306"/>
      <w:bookmarkStart w:id="1" w:name="_Toc16879"/>
      <w:bookmarkStart w:id="2" w:name="_Toc14548"/>
    </w:p>
    <w:p>
      <w:pPr>
        <w:ind w:firstLine="0" w:firstLineChars="0"/>
        <w:jc w:val="center"/>
        <w:rPr>
          <w:b/>
          <w:bCs/>
          <w:sz w:val="36"/>
          <w:szCs w:val="36"/>
        </w:rPr>
      </w:pPr>
      <w:r>
        <w:rPr>
          <w:b/>
          <w:bCs/>
          <w:sz w:val="36"/>
          <w:szCs w:val="36"/>
        </w:rPr>
        <w:t>前言</w:t>
      </w:r>
      <w:bookmarkEnd w:id="0"/>
      <w:bookmarkEnd w:id="1"/>
      <w:bookmarkEnd w:id="2"/>
    </w:p>
    <w:p>
      <w:pPr>
        <w:pStyle w:val="38"/>
        <w:rPr>
          <w:rFonts w:cs="Times New Roman"/>
          <w:szCs w:val="24"/>
        </w:rPr>
      </w:pPr>
      <w:r>
        <w:rPr>
          <w:rFonts w:hint="eastAsia" w:cs="Times New Roman"/>
          <w:szCs w:val="24"/>
        </w:rPr>
        <w:t>济南中仁谊科医学检验实验室有限公司成立于2022年9月21日，注册地位于山东省济南市高新区春兰路1177号银丰国际生物城A4-101-301，法定代表人为张广荣。经营范围包括许可项目：医疗服务。一般项目：人体基因诊断与治疗技术开发；细胞技术研发和应用；技术服务、技术开发。</w:t>
      </w:r>
    </w:p>
    <w:p>
      <w:pPr>
        <w:ind w:firstLine="480"/>
      </w:pPr>
      <w:r>
        <w:rPr>
          <w:rFonts w:hint="eastAsia"/>
        </w:rPr>
        <w:t>济南中仁谊科医学检验实验室有限公司2022年11月</w:t>
      </w:r>
      <w:r>
        <w:t>委托</w:t>
      </w:r>
      <w:r>
        <w:rPr>
          <w:rFonts w:hint="eastAsia"/>
        </w:rPr>
        <w:t>山东国嘉环保科技有限公司</w:t>
      </w:r>
      <w:r>
        <w:rPr>
          <w:kern w:val="21"/>
        </w:rPr>
        <w:t>编制完成了</w:t>
      </w:r>
      <w:r>
        <w:t>《</w:t>
      </w:r>
      <w:r>
        <w:rPr>
          <w:rFonts w:hint="eastAsia"/>
        </w:rPr>
        <w:t>济南中仁谊科医学检验实验室有限公司济南中仁谊科医学检验实验室</w:t>
      </w:r>
      <w:r>
        <w:t>环境影响报告表》，并于</w:t>
      </w:r>
      <w:r>
        <w:rPr>
          <w:rFonts w:hint="eastAsia"/>
        </w:rPr>
        <w:t>2023年1月6日</w:t>
      </w:r>
      <w:r>
        <w:t>经</w:t>
      </w:r>
      <w:r>
        <w:rPr>
          <w:rFonts w:hint="eastAsia"/>
        </w:rPr>
        <w:t>济南市生态环境局</w:t>
      </w:r>
      <w:r>
        <w:t>审批（</w:t>
      </w:r>
      <w:r>
        <w:rPr>
          <w:rFonts w:hint="eastAsia"/>
        </w:rPr>
        <w:t>济环报告表〔2022〕G108号</w:t>
      </w:r>
      <w:r>
        <w:t>）。</w:t>
      </w:r>
    </w:p>
    <w:p>
      <w:pPr>
        <w:pStyle w:val="38"/>
      </w:pPr>
      <w:r>
        <w:rPr>
          <w:rFonts w:hint="eastAsia"/>
        </w:rPr>
        <w:t>济南中仁谊科医学检验实验室有限公司济南中仁谊科医学检验实验室（以下简称“项目”）位于山东省济南市高新区春兰路1177号银丰国际生物城A4-101-3，</w:t>
      </w:r>
      <w:r>
        <w:rPr>
          <w:rFonts w:hint="eastAsia" w:cs="Times New Roman"/>
          <w:szCs w:val="24"/>
        </w:rPr>
        <w:t>中心坐标经纬度为36度42分21.780秒，117度19分2.617秒。</w:t>
      </w:r>
      <w:r>
        <w:rPr>
          <w:rFonts w:hint="eastAsia"/>
        </w:rPr>
        <w:t>项目性质为新建，行业类别及代码为M7340医学研究和试验发展、M7451检验检疫服务。项目总投资1000万元，其中环保投资60万元，建筑面积868.72</w:t>
      </w:r>
      <w:r>
        <w:rPr>
          <w:rFonts w:hint="eastAsia"/>
          <w:lang w:eastAsia="zh-CN"/>
        </w:rPr>
        <w:t>m</w:t>
      </w:r>
      <w:r>
        <w:rPr>
          <w:rFonts w:hint="eastAsia"/>
          <w:vertAlign w:val="superscript"/>
          <w:lang w:eastAsia="zh-CN"/>
        </w:rPr>
        <w:t>2</w:t>
      </w:r>
      <w:r>
        <w:rPr>
          <w:rFonts w:hint="eastAsia"/>
        </w:rPr>
        <w:t>，建设内容为实验室、办公区及相关配套设施。项目主要对血样和细胞样本进行分子分型实验、病理TCT实验、免疫实验，其中，分子分型实验、病理TCT实验目的为筛查宫颈癌疾病，免疫实验目的为检测乙肝病毒。项目</w:t>
      </w:r>
      <w:r>
        <w:rPr>
          <w:rFonts w:hint="eastAsia"/>
          <w:lang w:eastAsia="zh-CN"/>
        </w:rPr>
        <w:t>职工</w:t>
      </w:r>
      <w:r>
        <w:rPr>
          <w:rFonts w:hint="eastAsia"/>
        </w:rPr>
        <w:t>20人，实行单班白班制，每天工作8小时，年工作250天，夜间不运行。</w:t>
      </w:r>
    </w:p>
    <w:p>
      <w:pPr>
        <w:ind w:firstLine="480"/>
      </w:pPr>
      <w:r>
        <w:t>本项目</w:t>
      </w:r>
      <w:r>
        <w:rPr>
          <w:rFonts w:hint="eastAsia"/>
          <w:kern w:val="0"/>
        </w:rPr>
        <w:t>于2023年1月开工建设，2023年2月建成并进行调试</w:t>
      </w:r>
      <w:r>
        <w:rPr>
          <w:kern w:val="0"/>
        </w:rPr>
        <w:t>，</w:t>
      </w:r>
      <w:r>
        <w:rPr>
          <w:rFonts w:hint="eastAsia"/>
          <w:kern w:val="0"/>
        </w:rPr>
        <w:t>环保设施同时设计、同时施工并同时进行调试，调试期间运行状况良好，具备竣工验收条件。</w:t>
      </w:r>
    </w:p>
    <w:p>
      <w:pPr>
        <w:ind w:firstLine="480"/>
      </w:pPr>
      <w:r>
        <w:rPr>
          <w:kern w:val="21"/>
        </w:rPr>
        <w:t>本次验收内容为</w:t>
      </w:r>
      <w:r>
        <w:rPr>
          <w:rFonts w:hint="eastAsia"/>
          <w:kern w:val="21"/>
        </w:rPr>
        <w:t>济南中仁谊科医学检验实验室有限公司济南中仁谊科医学检验实验室</w:t>
      </w:r>
      <w:r>
        <w:rPr>
          <w:kern w:val="21"/>
        </w:rPr>
        <w:t>建成后的全部内容。</w:t>
      </w:r>
    </w:p>
    <w:p>
      <w:pPr>
        <w:ind w:firstLine="480"/>
        <w:rPr>
          <w:kern w:val="21"/>
        </w:rPr>
      </w:pPr>
      <w:r>
        <w:rPr>
          <w:kern w:val="0"/>
        </w:rPr>
        <w:t>根据</w:t>
      </w:r>
      <w:r>
        <w:t>生态环境部关于发布《建设项目竣工环境保护验收技术指南 污染影响类》的公告（公告2018年 第9号）及《建设项目竣工环境保护验收暂行办法》（国环规环评</w:t>
      </w:r>
      <w:r>
        <w:rPr>
          <w:rFonts w:hint="eastAsia"/>
          <w:lang w:eastAsia="zh-CN"/>
        </w:rPr>
        <w:t>〔</w:t>
      </w:r>
      <w:r>
        <w:t>2017</w:t>
      </w:r>
      <w:r>
        <w:rPr>
          <w:rFonts w:hint="eastAsia"/>
          <w:lang w:eastAsia="zh-CN"/>
        </w:rPr>
        <w:t>〕</w:t>
      </w:r>
      <w:r>
        <w:t>4号）</w:t>
      </w:r>
      <w:r>
        <w:rPr>
          <w:kern w:val="0"/>
        </w:rPr>
        <w:t>要求，需对</w:t>
      </w:r>
      <w:r>
        <w:rPr>
          <w:rFonts w:hint="eastAsia"/>
        </w:rPr>
        <w:t>济南中仁谊科医学检验实验室有限公司济南中仁谊科医学检验实验室</w:t>
      </w:r>
      <w:r>
        <w:rPr>
          <w:kern w:val="0"/>
        </w:rPr>
        <w:t>进行竣工环境保护验收。</w:t>
      </w:r>
      <w:r>
        <w:rPr>
          <w:rFonts w:hint="eastAsia"/>
        </w:rPr>
        <w:t>济南中仁谊科医学检验实验室有限公司</w:t>
      </w:r>
      <w:r>
        <w:rPr>
          <w:rFonts w:hint="eastAsia"/>
          <w:kern w:val="0"/>
        </w:rPr>
        <w:t>委托</w:t>
      </w:r>
      <w:r>
        <w:rPr>
          <w:rFonts w:hint="eastAsia"/>
        </w:rPr>
        <w:t>山东国嘉环保科技有限公司进行验收工作，</w:t>
      </w:r>
      <w:r>
        <w:rPr>
          <w:rFonts w:hint="eastAsia"/>
          <w:kern w:val="0"/>
        </w:rPr>
        <w:t>因不具备检测能力，</w:t>
      </w:r>
      <w:r>
        <w:rPr>
          <w:rFonts w:hint="eastAsia"/>
        </w:rPr>
        <w:t>山东国嘉环保科技有限公司随后委托</w:t>
      </w:r>
      <w:r>
        <w:rPr>
          <w:color w:val="000000"/>
          <w:kern w:val="0"/>
        </w:rPr>
        <w:t>山东华晟环境检测有限公司</w:t>
      </w:r>
      <w:r>
        <w:rPr>
          <w:rFonts w:hint="eastAsia"/>
          <w:color w:val="000000"/>
          <w:kern w:val="0"/>
        </w:rPr>
        <w:t>于</w:t>
      </w:r>
      <w:r>
        <w:rPr>
          <w:rFonts w:hint="eastAsia"/>
          <w:kern w:val="0"/>
        </w:rPr>
        <w:t>2023年2月23日~2023年2月24日，共计2</w:t>
      </w:r>
      <w:r>
        <w:rPr>
          <w:kern w:val="0"/>
        </w:rPr>
        <w:t>天对本项目</w:t>
      </w:r>
      <w:r>
        <w:rPr>
          <w:rFonts w:hint="eastAsia"/>
          <w:kern w:val="0"/>
        </w:rPr>
        <w:t>废气、废水、噪声</w:t>
      </w:r>
      <w:r>
        <w:rPr>
          <w:kern w:val="0"/>
        </w:rPr>
        <w:t>进行了</w:t>
      </w:r>
      <w:r>
        <w:rPr>
          <w:rFonts w:hint="eastAsia"/>
          <w:kern w:val="0"/>
        </w:rPr>
        <w:t>竣工</w:t>
      </w:r>
      <w:r>
        <w:rPr>
          <w:kern w:val="0"/>
        </w:rPr>
        <w:t>验收监测</w:t>
      </w:r>
      <w:r>
        <w:rPr>
          <w:rFonts w:hint="eastAsia"/>
          <w:kern w:val="0"/>
        </w:rPr>
        <w:t>并出具检测报告</w:t>
      </w:r>
      <w:r>
        <w:rPr>
          <w:bCs/>
          <w:caps/>
          <w:kern w:val="0"/>
        </w:rPr>
        <w:t>。</w:t>
      </w:r>
      <w:r>
        <w:rPr>
          <w:rFonts w:hint="eastAsia"/>
          <w:bCs/>
          <w:caps/>
          <w:kern w:val="0"/>
        </w:rPr>
        <w:t>根据项目情况及检测报告，</w:t>
      </w:r>
      <w:r>
        <w:rPr>
          <w:rFonts w:hint="eastAsia"/>
          <w:kern w:val="21"/>
        </w:rPr>
        <w:t>济南中仁谊科医学检验实验室有限公司于2023年3月</w:t>
      </w:r>
      <w:r>
        <w:rPr>
          <w:rFonts w:hint="eastAsia"/>
          <w:kern w:val="21"/>
          <w:lang w:eastAsia="zh-CN"/>
        </w:rPr>
        <w:t>主导</w:t>
      </w:r>
      <w:r>
        <w:rPr>
          <w:rFonts w:hint="eastAsia"/>
          <w:kern w:val="21"/>
        </w:rPr>
        <w:t>编制完成了《</w:t>
      </w:r>
      <w:r>
        <w:rPr>
          <w:rFonts w:hint="eastAsia"/>
        </w:rPr>
        <w:t>济南中仁谊科医学检验实验室有限公司济南中仁谊科医学检验实验室竣工环境保护验收监测报告表</w:t>
      </w:r>
      <w:r>
        <w:rPr>
          <w:rFonts w:hint="eastAsia"/>
          <w:kern w:val="21"/>
        </w:rPr>
        <w:t>》。</w:t>
      </w:r>
    </w:p>
    <w:p>
      <w:pPr>
        <w:ind w:firstLine="480"/>
        <w:rPr>
          <w:color w:val="auto"/>
          <w:kern w:val="21"/>
          <w:shd w:val="clear" w:color="auto" w:fill="auto"/>
        </w:rPr>
      </w:pPr>
      <w:r>
        <w:rPr>
          <w:rFonts w:hint="eastAsia"/>
          <w:color w:val="auto"/>
          <w:shd w:val="clear" w:color="auto" w:fill="auto"/>
        </w:rPr>
        <w:t>2023年3月</w:t>
      </w:r>
      <w:r>
        <w:rPr>
          <w:rFonts w:hint="eastAsia"/>
          <w:color w:val="auto"/>
          <w:shd w:val="clear" w:color="auto" w:fill="auto"/>
          <w:lang w:val="en-US" w:eastAsia="zh-CN"/>
        </w:rPr>
        <w:t>3</w:t>
      </w:r>
      <w:r>
        <w:rPr>
          <w:rFonts w:hint="eastAsia"/>
          <w:color w:val="auto"/>
          <w:shd w:val="clear" w:color="auto" w:fill="auto"/>
        </w:rPr>
        <w:t>0日，济南中仁谊科医学检验实验室有限公司在济南市高新区组织了项目竣工环境保护验收会。验收组由建设单位/验收监测报告编制单位济南中仁谊科医学检验实验室有限公司、检测单位山东华晟环境检测有限公司等单位的代表和专业技术专家组成，对济南中仁谊科医学检验实验室有限公司济南中仁谊科医学检验实验室开展环保验收工作，验收工作组对现场进行了检查，听取了竣工环保验收监测报告编制单位的工作成果汇报，并进行了技术质询及评议后，验收组同意通过验收，验收合格。</w:t>
      </w:r>
    </w:p>
    <w:p>
      <w:pPr>
        <w:pStyle w:val="27"/>
        <w:ind w:firstLine="560"/>
        <w:rPr>
          <w:rFonts w:ascii="Times New Roman" w:hAnsi="Times New Roman"/>
          <w:color w:val="auto"/>
        </w:rPr>
        <w:sectPr>
          <w:footerReference r:id="rId5"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sz w:val="36"/>
          <w:szCs w:val="36"/>
        </w:rPr>
      </w:pPr>
      <w:bookmarkStart w:id="3" w:name="_Toc4792"/>
      <w:r>
        <w:rPr>
          <w:b/>
          <w:bCs/>
          <w:sz w:val="36"/>
          <w:szCs w:val="36"/>
        </w:rPr>
        <w:t>目</w:t>
      </w:r>
      <w:r>
        <w:rPr>
          <w:rFonts w:hint="eastAsia"/>
          <w:b/>
          <w:bCs/>
          <w:sz w:val="36"/>
          <w:szCs w:val="36"/>
        </w:rPr>
        <w:t xml:space="preserve"> </w:t>
      </w:r>
      <w:r>
        <w:rPr>
          <w:b/>
          <w:bCs/>
          <w:sz w:val="36"/>
          <w:szCs w:val="36"/>
        </w:rPr>
        <w:t>录</w:t>
      </w:r>
      <w:bookmarkEnd w:id="3"/>
    </w:p>
    <w:p>
      <w:pPr>
        <w:pStyle w:val="38"/>
        <w:ind w:firstLine="0" w:firstLineChars="0"/>
        <w:jc w:val="center"/>
        <w:rPr>
          <w:rFonts w:cs="Times New Roman"/>
          <w:b/>
          <w:bCs/>
          <w:sz w:val="36"/>
          <w:szCs w:val="36"/>
        </w:rPr>
      </w:pPr>
    </w:p>
    <w:p>
      <w:pPr>
        <w:pStyle w:val="23"/>
        <w:tabs>
          <w:tab w:val="right" w:leader="dot" w:pos="8924"/>
          <w:tab w:val="clear" w:pos="8836"/>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TOC \o "1-3" \h \u </w:instrText>
      </w:r>
      <w:r>
        <w:rPr>
          <w:rFonts w:ascii="Times New Roman" w:hAnsi="Times New Roman"/>
          <w:sz w:val="28"/>
          <w:szCs w:val="28"/>
        </w:rPr>
        <w:fldChar w:fldCharType="separate"/>
      </w:r>
      <w:r>
        <w:rPr>
          <w:rFonts w:cs="Times New Roman"/>
          <w:sz w:val="28"/>
          <w:szCs w:val="28"/>
        </w:rPr>
        <w:fldChar w:fldCharType="begin"/>
      </w:r>
      <w:r>
        <w:rPr>
          <w:rFonts w:cs="Times New Roman"/>
          <w:sz w:val="28"/>
          <w:szCs w:val="28"/>
        </w:rPr>
        <w:instrText xml:space="preserve"> HYPERLINK \l _Toc24769 </w:instrText>
      </w:r>
      <w:r>
        <w:rPr>
          <w:rFonts w:cs="Times New Roman"/>
          <w:sz w:val="28"/>
          <w:szCs w:val="28"/>
        </w:rPr>
        <w:fldChar w:fldCharType="separate"/>
      </w:r>
      <w:r>
        <w:rPr>
          <w:bCs/>
          <w:sz w:val="28"/>
          <w:szCs w:val="28"/>
        </w:rPr>
        <w:t>表1  基本情况</w:t>
      </w:r>
      <w:r>
        <w:rPr>
          <w:sz w:val="28"/>
          <w:szCs w:val="28"/>
        </w:rPr>
        <w:tab/>
      </w:r>
      <w:r>
        <w:rPr>
          <w:sz w:val="28"/>
          <w:szCs w:val="28"/>
        </w:rPr>
        <w:fldChar w:fldCharType="begin"/>
      </w:r>
      <w:r>
        <w:rPr>
          <w:sz w:val="28"/>
          <w:szCs w:val="28"/>
        </w:rPr>
        <w:instrText xml:space="preserve"> PAGEREF _Toc24769 \h </w:instrText>
      </w:r>
      <w:r>
        <w:rPr>
          <w:sz w:val="28"/>
          <w:szCs w:val="28"/>
        </w:rPr>
        <w:fldChar w:fldCharType="separate"/>
      </w:r>
      <w:r>
        <w:rPr>
          <w:sz w:val="28"/>
          <w:szCs w:val="28"/>
        </w:rPr>
        <w:t>1</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_Toc7786 </w:instrText>
      </w:r>
      <w:r>
        <w:rPr>
          <w:rFonts w:cs="Times New Roman"/>
          <w:sz w:val="28"/>
          <w:szCs w:val="28"/>
        </w:rPr>
        <w:fldChar w:fldCharType="separate"/>
      </w:r>
      <w:r>
        <w:rPr>
          <w:bCs/>
          <w:sz w:val="28"/>
          <w:szCs w:val="28"/>
        </w:rPr>
        <w:t>表2  建设项目概况及工艺流程</w:t>
      </w:r>
      <w:r>
        <w:rPr>
          <w:sz w:val="28"/>
          <w:szCs w:val="28"/>
        </w:rPr>
        <w:tab/>
      </w:r>
      <w:r>
        <w:rPr>
          <w:sz w:val="28"/>
          <w:szCs w:val="28"/>
        </w:rPr>
        <w:fldChar w:fldCharType="begin"/>
      </w:r>
      <w:r>
        <w:rPr>
          <w:sz w:val="28"/>
          <w:szCs w:val="28"/>
        </w:rPr>
        <w:instrText xml:space="preserve"> PAGEREF _Toc7786 \h </w:instrText>
      </w:r>
      <w:r>
        <w:rPr>
          <w:sz w:val="28"/>
          <w:szCs w:val="28"/>
        </w:rPr>
        <w:fldChar w:fldCharType="separate"/>
      </w:r>
      <w:r>
        <w:rPr>
          <w:sz w:val="28"/>
          <w:szCs w:val="28"/>
        </w:rPr>
        <w:t>6</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_Toc30695 </w:instrText>
      </w:r>
      <w:r>
        <w:rPr>
          <w:rFonts w:cs="Times New Roman"/>
          <w:sz w:val="28"/>
          <w:szCs w:val="28"/>
        </w:rPr>
        <w:fldChar w:fldCharType="separate"/>
      </w:r>
      <w:r>
        <w:rPr>
          <w:bCs/>
          <w:sz w:val="28"/>
          <w:szCs w:val="28"/>
        </w:rPr>
        <w:t>表3  主要污染源、污染物处理和排放情况</w:t>
      </w:r>
      <w:r>
        <w:rPr>
          <w:sz w:val="28"/>
          <w:szCs w:val="28"/>
        </w:rPr>
        <w:tab/>
      </w:r>
      <w:r>
        <w:rPr>
          <w:sz w:val="28"/>
          <w:szCs w:val="28"/>
        </w:rPr>
        <w:fldChar w:fldCharType="begin"/>
      </w:r>
      <w:r>
        <w:rPr>
          <w:sz w:val="28"/>
          <w:szCs w:val="28"/>
        </w:rPr>
        <w:instrText xml:space="preserve"> PAGEREF _Toc30695 \h </w:instrText>
      </w:r>
      <w:r>
        <w:rPr>
          <w:sz w:val="28"/>
          <w:szCs w:val="28"/>
        </w:rPr>
        <w:fldChar w:fldCharType="separate"/>
      </w:r>
      <w:r>
        <w:rPr>
          <w:sz w:val="28"/>
          <w:szCs w:val="28"/>
        </w:rPr>
        <w:t>19</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_Toc17845 </w:instrText>
      </w:r>
      <w:r>
        <w:rPr>
          <w:rFonts w:cs="Times New Roman"/>
          <w:sz w:val="28"/>
          <w:szCs w:val="28"/>
        </w:rPr>
        <w:fldChar w:fldCharType="separate"/>
      </w:r>
      <w:r>
        <w:rPr>
          <w:bCs/>
          <w:sz w:val="28"/>
          <w:szCs w:val="28"/>
        </w:rPr>
        <w:t>表4  环评主要结论、审批部门审批决定及批复落实情况</w:t>
      </w:r>
      <w:r>
        <w:rPr>
          <w:sz w:val="28"/>
          <w:szCs w:val="28"/>
        </w:rPr>
        <w:tab/>
      </w:r>
      <w:r>
        <w:rPr>
          <w:sz w:val="28"/>
          <w:szCs w:val="28"/>
        </w:rPr>
        <w:fldChar w:fldCharType="begin"/>
      </w:r>
      <w:r>
        <w:rPr>
          <w:sz w:val="28"/>
          <w:szCs w:val="28"/>
        </w:rPr>
        <w:instrText xml:space="preserve"> PAGEREF _Toc17845 \h </w:instrText>
      </w:r>
      <w:r>
        <w:rPr>
          <w:sz w:val="28"/>
          <w:szCs w:val="28"/>
        </w:rPr>
        <w:fldChar w:fldCharType="separate"/>
      </w:r>
      <w:r>
        <w:rPr>
          <w:sz w:val="28"/>
          <w:szCs w:val="28"/>
        </w:rPr>
        <w:t>22</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_Toc22634 </w:instrText>
      </w:r>
      <w:r>
        <w:rPr>
          <w:rFonts w:cs="Times New Roman"/>
          <w:sz w:val="28"/>
          <w:szCs w:val="28"/>
        </w:rPr>
        <w:fldChar w:fldCharType="separate"/>
      </w:r>
      <w:r>
        <w:rPr>
          <w:bCs/>
          <w:sz w:val="28"/>
          <w:szCs w:val="28"/>
        </w:rPr>
        <w:t>表</w:t>
      </w:r>
      <w:r>
        <w:rPr>
          <w:rFonts w:hint="eastAsia"/>
          <w:bCs/>
          <w:sz w:val="28"/>
          <w:szCs w:val="28"/>
        </w:rPr>
        <w:t>5</w:t>
      </w:r>
      <w:r>
        <w:rPr>
          <w:bCs/>
          <w:sz w:val="28"/>
          <w:szCs w:val="28"/>
        </w:rPr>
        <w:t xml:space="preserve">  验收监测质量保证及质量控制</w:t>
      </w:r>
      <w:r>
        <w:rPr>
          <w:sz w:val="28"/>
          <w:szCs w:val="28"/>
        </w:rPr>
        <w:tab/>
      </w:r>
      <w:r>
        <w:rPr>
          <w:sz w:val="28"/>
          <w:szCs w:val="28"/>
        </w:rPr>
        <w:fldChar w:fldCharType="begin"/>
      </w:r>
      <w:r>
        <w:rPr>
          <w:sz w:val="28"/>
          <w:szCs w:val="28"/>
        </w:rPr>
        <w:instrText xml:space="preserve"> PAGEREF _Toc22634 \h </w:instrText>
      </w:r>
      <w:r>
        <w:rPr>
          <w:sz w:val="28"/>
          <w:szCs w:val="28"/>
        </w:rPr>
        <w:fldChar w:fldCharType="separate"/>
      </w:r>
      <w:r>
        <w:rPr>
          <w:sz w:val="28"/>
          <w:szCs w:val="28"/>
        </w:rPr>
        <w:t>32</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_Toc19231 </w:instrText>
      </w:r>
      <w:r>
        <w:rPr>
          <w:rFonts w:cs="Times New Roman"/>
          <w:sz w:val="28"/>
          <w:szCs w:val="28"/>
        </w:rPr>
        <w:fldChar w:fldCharType="separate"/>
      </w:r>
      <w:r>
        <w:rPr>
          <w:bCs/>
          <w:sz w:val="28"/>
          <w:szCs w:val="28"/>
        </w:rPr>
        <w:t>表</w:t>
      </w:r>
      <w:r>
        <w:rPr>
          <w:rFonts w:hint="eastAsia"/>
          <w:bCs/>
          <w:sz w:val="28"/>
          <w:szCs w:val="28"/>
        </w:rPr>
        <w:t>6</w:t>
      </w:r>
      <w:r>
        <w:rPr>
          <w:bCs/>
          <w:sz w:val="28"/>
          <w:szCs w:val="28"/>
        </w:rPr>
        <w:t xml:space="preserve">  验收监测内容</w:t>
      </w:r>
      <w:r>
        <w:rPr>
          <w:sz w:val="28"/>
          <w:szCs w:val="28"/>
        </w:rPr>
        <w:tab/>
      </w:r>
      <w:r>
        <w:rPr>
          <w:sz w:val="28"/>
          <w:szCs w:val="28"/>
        </w:rPr>
        <w:fldChar w:fldCharType="begin"/>
      </w:r>
      <w:r>
        <w:rPr>
          <w:sz w:val="28"/>
          <w:szCs w:val="28"/>
        </w:rPr>
        <w:instrText xml:space="preserve"> PAGEREF _Toc19231 \h </w:instrText>
      </w:r>
      <w:r>
        <w:rPr>
          <w:sz w:val="28"/>
          <w:szCs w:val="28"/>
        </w:rPr>
        <w:fldChar w:fldCharType="separate"/>
      </w:r>
      <w:r>
        <w:rPr>
          <w:sz w:val="28"/>
          <w:szCs w:val="28"/>
        </w:rPr>
        <w:t>35</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_Toc21743 </w:instrText>
      </w:r>
      <w:r>
        <w:rPr>
          <w:rFonts w:cs="Times New Roman"/>
          <w:sz w:val="28"/>
          <w:szCs w:val="28"/>
        </w:rPr>
        <w:fldChar w:fldCharType="separate"/>
      </w:r>
      <w:r>
        <w:rPr>
          <w:bCs/>
          <w:sz w:val="28"/>
          <w:szCs w:val="28"/>
        </w:rPr>
        <w:t>表7  验收监测期间工况记录及验收监测结果</w:t>
      </w:r>
      <w:r>
        <w:rPr>
          <w:sz w:val="28"/>
          <w:szCs w:val="28"/>
        </w:rPr>
        <w:tab/>
      </w:r>
      <w:r>
        <w:rPr>
          <w:sz w:val="28"/>
          <w:szCs w:val="28"/>
        </w:rPr>
        <w:fldChar w:fldCharType="begin"/>
      </w:r>
      <w:r>
        <w:rPr>
          <w:sz w:val="28"/>
          <w:szCs w:val="28"/>
        </w:rPr>
        <w:instrText xml:space="preserve"> PAGEREF _Toc21743 \h </w:instrText>
      </w:r>
      <w:r>
        <w:rPr>
          <w:sz w:val="28"/>
          <w:szCs w:val="28"/>
        </w:rPr>
        <w:fldChar w:fldCharType="separate"/>
      </w:r>
      <w:r>
        <w:rPr>
          <w:sz w:val="28"/>
          <w:szCs w:val="28"/>
        </w:rPr>
        <w:t>39</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_Toc10853 </w:instrText>
      </w:r>
      <w:r>
        <w:rPr>
          <w:rFonts w:cs="Times New Roman"/>
          <w:sz w:val="28"/>
          <w:szCs w:val="28"/>
        </w:rPr>
        <w:fldChar w:fldCharType="separate"/>
      </w:r>
      <w:r>
        <w:rPr>
          <w:bCs/>
          <w:sz w:val="28"/>
          <w:szCs w:val="28"/>
        </w:rPr>
        <w:t>表8  环境管理检查情况</w:t>
      </w:r>
      <w:r>
        <w:rPr>
          <w:sz w:val="28"/>
          <w:szCs w:val="28"/>
        </w:rPr>
        <w:tab/>
      </w:r>
      <w:r>
        <w:rPr>
          <w:sz w:val="28"/>
          <w:szCs w:val="28"/>
        </w:rPr>
        <w:fldChar w:fldCharType="begin"/>
      </w:r>
      <w:r>
        <w:rPr>
          <w:sz w:val="28"/>
          <w:szCs w:val="28"/>
        </w:rPr>
        <w:instrText xml:space="preserve"> PAGEREF _Toc10853 \h </w:instrText>
      </w:r>
      <w:r>
        <w:rPr>
          <w:sz w:val="28"/>
          <w:szCs w:val="28"/>
        </w:rPr>
        <w:fldChar w:fldCharType="separate"/>
      </w:r>
      <w:r>
        <w:rPr>
          <w:sz w:val="28"/>
          <w:szCs w:val="28"/>
        </w:rPr>
        <w:t>53</w:t>
      </w:r>
      <w:r>
        <w:rPr>
          <w:sz w:val="28"/>
          <w:szCs w:val="28"/>
        </w:rPr>
        <w:fldChar w:fldCharType="end"/>
      </w:r>
      <w:r>
        <w:rPr>
          <w:rFonts w:cs="Times New Roman"/>
          <w:sz w:val="28"/>
          <w:szCs w:val="28"/>
        </w:rPr>
        <w:fldChar w:fldCharType="end"/>
      </w:r>
    </w:p>
    <w:p>
      <w:pPr>
        <w:pStyle w:val="23"/>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_Toc18245 </w:instrText>
      </w:r>
      <w:r>
        <w:rPr>
          <w:rFonts w:cs="Times New Roman"/>
          <w:sz w:val="28"/>
          <w:szCs w:val="28"/>
        </w:rPr>
        <w:fldChar w:fldCharType="separate"/>
      </w:r>
      <w:r>
        <w:rPr>
          <w:bCs/>
          <w:sz w:val="28"/>
          <w:szCs w:val="28"/>
        </w:rPr>
        <w:t>表9  验收监测结论及建议</w:t>
      </w:r>
      <w:r>
        <w:rPr>
          <w:sz w:val="28"/>
          <w:szCs w:val="28"/>
        </w:rPr>
        <w:tab/>
      </w:r>
      <w:r>
        <w:rPr>
          <w:sz w:val="28"/>
          <w:szCs w:val="28"/>
        </w:rPr>
        <w:fldChar w:fldCharType="begin"/>
      </w:r>
      <w:r>
        <w:rPr>
          <w:sz w:val="28"/>
          <w:szCs w:val="28"/>
        </w:rPr>
        <w:instrText xml:space="preserve"> PAGEREF _Toc18245 \h </w:instrText>
      </w:r>
      <w:r>
        <w:rPr>
          <w:sz w:val="28"/>
          <w:szCs w:val="28"/>
        </w:rPr>
        <w:fldChar w:fldCharType="separate"/>
      </w:r>
      <w:r>
        <w:rPr>
          <w:sz w:val="28"/>
          <w:szCs w:val="28"/>
        </w:rPr>
        <w:t>56</w:t>
      </w:r>
      <w:r>
        <w:rPr>
          <w:sz w:val="28"/>
          <w:szCs w:val="28"/>
        </w:rPr>
        <w:fldChar w:fldCharType="end"/>
      </w:r>
      <w:r>
        <w:rPr>
          <w:rFonts w:cs="Times New Roman"/>
          <w:sz w:val="28"/>
          <w:szCs w:val="28"/>
        </w:rPr>
        <w:fldChar w:fldCharType="end"/>
      </w:r>
    </w:p>
    <w:p>
      <w:pPr>
        <w:pStyle w:val="38"/>
        <w:ind w:firstLine="0" w:firstLineChars="0"/>
        <w:rPr>
          <w:rFonts w:cs="Times New Roman"/>
        </w:rPr>
      </w:pPr>
      <w:r>
        <w:rPr>
          <w:rFonts w:cs="Times New Roman"/>
          <w:sz w:val="28"/>
          <w:szCs w:val="28"/>
        </w:rPr>
        <w:fldChar w:fldCharType="end"/>
      </w:r>
      <w:r>
        <w:rPr>
          <w:rFonts w:cs="Times New Roman"/>
          <w:szCs w:val="24"/>
        </w:rPr>
        <w:t>附件：</w:t>
      </w:r>
    </w:p>
    <w:p>
      <w:pPr>
        <w:ind w:firstLine="480"/>
      </w:pPr>
      <w:r>
        <w:t>附件1  委托书</w:t>
      </w:r>
    </w:p>
    <w:p>
      <w:pPr>
        <w:ind w:firstLine="480"/>
      </w:pPr>
      <w:r>
        <w:t>附件2  环评批复</w:t>
      </w:r>
    </w:p>
    <w:p>
      <w:pPr>
        <w:ind w:firstLine="480"/>
      </w:pPr>
      <w:r>
        <w:t>附件</w:t>
      </w:r>
      <w:r>
        <w:rPr>
          <w:rFonts w:hint="eastAsia"/>
        </w:rPr>
        <w:t>3</w:t>
      </w:r>
      <w:r>
        <w:t xml:space="preserve">  </w:t>
      </w:r>
      <w:r>
        <w:rPr>
          <w:rFonts w:hint="eastAsia"/>
        </w:rPr>
        <w:t>危废合同</w:t>
      </w:r>
    </w:p>
    <w:p>
      <w:pPr>
        <w:ind w:firstLine="480"/>
      </w:pPr>
      <w:r>
        <w:t>附件</w:t>
      </w:r>
      <w:r>
        <w:rPr>
          <w:rFonts w:hint="eastAsia"/>
        </w:rPr>
        <w:t>4</w:t>
      </w:r>
      <w:r>
        <w:t xml:space="preserve">  检测报告</w:t>
      </w:r>
    </w:p>
    <w:p>
      <w:pPr>
        <w:ind w:firstLine="480"/>
      </w:pPr>
      <w:r>
        <w:t>附件</w:t>
      </w:r>
      <w:r>
        <w:rPr>
          <w:rFonts w:hint="eastAsia"/>
        </w:rPr>
        <w:t>5</w:t>
      </w:r>
      <w:r>
        <w:t xml:space="preserve">  工况证明</w:t>
      </w:r>
    </w:p>
    <w:p>
      <w:pPr>
        <w:ind w:firstLine="480"/>
      </w:pPr>
      <w:r>
        <w:t>附件</w:t>
      </w:r>
      <w:r>
        <w:rPr>
          <w:rFonts w:hint="eastAsia"/>
        </w:rPr>
        <w:t>6</w:t>
      </w:r>
      <w:r>
        <w:t xml:space="preserve">  </w:t>
      </w:r>
      <w:r>
        <w:rPr>
          <w:rFonts w:hint="eastAsia"/>
        </w:rPr>
        <w:t>进口证明</w:t>
      </w:r>
    </w:p>
    <w:p>
      <w:pPr>
        <w:ind w:firstLine="480"/>
      </w:pPr>
      <w:r>
        <w:t>附件</w:t>
      </w:r>
      <w:r>
        <w:rPr>
          <w:rFonts w:hint="eastAsia"/>
        </w:rPr>
        <w:t>7</w:t>
      </w:r>
      <w:r>
        <w:t xml:space="preserve">  </w:t>
      </w:r>
      <w:r>
        <w:rPr>
          <w:rFonts w:hint="eastAsia"/>
        </w:rPr>
        <w:t>检测资质</w:t>
      </w:r>
    </w:p>
    <w:p>
      <w:pPr>
        <w:ind w:firstLine="0" w:firstLineChars="0"/>
        <w:rPr>
          <w:kern w:val="0"/>
        </w:rPr>
      </w:pPr>
      <w:r>
        <w:rPr>
          <w:kern w:val="0"/>
        </w:rPr>
        <w:t>附图：</w:t>
      </w:r>
    </w:p>
    <w:p>
      <w:pPr>
        <w:ind w:firstLine="480"/>
        <w:rPr>
          <w:kern w:val="0"/>
        </w:rPr>
      </w:pPr>
      <w:r>
        <w:rPr>
          <w:kern w:val="0"/>
        </w:rPr>
        <w:t>附图1  项目地理位置图</w:t>
      </w:r>
    </w:p>
    <w:p>
      <w:pPr>
        <w:ind w:firstLine="480"/>
        <w:rPr>
          <w:kern w:val="0"/>
        </w:rPr>
      </w:pPr>
      <w:r>
        <w:rPr>
          <w:kern w:val="0"/>
        </w:rPr>
        <w:t>附图2  项目周边情况图</w:t>
      </w:r>
    </w:p>
    <w:p>
      <w:pPr>
        <w:widowControl/>
        <w:ind w:firstLine="480"/>
        <w:rPr>
          <w:kern w:val="0"/>
        </w:rPr>
      </w:pPr>
      <w:r>
        <w:rPr>
          <w:kern w:val="0"/>
        </w:rPr>
        <w:t xml:space="preserve">附图3  </w:t>
      </w:r>
      <w:r>
        <w:rPr>
          <w:rFonts w:hint="eastAsia"/>
          <w:kern w:val="0"/>
        </w:rPr>
        <w:t>项目</w:t>
      </w:r>
      <w:r>
        <w:rPr>
          <w:kern w:val="0"/>
        </w:rPr>
        <w:t>平面布置图</w:t>
      </w:r>
    </w:p>
    <w:p>
      <w:pPr>
        <w:ind w:firstLine="0" w:firstLineChars="0"/>
        <w:rPr>
          <w:kern w:val="0"/>
        </w:rPr>
      </w:pPr>
      <w:r>
        <w:rPr>
          <w:kern w:val="0"/>
        </w:rPr>
        <w:t>附表：三同时登记表</w:t>
      </w:r>
    </w:p>
    <w:p>
      <w:pPr>
        <w:pStyle w:val="15"/>
        <w:ind w:left="0" w:leftChars="0" w:firstLine="0" w:firstLineChars="0"/>
        <w:outlineLvl w:val="0"/>
        <w:rPr>
          <w:b/>
          <w:bCs/>
          <w:sz w:val="30"/>
          <w:szCs w:val="30"/>
        </w:rPr>
        <w:sectPr>
          <w:pgSz w:w="11906" w:h="16838"/>
          <w:pgMar w:top="1440" w:right="1463" w:bottom="1440" w:left="1519" w:header="851" w:footer="992" w:gutter="0"/>
          <w:cols w:space="720" w:num="1"/>
          <w:docGrid w:type="lines" w:linePitch="312" w:charSpace="0"/>
        </w:sectPr>
      </w:pPr>
      <w:bookmarkStart w:id="4" w:name="_Toc20449"/>
    </w:p>
    <w:p>
      <w:pPr>
        <w:pStyle w:val="15"/>
        <w:ind w:left="0" w:leftChars="0" w:firstLine="0" w:firstLineChars="0"/>
        <w:outlineLvl w:val="0"/>
        <w:rPr>
          <w:b/>
          <w:bCs/>
        </w:rPr>
      </w:pPr>
      <w:bookmarkStart w:id="5" w:name="_Toc6152"/>
      <w:bookmarkStart w:id="6" w:name="_Toc27870"/>
      <w:bookmarkStart w:id="7" w:name="_Toc17601"/>
      <w:bookmarkStart w:id="8" w:name="_Toc6117"/>
      <w:bookmarkStart w:id="9" w:name="_Toc21431"/>
      <w:bookmarkStart w:id="10" w:name="_Toc24769"/>
      <w:bookmarkStart w:id="11" w:name="_Toc16181"/>
      <w:bookmarkStart w:id="12" w:name="_Toc13580"/>
      <w:bookmarkStart w:id="13" w:name="_Toc14425"/>
      <w:bookmarkStart w:id="14" w:name="_Toc29919"/>
      <w:bookmarkStart w:id="15" w:name="_Toc15971"/>
      <w:bookmarkStart w:id="16" w:name="_Toc3787"/>
      <w:bookmarkStart w:id="17" w:name="_Toc13646"/>
      <w:bookmarkStart w:id="18" w:name="_Toc31794"/>
      <w:bookmarkStart w:id="19" w:name="_Toc9055"/>
      <w:bookmarkStart w:id="20" w:name="_Toc29383"/>
      <w:bookmarkStart w:id="21" w:name="_Toc4265"/>
      <w:bookmarkStart w:id="22" w:name="_Toc29364"/>
      <w:bookmarkStart w:id="23" w:name="_Toc23537"/>
      <w:bookmarkStart w:id="24" w:name="_Toc31764"/>
      <w:bookmarkStart w:id="25" w:name="_Toc17633"/>
      <w:bookmarkStart w:id="26" w:name="_Toc20976"/>
      <w:bookmarkStart w:id="27" w:name="_Toc5501"/>
      <w:bookmarkStart w:id="28" w:name="_Toc15875"/>
      <w:bookmarkStart w:id="29" w:name="_Toc17782"/>
      <w:bookmarkStart w:id="30" w:name="_Toc23515"/>
      <w:bookmarkStart w:id="31" w:name="_Toc23826"/>
      <w:bookmarkStart w:id="32" w:name="_Toc572"/>
      <w:bookmarkStart w:id="33" w:name="_Toc3052"/>
      <w:bookmarkStart w:id="34" w:name="_Toc18277"/>
      <w:bookmarkStart w:id="35" w:name="_Toc8692"/>
      <w:bookmarkStart w:id="36" w:name="_Toc20872"/>
      <w:bookmarkStart w:id="37" w:name="_Toc12779"/>
      <w:bookmarkStart w:id="38" w:name="_Toc20840"/>
      <w:bookmarkStart w:id="39" w:name="_Toc14316"/>
      <w:bookmarkStart w:id="40" w:name="_Toc26925"/>
      <w:bookmarkStart w:id="41" w:name="_Toc12160"/>
      <w:bookmarkStart w:id="42" w:name="_Toc12317"/>
      <w:bookmarkStart w:id="43" w:name="_Toc4525"/>
      <w:bookmarkStart w:id="44" w:name="_Toc1462"/>
      <w:bookmarkStart w:id="45" w:name="_Toc5052"/>
      <w:bookmarkStart w:id="46" w:name="_Toc4743"/>
      <w:bookmarkStart w:id="47" w:name="_Toc2863"/>
      <w:bookmarkStart w:id="48" w:name="_Toc12511"/>
      <w:bookmarkStart w:id="49" w:name="_Toc11710"/>
      <w:bookmarkStart w:id="50" w:name="_Toc9259"/>
      <w:bookmarkStart w:id="51" w:name="_Toc5726"/>
      <w:r>
        <w:rPr>
          <w:b/>
          <w:bCs/>
          <w:sz w:val="30"/>
          <w:szCs w:val="30"/>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bl>
      <w:tblPr>
        <w:tblStyle w:val="28"/>
        <w:tblW w:w="498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551"/>
        <w:gridCol w:w="1958"/>
        <w:gridCol w:w="2098"/>
        <w:gridCol w:w="1228"/>
        <w:gridCol w:w="828"/>
        <w:gridCol w:w="126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tcBorders>
              <w:top w:val="single" w:color="000000" w:sz="12" w:space="0"/>
            </w:tcBorders>
            <w:vAlign w:val="center"/>
          </w:tcPr>
          <w:p>
            <w:pPr>
              <w:adjustRightInd w:val="0"/>
              <w:snapToGrid w:val="0"/>
              <w:spacing w:line="240" w:lineRule="auto"/>
              <w:ind w:firstLine="0" w:firstLineChars="0"/>
              <w:jc w:val="center"/>
              <w:rPr>
                <w:sz w:val="30"/>
                <w:szCs w:val="30"/>
              </w:rPr>
            </w:pPr>
            <w:r>
              <w:t>建设项目名称</w:t>
            </w:r>
          </w:p>
        </w:tc>
        <w:tc>
          <w:tcPr>
            <w:tcW w:w="4131" w:type="pct"/>
            <w:gridSpan w:val="5"/>
            <w:tcBorders>
              <w:top w:val="single" w:color="000000" w:sz="12" w:space="0"/>
            </w:tcBorders>
            <w:vAlign w:val="center"/>
          </w:tcPr>
          <w:p>
            <w:pPr>
              <w:adjustRightInd w:val="0"/>
              <w:snapToGrid w:val="0"/>
              <w:spacing w:line="240" w:lineRule="auto"/>
              <w:ind w:firstLine="0" w:firstLineChars="0"/>
              <w:jc w:val="center"/>
            </w:pPr>
            <w:r>
              <w:rPr>
                <w:rFonts w:hint="eastAsia"/>
              </w:rPr>
              <w:t>济南中仁谊科医学检验实验室有限公司济南中仁谊科医学检验实验室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rPr>
                <w:sz w:val="30"/>
                <w:szCs w:val="30"/>
              </w:rPr>
            </w:pPr>
            <w:r>
              <w:t>建设单位名称</w:t>
            </w:r>
          </w:p>
        </w:tc>
        <w:tc>
          <w:tcPr>
            <w:tcW w:w="4131" w:type="pct"/>
            <w:gridSpan w:val="5"/>
            <w:vAlign w:val="center"/>
          </w:tcPr>
          <w:p>
            <w:pPr>
              <w:adjustRightInd w:val="0"/>
              <w:snapToGrid w:val="0"/>
              <w:spacing w:line="240" w:lineRule="auto"/>
              <w:ind w:firstLine="0" w:firstLineChars="0"/>
              <w:jc w:val="center"/>
            </w:pPr>
            <w:r>
              <w:rPr>
                <w:rFonts w:hint="eastAsia"/>
              </w:rPr>
              <w:t>济南中仁谊科医学检验实验室有限公司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rPr>
                <w:sz w:val="30"/>
                <w:szCs w:val="30"/>
              </w:rPr>
            </w:pPr>
            <w:r>
              <w:t>建设项目主管部门</w:t>
            </w:r>
          </w:p>
        </w:tc>
        <w:tc>
          <w:tcPr>
            <w:tcW w:w="4131" w:type="pct"/>
            <w:gridSpan w:val="5"/>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rPr>
                <w:sz w:val="30"/>
                <w:szCs w:val="30"/>
              </w:rPr>
            </w:pPr>
            <w:r>
              <w:t>建设项目性质</w:t>
            </w:r>
          </w:p>
        </w:tc>
        <w:tc>
          <w:tcPr>
            <w:tcW w:w="4131" w:type="pct"/>
            <w:gridSpan w:val="5"/>
            <w:vAlign w:val="center"/>
          </w:tcPr>
          <w:p>
            <w:pPr>
              <w:adjustRightInd w:val="0"/>
              <w:snapToGrid w:val="0"/>
              <w:spacing w:line="240" w:lineRule="auto"/>
              <w:ind w:firstLine="0" w:firstLineChars="0"/>
              <w:jc w:val="center"/>
            </w:pPr>
            <w:r>
              <w:rPr>
                <w:szCs w:val="21"/>
              </w:rPr>
              <w:sym w:font="Wingdings 2" w:char="0052"/>
            </w:r>
            <w:r>
              <w:t xml:space="preserve">新建  </w:t>
            </w:r>
            <w:r>
              <w:rPr>
                <w:szCs w:val="21"/>
              </w:rPr>
              <w:sym w:font="Wingdings 2" w:char="00A3"/>
            </w:r>
            <w:r>
              <w:t xml:space="preserve">改扩建  </w:t>
            </w:r>
            <w:r>
              <w:rPr>
                <w:szCs w:val="21"/>
              </w:rPr>
              <w:t>□</w:t>
            </w:r>
            <w:r>
              <w:t xml:space="preserve">技术改造  </w:t>
            </w:r>
            <w:r>
              <w:rPr>
                <w:szCs w:val="21"/>
              </w:rPr>
              <w:t>□</w:t>
            </w:r>
            <w: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pPr>
            <w:r>
              <w:t>项目建设地点</w:t>
            </w:r>
          </w:p>
        </w:tc>
        <w:tc>
          <w:tcPr>
            <w:tcW w:w="4131" w:type="pct"/>
            <w:gridSpan w:val="5"/>
            <w:vAlign w:val="center"/>
          </w:tcPr>
          <w:p>
            <w:pPr>
              <w:adjustRightInd w:val="0"/>
              <w:snapToGrid w:val="0"/>
              <w:spacing w:line="240" w:lineRule="auto"/>
              <w:ind w:firstLine="0" w:firstLineChars="0"/>
              <w:jc w:val="center"/>
            </w:pPr>
            <w:r>
              <w:rPr>
                <w:rFonts w:hint="eastAsia"/>
              </w:rPr>
              <w:t>山东省济南市高新区春兰路1177号银丰国际生物城A4-101-3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rPr>
                <w:sz w:val="30"/>
                <w:szCs w:val="30"/>
              </w:rPr>
            </w:pPr>
            <w:r>
              <w:t>主要产品名称</w:t>
            </w:r>
          </w:p>
        </w:tc>
        <w:tc>
          <w:tcPr>
            <w:tcW w:w="7376" w:type="dxa"/>
            <w:gridSpan w:val="5"/>
            <w:vAlign w:val="center"/>
          </w:tcPr>
          <w:p>
            <w:pPr>
              <w:adjustRightInd w:val="0"/>
              <w:snapToGrid w:val="0"/>
              <w:spacing w:line="240" w:lineRule="auto"/>
              <w:ind w:firstLine="0" w:firstLineChars="0"/>
              <w:jc w:val="left"/>
            </w:pPr>
            <w:r>
              <w:rPr>
                <w:rFonts w:hint="eastAsia"/>
              </w:rPr>
              <w:t>分子分型实验：主要进行HPV分子分型检测实验；病理TCT实验：主要进行病理细胞检测实验；免疫实验：主要进行免疫分析检测实验；</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pPr>
            <w:r>
              <w:t>设计生产能力</w:t>
            </w:r>
          </w:p>
        </w:tc>
        <w:tc>
          <w:tcPr>
            <w:tcW w:w="7376" w:type="dxa"/>
            <w:gridSpan w:val="5"/>
            <w:vAlign w:val="center"/>
          </w:tcPr>
          <w:p>
            <w:pPr>
              <w:adjustRightInd w:val="0"/>
              <w:snapToGrid w:val="0"/>
              <w:spacing w:line="240" w:lineRule="auto"/>
              <w:ind w:firstLine="0" w:firstLineChars="0"/>
              <w:jc w:val="left"/>
            </w:pPr>
            <w:r>
              <w:rPr>
                <w:rFonts w:hint="eastAsia"/>
              </w:rPr>
              <w:t>分子分型实验：主要进行HPV分子分型检测实验，年检7300个样本；病理TCT实验：主要进行病理细胞检测实验，年检3万个样本；免疫实验：主要进行免疫分析检测实验，年检100个样本；（根据项目进度调整）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pPr>
            <w:r>
              <w:t>实际生产能力</w:t>
            </w:r>
          </w:p>
        </w:tc>
        <w:tc>
          <w:tcPr>
            <w:tcW w:w="7376" w:type="dxa"/>
            <w:gridSpan w:val="5"/>
            <w:vAlign w:val="center"/>
          </w:tcPr>
          <w:p>
            <w:pPr>
              <w:adjustRightInd w:val="0"/>
              <w:snapToGrid w:val="0"/>
              <w:spacing w:line="240" w:lineRule="auto"/>
              <w:ind w:firstLine="0" w:firstLineChars="0"/>
              <w:jc w:val="left"/>
            </w:pPr>
            <w:r>
              <w:rPr>
                <w:rFonts w:hint="eastAsia"/>
              </w:rPr>
              <w:t>分子分型实验：主要进行HPV分子分型检测实验，年检7300个样本；病理TCT实验：主要进行病理细胞检测实验，年检3万个样本；免疫实验：主要进行免疫分析检测实验，年检100个样本；（根据项目进度调整）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pPr>
            <w:r>
              <w:rPr>
                <w:rFonts w:hint="eastAsia"/>
              </w:rPr>
              <w:t>建设项目</w:t>
            </w:r>
            <w:r>
              <w:t>环评时间</w:t>
            </w:r>
          </w:p>
        </w:tc>
        <w:tc>
          <w:tcPr>
            <w:tcW w:w="1096" w:type="pct"/>
            <w:vAlign w:val="center"/>
          </w:tcPr>
          <w:p>
            <w:pPr>
              <w:adjustRightInd w:val="0"/>
              <w:snapToGrid w:val="0"/>
              <w:spacing w:line="240" w:lineRule="auto"/>
              <w:ind w:firstLine="0" w:firstLineChars="0"/>
              <w:jc w:val="center"/>
            </w:pPr>
            <w:r>
              <w:rPr>
                <w:rFonts w:hint="eastAsia"/>
              </w:rPr>
              <w:t>2023年1月6日</w:t>
            </w:r>
          </w:p>
        </w:tc>
        <w:tc>
          <w:tcPr>
            <w:tcW w:w="1175" w:type="pct"/>
            <w:vAlign w:val="center"/>
          </w:tcPr>
          <w:p>
            <w:pPr>
              <w:adjustRightInd w:val="0"/>
              <w:snapToGrid w:val="0"/>
              <w:spacing w:line="240" w:lineRule="auto"/>
              <w:ind w:firstLine="0" w:firstLineChars="0"/>
              <w:jc w:val="center"/>
            </w:pPr>
            <w:r>
              <w:t>开工</w:t>
            </w:r>
            <w:r>
              <w:rPr>
                <w:rFonts w:hint="eastAsia"/>
              </w:rPr>
              <w:t>建设时间</w:t>
            </w:r>
          </w:p>
        </w:tc>
        <w:tc>
          <w:tcPr>
            <w:tcW w:w="1860" w:type="pct"/>
            <w:gridSpan w:val="3"/>
            <w:vAlign w:val="center"/>
          </w:tcPr>
          <w:p>
            <w:pPr>
              <w:adjustRightInd w:val="0"/>
              <w:snapToGrid w:val="0"/>
              <w:spacing w:line="240" w:lineRule="auto"/>
              <w:ind w:firstLine="0" w:firstLineChars="0"/>
              <w:jc w:val="center"/>
            </w:pPr>
            <w:r>
              <w:t>202</w:t>
            </w:r>
            <w:r>
              <w:rPr>
                <w:rFonts w:hint="eastAsia"/>
              </w:rPr>
              <w:t>3</w:t>
            </w:r>
            <w:r>
              <w:t>年</w:t>
            </w:r>
            <w:r>
              <w:rPr>
                <w:rFonts w:hint="eastAsia"/>
              </w:rPr>
              <w:t>1</w:t>
            </w:r>
            <w: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pPr>
            <w:r>
              <w:rPr>
                <w:rFonts w:hint="eastAsia"/>
              </w:rPr>
              <w:t>调试</w:t>
            </w:r>
            <w:r>
              <w:t>时间</w:t>
            </w:r>
          </w:p>
        </w:tc>
        <w:tc>
          <w:tcPr>
            <w:tcW w:w="1096" w:type="pct"/>
            <w:vAlign w:val="center"/>
          </w:tcPr>
          <w:p>
            <w:pPr>
              <w:adjustRightInd w:val="0"/>
              <w:snapToGrid w:val="0"/>
              <w:spacing w:line="240" w:lineRule="auto"/>
              <w:ind w:firstLine="0" w:firstLineChars="0"/>
              <w:jc w:val="center"/>
            </w:pPr>
            <w:r>
              <w:t>202</w:t>
            </w:r>
            <w:r>
              <w:rPr>
                <w:rFonts w:hint="eastAsia"/>
              </w:rPr>
              <w:t>3</w:t>
            </w:r>
            <w:r>
              <w:t>年</w:t>
            </w:r>
            <w:r>
              <w:rPr>
                <w:rFonts w:hint="eastAsia"/>
              </w:rPr>
              <w:t>2</w:t>
            </w:r>
            <w:r>
              <w:t>月</w:t>
            </w:r>
          </w:p>
        </w:tc>
        <w:tc>
          <w:tcPr>
            <w:tcW w:w="1175" w:type="pct"/>
            <w:vAlign w:val="center"/>
          </w:tcPr>
          <w:p>
            <w:pPr>
              <w:adjustRightInd w:val="0"/>
              <w:snapToGrid w:val="0"/>
              <w:spacing w:line="240" w:lineRule="auto"/>
              <w:ind w:firstLine="0" w:firstLineChars="0"/>
              <w:jc w:val="center"/>
            </w:pPr>
            <w:r>
              <w:rPr>
                <w:rFonts w:hint="eastAsia"/>
              </w:rPr>
              <w:t>验收</w:t>
            </w:r>
            <w:r>
              <w:t>现场监测时间</w:t>
            </w:r>
          </w:p>
        </w:tc>
        <w:tc>
          <w:tcPr>
            <w:tcW w:w="1860" w:type="pct"/>
            <w:gridSpan w:val="3"/>
            <w:vAlign w:val="center"/>
          </w:tcPr>
          <w:p>
            <w:pPr>
              <w:pStyle w:val="38"/>
              <w:snapToGrid w:val="0"/>
              <w:spacing w:line="240" w:lineRule="auto"/>
              <w:ind w:firstLine="0" w:firstLineChars="0"/>
              <w:textAlignment w:val="auto"/>
              <w:rPr>
                <w:rFonts w:cs="Times New Roman"/>
                <w:szCs w:val="24"/>
              </w:rPr>
            </w:pPr>
            <w:r>
              <w:rPr>
                <w:rFonts w:hint="eastAsia" w:cs="Times New Roman"/>
                <w:kern w:val="0"/>
              </w:rPr>
              <w:t>2023年2月23日~2023年2月24日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68" w:type="pct"/>
            <w:vAlign w:val="center"/>
          </w:tcPr>
          <w:p>
            <w:pPr>
              <w:adjustRightInd w:val="0"/>
              <w:snapToGrid w:val="0"/>
              <w:spacing w:line="240" w:lineRule="auto"/>
              <w:ind w:firstLine="0" w:firstLineChars="0"/>
              <w:jc w:val="center"/>
              <w:rPr>
                <w:sz w:val="30"/>
                <w:szCs w:val="30"/>
              </w:rPr>
            </w:pPr>
            <w:r>
              <w:t>环评报告表</w:t>
            </w:r>
          </w:p>
          <w:p>
            <w:pPr>
              <w:adjustRightInd w:val="0"/>
              <w:snapToGrid w:val="0"/>
              <w:spacing w:line="240" w:lineRule="auto"/>
              <w:ind w:firstLine="0" w:firstLineChars="0"/>
              <w:jc w:val="center"/>
              <w:rPr>
                <w:sz w:val="30"/>
                <w:szCs w:val="30"/>
              </w:rPr>
            </w:pPr>
            <w:r>
              <w:t>审批部门</w:t>
            </w:r>
          </w:p>
        </w:tc>
        <w:tc>
          <w:tcPr>
            <w:tcW w:w="1096" w:type="pct"/>
            <w:vAlign w:val="center"/>
          </w:tcPr>
          <w:p>
            <w:pPr>
              <w:adjustRightInd w:val="0"/>
              <w:snapToGrid w:val="0"/>
              <w:spacing w:line="240" w:lineRule="auto"/>
              <w:ind w:firstLine="0" w:firstLineChars="0"/>
              <w:jc w:val="center"/>
            </w:pPr>
            <w:r>
              <w:rPr>
                <w:rFonts w:hint="eastAsia"/>
              </w:rPr>
              <w:t>济南市生态环境局</w:t>
            </w:r>
          </w:p>
        </w:tc>
        <w:tc>
          <w:tcPr>
            <w:tcW w:w="1175" w:type="pct"/>
            <w:vAlign w:val="center"/>
          </w:tcPr>
          <w:p>
            <w:pPr>
              <w:adjustRightInd w:val="0"/>
              <w:snapToGrid w:val="0"/>
              <w:spacing w:line="240" w:lineRule="auto"/>
              <w:ind w:firstLine="0" w:firstLineChars="0"/>
              <w:jc w:val="center"/>
            </w:pPr>
            <w:r>
              <w:t>环评报告表</w:t>
            </w:r>
          </w:p>
          <w:p>
            <w:pPr>
              <w:adjustRightInd w:val="0"/>
              <w:snapToGrid w:val="0"/>
              <w:spacing w:line="240" w:lineRule="auto"/>
              <w:ind w:firstLine="0" w:firstLineChars="0"/>
              <w:jc w:val="center"/>
            </w:pPr>
            <w:r>
              <w:t>编制单位</w:t>
            </w:r>
          </w:p>
        </w:tc>
        <w:tc>
          <w:tcPr>
            <w:tcW w:w="1860" w:type="pct"/>
            <w:gridSpan w:val="3"/>
            <w:vAlign w:val="center"/>
          </w:tcPr>
          <w:p>
            <w:pPr>
              <w:adjustRightInd w:val="0"/>
              <w:snapToGrid w:val="0"/>
              <w:spacing w:line="240" w:lineRule="auto"/>
              <w:ind w:firstLine="0" w:firstLineChars="0"/>
            </w:pPr>
            <w:r>
              <w:rPr>
                <w:rFonts w:hint="eastAsia"/>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rPr>
                <w:sz w:val="30"/>
                <w:szCs w:val="30"/>
              </w:rPr>
            </w:pPr>
            <w:r>
              <w:t>环保设施设计单位</w:t>
            </w:r>
          </w:p>
        </w:tc>
        <w:tc>
          <w:tcPr>
            <w:tcW w:w="1096" w:type="pct"/>
            <w:vAlign w:val="center"/>
          </w:tcPr>
          <w:p>
            <w:pPr>
              <w:adjustRightInd w:val="0"/>
              <w:snapToGrid w:val="0"/>
              <w:spacing w:line="240" w:lineRule="auto"/>
              <w:ind w:firstLine="0" w:firstLineChars="0"/>
              <w:jc w:val="center"/>
            </w:pPr>
            <w:r>
              <w:t>——</w:t>
            </w:r>
          </w:p>
        </w:tc>
        <w:tc>
          <w:tcPr>
            <w:tcW w:w="1175" w:type="pct"/>
            <w:vAlign w:val="center"/>
          </w:tcPr>
          <w:p>
            <w:pPr>
              <w:adjustRightInd w:val="0"/>
              <w:snapToGrid w:val="0"/>
              <w:spacing w:line="240" w:lineRule="auto"/>
              <w:ind w:firstLine="0" w:firstLineChars="0"/>
              <w:jc w:val="center"/>
            </w:pPr>
            <w:r>
              <w:t>环保设施施工单位</w:t>
            </w:r>
          </w:p>
        </w:tc>
        <w:tc>
          <w:tcPr>
            <w:tcW w:w="1860" w:type="pct"/>
            <w:gridSpan w:val="3"/>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rPr>
                <w:sz w:val="30"/>
                <w:szCs w:val="30"/>
              </w:rPr>
            </w:pPr>
            <w:r>
              <w:t>投资总概算</w:t>
            </w:r>
          </w:p>
        </w:tc>
        <w:tc>
          <w:tcPr>
            <w:tcW w:w="1096" w:type="pct"/>
            <w:vAlign w:val="center"/>
          </w:tcPr>
          <w:p>
            <w:pPr>
              <w:adjustRightInd w:val="0"/>
              <w:snapToGrid w:val="0"/>
              <w:spacing w:line="240" w:lineRule="auto"/>
              <w:ind w:firstLine="0" w:firstLineChars="0"/>
              <w:jc w:val="center"/>
            </w:pPr>
            <w:r>
              <w:rPr>
                <w:rFonts w:hint="eastAsia"/>
              </w:rPr>
              <w:t>1000</w:t>
            </w:r>
            <w:r>
              <w:t>万元</w:t>
            </w:r>
          </w:p>
        </w:tc>
        <w:tc>
          <w:tcPr>
            <w:tcW w:w="1175" w:type="pct"/>
            <w:vAlign w:val="center"/>
          </w:tcPr>
          <w:p>
            <w:pPr>
              <w:adjustRightInd w:val="0"/>
              <w:snapToGrid w:val="0"/>
              <w:spacing w:line="240" w:lineRule="auto"/>
              <w:ind w:firstLine="0" w:firstLineChars="0"/>
              <w:jc w:val="center"/>
            </w:pPr>
            <w:r>
              <w:t>环保投资总概算</w:t>
            </w:r>
          </w:p>
        </w:tc>
        <w:tc>
          <w:tcPr>
            <w:tcW w:w="688" w:type="pct"/>
            <w:vAlign w:val="center"/>
          </w:tcPr>
          <w:p>
            <w:pPr>
              <w:adjustRightInd w:val="0"/>
              <w:snapToGrid w:val="0"/>
              <w:spacing w:line="240" w:lineRule="auto"/>
              <w:ind w:firstLine="0" w:firstLineChars="0"/>
              <w:jc w:val="center"/>
            </w:pPr>
            <w:r>
              <w:rPr>
                <w:rFonts w:hint="eastAsia"/>
              </w:rPr>
              <w:t>60</w:t>
            </w:r>
            <w:r>
              <w:t>万元</w:t>
            </w:r>
          </w:p>
        </w:tc>
        <w:tc>
          <w:tcPr>
            <w:tcW w:w="464" w:type="pct"/>
            <w:vAlign w:val="center"/>
          </w:tcPr>
          <w:p>
            <w:pPr>
              <w:adjustRightInd w:val="0"/>
              <w:snapToGrid w:val="0"/>
              <w:spacing w:line="240" w:lineRule="auto"/>
              <w:ind w:firstLine="0" w:firstLineChars="0"/>
              <w:jc w:val="center"/>
            </w:pPr>
            <w:r>
              <w:t>比例</w:t>
            </w:r>
          </w:p>
        </w:tc>
        <w:tc>
          <w:tcPr>
            <w:tcW w:w="706" w:type="pct"/>
            <w:vAlign w:val="center"/>
          </w:tcPr>
          <w:p>
            <w:pPr>
              <w:adjustRightInd w:val="0"/>
              <w:snapToGrid w:val="0"/>
              <w:spacing w:line="240" w:lineRule="auto"/>
              <w:ind w:firstLine="0" w:firstLineChars="0"/>
              <w:jc w:val="center"/>
            </w:pPr>
            <w:r>
              <w:rPr>
                <w:rFonts w:hint="eastAsia"/>
              </w:rPr>
              <w:t>6.0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868" w:type="pct"/>
            <w:vAlign w:val="center"/>
          </w:tcPr>
          <w:p>
            <w:pPr>
              <w:adjustRightInd w:val="0"/>
              <w:snapToGrid w:val="0"/>
              <w:spacing w:line="240" w:lineRule="auto"/>
              <w:ind w:firstLine="0" w:firstLineChars="0"/>
              <w:jc w:val="center"/>
            </w:pPr>
            <w:r>
              <w:t>实际总投资</w:t>
            </w:r>
          </w:p>
        </w:tc>
        <w:tc>
          <w:tcPr>
            <w:tcW w:w="1096" w:type="pct"/>
            <w:vAlign w:val="center"/>
          </w:tcPr>
          <w:p>
            <w:pPr>
              <w:adjustRightInd w:val="0"/>
              <w:snapToGrid w:val="0"/>
              <w:spacing w:line="240" w:lineRule="auto"/>
              <w:ind w:firstLine="0" w:firstLineChars="0"/>
              <w:jc w:val="center"/>
            </w:pPr>
            <w:r>
              <w:rPr>
                <w:rFonts w:hint="eastAsia"/>
              </w:rPr>
              <w:t>1000</w:t>
            </w:r>
            <w:r>
              <w:t>万元</w:t>
            </w:r>
          </w:p>
        </w:tc>
        <w:tc>
          <w:tcPr>
            <w:tcW w:w="1175" w:type="pct"/>
            <w:vAlign w:val="center"/>
          </w:tcPr>
          <w:p>
            <w:pPr>
              <w:adjustRightInd w:val="0"/>
              <w:snapToGrid w:val="0"/>
              <w:spacing w:line="240" w:lineRule="auto"/>
              <w:ind w:firstLine="0" w:firstLineChars="0"/>
              <w:jc w:val="center"/>
            </w:pPr>
            <w:r>
              <w:t>实际环保投资</w:t>
            </w:r>
          </w:p>
        </w:tc>
        <w:tc>
          <w:tcPr>
            <w:tcW w:w="688" w:type="pct"/>
            <w:vAlign w:val="center"/>
          </w:tcPr>
          <w:p>
            <w:pPr>
              <w:adjustRightInd w:val="0"/>
              <w:snapToGrid w:val="0"/>
              <w:spacing w:line="240" w:lineRule="auto"/>
              <w:ind w:firstLine="0" w:firstLineChars="0"/>
              <w:jc w:val="center"/>
            </w:pPr>
            <w:r>
              <w:rPr>
                <w:rFonts w:hint="eastAsia"/>
              </w:rPr>
              <w:t>60</w:t>
            </w:r>
            <w:r>
              <w:t>万元</w:t>
            </w:r>
          </w:p>
        </w:tc>
        <w:tc>
          <w:tcPr>
            <w:tcW w:w="464" w:type="pct"/>
            <w:vAlign w:val="center"/>
          </w:tcPr>
          <w:p>
            <w:pPr>
              <w:adjustRightInd w:val="0"/>
              <w:snapToGrid w:val="0"/>
              <w:spacing w:line="240" w:lineRule="auto"/>
              <w:ind w:firstLine="0" w:firstLineChars="0"/>
              <w:jc w:val="center"/>
            </w:pPr>
            <w:r>
              <w:t>比例</w:t>
            </w:r>
          </w:p>
        </w:tc>
        <w:tc>
          <w:tcPr>
            <w:tcW w:w="706" w:type="pct"/>
            <w:vAlign w:val="center"/>
          </w:tcPr>
          <w:p>
            <w:pPr>
              <w:adjustRightInd w:val="0"/>
              <w:snapToGrid w:val="0"/>
              <w:spacing w:line="240" w:lineRule="auto"/>
              <w:ind w:firstLine="0" w:firstLineChars="0"/>
              <w:jc w:val="center"/>
            </w:pPr>
            <w:r>
              <w:rPr>
                <w:rFonts w:hint="eastAsia"/>
              </w:rPr>
              <w:t>6.0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68" w:type="pct"/>
            <w:vAlign w:val="center"/>
          </w:tcPr>
          <w:p>
            <w:pPr>
              <w:adjustRightInd w:val="0"/>
              <w:snapToGrid w:val="0"/>
              <w:spacing w:line="240" w:lineRule="auto"/>
              <w:ind w:firstLine="0" w:firstLineChars="0"/>
              <w:jc w:val="center"/>
              <w:rPr>
                <w:sz w:val="30"/>
                <w:szCs w:val="30"/>
              </w:rPr>
            </w:pPr>
            <w:r>
              <w:t>验收监测依据</w:t>
            </w:r>
          </w:p>
        </w:tc>
        <w:tc>
          <w:tcPr>
            <w:tcW w:w="4131" w:type="pct"/>
            <w:gridSpan w:val="5"/>
            <w:vAlign w:val="center"/>
          </w:tcPr>
          <w:p>
            <w:pPr>
              <w:adjustRightInd w:val="0"/>
              <w:snapToGrid w:val="0"/>
              <w:ind w:firstLine="0" w:firstLineChars="0"/>
              <w:jc w:val="left"/>
            </w:pPr>
            <w:r>
              <w:rPr>
                <w:rFonts w:hint="eastAsia"/>
              </w:rPr>
              <w:t>1</w:t>
            </w:r>
            <w:r>
              <w:t>、中华人民共和国国务院令《建设项目环境保护管理条例》（2017年修订）第682号；</w:t>
            </w:r>
          </w:p>
          <w:p>
            <w:pPr>
              <w:adjustRightInd w:val="0"/>
              <w:snapToGrid w:val="0"/>
              <w:ind w:firstLine="0" w:firstLineChars="0"/>
              <w:jc w:val="left"/>
            </w:pPr>
            <w:r>
              <w:t>2、生态环境部关于发布《建设项目竣工环境保护验收技术指南 污染影响类》的公告（公告2018年 第9号）；</w:t>
            </w:r>
          </w:p>
          <w:p>
            <w:pPr>
              <w:adjustRightInd w:val="0"/>
              <w:snapToGrid w:val="0"/>
              <w:ind w:firstLine="0" w:firstLineChars="0"/>
              <w:jc w:val="left"/>
            </w:pPr>
            <w:r>
              <w:t>3、环境保护部办公厅函《建设项目竣工环境保护验收暂行办法》（国环规环评</w:t>
            </w:r>
            <w:r>
              <w:rPr>
                <w:rFonts w:hint="eastAsia"/>
                <w:lang w:eastAsia="zh-CN"/>
              </w:rPr>
              <w:t>〔</w:t>
            </w:r>
            <w:r>
              <w:t>2017</w:t>
            </w:r>
            <w:r>
              <w:rPr>
                <w:rFonts w:hint="eastAsia"/>
                <w:lang w:eastAsia="zh-CN"/>
              </w:rPr>
              <w:t>〕</w:t>
            </w:r>
            <w:r>
              <w:t>4号）；</w:t>
            </w:r>
          </w:p>
          <w:p>
            <w:pPr>
              <w:ind w:firstLine="0" w:firstLineChars="0"/>
            </w:pPr>
            <w:r>
              <w:rPr>
                <w:rFonts w:hint="eastAsia"/>
              </w:rPr>
              <w:t>4</w:t>
            </w:r>
            <w:r>
              <w:t>、关于印发《污染影响类建设项目重大变动清单（试行）的通知》（环办环评函</w:t>
            </w:r>
            <w:r>
              <w:rPr>
                <w:rFonts w:hint="eastAsia"/>
                <w:lang w:eastAsia="zh-CN"/>
              </w:rPr>
              <w:t>〔</w:t>
            </w:r>
            <w:r>
              <w:t>2020</w:t>
            </w:r>
            <w:r>
              <w:rPr>
                <w:rFonts w:hint="eastAsia"/>
                <w:lang w:eastAsia="zh-CN"/>
              </w:rPr>
              <w:t>〕</w:t>
            </w:r>
            <w:r>
              <w:t>688号）；</w:t>
            </w:r>
          </w:p>
          <w:p>
            <w:pPr>
              <w:adjustRightInd w:val="0"/>
              <w:snapToGrid w:val="0"/>
              <w:ind w:firstLine="0" w:firstLineChars="0"/>
              <w:jc w:val="left"/>
            </w:pPr>
            <w:r>
              <w:rPr>
                <w:rFonts w:hint="eastAsia"/>
              </w:rPr>
              <w:t>5</w:t>
            </w:r>
            <w:r>
              <w:t>、《关于印发建设项目竣工环境保护验收现场检查及审查要点的通知》（环办〔2015〕113号）；</w:t>
            </w:r>
          </w:p>
          <w:p>
            <w:pPr>
              <w:pStyle w:val="38"/>
              <w:snapToGrid w:val="0"/>
              <w:ind w:firstLine="0" w:firstLineChars="0"/>
            </w:pPr>
            <w:r>
              <w:rPr>
                <w:rFonts w:hint="eastAsia"/>
              </w:rPr>
              <w:t>6</w:t>
            </w:r>
            <w:r>
              <w:t>、《关于进一步加强建设项目固体废物环境管理的通知》鲁环办函〔2016〕141号</w:t>
            </w:r>
            <w:r>
              <w:rPr>
                <w:rFonts w:hint="eastAsia"/>
              </w:rPr>
              <w:t>（2016年9月30日）；</w:t>
            </w:r>
          </w:p>
          <w:p>
            <w:pPr>
              <w:pStyle w:val="38"/>
              <w:snapToGrid w:val="0"/>
              <w:ind w:firstLine="0" w:firstLineChars="0"/>
            </w:pPr>
            <w:r>
              <w:rPr>
                <w:rFonts w:hint="eastAsia"/>
              </w:rPr>
              <w:t>7</w:t>
            </w:r>
            <w:r>
              <w:t>、《中华人民共和国环境保护法》（2015年1月1日实施）；</w:t>
            </w:r>
          </w:p>
          <w:p>
            <w:pPr>
              <w:pStyle w:val="38"/>
              <w:snapToGrid w:val="0"/>
              <w:ind w:firstLine="0" w:firstLineChars="0"/>
              <w:textAlignment w:val="auto"/>
            </w:pPr>
            <w:r>
              <w:rPr>
                <w:rFonts w:hint="eastAsia"/>
              </w:rPr>
              <w:t>8</w:t>
            </w:r>
            <w:r>
              <w:t>、</w:t>
            </w:r>
            <w:r>
              <w:rPr>
                <w:color w:val="000000" w:themeColor="text1"/>
                <w:sz w:val="24"/>
                <w:highlight w:val="none"/>
                <w:lang w:val="zh-CN"/>
              </w:rPr>
              <w:t>《中华人民共和国环境影响评价法》（2018年修正，2018年12月29日起施行）；</w:t>
            </w:r>
          </w:p>
          <w:p>
            <w:pPr>
              <w:pStyle w:val="38"/>
              <w:snapToGrid w:val="0"/>
              <w:ind w:firstLine="0" w:firstLineChars="0"/>
              <w:textAlignment w:val="auto"/>
            </w:pPr>
            <w:r>
              <w:rPr>
                <w:rFonts w:hint="eastAsia"/>
              </w:rPr>
              <w:t>9</w:t>
            </w:r>
            <w:r>
              <w:t>、《中华人民共和国固体废物污染环境防治法》（2020年9月1日起实施）；</w:t>
            </w:r>
          </w:p>
          <w:p>
            <w:pPr>
              <w:pStyle w:val="38"/>
              <w:snapToGrid w:val="0"/>
              <w:ind w:firstLine="0" w:firstLineChars="0"/>
              <w:textAlignment w:val="auto"/>
            </w:pPr>
            <w:r>
              <w:rPr>
                <w:rFonts w:hint="eastAsia"/>
              </w:rPr>
              <w:t>10</w:t>
            </w:r>
            <w:r>
              <w:t>、《中华人民共和国水污染防治法》（2018年1月1日施行）；</w:t>
            </w:r>
          </w:p>
          <w:p>
            <w:pPr>
              <w:pStyle w:val="38"/>
              <w:snapToGrid w:val="0"/>
              <w:ind w:firstLine="0" w:firstLineChars="0"/>
              <w:textAlignment w:val="auto"/>
            </w:pPr>
            <w:r>
              <w:t>1</w:t>
            </w:r>
            <w:r>
              <w:rPr>
                <w:rFonts w:hint="eastAsia"/>
              </w:rPr>
              <w:t>1</w:t>
            </w:r>
            <w:r>
              <w:t>、《中华人民共和国噪声污染防治法》</w:t>
            </w:r>
            <w:r>
              <w:rPr>
                <w:rFonts w:hint="eastAsia"/>
              </w:rPr>
              <w:t>（</w:t>
            </w:r>
            <w:r>
              <w:t>2022年6月5日施行</w:t>
            </w:r>
            <w:r>
              <w:rPr>
                <w:rFonts w:hint="eastAsia"/>
              </w:rPr>
              <w:t>）</w:t>
            </w:r>
            <w:r>
              <w:t>；</w:t>
            </w:r>
          </w:p>
          <w:p>
            <w:pPr>
              <w:pStyle w:val="38"/>
              <w:snapToGrid w:val="0"/>
              <w:ind w:firstLine="0" w:firstLineChars="0"/>
              <w:textAlignment w:val="auto"/>
            </w:pPr>
            <w:r>
              <w:t>1</w:t>
            </w:r>
            <w:r>
              <w:rPr>
                <w:rFonts w:hint="eastAsia"/>
              </w:rPr>
              <w:t>2</w:t>
            </w:r>
            <w:r>
              <w:t>、《中华人民共和国大气污染防治法》（2018年10月</w:t>
            </w:r>
            <w:r>
              <w:rPr>
                <w:rFonts w:hint="eastAsia"/>
                <w:lang w:val="en-US" w:eastAsia="zh-CN"/>
              </w:rPr>
              <w:t>26</w:t>
            </w:r>
            <w:r>
              <w:t>日施行）；</w:t>
            </w:r>
          </w:p>
          <w:p>
            <w:pPr>
              <w:pStyle w:val="38"/>
              <w:snapToGrid w:val="0"/>
              <w:ind w:firstLine="0" w:firstLineChars="0"/>
              <w:textAlignment w:val="auto"/>
            </w:pPr>
            <w:r>
              <w:t>1</w:t>
            </w:r>
            <w:r>
              <w:rPr>
                <w:rFonts w:hint="eastAsia"/>
              </w:rPr>
              <w:t>3</w:t>
            </w:r>
            <w:r>
              <w:t>、《山东省环境保护条例》（2019年1月1日）；</w:t>
            </w:r>
          </w:p>
          <w:p>
            <w:pPr>
              <w:pStyle w:val="38"/>
              <w:snapToGrid w:val="0"/>
              <w:ind w:firstLine="0" w:firstLineChars="0"/>
              <w:textAlignment w:val="auto"/>
              <w:rPr>
                <w:rFonts w:hint="eastAsia"/>
                <w:lang w:eastAsia="zh-CN"/>
              </w:rPr>
            </w:pPr>
            <w:r>
              <w:rPr>
                <w:rFonts w:hint="eastAsia"/>
                <w:lang w:val="en-US" w:eastAsia="zh-CN"/>
              </w:rPr>
              <w:t>14、</w:t>
            </w:r>
            <w:r>
              <w:rPr>
                <w:rFonts w:hint="eastAsia"/>
                <w:lang w:eastAsia="zh-CN"/>
              </w:rPr>
              <w:t>《山东省大气污染防治条例》（</w:t>
            </w:r>
            <w:r>
              <w:t>2018年1</w:t>
            </w:r>
            <w:r>
              <w:rPr>
                <w:rFonts w:hint="eastAsia"/>
                <w:lang w:val="en-US" w:eastAsia="zh-CN"/>
              </w:rPr>
              <w:t>1</w:t>
            </w:r>
            <w:r>
              <w:t>月</w:t>
            </w:r>
            <w:r>
              <w:rPr>
                <w:rFonts w:hint="eastAsia"/>
                <w:lang w:val="en-US" w:eastAsia="zh-CN"/>
              </w:rPr>
              <w:t>30</w:t>
            </w:r>
            <w:r>
              <w:t>日施行</w:t>
            </w:r>
            <w:r>
              <w:rPr>
                <w:rFonts w:hint="eastAsia"/>
                <w:lang w:eastAsia="zh-CN"/>
              </w:rPr>
              <w:t>）；</w:t>
            </w:r>
          </w:p>
          <w:p>
            <w:pPr>
              <w:pStyle w:val="38"/>
              <w:snapToGrid w:val="0"/>
              <w:ind w:firstLine="0" w:firstLineChars="0"/>
              <w:textAlignment w:val="auto"/>
              <w:rPr>
                <w:rFonts w:hint="eastAsia"/>
                <w:lang w:eastAsia="zh-CN"/>
              </w:rPr>
            </w:pPr>
            <w:r>
              <w:rPr>
                <w:rFonts w:hint="eastAsia"/>
                <w:lang w:val="en-US" w:eastAsia="zh-CN"/>
              </w:rPr>
              <w:t>15、</w:t>
            </w:r>
            <w:r>
              <w:rPr>
                <w:rFonts w:hint="eastAsia"/>
                <w:lang w:eastAsia="zh-CN"/>
              </w:rPr>
              <w:t>《山东省水污染防治条例》（</w:t>
            </w:r>
            <w:r>
              <w:t>20</w:t>
            </w:r>
            <w:r>
              <w:rPr>
                <w:rFonts w:hint="eastAsia"/>
                <w:lang w:val="en-US" w:eastAsia="zh-CN"/>
              </w:rPr>
              <w:t>20</w:t>
            </w:r>
            <w:r>
              <w:t>年1</w:t>
            </w:r>
            <w:r>
              <w:rPr>
                <w:rFonts w:hint="eastAsia"/>
                <w:lang w:val="en-US" w:eastAsia="zh-CN"/>
              </w:rPr>
              <w:t>1</w:t>
            </w:r>
            <w:r>
              <w:t>月</w:t>
            </w:r>
            <w:r>
              <w:rPr>
                <w:rFonts w:hint="eastAsia"/>
                <w:lang w:val="en-US" w:eastAsia="zh-CN"/>
              </w:rPr>
              <w:t>27</w:t>
            </w:r>
            <w:r>
              <w:t>日施行</w:t>
            </w:r>
            <w:r>
              <w:rPr>
                <w:rFonts w:hint="eastAsia"/>
                <w:lang w:eastAsia="zh-CN"/>
              </w:rPr>
              <w:t>）；</w:t>
            </w:r>
          </w:p>
          <w:p>
            <w:pPr>
              <w:pStyle w:val="38"/>
              <w:snapToGrid w:val="0"/>
              <w:ind w:firstLine="0" w:firstLineChars="0"/>
              <w:textAlignment w:val="auto"/>
              <w:rPr>
                <w:rFonts w:hint="eastAsia"/>
                <w:lang w:eastAsia="zh-CN"/>
              </w:rPr>
            </w:pPr>
            <w:r>
              <w:rPr>
                <w:rFonts w:hint="eastAsia"/>
                <w:lang w:val="en-US" w:eastAsia="zh-CN"/>
              </w:rPr>
              <w:t>16、</w:t>
            </w:r>
            <w:r>
              <w:rPr>
                <w:rFonts w:hint="eastAsia"/>
                <w:lang w:eastAsia="zh-CN"/>
              </w:rPr>
              <w:t>《山东省环境噪声污染防治条例》（</w:t>
            </w:r>
            <w:r>
              <w:t>20</w:t>
            </w:r>
            <w:r>
              <w:rPr>
                <w:rFonts w:hint="eastAsia"/>
                <w:lang w:val="en-US" w:eastAsia="zh-CN"/>
              </w:rPr>
              <w:t>18</w:t>
            </w:r>
            <w:r>
              <w:t>年1月</w:t>
            </w:r>
            <w:r>
              <w:rPr>
                <w:rFonts w:hint="eastAsia"/>
                <w:lang w:val="en-US" w:eastAsia="zh-CN"/>
              </w:rPr>
              <w:t>23</w:t>
            </w:r>
            <w:r>
              <w:t>日施行</w:t>
            </w:r>
            <w:r>
              <w:rPr>
                <w:rFonts w:hint="eastAsia"/>
                <w:lang w:eastAsia="zh-CN"/>
              </w:rPr>
              <w:t>）；</w:t>
            </w:r>
          </w:p>
          <w:p>
            <w:pPr>
              <w:pStyle w:val="38"/>
              <w:snapToGrid w:val="0"/>
              <w:ind w:firstLine="0" w:firstLineChars="0"/>
              <w:textAlignment w:val="auto"/>
              <w:rPr>
                <w:rFonts w:hint="eastAsia"/>
                <w:lang w:eastAsia="zh-CN"/>
              </w:rPr>
            </w:pPr>
            <w:r>
              <w:rPr>
                <w:rFonts w:hint="eastAsia"/>
                <w:lang w:val="en-US" w:eastAsia="zh-CN"/>
              </w:rPr>
              <w:t>17、</w:t>
            </w:r>
            <w:r>
              <w:rPr>
                <w:rFonts w:hint="eastAsia"/>
                <w:lang w:eastAsia="zh-CN"/>
              </w:rPr>
              <w:t>《</w:t>
            </w:r>
            <w:r>
              <w:rPr>
                <w:rFonts w:hint="default"/>
                <w:highlight w:val="none"/>
              </w:rPr>
              <w:t>济南市大气污染防治条例</w:t>
            </w:r>
            <w:r>
              <w:rPr>
                <w:rFonts w:hint="eastAsia"/>
                <w:lang w:eastAsia="zh-CN"/>
              </w:rPr>
              <w:t>》（</w:t>
            </w:r>
            <w:r>
              <w:t>20</w:t>
            </w:r>
            <w:r>
              <w:rPr>
                <w:rFonts w:hint="eastAsia"/>
                <w:lang w:val="en-US" w:eastAsia="zh-CN"/>
              </w:rPr>
              <w:t>17</w:t>
            </w:r>
            <w:r>
              <w:t>年1月</w:t>
            </w:r>
            <w:r>
              <w:rPr>
                <w:rFonts w:hint="eastAsia"/>
                <w:lang w:val="en-US" w:eastAsia="zh-CN"/>
              </w:rPr>
              <w:t>1</w:t>
            </w:r>
            <w:r>
              <w:t>日施行</w:t>
            </w:r>
            <w:r>
              <w:rPr>
                <w:rFonts w:hint="eastAsia"/>
                <w:lang w:eastAsia="zh-CN"/>
              </w:rPr>
              <w:t>）；</w:t>
            </w:r>
          </w:p>
          <w:p>
            <w:pPr>
              <w:pStyle w:val="38"/>
              <w:snapToGrid w:val="0"/>
              <w:ind w:firstLine="0" w:firstLineChars="0"/>
              <w:textAlignment w:val="auto"/>
              <w:rPr>
                <w:rFonts w:hint="eastAsia"/>
                <w:lang w:eastAsia="zh-CN"/>
              </w:rPr>
            </w:pPr>
            <w:r>
              <w:rPr>
                <w:rFonts w:hint="eastAsia"/>
                <w:lang w:val="en-US" w:eastAsia="zh-CN"/>
              </w:rPr>
              <w:t>18、</w:t>
            </w:r>
            <w:r>
              <w:rPr>
                <w:rFonts w:hint="eastAsia"/>
                <w:lang w:eastAsia="zh-CN"/>
              </w:rPr>
              <w:t>《排污许可管理条例》（</w:t>
            </w:r>
            <w:r>
              <w:t>20</w:t>
            </w:r>
            <w:r>
              <w:rPr>
                <w:rFonts w:hint="eastAsia"/>
                <w:lang w:val="en-US" w:eastAsia="zh-CN"/>
              </w:rPr>
              <w:t>21</w:t>
            </w:r>
            <w:r>
              <w:t>年</w:t>
            </w:r>
            <w:r>
              <w:rPr>
                <w:rFonts w:hint="eastAsia"/>
                <w:lang w:val="en-US" w:eastAsia="zh-CN"/>
              </w:rPr>
              <w:t>3</w:t>
            </w:r>
            <w:r>
              <w:t>月</w:t>
            </w:r>
            <w:r>
              <w:rPr>
                <w:rFonts w:hint="eastAsia"/>
                <w:lang w:val="en-US" w:eastAsia="zh-CN"/>
              </w:rPr>
              <w:t>1</w:t>
            </w:r>
            <w:r>
              <w:t>日施行</w:t>
            </w:r>
            <w:r>
              <w:rPr>
                <w:rFonts w:hint="eastAsia"/>
                <w:lang w:eastAsia="zh-CN"/>
              </w:rPr>
              <w:t>）；</w:t>
            </w:r>
          </w:p>
          <w:p>
            <w:pPr>
              <w:pStyle w:val="38"/>
              <w:snapToGrid w:val="0"/>
              <w:ind w:firstLine="0" w:firstLineChars="0"/>
              <w:textAlignment w:val="auto"/>
              <w:rPr>
                <w:rFonts w:hint="eastAsia"/>
                <w:lang w:eastAsia="zh-CN"/>
              </w:rPr>
            </w:pPr>
            <w:r>
              <w:rPr>
                <w:rFonts w:hint="eastAsia"/>
                <w:lang w:val="en-US" w:eastAsia="zh-CN"/>
              </w:rPr>
              <w:t>19、</w:t>
            </w:r>
            <w:r>
              <w:rPr>
                <w:rFonts w:hint="eastAsia"/>
                <w:lang w:eastAsia="zh-CN"/>
              </w:rPr>
              <w:t>《建设项目竣工环境保护自主验收须知》（</w:t>
            </w:r>
            <w:r>
              <w:t>20</w:t>
            </w:r>
            <w:r>
              <w:rPr>
                <w:rFonts w:hint="eastAsia"/>
                <w:lang w:val="en-US" w:eastAsia="zh-CN"/>
              </w:rPr>
              <w:t>23</w:t>
            </w:r>
            <w:r>
              <w:t>年</w:t>
            </w:r>
            <w:r>
              <w:rPr>
                <w:rFonts w:hint="eastAsia"/>
                <w:lang w:val="en-US" w:eastAsia="zh-CN"/>
              </w:rPr>
              <w:t>3</w:t>
            </w:r>
            <w:r>
              <w:t>月</w:t>
            </w:r>
            <w:r>
              <w:rPr>
                <w:rFonts w:hint="eastAsia"/>
                <w:lang w:val="en-US" w:eastAsia="zh-CN"/>
              </w:rPr>
              <w:t>15</w:t>
            </w:r>
            <w:r>
              <w:t>日</w:t>
            </w:r>
            <w:r>
              <w:rPr>
                <w:rFonts w:hint="eastAsia"/>
                <w:lang w:eastAsia="zh-CN"/>
              </w:rPr>
              <w:t>）；</w:t>
            </w:r>
          </w:p>
          <w:p>
            <w:pPr>
              <w:pStyle w:val="38"/>
              <w:snapToGrid w:val="0"/>
              <w:ind w:firstLine="0" w:firstLineChars="0"/>
              <w:textAlignment w:val="auto"/>
            </w:pPr>
            <w:r>
              <w:rPr>
                <w:rFonts w:hint="eastAsia"/>
                <w:lang w:val="en-US" w:eastAsia="zh-CN"/>
              </w:rPr>
              <w:t>20</w:t>
            </w:r>
            <w:r>
              <w:rPr>
                <w:rFonts w:hint="eastAsia"/>
              </w:rPr>
              <w:t>、《山东省固体废物污染环境防治条例》（2023年1月1日施行）；</w:t>
            </w:r>
          </w:p>
          <w:p>
            <w:pPr>
              <w:pStyle w:val="38"/>
              <w:snapToGrid w:val="0"/>
              <w:ind w:firstLine="0" w:firstLineChars="0"/>
              <w:textAlignment w:val="auto"/>
            </w:pPr>
            <w:r>
              <w:rPr>
                <w:rFonts w:hint="eastAsia"/>
                <w:lang w:val="en-US" w:eastAsia="zh-CN"/>
              </w:rPr>
              <w:t>21</w:t>
            </w:r>
            <w:r>
              <w:t>、</w:t>
            </w:r>
            <w:r>
              <w:rPr>
                <w:rFonts w:hint="eastAsia"/>
              </w:rPr>
              <w:t>山东国嘉环保科技有限公司</w:t>
            </w:r>
            <w:r>
              <w:t>《</w:t>
            </w:r>
            <w:r>
              <w:rPr>
                <w:rFonts w:hint="eastAsia"/>
              </w:rPr>
              <w:t>济南中仁谊科医学检验实验室有限公司济南中仁谊科医学检验实验室环境影响报告表》（2022年11月）；</w:t>
            </w:r>
          </w:p>
          <w:p>
            <w:pPr>
              <w:pStyle w:val="38"/>
              <w:ind w:firstLine="0" w:firstLineChars="0"/>
            </w:pPr>
            <w:r>
              <w:rPr>
                <w:rFonts w:hint="eastAsia"/>
                <w:lang w:val="en-US" w:eastAsia="zh-CN"/>
              </w:rPr>
              <w:t>22</w:t>
            </w:r>
            <w:r>
              <w:rPr>
                <w:rFonts w:hint="eastAsia"/>
              </w:rPr>
              <w:t>、济南市生态环境局关于《济南中仁谊科医学检验实验室有限公司济南中仁谊科医学检验实验室环境影响报告表》的批复（济环报告表〔2022〕G108号，2023年1月6日）；</w:t>
            </w:r>
          </w:p>
          <w:p>
            <w:pPr>
              <w:pStyle w:val="38"/>
              <w:ind w:firstLine="0" w:firstLineChars="0"/>
            </w:pPr>
            <w:r>
              <w:rPr>
                <w:rFonts w:hint="eastAsia"/>
                <w:lang w:val="en-US" w:eastAsia="zh-CN"/>
              </w:rPr>
              <w:t>23</w:t>
            </w:r>
            <w:r>
              <w:rPr>
                <w:rFonts w:hint="eastAsia"/>
              </w:rPr>
              <w:t>、济南中仁谊科医学检验实验室有限公司济南中仁谊科医学检验实验室竣工环境保护验收检测委托书。</w:t>
            </w:r>
          </w:p>
          <w:p>
            <w:pPr>
              <w:pStyle w:val="38"/>
              <w:ind w:firstLine="0" w:firstLineChars="0"/>
            </w:pPr>
          </w:p>
          <w:p>
            <w:pPr>
              <w:pStyle w:val="38"/>
              <w:ind w:firstLine="0" w:firstLineChars="0"/>
            </w:pPr>
          </w:p>
          <w:p>
            <w:pPr>
              <w:pStyle w:val="38"/>
              <w:ind w:firstLine="0" w:firstLineChars="0"/>
            </w:pPr>
          </w:p>
          <w:p>
            <w:pPr>
              <w:pStyle w:val="38"/>
              <w:ind w:firstLine="0" w:firstLineChars="0"/>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68"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131" w:type="pct"/>
            <w:gridSpan w:val="5"/>
            <w:vAlign w:val="center"/>
          </w:tcPr>
          <w:p>
            <w:pPr>
              <w:numPr>
                <w:ilvl w:val="255"/>
                <w:numId w:val="0"/>
              </w:numPr>
              <w:adjustRightInd w:val="0"/>
              <w:ind w:firstLine="480"/>
              <w:jc w:val="left"/>
              <w:rPr>
                <w:color w:val="000000"/>
              </w:rPr>
            </w:pPr>
            <w:r>
              <w:rPr>
                <w:color w:val="000000"/>
              </w:rPr>
              <w:t>1、废气：</w:t>
            </w:r>
          </w:p>
          <w:p>
            <w:pPr>
              <w:numPr>
                <w:ilvl w:val="255"/>
                <w:numId w:val="0"/>
              </w:numPr>
              <w:adjustRightInd w:val="0"/>
              <w:ind w:firstLine="480"/>
              <w:jc w:val="left"/>
              <w:rPr>
                <w:color w:val="000000"/>
              </w:rPr>
            </w:pPr>
            <w:r>
              <w:rPr>
                <w:color w:val="000000"/>
              </w:rPr>
              <w:t>①有组织废气：</w:t>
            </w:r>
          </w:p>
          <w:p>
            <w:pPr>
              <w:adjustRightInd w:val="0"/>
              <w:ind w:firstLine="480"/>
              <w:jc w:val="left"/>
              <w:rPr>
                <w:color w:val="000000"/>
              </w:rPr>
            </w:pPr>
            <w:r>
              <w:rPr>
                <w:color w:val="000000"/>
              </w:rPr>
              <w:t>VOCs（非甲烷总烃）：</w:t>
            </w:r>
            <w:r>
              <w:rPr>
                <w:rFonts w:hint="eastAsia"/>
                <w:color w:val="000000"/>
              </w:rPr>
              <w:t>《</w:t>
            </w:r>
            <w:r>
              <w:rPr>
                <w:color w:val="000000"/>
              </w:rPr>
              <w:t>固定污染源废气 总烃、甲烷和非甲烷总烃的测定 气相色谱法</w:t>
            </w:r>
            <w:r>
              <w:rPr>
                <w:rFonts w:hint="eastAsia"/>
                <w:color w:val="000000"/>
              </w:rPr>
              <w:t>》</w:t>
            </w:r>
            <w:r>
              <w:rPr>
                <w:color w:val="000000"/>
              </w:rPr>
              <w:t>（HJ 38-2017）；</w:t>
            </w:r>
          </w:p>
          <w:p>
            <w:pPr>
              <w:adjustRightInd w:val="0"/>
              <w:ind w:firstLine="480"/>
              <w:jc w:val="left"/>
              <w:rPr>
                <w:color w:val="000000"/>
              </w:rPr>
            </w:pPr>
            <w:r>
              <w:rPr>
                <w:rFonts w:hint="eastAsia"/>
                <w:color w:val="000000"/>
              </w:rPr>
              <w:t>氯化氢：《固定污染源废气 氯化氢的测定 硝酸银容量法》（HJ 548-2016）；</w:t>
            </w:r>
          </w:p>
          <w:p>
            <w:pPr>
              <w:adjustRightInd w:val="0"/>
              <w:ind w:firstLine="480"/>
              <w:jc w:val="left"/>
              <w:rPr>
                <w:color w:val="000000"/>
              </w:rPr>
            </w:pPr>
            <w:r>
              <w:rPr>
                <w:rFonts w:hint="eastAsia"/>
                <w:color w:val="000000"/>
              </w:rPr>
              <w:t>二甲苯：《环境空气 苯系物的测定 活性炭吸附/二硫化碳解吸-气相色谱法》（HJ 584-2010）；</w:t>
            </w:r>
          </w:p>
          <w:p>
            <w:pPr>
              <w:adjustRightInd w:val="0"/>
              <w:ind w:firstLine="480"/>
              <w:jc w:val="left"/>
              <w:rPr>
                <w:color w:val="000000"/>
              </w:rPr>
            </w:pPr>
            <w:r>
              <w:rPr>
                <w:color w:val="000000"/>
              </w:rPr>
              <w:t>②无组织废气：</w:t>
            </w:r>
          </w:p>
          <w:p>
            <w:pPr>
              <w:adjustRightInd w:val="0"/>
              <w:ind w:firstLine="480"/>
              <w:jc w:val="left"/>
              <w:rPr>
                <w:color w:val="000000"/>
              </w:rPr>
            </w:pPr>
            <w:r>
              <w:rPr>
                <w:color w:val="000000"/>
              </w:rPr>
              <w:t>VOCs（非甲烷总烃）：</w:t>
            </w:r>
            <w:r>
              <w:rPr>
                <w:rFonts w:hint="eastAsia"/>
                <w:color w:val="000000"/>
              </w:rPr>
              <w:t>《</w:t>
            </w:r>
            <w:r>
              <w:rPr>
                <w:color w:val="000000"/>
              </w:rPr>
              <w:t>环境空气 总烃、甲烷和非甲烷总烃的测定 直接进样-气相色谱法</w:t>
            </w:r>
            <w:r>
              <w:rPr>
                <w:rFonts w:hint="eastAsia"/>
                <w:color w:val="000000"/>
              </w:rPr>
              <w:t>》</w:t>
            </w:r>
            <w:r>
              <w:rPr>
                <w:color w:val="000000"/>
              </w:rPr>
              <w:t>（HJ 604-2017）；</w:t>
            </w:r>
          </w:p>
          <w:p>
            <w:pPr>
              <w:adjustRightInd w:val="0"/>
              <w:ind w:firstLine="480"/>
              <w:jc w:val="left"/>
              <w:rPr>
                <w:color w:val="000000"/>
              </w:rPr>
            </w:pPr>
            <w:r>
              <w:rPr>
                <w:rFonts w:hint="eastAsia"/>
                <w:color w:val="000000"/>
              </w:rPr>
              <w:t>氯化氢：《固定污染源排气中氯化氢的测定 硫氰酸汞分光光度法》（HJ/T27-1999）；</w:t>
            </w:r>
          </w:p>
          <w:p>
            <w:pPr>
              <w:adjustRightInd w:val="0"/>
              <w:ind w:firstLine="480"/>
              <w:jc w:val="left"/>
              <w:rPr>
                <w:color w:val="000000"/>
              </w:rPr>
            </w:pPr>
            <w:r>
              <w:rPr>
                <w:rFonts w:hint="eastAsia"/>
                <w:color w:val="000000"/>
              </w:rPr>
              <w:t>二甲苯：《环境空气 苯系物的测定 活性炭吸附/二硫化碳解吸-气相色谱法》（HJ 584-2010）；</w:t>
            </w:r>
          </w:p>
          <w:p>
            <w:pPr>
              <w:numPr>
                <w:ilvl w:val="255"/>
                <w:numId w:val="0"/>
              </w:numPr>
              <w:adjustRightInd w:val="0"/>
              <w:ind w:firstLine="480"/>
              <w:jc w:val="left"/>
              <w:rPr>
                <w:color w:val="000000"/>
              </w:rPr>
            </w:pPr>
            <w:r>
              <w:rPr>
                <w:rFonts w:hint="eastAsia"/>
                <w:color w:val="000000"/>
              </w:rPr>
              <w:t>2、</w:t>
            </w:r>
            <w:r>
              <w:rPr>
                <w:color w:val="000000"/>
              </w:rPr>
              <w:t>废水：</w:t>
            </w:r>
          </w:p>
          <w:p>
            <w:pPr>
              <w:adjustRightInd w:val="0"/>
              <w:ind w:firstLine="480"/>
              <w:jc w:val="left"/>
              <w:rPr>
                <w:color w:val="000000"/>
              </w:rPr>
            </w:pPr>
            <w:r>
              <w:rPr>
                <w:color w:val="000000"/>
              </w:rPr>
              <w:t>pH值：</w:t>
            </w:r>
            <w:r>
              <w:rPr>
                <w:rFonts w:hint="eastAsia"/>
                <w:color w:val="000000"/>
              </w:rPr>
              <w:t>《</w:t>
            </w:r>
            <w:r>
              <w:rPr>
                <w:color w:val="000000"/>
              </w:rPr>
              <w:t>水质 pH值的测定 电极法</w:t>
            </w:r>
            <w:r>
              <w:rPr>
                <w:rFonts w:hint="eastAsia"/>
                <w:color w:val="000000"/>
              </w:rPr>
              <w:t>》</w:t>
            </w:r>
            <w:r>
              <w:rPr>
                <w:color w:val="000000"/>
              </w:rPr>
              <w:t>（HJ 1147-2020）</w:t>
            </w:r>
            <w:r>
              <w:rPr>
                <w:rFonts w:hint="eastAsia"/>
                <w:color w:val="000000"/>
              </w:rPr>
              <w:t>；</w:t>
            </w:r>
          </w:p>
          <w:p>
            <w:pPr>
              <w:adjustRightInd w:val="0"/>
              <w:ind w:firstLine="480"/>
              <w:jc w:val="left"/>
              <w:rPr>
                <w:color w:val="000000"/>
              </w:rPr>
            </w:pPr>
            <w:r>
              <w:rPr>
                <w:color w:val="000000"/>
              </w:rPr>
              <w:t>悬浮物：</w:t>
            </w:r>
            <w:r>
              <w:rPr>
                <w:rFonts w:hint="eastAsia"/>
                <w:color w:val="000000"/>
              </w:rPr>
              <w:t>《</w:t>
            </w:r>
            <w:r>
              <w:rPr>
                <w:color w:val="000000"/>
              </w:rPr>
              <w:t>水质 悬浮物的测定 重量法</w:t>
            </w:r>
            <w:r>
              <w:rPr>
                <w:rFonts w:hint="eastAsia"/>
                <w:color w:val="000000"/>
              </w:rPr>
              <w:t>》</w:t>
            </w:r>
            <w:r>
              <w:rPr>
                <w:color w:val="000000"/>
              </w:rPr>
              <w:t>（GB/T11901-1989）</w:t>
            </w:r>
            <w:r>
              <w:rPr>
                <w:rFonts w:hint="eastAsia"/>
                <w:color w:val="000000"/>
              </w:rPr>
              <w:t>；</w:t>
            </w:r>
          </w:p>
          <w:p>
            <w:pPr>
              <w:adjustRightInd w:val="0"/>
              <w:ind w:firstLine="480"/>
              <w:jc w:val="left"/>
              <w:rPr>
                <w:color w:val="000000"/>
              </w:rPr>
            </w:pPr>
            <w:r>
              <w:rPr>
                <w:color w:val="000000"/>
              </w:rPr>
              <w:t>氨氮：</w:t>
            </w:r>
            <w:r>
              <w:rPr>
                <w:rFonts w:hint="eastAsia"/>
                <w:color w:val="000000"/>
              </w:rPr>
              <w:t>《</w:t>
            </w:r>
            <w:r>
              <w:rPr>
                <w:color w:val="000000"/>
              </w:rPr>
              <w:t>水质 氨氮的测定 纳氏试剂分光光度法</w:t>
            </w:r>
            <w:r>
              <w:rPr>
                <w:rFonts w:hint="eastAsia"/>
                <w:color w:val="000000"/>
              </w:rPr>
              <w:t>》</w:t>
            </w:r>
            <w:r>
              <w:rPr>
                <w:color w:val="000000"/>
              </w:rPr>
              <w:t>（HJ535-2009）</w:t>
            </w:r>
            <w:r>
              <w:rPr>
                <w:rFonts w:hint="eastAsia"/>
                <w:color w:val="000000"/>
              </w:rPr>
              <w:t>；</w:t>
            </w:r>
          </w:p>
          <w:p>
            <w:pPr>
              <w:adjustRightInd w:val="0"/>
              <w:ind w:firstLine="480"/>
              <w:jc w:val="left"/>
              <w:rPr>
                <w:color w:val="000000"/>
              </w:rPr>
            </w:pPr>
            <w:r>
              <w:rPr>
                <w:color w:val="000000"/>
              </w:rPr>
              <w:t>化学需氧量：</w:t>
            </w:r>
            <w:r>
              <w:rPr>
                <w:rFonts w:hint="eastAsia"/>
                <w:color w:val="000000"/>
              </w:rPr>
              <w:t>《</w:t>
            </w:r>
            <w:r>
              <w:rPr>
                <w:color w:val="000000"/>
              </w:rPr>
              <w:t>水质 化学需氧量的测定 重铬酸盐法</w:t>
            </w:r>
            <w:r>
              <w:rPr>
                <w:rFonts w:hint="eastAsia"/>
                <w:color w:val="000000"/>
              </w:rPr>
              <w:t>》</w:t>
            </w:r>
            <w:r>
              <w:rPr>
                <w:color w:val="000000"/>
              </w:rPr>
              <w:t xml:space="preserve">  （HJ828-2017）</w:t>
            </w:r>
            <w:r>
              <w:rPr>
                <w:rFonts w:hint="eastAsia"/>
                <w:color w:val="000000"/>
              </w:rPr>
              <w:t>；</w:t>
            </w:r>
          </w:p>
          <w:p>
            <w:pPr>
              <w:adjustRightInd w:val="0"/>
              <w:ind w:firstLine="480"/>
              <w:jc w:val="left"/>
              <w:rPr>
                <w:color w:val="000000"/>
              </w:rPr>
            </w:pPr>
            <w:r>
              <w:rPr>
                <w:color w:val="000000"/>
              </w:rPr>
              <w:t>总磷：《水质 总磷的测定 钼酸铵分光光度法》（GB/T11893-1989）</w:t>
            </w:r>
            <w:r>
              <w:rPr>
                <w:rFonts w:hint="eastAsia"/>
                <w:color w:val="000000"/>
              </w:rPr>
              <w:t>；</w:t>
            </w:r>
          </w:p>
          <w:p>
            <w:pPr>
              <w:adjustRightInd w:val="0"/>
              <w:ind w:firstLine="480"/>
              <w:jc w:val="left"/>
              <w:rPr>
                <w:color w:val="000000"/>
              </w:rPr>
            </w:pPr>
            <w:r>
              <w:rPr>
                <w:rFonts w:hint="eastAsia"/>
                <w:color w:val="000000"/>
              </w:rPr>
              <w:t>溶解性总固体：《城镇污水水质检验方法标准 重量法》（CJ/T 51-2018）；</w:t>
            </w:r>
          </w:p>
          <w:p>
            <w:pPr>
              <w:adjustRightInd w:val="0"/>
              <w:ind w:firstLine="480"/>
              <w:jc w:val="left"/>
              <w:rPr>
                <w:color w:val="000000"/>
              </w:rPr>
            </w:pPr>
            <w:r>
              <w:rPr>
                <w:rFonts w:hint="eastAsia"/>
                <w:color w:val="000000"/>
              </w:rPr>
              <w:t>五日生化需氧量：《水质 五日生化需氧量（BOD</w:t>
            </w:r>
            <w:r>
              <w:rPr>
                <w:rFonts w:hint="eastAsia"/>
                <w:color w:val="000000"/>
                <w:vertAlign w:val="subscript"/>
              </w:rPr>
              <w:t>5</w:t>
            </w:r>
            <w:r>
              <w:rPr>
                <w:rFonts w:hint="eastAsia"/>
                <w:color w:val="000000"/>
              </w:rPr>
              <w:t>）的测定 稀释与接种法》（HJ 505-2009）；</w:t>
            </w:r>
          </w:p>
          <w:p>
            <w:pPr>
              <w:adjustRightInd w:val="0"/>
              <w:ind w:firstLine="480"/>
              <w:jc w:val="left"/>
              <w:rPr>
                <w:color w:val="000000"/>
              </w:rPr>
            </w:pPr>
            <w:r>
              <w:rPr>
                <w:color w:val="000000"/>
              </w:rPr>
              <w:t>3、噪声：</w:t>
            </w:r>
          </w:p>
          <w:p>
            <w:pPr>
              <w:adjustRightInd w:val="0"/>
              <w:ind w:firstLine="480"/>
              <w:jc w:val="left"/>
              <w:rPr>
                <w:color w:val="000000"/>
              </w:rPr>
            </w:pPr>
            <w:r>
              <w:rPr>
                <w:color w:val="000000"/>
              </w:rPr>
              <w:t>厂界噪声：</w:t>
            </w:r>
            <w:r>
              <w:rPr>
                <w:rFonts w:hint="eastAsia"/>
                <w:color w:val="000000"/>
              </w:rPr>
              <w:t>《</w:t>
            </w:r>
            <w:r>
              <w:rPr>
                <w:color w:val="000000"/>
              </w:rPr>
              <w:t>工业企业厂界环境噪声排放标准</w:t>
            </w:r>
            <w:r>
              <w:rPr>
                <w:rFonts w:hint="eastAsia"/>
                <w:color w:val="000000"/>
              </w:rPr>
              <w:t>》（GB12348-2008）；</w:t>
            </w:r>
          </w:p>
          <w:p>
            <w:pPr>
              <w:adjustRightInd w:val="0"/>
              <w:ind w:firstLine="480"/>
              <w:jc w:val="left"/>
            </w:pPr>
            <w:r>
              <w:rPr>
                <w:color w:val="000000"/>
              </w:rPr>
              <w:t>声环境</w:t>
            </w:r>
            <w:r>
              <w:rPr>
                <w:rFonts w:hint="eastAsia"/>
                <w:color w:val="000000"/>
              </w:rPr>
              <w:t>：《声环境质量标准》（GB 3096-2008）；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68"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131" w:type="pct"/>
            <w:gridSpan w:val="5"/>
            <w:vAlign w:val="center"/>
          </w:tcPr>
          <w:p>
            <w:pPr>
              <w:pStyle w:val="12"/>
              <w:adjustRightInd w:val="0"/>
              <w:snapToGrid w:val="0"/>
              <w:ind w:firstLine="480"/>
              <w:rPr>
                <w:rFonts w:ascii="Times New Roman" w:hAnsi="Times New Roman"/>
                <w:color w:val="auto"/>
                <w:sz w:val="24"/>
              </w:rPr>
            </w:pPr>
            <w:r>
              <w:rPr>
                <w:rFonts w:ascii="Times New Roman" w:hAnsi="Times New Roman"/>
                <w:color w:val="auto"/>
                <w:sz w:val="24"/>
              </w:rPr>
              <w:t>1、废气：</w:t>
            </w:r>
          </w:p>
          <w:p>
            <w:pPr>
              <w:adjustRightInd w:val="0"/>
              <w:ind w:firstLine="480"/>
              <w:rPr>
                <w:color w:val="000000"/>
              </w:rPr>
            </w:pPr>
            <w:r>
              <w:rPr>
                <w:rFonts w:hint="eastAsia"/>
                <w:color w:val="000000"/>
              </w:rPr>
              <w:t>有组织VOCs排放浓度、排放速率执行《挥发性有机物排放标准第7部分：其他行业》（DB37/2801.7-2019）表1中非重点行业II时段排放限值要求；有组织二甲苯、氯化氢排放浓度、排放速率执行《大气污染物综合排放标准》（GB16297-1996）表2二级限值要求。</w:t>
            </w:r>
          </w:p>
          <w:p>
            <w:pPr>
              <w:adjustRightInd w:val="0"/>
              <w:ind w:firstLine="480"/>
              <w:rPr>
                <w:color w:val="000000"/>
              </w:rPr>
            </w:pPr>
            <w:r>
              <w:rPr>
                <w:rFonts w:hint="eastAsia"/>
                <w:color w:val="000000"/>
              </w:rPr>
              <w:t>无组织VOCs、二甲苯执行山东省《挥发性有机物排放标准 第7部分：其他行业》（DB37/2801.7-2019）表2厂界监控点浓度限值和《挥发性有机物无组织排放控制标准》（GB37822-2019）附录A厂区内VOCs无组织排放控制要求；氯化氢执行《大气污染物综合排放标准》（GB16297-1996）表2无组织排放监控浓度限值要求。</w:t>
            </w:r>
          </w:p>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1-1</w:t>
            </w:r>
            <w:r>
              <w:rPr>
                <w:rFonts w:ascii="Times New Roman" w:hAnsi="Times New Roman"/>
                <w:b/>
                <w:bCs/>
                <w:color w:val="auto"/>
                <w:sz w:val="24"/>
              </w:rPr>
              <w:t xml:space="preserve">  大气污染物排放限值</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068"/>
              <w:gridCol w:w="1592"/>
              <w:gridCol w:w="960"/>
              <w:gridCol w:w="1317"/>
              <w:gridCol w:w="1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restart"/>
                  <w:shd w:val="clear" w:color="auto" w:fill="auto"/>
                  <w:vAlign w:val="center"/>
                </w:tcPr>
                <w:p>
                  <w:pPr>
                    <w:pStyle w:val="46"/>
                    <w:rPr>
                      <w:b/>
                      <w:bCs/>
                      <w:szCs w:val="21"/>
                    </w:rPr>
                  </w:pPr>
                  <w:r>
                    <w:rPr>
                      <w:b/>
                      <w:bCs/>
                      <w:szCs w:val="21"/>
                    </w:rPr>
                    <w:t>序号</w:t>
                  </w:r>
                </w:p>
              </w:tc>
              <w:tc>
                <w:tcPr>
                  <w:tcW w:w="727" w:type="pct"/>
                  <w:vMerge w:val="restart"/>
                  <w:shd w:val="clear" w:color="auto" w:fill="auto"/>
                  <w:vAlign w:val="center"/>
                </w:tcPr>
                <w:p>
                  <w:pPr>
                    <w:pStyle w:val="46"/>
                    <w:rPr>
                      <w:b/>
                      <w:bCs/>
                      <w:szCs w:val="21"/>
                    </w:rPr>
                  </w:pPr>
                  <w:r>
                    <w:rPr>
                      <w:b/>
                      <w:bCs/>
                      <w:szCs w:val="21"/>
                    </w:rPr>
                    <w:t>污染物</w:t>
                  </w:r>
                </w:p>
              </w:tc>
              <w:tc>
                <w:tcPr>
                  <w:tcW w:w="2635" w:type="pct"/>
                  <w:gridSpan w:val="3"/>
                  <w:shd w:val="clear" w:color="auto" w:fill="auto"/>
                  <w:vAlign w:val="center"/>
                </w:tcPr>
                <w:p>
                  <w:pPr>
                    <w:pStyle w:val="46"/>
                    <w:rPr>
                      <w:b/>
                      <w:bCs/>
                      <w:szCs w:val="21"/>
                    </w:rPr>
                  </w:pPr>
                  <w:r>
                    <w:rPr>
                      <w:b/>
                      <w:bCs/>
                      <w:szCs w:val="21"/>
                    </w:rPr>
                    <w:t>有组织排放</w:t>
                  </w:r>
                </w:p>
              </w:tc>
              <w:tc>
                <w:tcPr>
                  <w:tcW w:w="1185" w:type="pct"/>
                  <w:shd w:val="clear" w:color="auto" w:fill="auto"/>
                  <w:vAlign w:val="center"/>
                </w:tcPr>
                <w:p>
                  <w:pPr>
                    <w:pStyle w:val="46"/>
                    <w:rPr>
                      <w:b/>
                      <w:bCs/>
                      <w:szCs w:val="21"/>
                    </w:rPr>
                  </w:pPr>
                  <w:r>
                    <w:rPr>
                      <w:b/>
                      <w:bCs/>
                      <w:szCs w:val="21"/>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continue"/>
                  <w:shd w:val="clear" w:color="auto" w:fill="auto"/>
                  <w:vAlign w:val="center"/>
                </w:tcPr>
                <w:p>
                  <w:pPr>
                    <w:pStyle w:val="46"/>
                    <w:rPr>
                      <w:b/>
                      <w:bCs/>
                      <w:szCs w:val="21"/>
                    </w:rPr>
                  </w:pPr>
                </w:p>
              </w:tc>
              <w:tc>
                <w:tcPr>
                  <w:tcW w:w="727" w:type="pct"/>
                  <w:vMerge w:val="continue"/>
                  <w:shd w:val="clear" w:color="auto" w:fill="auto"/>
                  <w:vAlign w:val="center"/>
                </w:tcPr>
                <w:p>
                  <w:pPr>
                    <w:pStyle w:val="46"/>
                    <w:rPr>
                      <w:b/>
                      <w:bCs/>
                      <w:szCs w:val="21"/>
                    </w:rPr>
                  </w:pPr>
                </w:p>
              </w:tc>
              <w:tc>
                <w:tcPr>
                  <w:tcW w:w="1084" w:type="pct"/>
                  <w:shd w:val="clear" w:color="auto" w:fill="auto"/>
                  <w:vAlign w:val="center"/>
                </w:tcPr>
                <w:p>
                  <w:pPr>
                    <w:pStyle w:val="46"/>
                    <w:rPr>
                      <w:rFonts w:hint="eastAsia" w:eastAsia="宋体"/>
                      <w:b/>
                      <w:bCs/>
                      <w:szCs w:val="21"/>
                      <w:lang w:eastAsia="zh-CN"/>
                    </w:rPr>
                  </w:pPr>
                  <w:r>
                    <w:rPr>
                      <w:b/>
                      <w:bCs/>
                      <w:szCs w:val="21"/>
                    </w:rPr>
                    <w:t>最高允许排放浓度mg/</w:t>
                  </w:r>
                  <w:r>
                    <w:rPr>
                      <w:rFonts w:hint="eastAsia"/>
                      <w:b/>
                      <w:bCs/>
                      <w:szCs w:val="21"/>
                      <w:lang w:eastAsia="zh-CN"/>
                    </w:rPr>
                    <w:t>m</w:t>
                  </w:r>
                  <w:r>
                    <w:rPr>
                      <w:rFonts w:hint="eastAsia"/>
                      <w:b/>
                      <w:bCs/>
                      <w:szCs w:val="21"/>
                      <w:vertAlign w:val="superscript"/>
                      <w:lang w:eastAsia="zh-CN"/>
                    </w:rPr>
                    <w:t>3</w:t>
                  </w:r>
                </w:p>
              </w:tc>
              <w:tc>
                <w:tcPr>
                  <w:tcW w:w="654" w:type="pct"/>
                  <w:shd w:val="clear" w:color="auto" w:fill="auto"/>
                  <w:vAlign w:val="center"/>
                </w:tcPr>
                <w:p>
                  <w:pPr>
                    <w:pStyle w:val="46"/>
                    <w:rPr>
                      <w:b/>
                      <w:bCs/>
                      <w:szCs w:val="21"/>
                    </w:rPr>
                  </w:pPr>
                  <w:r>
                    <w:rPr>
                      <w:b/>
                      <w:bCs/>
                      <w:szCs w:val="21"/>
                    </w:rPr>
                    <w:t>排气筒高度m</w:t>
                  </w:r>
                </w:p>
              </w:tc>
              <w:tc>
                <w:tcPr>
                  <w:tcW w:w="897" w:type="pct"/>
                  <w:shd w:val="clear" w:color="auto" w:fill="auto"/>
                  <w:vAlign w:val="center"/>
                </w:tcPr>
                <w:p>
                  <w:pPr>
                    <w:pStyle w:val="46"/>
                    <w:rPr>
                      <w:b/>
                      <w:bCs/>
                      <w:szCs w:val="21"/>
                    </w:rPr>
                  </w:pPr>
                  <w:r>
                    <w:rPr>
                      <w:b/>
                      <w:bCs/>
                      <w:szCs w:val="21"/>
                    </w:rPr>
                    <w:t>最高允许排放速率kg/h</w:t>
                  </w:r>
                </w:p>
              </w:tc>
              <w:tc>
                <w:tcPr>
                  <w:tcW w:w="1185" w:type="pct"/>
                  <w:shd w:val="clear" w:color="auto" w:fill="auto"/>
                  <w:vAlign w:val="center"/>
                </w:tcPr>
                <w:p>
                  <w:pPr>
                    <w:pStyle w:val="46"/>
                    <w:rPr>
                      <w:rFonts w:hint="eastAsia" w:eastAsia="宋体"/>
                      <w:b/>
                      <w:bCs/>
                      <w:szCs w:val="21"/>
                      <w:lang w:eastAsia="zh-CN"/>
                    </w:rPr>
                  </w:pPr>
                  <w:r>
                    <w:rPr>
                      <w:b/>
                      <w:bCs/>
                      <w:szCs w:val="21"/>
                    </w:rPr>
                    <w:t>周界外浓度最高点限值mg/</w:t>
                  </w:r>
                  <w:r>
                    <w:rPr>
                      <w:rFonts w:hint="eastAsia"/>
                      <w:b/>
                      <w:bCs/>
                      <w:szCs w:val="21"/>
                      <w:lang w:eastAsia="zh-CN"/>
                    </w:rPr>
                    <w:t>m</w:t>
                  </w:r>
                  <w:r>
                    <w:rPr>
                      <w:rFonts w:hint="eastAsia"/>
                      <w:b/>
                      <w:bCs/>
                      <w:szCs w:val="21"/>
                      <w:vertAlign w:val="superscript"/>
                      <w:lang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pStyle w:val="46"/>
                    <w:rPr>
                      <w:szCs w:val="21"/>
                    </w:rPr>
                  </w:pPr>
                  <w:r>
                    <w:rPr>
                      <w:szCs w:val="21"/>
                    </w:rPr>
                    <w:t>1</w:t>
                  </w:r>
                </w:p>
              </w:tc>
              <w:tc>
                <w:tcPr>
                  <w:tcW w:w="727" w:type="pct"/>
                  <w:shd w:val="clear" w:color="auto" w:fill="auto"/>
                  <w:vAlign w:val="center"/>
                </w:tcPr>
                <w:p>
                  <w:pPr>
                    <w:spacing w:line="240" w:lineRule="auto"/>
                    <w:ind w:firstLine="0" w:firstLineChars="0"/>
                    <w:jc w:val="center"/>
                    <w:rPr>
                      <w:sz w:val="21"/>
                      <w:szCs w:val="21"/>
                    </w:rPr>
                  </w:pPr>
                  <w:r>
                    <w:rPr>
                      <w:sz w:val="21"/>
                      <w:szCs w:val="21"/>
                    </w:rPr>
                    <w:t>氯化氢</w:t>
                  </w:r>
                </w:p>
              </w:tc>
              <w:tc>
                <w:tcPr>
                  <w:tcW w:w="1084" w:type="pct"/>
                  <w:shd w:val="clear" w:color="auto" w:fill="auto"/>
                  <w:vAlign w:val="center"/>
                </w:tcPr>
                <w:p>
                  <w:pPr>
                    <w:spacing w:line="240" w:lineRule="auto"/>
                    <w:ind w:firstLine="0" w:firstLineChars="0"/>
                    <w:jc w:val="center"/>
                    <w:rPr>
                      <w:sz w:val="21"/>
                      <w:szCs w:val="21"/>
                    </w:rPr>
                  </w:pPr>
                  <w:r>
                    <w:rPr>
                      <w:rFonts w:hint="eastAsia"/>
                      <w:sz w:val="21"/>
                      <w:szCs w:val="21"/>
                    </w:rPr>
                    <w:t>100</w:t>
                  </w:r>
                </w:p>
              </w:tc>
              <w:tc>
                <w:tcPr>
                  <w:tcW w:w="654" w:type="pct"/>
                  <w:vMerge w:val="restart"/>
                  <w:shd w:val="clear" w:color="auto" w:fill="auto"/>
                  <w:vAlign w:val="center"/>
                </w:tcPr>
                <w:p>
                  <w:pPr>
                    <w:spacing w:line="240" w:lineRule="auto"/>
                    <w:ind w:firstLine="0" w:firstLineChars="0"/>
                    <w:jc w:val="center"/>
                    <w:rPr>
                      <w:sz w:val="21"/>
                      <w:szCs w:val="21"/>
                    </w:rPr>
                  </w:pPr>
                  <w:r>
                    <w:rPr>
                      <w:rFonts w:hint="eastAsia"/>
                      <w:sz w:val="21"/>
                      <w:szCs w:val="21"/>
                    </w:rPr>
                    <w:t>24</w:t>
                  </w:r>
                </w:p>
              </w:tc>
              <w:tc>
                <w:tcPr>
                  <w:tcW w:w="897" w:type="pct"/>
                  <w:shd w:val="clear" w:color="auto" w:fill="auto"/>
                  <w:vAlign w:val="center"/>
                </w:tcPr>
                <w:p>
                  <w:pPr>
                    <w:spacing w:line="240" w:lineRule="auto"/>
                    <w:ind w:firstLine="0" w:firstLineChars="0"/>
                    <w:jc w:val="center"/>
                    <w:rPr>
                      <w:sz w:val="21"/>
                      <w:szCs w:val="21"/>
                    </w:rPr>
                  </w:pPr>
                  <w:r>
                    <w:rPr>
                      <w:rFonts w:hint="eastAsia"/>
                      <w:sz w:val="21"/>
                      <w:szCs w:val="21"/>
                      <w:lang w:eastAsia="zh-CN"/>
                    </w:rPr>
                    <w:t>0.818</w:t>
                  </w:r>
                </w:p>
              </w:tc>
              <w:tc>
                <w:tcPr>
                  <w:tcW w:w="1185" w:type="pct"/>
                  <w:shd w:val="clear" w:color="auto" w:fill="auto"/>
                  <w:vAlign w:val="center"/>
                </w:tcPr>
                <w:p>
                  <w:pPr>
                    <w:spacing w:line="240" w:lineRule="auto"/>
                    <w:ind w:firstLine="0" w:firstLineChars="0"/>
                    <w:jc w:val="center"/>
                    <w:rPr>
                      <w:sz w:val="21"/>
                      <w:szCs w:val="21"/>
                    </w:rPr>
                  </w:pPr>
                  <w:r>
                    <w:rPr>
                      <w:rFonts w:hint="eastAsia"/>
                      <w:sz w:val="21"/>
                      <w:szCs w:val="21"/>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pStyle w:val="46"/>
                    <w:rPr>
                      <w:szCs w:val="21"/>
                    </w:rPr>
                  </w:pPr>
                  <w:r>
                    <w:rPr>
                      <w:szCs w:val="21"/>
                    </w:rPr>
                    <w:t>2</w:t>
                  </w:r>
                </w:p>
              </w:tc>
              <w:tc>
                <w:tcPr>
                  <w:tcW w:w="727" w:type="pct"/>
                  <w:shd w:val="clear" w:color="auto" w:fill="auto"/>
                  <w:vAlign w:val="center"/>
                </w:tcPr>
                <w:p>
                  <w:pPr>
                    <w:spacing w:line="240" w:lineRule="auto"/>
                    <w:ind w:firstLine="0" w:firstLineChars="0"/>
                    <w:jc w:val="center"/>
                    <w:rPr>
                      <w:sz w:val="21"/>
                      <w:szCs w:val="21"/>
                    </w:rPr>
                  </w:pPr>
                  <w:r>
                    <w:rPr>
                      <w:rFonts w:hint="eastAsia"/>
                      <w:sz w:val="21"/>
                      <w:szCs w:val="21"/>
                    </w:rPr>
                    <w:t>二甲苯</w:t>
                  </w:r>
                </w:p>
              </w:tc>
              <w:tc>
                <w:tcPr>
                  <w:tcW w:w="1084" w:type="pct"/>
                  <w:shd w:val="clear" w:color="auto" w:fill="auto"/>
                  <w:vAlign w:val="center"/>
                </w:tcPr>
                <w:p>
                  <w:pPr>
                    <w:spacing w:line="240" w:lineRule="auto"/>
                    <w:ind w:firstLine="0" w:firstLineChars="0"/>
                    <w:jc w:val="center"/>
                    <w:rPr>
                      <w:sz w:val="21"/>
                      <w:szCs w:val="21"/>
                    </w:rPr>
                  </w:pPr>
                  <w:r>
                    <w:rPr>
                      <w:rFonts w:hint="eastAsia"/>
                      <w:sz w:val="21"/>
                      <w:szCs w:val="21"/>
                    </w:rPr>
                    <w:t>70</w:t>
                  </w:r>
                </w:p>
              </w:tc>
              <w:tc>
                <w:tcPr>
                  <w:tcW w:w="654" w:type="pct"/>
                  <w:vMerge w:val="continue"/>
                  <w:shd w:val="clear" w:color="auto" w:fill="auto"/>
                  <w:vAlign w:val="center"/>
                </w:tcPr>
                <w:p>
                  <w:pPr>
                    <w:spacing w:line="240" w:lineRule="auto"/>
                    <w:ind w:firstLine="0" w:firstLineChars="0"/>
                    <w:jc w:val="center"/>
                    <w:rPr>
                      <w:sz w:val="21"/>
                      <w:szCs w:val="21"/>
                    </w:rPr>
                  </w:pPr>
                </w:p>
              </w:tc>
              <w:tc>
                <w:tcPr>
                  <w:tcW w:w="897" w:type="pct"/>
                  <w:shd w:val="clear" w:color="auto" w:fill="auto"/>
                  <w:vAlign w:val="center"/>
                </w:tcPr>
                <w:p>
                  <w:pPr>
                    <w:spacing w:line="240" w:lineRule="auto"/>
                    <w:ind w:firstLine="0" w:firstLineChars="0"/>
                    <w:jc w:val="center"/>
                    <w:rPr>
                      <w:rFonts w:hint="default" w:eastAsia="宋体"/>
                      <w:sz w:val="21"/>
                      <w:szCs w:val="21"/>
                      <w:lang w:val="en-US" w:eastAsia="zh-CN"/>
                    </w:rPr>
                  </w:pPr>
                  <w:r>
                    <w:rPr>
                      <w:rFonts w:hint="eastAsia"/>
                      <w:sz w:val="21"/>
                      <w:szCs w:val="21"/>
                      <w:lang w:val="en-US" w:eastAsia="zh-CN"/>
                    </w:rPr>
                    <w:t>3.38</w:t>
                  </w:r>
                </w:p>
              </w:tc>
              <w:tc>
                <w:tcPr>
                  <w:tcW w:w="1185" w:type="pct"/>
                  <w:shd w:val="clear" w:color="auto" w:fill="auto"/>
                  <w:vAlign w:val="center"/>
                </w:tcPr>
                <w:p>
                  <w:pPr>
                    <w:spacing w:line="240" w:lineRule="auto"/>
                    <w:ind w:firstLine="0" w:firstLineChars="0"/>
                    <w:jc w:val="center"/>
                    <w:rPr>
                      <w:sz w:val="21"/>
                      <w:szCs w:val="21"/>
                    </w:rPr>
                  </w:pPr>
                  <w:r>
                    <w:rPr>
                      <w:rFonts w:hint="eastAsia"/>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pStyle w:val="46"/>
                    <w:rPr>
                      <w:szCs w:val="21"/>
                    </w:rPr>
                  </w:pPr>
                  <w:r>
                    <w:rPr>
                      <w:szCs w:val="21"/>
                    </w:rPr>
                    <w:t>3</w:t>
                  </w:r>
                </w:p>
              </w:tc>
              <w:tc>
                <w:tcPr>
                  <w:tcW w:w="727" w:type="pct"/>
                  <w:shd w:val="clear" w:color="auto" w:fill="auto"/>
                  <w:vAlign w:val="center"/>
                </w:tcPr>
                <w:p>
                  <w:pPr>
                    <w:spacing w:line="240" w:lineRule="auto"/>
                    <w:ind w:firstLine="0" w:firstLineChars="0"/>
                    <w:jc w:val="center"/>
                    <w:rPr>
                      <w:sz w:val="21"/>
                      <w:szCs w:val="21"/>
                    </w:rPr>
                  </w:pPr>
                  <w:r>
                    <w:rPr>
                      <w:sz w:val="21"/>
                      <w:szCs w:val="21"/>
                    </w:rPr>
                    <w:t>VOCs</w:t>
                  </w:r>
                </w:p>
              </w:tc>
              <w:tc>
                <w:tcPr>
                  <w:tcW w:w="1084" w:type="pct"/>
                  <w:shd w:val="clear" w:color="auto" w:fill="auto"/>
                  <w:vAlign w:val="center"/>
                </w:tcPr>
                <w:p>
                  <w:pPr>
                    <w:spacing w:line="240" w:lineRule="auto"/>
                    <w:ind w:firstLine="0" w:firstLineChars="0"/>
                    <w:jc w:val="center"/>
                    <w:rPr>
                      <w:sz w:val="21"/>
                      <w:szCs w:val="21"/>
                    </w:rPr>
                  </w:pPr>
                  <w:r>
                    <w:rPr>
                      <w:rFonts w:hint="eastAsia"/>
                      <w:sz w:val="21"/>
                      <w:szCs w:val="21"/>
                    </w:rPr>
                    <w:t>60</w:t>
                  </w:r>
                </w:p>
              </w:tc>
              <w:tc>
                <w:tcPr>
                  <w:tcW w:w="654" w:type="pct"/>
                  <w:vMerge w:val="continue"/>
                  <w:shd w:val="clear" w:color="auto" w:fill="auto"/>
                  <w:vAlign w:val="center"/>
                </w:tcPr>
                <w:p>
                  <w:pPr>
                    <w:spacing w:line="240" w:lineRule="auto"/>
                    <w:ind w:firstLine="0" w:firstLineChars="0"/>
                    <w:jc w:val="center"/>
                    <w:rPr>
                      <w:sz w:val="21"/>
                      <w:szCs w:val="21"/>
                    </w:rPr>
                  </w:pPr>
                </w:p>
              </w:tc>
              <w:tc>
                <w:tcPr>
                  <w:tcW w:w="897" w:type="pct"/>
                  <w:shd w:val="clear" w:color="auto" w:fill="auto"/>
                  <w:vAlign w:val="center"/>
                </w:tcPr>
                <w:p>
                  <w:pPr>
                    <w:spacing w:line="240" w:lineRule="auto"/>
                    <w:ind w:firstLine="0" w:firstLineChars="0"/>
                    <w:jc w:val="center"/>
                    <w:rPr>
                      <w:sz w:val="21"/>
                      <w:szCs w:val="21"/>
                    </w:rPr>
                  </w:pPr>
                  <w:r>
                    <w:rPr>
                      <w:rFonts w:hint="eastAsia"/>
                      <w:sz w:val="21"/>
                      <w:szCs w:val="21"/>
                    </w:rPr>
                    <w:t>6</w:t>
                  </w:r>
                </w:p>
              </w:tc>
              <w:tc>
                <w:tcPr>
                  <w:tcW w:w="1185" w:type="pct"/>
                  <w:shd w:val="clear" w:color="auto" w:fill="auto"/>
                  <w:vAlign w:val="center"/>
                </w:tcPr>
                <w:p>
                  <w:pPr>
                    <w:spacing w:line="240" w:lineRule="auto"/>
                    <w:ind w:firstLine="0" w:firstLineChars="0"/>
                    <w:jc w:val="center"/>
                    <w:rPr>
                      <w:sz w:val="21"/>
                      <w:szCs w:val="21"/>
                    </w:rPr>
                  </w:pPr>
                  <w:r>
                    <w:rPr>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shd w:val="clear" w:color="auto" w:fill="auto"/>
                  <w:vAlign w:val="center"/>
                </w:tcPr>
                <w:p>
                  <w:pPr>
                    <w:pStyle w:val="46"/>
                    <w:rPr>
                      <w:szCs w:val="21"/>
                    </w:rPr>
                  </w:pPr>
                  <w:r>
                    <w:rPr>
                      <w:szCs w:val="21"/>
                    </w:rPr>
                    <w:t>4</w:t>
                  </w:r>
                </w:p>
              </w:tc>
              <w:tc>
                <w:tcPr>
                  <w:tcW w:w="727" w:type="pct"/>
                  <w:shd w:val="clear" w:color="auto" w:fill="auto"/>
                  <w:vAlign w:val="center"/>
                </w:tcPr>
                <w:p>
                  <w:pPr>
                    <w:spacing w:line="240" w:lineRule="auto"/>
                    <w:ind w:firstLine="0" w:firstLineChars="0"/>
                    <w:jc w:val="center"/>
                    <w:rPr>
                      <w:sz w:val="21"/>
                      <w:szCs w:val="21"/>
                    </w:rPr>
                  </w:pPr>
                  <w:r>
                    <w:rPr>
                      <w:sz w:val="21"/>
                      <w:szCs w:val="21"/>
                    </w:rPr>
                    <w:t>NMHC</w:t>
                  </w:r>
                </w:p>
              </w:tc>
              <w:tc>
                <w:tcPr>
                  <w:tcW w:w="1084" w:type="pct"/>
                  <w:shd w:val="clear" w:color="auto" w:fill="auto"/>
                  <w:vAlign w:val="center"/>
                </w:tcPr>
                <w:p>
                  <w:pPr>
                    <w:spacing w:line="240" w:lineRule="auto"/>
                    <w:ind w:firstLine="0" w:firstLineChars="0"/>
                    <w:jc w:val="center"/>
                    <w:rPr>
                      <w:sz w:val="21"/>
                      <w:szCs w:val="21"/>
                    </w:rPr>
                  </w:pPr>
                  <w:r>
                    <w:rPr>
                      <w:rFonts w:hint="eastAsia"/>
                      <w:sz w:val="21"/>
                      <w:szCs w:val="21"/>
                    </w:rPr>
                    <w:t>/</w:t>
                  </w:r>
                </w:p>
              </w:tc>
              <w:tc>
                <w:tcPr>
                  <w:tcW w:w="654" w:type="pct"/>
                  <w:vMerge w:val="continue"/>
                  <w:shd w:val="clear" w:color="auto" w:fill="auto"/>
                  <w:vAlign w:val="center"/>
                </w:tcPr>
                <w:p>
                  <w:pPr>
                    <w:spacing w:line="240" w:lineRule="auto"/>
                    <w:ind w:firstLine="0" w:firstLineChars="0"/>
                    <w:jc w:val="center"/>
                    <w:rPr>
                      <w:sz w:val="21"/>
                      <w:szCs w:val="21"/>
                    </w:rPr>
                  </w:pPr>
                </w:p>
              </w:tc>
              <w:tc>
                <w:tcPr>
                  <w:tcW w:w="897" w:type="pct"/>
                  <w:shd w:val="clear" w:color="auto" w:fill="auto"/>
                  <w:vAlign w:val="center"/>
                </w:tcPr>
                <w:p>
                  <w:pPr>
                    <w:spacing w:line="240" w:lineRule="auto"/>
                    <w:ind w:firstLine="0" w:firstLineChars="0"/>
                    <w:jc w:val="center"/>
                    <w:rPr>
                      <w:sz w:val="21"/>
                      <w:szCs w:val="21"/>
                    </w:rPr>
                  </w:pPr>
                  <w:r>
                    <w:rPr>
                      <w:rFonts w:hint="eastAsia"/>
                      <w:sz w:val="21"/>
                      <w:szCs w:val="21"/>
                    </w:rPr>
                    <w:t>/</w:t>
                  </w:r>
                </w:p>
              </w:tc>
              <w:tc>
                <w:tcPr>
                  <w:tcW w:w="1185" w:type="pct"/>
                  <w:shd w:val="clear" w:color="auto" w:fill="auto"/>
                  <w:vAlign w:val="center"/>
                </w:tcPr>
                <w:p>
                  <w:pPr>
                    <w:spacing w:line="240" w:lineRule="auto"/>
                    <w:ind w:firstLine="0" w:firstLineChars="0"/>
                    <w:jc w:val="center"/>
                    <w:rPr>
                      <w:sz w:val="21"/>
                      <w:szCs w:val="21"/>
                    </w:rPr>
                  </w:pPr>
                  <w:r>
                    <w:rPr>
                      <w:sz w:val="21"/>
                      <w:szCs w:val="21"/>
                    </w:rPr>
                    <w:t>6</w:t>
                  </w:r>
                </w:p>
              </w:tc>
            </w:tr>
          </w:tbl>
          <w:p>
            <w:pPr>
              <w:pStyle w:val="12"/>
              <w:numPr>
                <w:ilvl w:val="0"/>
                <w:numId w:val="2"/>
              </w:numPr>
              <w:adjustRightInd w:val="0"/>
              <w:snapToGrid w:val="0"/>
              <w:ind w:firstLine="480"/>
              <w:rPr>
                <w:rFonts w:ascii="Times New Roman" w:hAnsi="Times New Roman"/>
                <w:color w:val="auto"/>
                <w:sz w:val="24"/>
              </w:rPr>
            </w:pPr>
            <w:r>
              <w:rPr>
                <w:rFonts w:ascii="Times New Roman" w:hAnsi="Times New Roman"/>
                <w:color w:val="auto"/>
                <w:sz w:val="24"/>
              </w:rPr>
              <w:t>废水：</w:t>
            </w:r>
            <w:r>
              <w:rPr>
                <w:rFonts w:ascii="Times New Roman" w:hAnsi="Times New Roman"/>
                <w:color w:val="0D0D0D"/>
                <w:sz w:val="24"/>
              </w:rPr>
              <w:t>执行</w:t>
            </w:r>
            <w:r>
              <w:rPr>
                <w:rFonts w:hint="eastAsia" w:ascii="Times New Roman" w:hAnsi="Times New Roman"/>
                <w:color w:val="0D0D0D"/>
                <w:sz w:val="24"/>
              </w:rPr>
              <w:t>《污水排入城镇下水道水质标准》（GB/T 31962-2015）A级标准，同时应满足银丰国际生物城污水处理站进水水质要求。</w:t>
            </w:r>
          </w:p>
          <w:p>
            <w:pPr>
              <w:ind w:firstLine="482"/>
              <w:jc w:val="center"/>
              <w:rPr>
                <w:b/>
                <w:bCs/>
              </w:rPr>
            </w:pPr>
            <w:r>
              <w:rPr>
                <w:b/>
                <w:bCs/>
              </w:rPr>
              <w:t>表</w:t>
            </w:r>
            <w:r>
              <w:rPr>
                <w:rFonts w:hint="eastAsia"/>
                <w:b/>
                <w:bCs/>
              </w:rPr>
              <w:t xml:space="preserve">1-2 </w:t>
            </w:r>
            <w:r>
              <w:rPr>
                <w:b/>
                <w:bCs/>
              </w:rPr>
              <w:t xml:space="preserve"> 废水排放标准</w:t>
            </w:r>
          </w:p>
          <w:tbl>
            <w:tblPr>
              <w:tblStyle w:val="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691"/>
              <w:gridCol w:w="1065"/>
              <w:gridCol w:w="1753"/>
              <w:gridCol w:w="2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序号</w:t>
                  </w:r>
                </w:p>
              </w:tc>
              <w:tc>
                <w:tcPr>
                  <w:tcW w:w="1151"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控制项目名称</w:t>
                  </w:r>
                </w:p>
              </w:tc>
              <w:tc>
                <w:tcPr>
                  <w:tcW w:w="725"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单位</w:t>
                  </w:r>
                </w:p>
              </w:tc>
              <w:tc>
                <w:tcPr>
                  <w:tcW w:w="2684" w:type="pct"/>
                  <w:gridSpan w:val="2"/>
                  <w:vAlign w:val="center"/>
                </w:tcPr>
                <w:p>
                  <w:pPr>
                    <w:widowControl/>
                    <w:adjustRightInd w:val="0"/>
                    <w:snapToGrid w:val="0"/>
                    <w:spacing w:line="240" w:lineRule="auto"/>
                    <w:ind w:firstLine="0" w:firstLineChars="0"/>
                    <w:jc w:val="center"/>
                    <w:rPr>
                      <w:b/>
                      <w:sz w:val="21"/>
                      <w:szCs w:val="21"/>
                    </w:rPr>
                  </w:pPr>
                  <w:r>
                    <w:rPr>
                      <w:b/>
                      <w:sz w:val="21"/>
                      <w:szCs w:val="21"/>
                    </w:rPr>
                    <w:t>控制项目限值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Merge w:val="continue"/>
                  <w:vAlign w:val="center"/>
                </w:tcPr>
                <w:p>
                  <w:pPr>
                    <w:widowControl/>
                    <w:adjustRightInd w:val="0"/>
                    <w:snapToGrid w:val="0"/>
                    <w:spacing w:line="240" w:lineRule="auto"/>
                    <w:ind w:firstLine="0" w:firstLineChars="0"/>
                    <w:jc w:val="center"/>
                    <w:rPr>
                      <w:b/>
                      <w:sz w:val="21"/>
                      <w:szCs w:val="21"/>
                    </w:rPr>
                  </w:pPr>
                </w:p>
              </w:tc>
              <w:tc>
                <w:tcPr>
                  <w:tcW w:w="1151" w:type="pct"/>
                  <w:vMerge w:val="continue"/>
                  <w:vAlign w:val="center"/>
                </w:tcPr>
                <w:p>
                  <w:pPr>
                    <w:widowControl/>
                    <w:adjustRightInd w:val="0"/>
                    <w:snapToGrid w:val="0"/>
                    <w:spacing w:line="240" w:lineRule="auto"/>
                    <w:ind w:firstLine="0" w:firstLineChars="0"/>
                    <w:jc w:val="center"/>
                    <w:rPr>
                      <w:b/>
                      <w:sz w:val="21"/>
                      <w:szCs w:val="21"/>
                    </w:rPr>
                  </w:pPr>
                </w:p>
              </w:tc>
              <w:tc>
                <w:tcPr>
                  <w:tcW w:w="725" w:type="pct"/>
                  <w:vMerge w:val="continue"/>
                  <w:vAlign w:val="center"/>
                </w:tcPr>
                <w:p>
                  <w:pPr>
                    <w:widowControl/>
                    <w:adjustRightInd w:val="0"/>
                    <w:snapToGrid w:val="0"/>
                    <w:spacing w:line="240" w:lineRule="auto"/>
                    <w:ind w:firstLine="0" w:firstLineChars="0"/>
                    <w:jc w:val="center"/>
                    <w:rPr>
                      <w:b/>
                      <w:sz w:val="21"/>
                      <w:szCs w:val="21"/>
                    </w:rPr>
                  </w:pPr>
                </w:p>
              </w:tc>
              <w:tc>
                <w:tcPr>
                  <w:tcW w:w="1194" w:type="pct"/>
                  <w:vAlign w:val="center"/>
                </w:tcPr>
                <w:p>
                  <w:pPr>
                    <w:widowControl/>
                    <w:adjustRightInd w:val="0"/>
                    <w:snapToGrid w:val="0"/>
                    <w:spacing w:line="240" w:lineRule="auto"/>
                    <w:ind w:firstLine="0" w:firstLineChars="0"/>
                    <w:jc w:val="center"/>
                    <w:rPr>
                      <w:b/>
                      <w:bCs/>
                      <w:sz w:val="21"/>
                      <w:szCs w:val="21"/>
                    </w:rPr>
                  </w:pPr>
                  <w:r>
                    <w:rPr>
                      <w:b/>
                      <w:bCs/>
                      <w:sz w:val="21"/>
                      <w:szCs w:val="21"/>
                    </w:rPr>
                    <w:t>银丰国际生物城污水处理站进水水质要求</w:t>
                  </w:r>
                </w:p>
              </w:tc>
              <w:tc>
                <w:tcPr>
                  <w:tcW w:w="1490" w:type="pct"/>
                  <w:vAlign w:val="center"/>
                </w:tcPr>
                <w:p>
                  <w:pPr>
                    <w:widowControl/>
                    <w:adjustRightInd w:val="0"/>
                    <w:snapToGrid w:val="0"/>
                    <w:spacing w:line="240" w:lineRule="auto"/>
                    <w:ind w:firstLine="0" w:firstLineChars="0"/>
                    <w:jc w:val="center"/>
                    <w:rPr>
                      <w:b/>
                      <w:bCs/>
                      <w:sz w:val="21"/>
                      <w:szCs w:val="21"/>
                    </w:rPr>
                  </w:pPr>
                  <w:r>
                    <w:rPr>
                      <w:b/>
                      <w:bCs/>
                      <w:sz w:val="21"/>
                      <w:szCs w:val="21"/>
                    </w:rPr>
                    <w:t>《污水排入城镇下水道水质标准》（GB/T 31962-2015）</w:t>
                  </w:r>
                  <w:r>
                    <w:rPr>
                      <w:rFonts w:hint="eastAsia"/>
                      <w:b/>
                      <w:bCs/>
                      <w:sz w:val="21"/>
                      <w:szCs w:val="21"/>
                    </w:rPr>
                    <w:t>A</w:t>
                  </w:r>
                  <w:r>
                    <w:rPr>
                      <w:b/>
                      <w:bCs/>
                      <w:sz w:val="21"/>
                      <w:szCs w:val="21"/>
                    </w:rPr>
                    <w:t>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1151" w:type="pct"/>
                  <w:vAlign w:val="center"/>
                </w:tcPr>
                <w:p>
                  <w:pPr>
                    <w:widowControl/>
                    <w:adjustRightInd w:val="0"/>
                    <w:snapToGrid w:val="0"/>
                    <w:spacing w:line="240" w:lineRule="auto"/>
                    <w:ind w:firstLine="0" w:firstLineChars="0"/>
                    <w:jc w:val="center"/>
                    <w:rPr>
                      <w:sz w:val="21"/>
                      <w:szCs w:val="21"/>
                    </w:rPr>
                  </w:pPr>
                  <w:r>
                    <w:rPr>
                      <w:sz w:val="21"/>
                      <w:szCs w:val="21"/>
                    </w:rPr>
                    <w:t>pH值</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sz w:val="21"/>
                      <w:szCs w:val="21"/>
                    </w:rPr>
                    <w:t>2</w:t>
                  </w:r>
                </w:p>
              </w:tc>
              <w:tc>
                <w:tcPr>
                  <w:tcW w:w="1151" w:type="pct"/>
                  <w:vAlign w:val="center"/>
                </w:tcPr>
                <w:p>
                  <w:pPr>
                    <w:widowControl/>
                    <w:adjustRightInd w:val="0"/>
                    <w:snapToGrid w:val="0"/>
                    <w:spacing w:line="240" w:lineRule="auto"/>
                    <w:ind w:firstLine="0" w:firstLineChars="0"/>
                    <w:jc w:val="center"/>
                    <w:rPr>
                      <w:sz w:val="21"/>
                      <w:szCs w:val="21"/>
                    </w:rPr>
                  </w:pPr>
                  <w:r>
                    <w:rPr>
                      <w:sz w:val="21"/>
                      <w:szCs w:val="21"/>
                    </w:rPr>
                    <w:t>化学需氧量</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5000</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sz w:val="21"/>
                      <w:szCs w:val="21"/>
                    </w:rPr>
                    <w:t>3</w:t>
                  </w:r>
                </w:p>
              </w:tc>
              <w:tc>
                <w:tcPr>
                  <w:tcW w:w="1151" w:type="pct"/>
                  <w:vAlign w:val="center"/>
                </w:tcPr>
                <w:p>
                  <w:pPr>
                    <w:widowControl/>
                    <w:adjustRightInd w:val="0"/>
                    <w:snapToGrid w:val="0"/>
                    <w:spacing w:line="240" w:lineRule="auto"/>
                    <w:ind w:firstLine="0" w:firstLineChars="0"/>
                    <w:jc w:val="center"/>
                    <w:rPr>
                      <w:sz w:val="21"/>
                      <w:szCs w:val="21"/>
                    </w:rPr>
                  </w:pPr>
                  <w:r>
                    <w:rPr>
                      <w:sz w:val="21"/>
                      <w:szCs w:val="21"/>
                    </w:rPr>
                    <w:t>氨氮</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100</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sz w:val="21"/>
                      <w:szCs w:val="21"/>
                    </w:rPr>
                    <w:t>4</w:t>
                  </w:r>
                </w:p>
              </w:tc>
              <w:tc>
                <w:tcPr>
                  <w:tcW w:w="1151" w:type="pct"/>
                  <w:vAlign w:val="center"/>
                </w:tcPr>
                <w:p>
                  <w:pPr>
                    <w:widowControl/>
                    <w:adjustRightInd w:val="0"/>
                    <w:snapToGrid w:val="0"/>
                    <w:spacing w:line="240" w:lineRule="auto"/>
                    <w:ind w:firstLine="0" w:firstLineChars="0"/>
                    <w:jc w:val="center"/>
                    <w:rPr>
                      <w:sz w:val="21"/>
                      <w:szCs w:val="21"/>
                    </w:rPr>
                  </w:pPr>
                  <w:r>
                    <w:rPr>
                      <w:sz w:val="21"/>
                      <w:szCs w:val="21"/>
                    </w:rPr>
                    <w:t>五日生化需氧量</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800</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sz w:val="21"/>
                      <w:szCs w:val="21"/>
                    </w:rPr>
                    <w:t>5</w:t>
                  </w:r>
                </w:p>
              </w:tc>
              <w:tc>
                <w:tcPr>
                  <w:tcW w:w="1151" w:type="pct"/>
                  <w:vAlign w:val="center"/>
                </w:tcPr>
                <w:p>
                  <w:pPr>
                    <w:widowControl/>
                    <w:adjustRightInd w:val="0"/>
                    <w:snapToGrid w:val="0"/>
                    <w:spacing w:line="240" w:lineRule="auto"/>
                    <w:ind w:firstLine="0" w:firstLineChars="0"/>
                    <w:jc w:val="center"/>
                    <w:rPr>
                      <w:sz w:val="21"/>
                      <w:szCs w:val="21"/>
                    </w:rPr>
                  </w:pPr>
                  <w:r>
                    <w:rPr>
                      <w:sz w:val="21"/>
                      <w:szCs w:val="21"/>
                    </w:rPr>
                    <w:t>悬浮物</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600</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sz w:val="21"/>
                      <w:szCs w:val="21"/>
                    </w:rPr>
                    <w:t>6</w:t>
                  </w:r>
                </w:p>
              </w:tc>
              <w:tc>
                <w:tcPr>
                  <w:tcW w:w="1151" w:type="pct"/>
                  <w:vAlign w:val="center"/>
                </w:tcPr>
                <w:p>
                  <w:pPr>
                    <w:widowControl/>
                    <w:adjustRightInd w:val="0"/>
                    <w:snapToGrid w:val="0"/>
                    <w:spacing w:line="240" w:lineRule="auto"/>
                    <w:ind w:firstLine="0" w:firstLineChars="0"/>
                    <w:jc w:val="center"/>
                    <w:rPr>
                      <w:sz w:val="21"/>
                      <w:szCs w:val="21"/>
                    </w:rPr>
                  </w:pPr>
                  <w:r>
                    <w:rPr>
                      <w:sz w:val="21"/>
                      <w:szCs w:val="21"/>
                    </w:rPr>
                    <w:t>总磷</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20</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8" w:type="pct"/>
                  <w:vAlign w:val="center"/>
                </w:tcPr>
                <w:p>
                  <w:pPr>
                    <w:widowControl/>
                    <w:adjustRightInd w:val="0"/>
                    <w:snapToGrid w:val="0"/>
                    <w:spacing w:line="240" w:lineRule="auto"/>
                    <w:ind w:firstLine="0" w:firstLineChars="0"/>
                    <w:jc w:val="center"/>
                    <w:rPr>
                      <w:sz w:val="21"/>
                      <w:szCs w:val="21"/>
                    </w:rPr>
                  </w:pPr>
                  <w:r>
                    <w:rPr>
                      <w:rFonts w:hint="eastAsia"/>
                      <w:sz w:val="21"/>
                      <w:szCs w:val="21"/>
                    </w:rPr>
                    <w:t>7</w:t>
                  </w:r>
                </w:p>
              </w:tc>
              <w:tc>
                <w:tcPr>
                  <w:tcW w:w="1151" w:type="pct"/>
                  <w:vAlign w:val="center"/>
                </w:tcPr>
                <w:p>
                  <w:pPr>
                    <w:widowControl/>
                    <w:adjustRightInd w:val="0"/>
                    <w:snapToGrid w:val="0"/>
                    <w:spacing w:line="240" w:lineRule="auto"/>
                    <w:ind w:firstLine="0" w:firstLineChars="0"/>
                    <w:jc w:val="center"/>
                    <w:rPr>
                      <w:sz w:val="21"/>
                      <w:szCs w:val="21"/>
                    </w:rPr>
                  </w:pPr>
                  <w:r>
                    <w:rPr>
                      <w:rFonts w:hint="eastAsia"/>
                      <w:sz w:val="21"/>
                      <w:szCs w:val="21"/>
                    </w:rPr>
                    <w:t>溶解性总固体</w:t>
                  </w:r>
                </w:p>
              </w:tc>
              <w:tc>
                <w:tcPr>
                  <w:tcW w:w="725"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1194" w:type="pct"/>
                  <w:vAlign w:val="center"/>
                </w:tcPr>
                <w:p>
                  <w:pPr>
                    <w:widowControl/>
                    <w:adjustRightInd w:val="0"/>
                    <w:snapToGrid w:val="0"/>
                    <w:spacing w:line="240" w:lineRule="auto"/>
                    <w:ind w:firstLine="0" w:firstLineChars="0"/>
                    <w:jc w:val="center"/>
                    <w:rPr>
                      <w:sz w:val="21"/>
                      <w:szCs w:val="21"/>
                    </w:rPr>
                  </w:pPr>
                  <w:r>
                    <w:rPr>
                      <w:rFonts w:hint="eastAsia"/>
                      <w:sz w:val="21"/>
                      <w:szCs w:val="21"/>
                    </w:rPr>
                    <w:t>/</w:t>
                  </w:r>
                </w:p>
              </w:tc>
              <w:tc>
                <w:tcPr>
                  <w:tcW w:w="1490" w:type="pct"/>
                  <w:vAlign w:val="center"/>
                </w:tcPr>
                <w:p>
                  <w:pPr>
                    <w:widowControl/>
                    <w:adjustRightInd w:val="0"/>
                    <w:snapToGrid w:val="0"/>
                    <w:spacing w:line="240" w:lineRule="auto"/>
                    <w:ind w:firstLine="0" w:firstLineChars="0"/>
                    <w:jc w:val="center"/>
                    <w:rPr>
                      <w:sz w:val="21"/>
                      <w:szCs w:val="21"/>
                    </w:rPr>
                  </w:pPr>
                  <w:r>
                    <w:rPr>
                      <w:rFonts w:hint="eastAsia"/>
                      <w:sz w:val="21"/>
                      <w:szCs w:val="21"/>
                    </w:rPr>
                    <w:t>1500</w:t>
                  </w:r>
                </w:p>
              </w:tc>
            </w:tr>
          </w:tbl>
          <w:p>
            <w:pPr>
              <w:pStyle w:val="12"/>
              <w:numPr>
                <w:ilvl w:val="0"/>
                <w:numId w:val="3"/>
              </w:numPr>
              <w:adjustRightInd w:val="0"/>
              <w:snapToGrid w:val="0"/>
              <w:ind w:firstLine="480"/>
              <w:rPr>
                <w:rFonts w:ascii="Times New Roman" w:hAnsi="Times New Roman"/>
                <w:color w:val="auto"/>
                <w:sz w:val="24"/>
              </w:rPr>
            </w:pPr>
            <w:r>
              <w:rPr>
                <w:rFonts w:ascii="Times New Roman" w:hAnsi="Times New Roman"/>
                <w:color w:val="auto"/>
                <w:sz w:val="24"/>
              </w:rPr>
              <w:t>噪声：</w:t>
            </w:r>
            <w:r>
              <w:rPr>
                <w:rFonts w:hint="eastAsia" w:ascii="Times New Roman" w:hAnsi="Times New Roman"/>
                <w:color w:val="auto"/>
                <w:sz w:val="24"/>
              </w:rPr>
              <w:t>厂界执行《工业企业厂界环境噪声排放标准》（GB12348-2008）中 2 类昼间标准；敏感点执行《声环境质量标准》（GB3096-2008）2类昼间标准。</w:t>
            </w:r>
          </w:p>
          <w:p>
            <w:pPr>
              <w:ind w:firstLine="482"/>
              <w:jc w:val="center"/>
              <w:rPr>
                <w:b/>
                <w:bCs/>
              </w:rPr>
            </w:pPr>
            <w:r>
              <w:rPr>
                <w:b/>
                <w:bCs/>
              </w:rPr>
              <w:t>表</w:t>
            </w:r>
            <w:r>
              <w:rPr>
                <w:rFonts w:hint="eastAsia"/>
                <w:b/>
                <w:bCs/>
              </w:rPr>
              <w:t xml:space="preserve">1-3 </w:t>
            </w:r>
            <w:r>
              <w:rPr>
                <w:b/>
                <w:bCs/>
              </w:rPr>
              <w:t xml:space="preserve"> </w:t>
            </w:r>
            <w:r>
              <w:rPr>
                <w:rFonts w:hint="eastAsia"/>
                <w:b/>
                <w:bCs/>
              </w:rPr>
              <w:t>噪声</w:t>
            </w:r>
            <w:r>
              <w:rPr>
                <w:b/>
                <w:bCs/>
              </w:rPr>
              <w:t>排放标准</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1390"/>
              <w:gridCol w:w="1199"/>
              <w:gridCol w:w="1560"/>
              <w:gridCol w:w="2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序号</w:t>
                  </w:r>
                </w:p>
              </w:tc>
              <w:tc>
                <w:tcPr>
                  <w:tcW w:w="1763" w:type="pct"/>
                  <w:gridSpan w:val="2"/>
                  <w:vMerge w:val="restart"/>
                  <w:vAlign w:val="center"/>
                </w:tcPr>
                <w:p>
                  <w:pPr>
                    <w:widowControl/>
                    <w:adjustRightInd w:val="0"/>
                    <w:snapToGrid w:val="0"/>
                    <w:spacing w:line="240" w:lineRule="auto"/>
                    <w:ind w:firstLine="0" w:firstLineChars="0"/>
                    <w:jc w:val="center"/>
                    <w:rPr>
                      <w:b/>
                      <w:sz w:val="21"/>
                      <w:szCs w:val="21"/>
                    </w:rPr>
                  </w:pPr>
                  <w:r>
                    <w:rPr>
                      <w:b/>
                      <w:sz w:val="21"/>
                      <w:szCs w:val="21"/>
                    </w:rPr>
                    <w:t>声环境功能区类别</w:t>
                  </w:r>
                </w:p>
              </w:tc>
              <w:tc>
                <w:tcPr>
                  <w:tcW w:w="1062"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单位</w:t>
                  </w:r>
                </w:p>
              </w:tc>
              <w:tc>
                <w:tcPr>
                  <w:tcW w:w="1536" w:type="pct"/>
                  <w:vAlign w:val="center"/>
                </w:tcPr>
                <w:p>
                  <w:pPr>
                    <w:widowControl/>
                    <w:adjustRightInd w:val="0"/>
                    <w:snapToGrid w:val="0"/>
                    <w:spacing w:line="240" w:lineRule="auto"/>
                    <w:ind w:firstLine="0" w:firstLineChars="0"/>
                    <w:jc w:val="center"/>
                    <w:rPr>
                      <w:b/>
                      <w:sz w:val="21"/>
                      <w:szCs w:val="21"/>
                    </w:rPr>
                  </w:pPr>
                  <w:r>
                    <w:rPr>
                      <w:b/>
                      <w:sz w:val="21"/>
                      <w:szCs w:val="21"/>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continue"/>
                  <w:vAlign w:val="center"/>
                </w:tcPr>
                <w:p>
                  <w:pPr>
                    <w:widowControl/>
                    <w:adjustRightInd w:val="0"/>
                    <w:snapToGrid w:val="0"/>
                    <w:spacing w:line="240" w:lineRule="auto"/>
                    <w:ind w:firstLine="0" w:firstLineChars="0"/>
                    <w:jc w:val="center"/>
                    <w:rPr>
                      <w:b/>
                      <w:sz w:val="21"/>
                      <w:szCs w:val="21"/>
                    </w:rPr>
                  </w:pPr>
                </w:p>
              </w:tc>
              <w:tc>
                <w:tcPr>
                  <w:tcW w:w="1763" w:type="pct"/>
                  <w:gridSpan w:val="2"/>
                  <w:vMerge w:val="continue"/>
                  <w:vAlign w:val="center"/>
                </w:tcPr>
                <w:p>
                  <w:pPr>
                    <w:widowControl/>
                    <w:adjustRightInd w:val="0"/>
                    <w:snapToGrid w:val="0"/>
                    <w:spacing w:line="240" w:lineRule="auto"/>
                    <w:ind w:firstLine="0" w:firstLineChars="0"/>
                    <w:jc w:val="center"/>
                    <w:rPr>
                      <w:b/>
                      <w:sz w:val="21"/>
                      <w:szCs w:val="21"/>
                    </w:rPr>
                  </w:pPr>
                </w:p>
              </w:tc>
              <w:tc>
                <w:tcPr>
                  <w:tcW w:w="1062" w:type="pct"/>
                  <w:vMerge w:val="continue"/>
                  <w:vAlign w:val="center"/>
                </w:tcPr>
                <w:p>
                  <w:pPr>
                    <w:widowControl/>
                    <w:adjustRightInd w:val="0"/>
                    <w:snapToGrid w:val="0"/>
                    <w:spacing w:line="240" w:lineRule="auto"/>
                    <w:ind w:firstLine="0" w:firstLineChars="0"/>
                    <w:jc w:val="center"/>
                    <w:rPr>
                      <w:b/>
                      <w:sz w:val="21"/>
                      <w:szCs w:val="21"/>
                    </w:rPr>
                  </w:pPr>
                </w:p>
              </w:tc>
              <w:tc>
                <w:tcPr>
                  <w:tcW w:w="1536" w:type="pct"/>
                  <w:vAlign w:val="center"/>
                </w:tcPr>
                <w:p>
                  <w:pPr>
                    <w:widowControl/>
                    <w:adjustRightInd w:val="0"/>
                    <w:snapToGrid w:val="0"/>
                    <w:spacing w:line="240" w:lineRule="auto"/>
                    <w:ind w:firstLine="0" w:firstLineChars="0"/>
                    <w:jc w:val="center"/>
                    <w:rPr>
                      <w:b/>
                      <w:bCs/>
                      <w:sz w:val="21"/>
                      <w:szCs w:val="21"/>
                    </w:rPr>
                  </w:pPr>
                  <w:r>
                    <w:rPr>
                      <w:b/>
                      <w:bCs/>
                      <w:sz w:val="21"/>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946" w:type="pct"/>
                  <w:vAlign w:val="center"/>
                </w:tcPr>
                <w:p>
                  <w:pPr>
                    <w:widowControl/>
                    <w:adjustRightInd w:val="0"/>
                    <w:snapToGrid w:val="0"/>
                    <w:spacing w:line="240" w:lineRule="auto"/>
                    <w:ind w:firstLine="0" w:firstLineChars="0"/>
                    <w:jc w:val="center"/>
                    <w:rPr>
                      <w:sz w:val="21"/>
                      <w:szCs w:val="21"/>
                    </w:rPr>
                  </w:pPr>
                  <w:r>
                    <w:rPr>
                      <w:rFonts w:hint="eastAsia"/>
                      <w:sz w:val="21"/>
                      <w:szCs w:val="21"/>
                    </w:rPr>
                    <w:t>厂界外</w:t>
                  </w:r>
                </w:p>
              </w:tc>
              <w:tc>
                <w:tcPr>
                  <w:tcW w:w="817" w:type="pct"/>
                  <w:vAlign w:val="center"/>
                </w:tcPr>
                <w:p>
                  <w:pPr>
                    <w:widowControl/>
                    <w:adjustRightInd w:val="0"/>
                    <w:snapToGrid w:val="0"/>
                    <w:spacing w:line="240" w:lineRule="auto"/>
                    <w:ind w:firstLine="0" w:firstLineChars="0"/>
                    <w:jc w:val="center"/>
                    <w:rPr>
                      <w:sz w:val="21"/>
                      <w:szCs w:val="21"/>
                    </w:rPr>
                  </w:pPr>
                  <w:r>
                    <w:rPr>
                      <w:rFonts w:hint="eastAsia"/>
                      <w:sz w:val="21"/>
                      <w:szCs w:val="21"/>
                    </w:rPr>
                    <w:t>2</w:t>
                  </w:r>
                </w:p>
              </w:tc>
              <w:tc>
                <w:tcPr>
                  <w:tcW w:w="1062" w:type="pct"/>
                  <w:vAlign w:val="center"/>
                </w:tcPr>
                <w:p>
                  <w:pPr>
                    <w:widowControl/>
                    <w:adjustRightInd w:val="0"/>
                    <w:snapToGrid w:val="0"/>
                    <w:spacing w:line="240" w:lineRule="auto"/>
                    <w:ind w:firstLine="0" w:firstLineChars="0"/>
                    <w:jc w:val="center"/>
                    <w:rPr>
                      <w:sz w:val="21"/>
                      <w:szCs w:val="21"/>
                    </w:rPr>
                  </w:pPr>
                  <w:r>
                    <w:rPr>
                      <w:sz w:val="21"/>
                      <w:szCs w:val="21"/>
                    </w:rPr>
                    <w:t>dB</w:t>
                  </w:r>
                  <w:r>
                    <w:rPr>
                      <w:rFonts w:hint="eastAsia"/>
                      <w:sz w:val="21"/>
                      <w:szCs w:val="21"/>
                    </w:rPr>
                    <w:t>（</w:t>
                  </w:r>
                  <w:r>
                    <w:rPr>
                      <w:sz w:val="21"/>
                      <w:szCs w:val="21"/>
                    </w:rPr>
                    <w:t>A</w:t>
                  </w:r>
                  <w:r>
                    <w:rPr>
                      <w:rFonts w:hint="eastAsia"/>
                      <w:sz w:val="21"/>
                      <w:szCs w:val="21"/>
                    </w:rPr>
                    <w:t>）</w:t>
                  </w:r>
                </w:p>
              </w:tc>
              <w:tc>
                <w:tcPr>
                  <w:tcW w:w="1536" w:type="pct"/>
                  <w:vAlign w:val="center"/>
                </w:tcPr>
                <w:p>
                  <w:pPr>
                    <w:widowControl/>
                    <w:adjustRightInd w:val="0"/>
                    <w:snapToGrid w:val="0"/>
                    <w:spacing w:line="240" w:lineRule="auto"/>
                    <w:ind w:firstLine="0" w:firstLineChars="0"/>
                    <w:jc w:val="center"/>
                    <w:rPr>
                      <w:sz w:val="21"/>
                      <w:szCs w:val="21"/>
                    </w:rPr>
                  </w:pPr>
                  <w:r>
                    <w:rPr>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Align w:val="center"/>
                </w:tcPr>
                <w:p>
                  <w:pPr>
                    <w:widowControl/>
                    <w:adjustRightInd w:val="0"/>
                    <w:snapToGrid w:val="0"/>
                    <w:spacing w:line="240" w:lineRule="auto"/>
                    <w:ind w:firstLine="0" w:firstLineChars="0"/>
                    <w:jc w:val="center"/>
                    <w:rPr>
                      <w:sz w:val="21"/>
                      <w:szCs w:val="21"/>
                    </w:rPr>
                  </w:pPr>
                  <w:r>
                    <w:rPr>
                      <w:rFonts w:hint="eastAsia"/>
                      <w:sz w:val="21"/>
                      <w:szCs w:val="21"/>
                    </w:rPr>
                    <w:t>2</w:t>
                  </w:r>
                </w:p>
              </w:tc>
              <w:tc>
                <w:tcPr>
                  <w:tcW w:w="946" w:type="pct"/>
                  <w:vAlign w:val="center"/>
                </w:tcPr>
                <w:p>
                  <w:pPr>
                    <w:widowControl/>
                    <w:adjustRightInd w:val="0"/>
                    <w:snapToGrid w:val="0"/>
                    <w:spacing w:line="240" w:lineRule="auto"/>
                    <w:ind w:firstLine="0" w:firstLineChars="0"/>
                    <w:jc w:val="center"/>
                    <w:rPr>
                      <w:sz w:val="21"/>
                      <w:szCs w:val="21"/>
                    </w:rPr>
                  </w:pPr>
                  <w:r>
                    <w:rPr>
                      <w:rFonts w:hint="eastAsia"/>
                      <w:sz w:val="21"/>
                      <w:szCs w:val="21"/>
                    </w:rPr>
                    <w:t>敏感点</w:t>
                  </w:r>
                </w:p>
              </w:tc>
              <w:tc>
                <w:tcPr>
                  <w:tcW w:w="817" w:type="pct"/>
                  <w:vAlign w:val="center"/>
                </w:tcPr>
                <w:p>
                  <w:pPr>
                    <w:widowControl/>
                    <w:adjustRightInd w:val="0"/>
                    <w:snapToGrid w:val="0"/>
                    <w:spacing w:line="240" w:lineRule="auto"/>
                    <w:ind w:firstLine="0" w:firstLineChars="0"/>
                    <w:jc w:val="center"/>
                    <w:rPr>
                      <w:sz w:val="21"/>
                      <w:szCs w:val="21"/>
                    </w:rPr>
                  </w:pPr>
                  <w:r>
                    <w:rPr>
                      <w:rFonts w:hint="eastAsia"/>
                      <w:sz w:val="21"/>
                      <w:szCs w:val="21"/>
                    </w:rPr>
                    <w:t>2</w:t>
                  </w:r>
                </w:p>
              </w:tc>
              <w:tc>
                <w:tcPr>
                  <w:tcW w:w="1062" w:type="pct"/>
                  <w:vAlign w:val="center"/>
                </w:tcPr>
                <w:p>
                  <w:pPr>
                    <w:widowControl/>
                    <w:adjustRightInd w:val="0"/>
                    <w:snapToGrid w:val="0"/>
                    <w:spacing w:line="240" w:lineRule="auto"/>
                    <w:ind w:firstLine="0" w:firstLineChars="0"/>
                    <w:jc w:val="center"/>
                    <w:rPr>
                      <w:sz w:val="21"/>
                      <w:szCs w:val="21"/>
                    </w:rPr>
                  </w:pPr>
                  <w:r>
                    <w:rPr>
                      <w:sz w:val="21"/>
                      <w:szCs w:val="21"/>
                    </w:rPr>
                    <w:t>dB</w:t>
                  </w:r>
                  <w:r>
                    <w:rPr>
                      <w:rFonts w:hint="eastAsia"/>
                      <w:sz w:val="21"/>
                      <w:szCs w:val="21"/>
                    </w:rPr>
                    <w:t>（</w:t>
                  </w:r>
                  <w:r>
                    <w:rPr>
                      <w:sz w:val="21"/>
                      <w:szCs w:val="21"/>
                    </w:rPr>
                    <w:t>A</w:t>
                  </w:r>
                  <w:r>
                    <w:rPr>
                      <w:rFonts w:hint="eastAsia"/>
                      <w:sz w:val="21"/>
                      <w:szCs w:val="21"/>
                    </w:rPr>
                    <w:t>）</w:t>
                  </w:r>
                </w:p>
              </w:tc>
              <w:tc>
                <w:tcPr>
                  <w:tcW w:w="1536" w:type="pct"/>
                  <w:vAlign w:val="center"/>
                </w:tcPr>
                <w:p>
                  <w:pPr>
                    <w:widowControl/>
                    <w:adjustRightInd w:val="0"/>
                    <w:snapToGrid w:val="0"/>
                    <w:spacing w:line="240" w:lineRule="auto"/>
                    <w:ind w:firstLine="0" w:firstLineChars="0"/>
                    <w:jc w:val="center"/>
                    <w:rPr>
                      <w:sz w:val="21"/>
                      <w:szCs w:val="21"/>
                    </w:rPr>
                  </w:pPr>
                  <w:r>
                    <w:rPr>
                      <w:sz w:val="21"/>
                      <w:szCs w:val="21"/>
                    </w:rPr>
                    <w:t>60</w:t>
                  </w:r>
                </w:p>
              </w:tc>
            </w:tr>
          </w:tbl>
          <w:p>
            <w:pPr>
              <w:pStyle w:val="13"/>
              <w:numPr>
                <w:ilvl w:val="0"/>
                <w:numId w:val="4"/>
              </w:numPr>
              <w:spacing w:after="0"/>
              <w:ind w:left="0" w:leftChars="0" w:firstLine="480"/>
              <w:rPr>
                <w:rFonts w:cs="Times New Roman"/>
              </w:rPr>
            </w:pPr>
            <w:r>
              <w:rPr>
                <w:rFonts w:hint="eastAsia" w:cs="Times New Roman"/>
              </w:rPr>
              <w:t>固废：</w:t>
            </w:r>
            <w:r>
              <w:rPr>
                <w:rFonts w:cs="Times New Roman"/>
              </w:rPr>
              <w:t>一般固体废物执行《一般工业固体废物贮存和填埋污染控制标准》（GB18599-2020）要求；危险废物执行《危险废物贮存污染控制标准》（GB18597-2001）及修改单的规定</w:t>
            </w:r>
            <w:r>
              <w:rPr>
                <w:rStyle w:val="32"/>
                <w:rFonts w:hint="eastAsia" w:cs="Times New Roman"/>
                <w:lang w:eastAsia="zh-CN"/>
              </w:rPr>
              <w:t>；</w:t>
            </w:r>
            <w:r>
              <w:rPr>
                <w:rFonts w:cs="Times New Roman"/>
              </w:rPr>
              <w:t>医疗废物执行《医疗废物管理条例》（国务院第380号令）、《医疗废物集中处置技术规范（试行）》</w:t>
            </w:r>
            <w:r>
              <w:rPr>
                <w:rFonts w:hint="eastAsia" w:cs="Times New Roman"/>
              </w:rPr>
              <w:t>、</w:t>
            </w:r>
            <w:r>
              <w:rPr>
                <w:rFonts w:cs="Times New Roman"/>
              </w:rPr>
              <w:t>《山东省医疗机构污染物排放控制标准》（DB37/596-2020）</w:t>
            </w:r>
            <w:r>
              <w:rPr>
                <w:rFonts w:hint="eastAsia" w:cs="Times New Roman"/>
              </w:rPr>
              <w:t>。</w:t>
            </w:r>
            <w:r>
              <w:rPr>
                <w:rFonts w:hint="eastAsia" w:cs="Times New Roman"/>
                <w:lang w:eastAsia="zh-CN"/>
              </w:rPr>
              <w:t>《危险废物贮存污染控制标准》（GB18597-2023）和</w:t>
            </w:r>
            <w:r>
              <w:rPr>
                <w:rFonts w:hint="eastAsia" w:cs="Times New Roman"/>
              </w:rPr>
              <w:t>《危险废物识别标志设置技术规范》（HJ1276-2022）（自2023年7月1日起施行）</w:t>
            </w:r>
            <w:r>
              <w:rPr>
                <w:rFonts w:cs="Times New Roman"/>
              </w:rPr>
              <w:t>；</w:t>
            </w: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ind w:firstLine="0" w:firstLineChars="0"/>
            </w:pPr>
          </w:p>
          <w:p>
            <w:pPr>
              <w:pStyle w:val="13"/>
              <w:ind w:left="0" w:leftChars="0" w:firstLine="0" w:firstLineChars="0"/>
            </w:pPr>
          </w:p>
        </w:tc>
      </w:tr>
    </w:tbl>
    <w:p>
      <w:pPr>
        <w:ind w:firstLine="0" w:firstLineChars="0"/>
        <w:outlineLvl w:val="0"/>
        <w:rPr>
          <w:b/>
          <w:bCs/>
          <w:sz w:val="30"/>
          <w:szCs w:val="30"/>
        </w:rPr>
      </w:pPr>
      <w:r>
        <w:rPr>
          <w:b/>
          <w:bCs/>
          <w:sz w:val="30"/>
          <w:szCs w:val="30"/>
        </w:rPr>
        <w:br w:type="page"/>
      </w:r>
      <w:bookmarkStart w:id="52" w:name="_Toc32190"/>
      <w:bookmarkStart w:id="53" w:name="_Toc497"/>
      <w:bookmarkStart w:id="54" w:name="_Toc11388"/>
      <w:bookmarkStart w:id="55" w:name="_Toc5426"/>
      <w:bookmarkStart w:id="56" w:name="_Toc19580"/>
      <w:bookmarkStart w:id="57" w:name="_Toc29750"/>
      <w:bookmarkStart w:id="58" w:name="_Toc29579"/>
      <w:bookmarkStart w:id="59" w:name="_Toc20317"/>
      <w:bookmarkStart w:id="60" w:name="_Toc7621"/>
      <w:bookmarkStart w:id="61" w:name="_Toc16985"/>
      <w:bookmarkStart w:id="62" w:name="_Toc19578"/>
      <w:bookmarkStart w:id="63" w:name="_Toc32517"/>
      <w:bookmarkStart w:id="64" w:name="_Toc23920"/>
      <w:bookmarkStart w:id="65" w:name="_Toc8722"/>
      <w:bookmarkStart w:id="66" w:name="_Toc27274"/>
      <w:bookmarkStart w:id="67" w:name="_Toc21969"/>
      <w:bookmarkStart w:id="68" w:name="_Toc11397"/>
      <w:bookmarkStart w:id="69" w:name="_Toc24508"/>
      <w:bookmarkStart w:id="70" w:name="_Toc30894"/>
      <w:bookmarkStart w:id="71" w:name="_Toc28406"/>
      <w:bookmarkStart w:id="72" w:name="_Toc28030"/>
      <w:bookmarkStart w:id="73" w:name="_Toc2469"/>
      <w:bookmarkStart w:id="74" w:name="_Toc22930"/>
      <w:bookmarkStart w:id="75" w:name="_Toc7786"/>
      <w:bookmarkStart w:id="76" w:name="_Toc12241"/>
      <w:bookmarkStart w:id="77" w:name="_Toc4548"/>
      <w:bookmarkStart w:id="78" w:name="_Toc6079"/>
      <w:bookmarkStart w:id="79" w:name="_Toc5873"/>
      <w:bookmarkStart w:id="80" w:name="_Toc12110"/>
      <w:bookmarkStart w:id="81" w:name="_Toc27238"/>
      <w:bookmarkStart w:id="82" w:name="_Toc7615"/>
      <w:bookmarkStart w:id="83" w:name="_Toc7489"/>
      <w:bookmarkStart w:id="84" w:name="_Toc7622"/>
      <w:bookmarkStart w:id="85" w:name="_Toc12227"/>
      <w:bookmarkStart w:id="86" w:name="_Toc19446"/>
      <w:bookmarkStart w:id="87" w:name="_Toc22292"/>
      <w:bookmarkStart w:id="88" w:name="_Toc5255"/>
      <w:bookmarkStart w:id="89" w:name="_Toc12283"/>
      <w:bookmarkStart w:id="90" w:name="_Toc8085"/>
      <w:bookmarkStart w:id="91" w:name="_Toc13225"/>
      <w:bookmarkStart w:id="92" w:name="_Toc3897"/>
      <w:bookmarkStart w:id="93" w:name="_Toc14835"/>
      <w:bookmarkStart w:id="94" w:name="_Toc9493"/>
      <w:bookmarkStart w:id="95" w:name="_Toc3294"/>
      <w:bookmarkStart w:id="96" w:name="_Toc4745"/>
      <w:bookmarkStart w:id="97" w:name="_Toc12340"/>
      <w:bookmarkStart w:id="98" w:name="_Toc6663"/>
      <w:bookmarkStart w:id="99" w:name="_Toc507"/>
      <w:r>
        <w:rPr>
          <w:b/>
          <w:bCs/>
          <w:sz w:val="30"/>
          <w:szCs w:val="30"/>
        </w:rPr>
        <w:t>表2  建设项目概况及工艺流程</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8"/>
              <w:ind w:firstLine="482"/>
              <w:rPr>
                <w:rFonts w:cs="Times New Roman"/>
                <w:b/>
                <w:bCs/>
                <w:kern w:val="0"/>
              </w:rPr>
            </w:pPr>
            <w:r>
              <w:rPr>
                <w:rFonts w:cs="Times New Roman"/>
                <w:b/>
                <w:bCs/>
                <w:kern w:val="0"/>
              </w:rPr>
              <w:t>一、公司概况</w:t>
            </w:r>
          </w:p>
          <w:p>
            <w:pPr>
              <w:ind w:firstLine="480"/>
            </w:pPr>
            <w:r>
              <w:rPr>
                <w:rFonts w:hint="eastAsia"/>
              </w:rPr>
              <w:t>济南中仁谊科医学检验实验室有限公司成立于2022年9月21日，注册地位于山东省济南市高新区春兰路1177号银丰国际生物城A4-101-301，法定代表人为张广荣。经营范围包括许可项目：医疗服务。一般项目：人体基因诊断与治疗技术开发；细胞技术研发和应用；技术服务、技术开发。</w:t>
            </w:r>
          </w:p>
          <w:p>
            <w:pPr>
              <w:ind w:firstLine="482"/>
              <w:jc w:val="left"/>
              <w:rPr>
                <w:b/>
                <w:bCs/>
              </w:rPr>
            </w:pPr>
            <w:r>
              <w:rPr>
                <w:b/>
                <w:bCs/>
              </w:rPr>
              <w:t>二、本项目概况</w:t>
            </w:r>
          </w:p>
          <w:p>
            <w:pPr>
              <w:ind w:firstLine="480"/>
            </w:pPr>
            <w:r>
              <w:rPr>
                <w:rFonts w:hint="eastAsia"/>
              </w:rPr>
              <w:t>济南中仁谊科医学检验实验室有限公司2022年11月委托山东国嘉环保科技有限公司编制完成了《济南中仁谊科医学检验实验室有限公司济南中仁谊科医学检验实验室环境影响报告表》，并于2023年1月6日经济南市生态环境局审批（济环报告表〔2022〕G108号）。</w:t>
            </w:r>
          </w:p>
          <w:p>
            <w:pPr>
              <w:ind w:firstLine="480"/>
            </w:pPr>
            <w:r>
              <w:rPr>
                <w:rFonts w:hint="eastAsia"/>
              </w:rPr>
              <w:t>济南中仁谊科医学检验实验室有限公司济南中仁谊科医学检验实验室位于山东省济南市高新区春兰路1177号银丰国际生物城A4-101-3，中心坐标经纬度为36度42分21.780秒，117度19分2.617秒。项目性质为新建，行业类别及代码为M7340医学研究和试验发展、M7451检验检疫服务。项目总投资1000万元，其中环保投资60万元，建筑面积868.72</w:t>
            </w:r>
            <w:r>
              <w:rPr>
                <w:rFonts w:hint="eastAsia"/>
                <w:lang w:eastAsia="zh-CN"/>
              </w:rPr>
              <w:t>m</w:t>
            </w:r>
            <w:r>
              <w:rPr>
                <w:rFonts w:hint="eastAsia"/>
                <w:vertAlign w:val="superscript"/>
                <w:lang w:eastAsia="zh-CN"/>
              </w:rPr>
              <w:t>2</w:t>
            </w:r>
            <w:r>
              <w:rPr>
                <w:rFonts w:hint="eastAsia"/>
              </w:rPr>
              <w:t>，建设内容为实验室、办公区及相关配套设施。项目主要对血样和细胞样本进行分子分型实验、病理TCT实验、免疫实验，其中，分子分型实验、病理TCT实验目的为筛查宫颈癌疾病，免疫实验目的为检测乙肝病毒。项目</w:t>
            </w:r>
            <w:r>
              <w:rPr>
                <w:rFonts w:hint="eastAsia"/>
                <w:lang w:eastAsia="zh-CN"/>
              </w:rPr>
              <w:t>职工</w:t>
            </w:r>
            <w:r>
              <w:rPr>
                <w:rFonts w:hint="eastAsia"/>
              </w:rPr>
              <w:t>20人，实行单班白班制，每天工作8小时，年工作250天，夜间不运行。</w:t>
            </w:r>
          </w:p>
          <w:p>
            <w:pPr>
              <w:ind w:firstLine="480"/>
            </w:pPr>
            <w:r>
              <w:rPr>
                <w:rFonts w:hint="eastAsia"/>
              </w:rPr>
              <w:t>本项目于2023年1月开工建设，2023年2月建成并进行调试，环保设施同时设计、同时施工并同时进行调试，调试期间运行状况良好，具备竣工验收条件。</w:t>
            </w:r>
          </w:p>
          <w:p>
            <w:pPr>
              <w:pStyle w:val="38"/>
              <w:ind w:firstLine="482"/>
              <w:rPr>
                <w:rFonts w:cs="Times New Roman"/>
                <w:b/>
                <w:bCs/>
              </w:rPr>
            </w:pPr>
            <w:r>
              <w:rPr>
                <w:rFonts w:cs="Times New Roman"/>
                <w:b/>
                <w:bCs/>
              </w:rPr>
              <w:t>1、建设内容</w:t>
            </w:r>
          </w:p>
          <w:p>
            <w:pPr>
              <w:pStyle w:val="38"/>
              <w:rPr>
                <w:rFonts w:cs="Times New Roman"/>
                <w:b/>
                <w:bCs/>
                <w:szCs w:val="24"/>
              </w:rPr>
            </w:pPr>
            <w:r>
              <w:rPr>
                <w:rFonts w:cs="Times New Roman"/>
                <w:szCs w:val="24"/>
              </w:rPr>
              <w:t>本项目工程主要组成见表2-1，主要产品情况见表2-2，主要生产设备见表2-3，原辅料及能源使用情况见表2-4。</w:t>
            </w:r>
          </w:p>
          <w:p>
            <w:pPr>
              <w:ind w:firstLine="482"/>
              <w:jc w:val="center"/>
              <w:rPr>
                <w:b/>
                <w:bCs/>
              </w:rPr>
            </w:pPr>
            <w:r>
              <w:rPr>
                <w:b/>
                <w:bCs/>
              </w:rPr>
              <w:t>表2-1  本项目工程主要组成一览表</w:t>
            </w:r>
          </w:p>
          <w:tbl>
            <w:tblPr>
              <w:tblStyle w:val="28"/>
              <w:tblW w:w="904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984"/>
              <w:gridCol w:w="1145"/>
              <w:gridCol w:w="2823"/>
              <w:gridCol w:w="2697"/>
              <w:gridCol w:w="139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1177" w:type="pct"/>
                  <w:gridSpan w:val="2"/>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6"/>
                    <w:rPr>
                      <w:b/>
                      <w:bCs/>
                      <w:szCs w:val="21"/>
                      <w:lang w:bidi="ar"/>
                    </w:rPr>
                  </w:pPr>
                  <w:r>
                    <w:rPr>
                      <w:b/>
                      <w:bCs/>
                      <w:szCs w:val="21"/>
                      <w:lang w:bidi="ar"/>
                    </w:rPr>
                    <w:t>工程分类</w:t>
                  </w:r>
                </w:p>
              </w:tc>
              <w:tc>
                <w:tcPr>
                  <w:tcW w:w="1561"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pStyle w:val="46"/>
                    <w:rPr>
                      <w:b/>
                      <w:bCs/>
                      <w:szCs w:val="21"/>
                      <w:lang w:bidi="ar"/>
                    </w:rPr>
                  </w:pPr>
                  <w:r>
                    <w:rPr>
                      <w:b/>
                      <w:bCs/>
                      <w:szCs w:val="21"/>
                      <w:lang w:bidi="ar"/>
                    </w:rPr>
                    <w:t>环评及批复主要建设内容及规模</w:t>
                  </w:r>
                </w:p>
              </w:tc>
              <w:tc>
                <w:tcPr>
                  <w:tcW w:w="1491"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6"/>
                    <w:rPr>
                      <w:b/>
                      <w:bCs/>
                      <w:szCs w:val="21"/>
                      <w:lang w:bidi="ar"/>
                    </w:rPr>
                  </w:pPr>
                  <w:r>
                    <w:rPr>
                      <w:b/>
                      <w:bCs/>
                      <w:szCs w:val="21"/>
                      <w:lang w:bidi="ar"/>
                    </w:rPr>
                    <w:t>实际主要建设内容及规模</w:t>
                  </w:r>
                </w:p>
              </w:tc>
              <w:tc>
                <w:tcPr>
                  <w:tcW w:w="769"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pStyle w:val="46"/>
                    <w:rPr>
                      <w:b/>
                      <w:bCs/>
                      <w:szCs w:val="21"/>
                      <w:lang w:bidi="ar"/>
                    </w:rPr>
                  </w:pPr>
                  <w:r>
                    <w:rPr>
                      <w:rFonts w:hint="eastAsia"/>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主体工程</w:t>
                  </w:r>
                </w:p>
              </w:tc>
              <w:tc>
                <w:tcPr>
                  <w:tcW w:w="633"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实验室</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tcPr>
                <w:p>
                  <w:pPr>
                    <w:pStyle w:val="46"/>
                    <w:jc w:val="left"/>
                    <w:rPr>
                      <w:szCs w:val="21"/>
                      <w:lang w:bidi="ar"/>
                    </w:rPr>
                  </w:pPr>
                  <w:r>
                    <w:rPr>
                      <w:szCs w:val="21"/>
                      <w:lang w:bidi="ar"/>
                    </w:rPr>
                    <w:t>占地面积452.77</w:t>
                  </w:r>
                  <w:r>
                    <w:rPr>
                      <w:rFonts w:hint="eastAsia"/>
                      <w:szCs w:val="21"/>
                      <w:lang w:eastAsia="zh-CN" w:bidi="ar"/>
                    </w:rPr>
                    <w:t>m</w:t>
                  </w:r>
                  <w:r>
                    <w:rPr>
                      <w:rFonts w:hint="eastAsia"/>
                      <w:szCs w:val="21"/>
                      <w:vertAlign w:val="superscript"/>
                      <w:lang w:eastAsia="zh-CN" w:bidi="ar"/>
                    </w:rPr>
                    <w:t>2</w:t>
                  </w:r>
                  <w:r>
                    <w:rPr>
                      <w:szCs w:val="21"/>
                      <w:lang w:bidi="ar"/>
                    </w:rPr>
                    <w:t>，建筑面积868.72</w:t>
                  </w:r>
                  <w:r>
                    <w:rPr>
                      <w:rFonts w:hint="eastAsia"/>
                      <w:szCs w:val="21"/>
                      <w:lang w:eastAsia="zh-CN" w:bidi="ar"/>
                    </w:rPr>
                    <w:t>m</w:t>
                  </w:r>
                  <w:r>
                    <w:rPr>
                      <w:rFonts w:hint="eastAsia"/>
                      <w:szCs w:val="21"/>
                      <w:vertAlign w:val="superscript"/>
                      <w:lang w:eastAsia="zh-CN" w:bidi="ar"/>
                    </w:rPr>
                    <w:t>2</w:t>
                  </w:r>
                  <w:r>
                    <w:rPr>
                      <w:szCs w:val="21"/>
                      <w:lang w:bidi="ar"/>
                    </w:rPr>
                    <w:t>共两层</w:t>
                  </w:r>
                </w:p>
                <w:p>
                  <w:pPr>
                    <w:pStyle w:val="46"/>
                    <w:jc w:val="left"/>
                    <w:rPr>
                      <w:szCs w:val="21"/>
                      <w:lang w:bidi="ar"/>
                    </w:rPr>
                  </w:pPr>
                  <w:r>
                    <w:rPr>
                      <w:rFonts w:hint="eastAsia"/>
                      <w:szCs w:val="21"/>
                      <w:lang w:val="en-US" w:eastAsia="zh-CN" w:bidi="ar"/>
                    </w:rPr>
                    <w:t>3</w:t>
                  </w:r>
                  <w:r>
                    <w:rPr>
                      <w:rFonts w:hint="eastAsia"/>
                      <w:szCs w:val="21"/>
                      <w:lang w:eastAsia="zh-CN" w:bidi="ar"/>
                    </w:rPr>
                    <w:t>F</w:t>
                  </w:r>
                  <w:r>
                    <w:rPr>
                      <w:szCs w:val="21"/>
                      <w:lang w:bidi="ar"/>
                    </w:rPr>
                    <w:t>：主要包括阅片室、更衣室、样本接受间、样本前处理室、控制室、检测室、免疫实验室、细胞技术室、组织技术室、污物楼梯、DNA倍体、洗消间、危废暂存间、危险品仓库等。</w:t>
                  </w:r>
                </w:p>
                <w:p>
                  <w:pPr>
                    <w:pStyle w:val="46"/>
                    <w:jc w:val="left"/>
                    <w:rPr>
                      <w:szCs w:val="21"/>
                      <w:lang w:bidi="ar"/>
                    </w:rPr>
                  </w:pPr>
                  <w:r>
                    <w:rPr>
                      <w:rFonts w:hint="eastAsia"/>
                      <w:szCs w:val="21"/>
                      <w:lang w:val="en-US" w:eastAsia="zh-CN" w:bidi="ar"/>
                    </w:rPr>
                    <w:t>4</w:t>
                  </w:r>
                  <w:r>
                    <w:rPr>
                      <w:rFonts w:hint="eastAsia"/>
                      <w:szCs w:val="21"/>
                      <w:lang w:eastAsia="zh-CN" w:bidi="ar"/>
                    </w:rPr>
                    <w:t>F</w:t>
                  </w:r>
                  <w:r>
                    <w:rPr>
                      <w:szCs w:val="21"/>
                      <w:lang w:bidi="ar"/>
                    </w:rPr>
                    <w:t>：主要包括更衣室、卫生间、分子诊断备用室、试剂准备区、标本制备区、污物分析区、实验原料仓库、危废暂存区、实验室走廊、缓冲间等。</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占地面积452.77</w:t>
                  </w:r>
                  <w:r>
                    <w:rPr>
                      <w:rFonts w:hint="eastAsia"/>
                      <w:szCs w:val="21"/>
                      <w:lang w:eastAsia="zh-CN" w:bidi="ar"/>
                    </w:rPr>
                    <w:t>m</w:t>
                  </w:r>
                  <w:r>
                    <w:rPr>
                      <w:rFonts w:hint="eastAsia"/>
                      <w:szCs w:val="21"/>
                      <w:vertAlign w:val="superscript"/>
                      <w:lang w:eastAsia="zh-CN" w:bidi="ar"/>
                    </w:rPr>
                    <w:t>2</w:t>
                  </w:r>
                  <w:r>
                    <w:rPr>
                      <w:szCs w:val="21"/>
                      <w:lang w:bidi="ar"/>
                    </w:rPr>
                    <w:t>，建筑面积868.72</w:t>
                  </w:r>
                  <w:r>
                    <w:rPr>
                      <w:rFonts w:hint="eastAsia"/>
                      <w:szCs w:val="21"/>
                      <w:lang w:eastAsia="zh-CN" w:bidi="ar"/>
                    </w:rPr>
                    <w:t>m</w:t>
                  </w:r>
                  <w:r>
                    <w:rPr>
                      <w:rFonts w:hint="eastAsia"/>
                      <w:szCs w:val="21"/>
                      <w:vertAlign w:val="superscript"/>
                      <w:lang w:eastAsia="zh-CN" w:bidi="ar"/>
                    </w:rPr>
                    <w:t>2</w:t>
                  </w:r>
                  <w:r>
                    <w:rPr>
                      <w:szCs w:val="21"/>
                      <w:lang w:bidi="ar"/>
                    </w:rPr>
                    <w:t>共两层</w:t>
                  </w:r>
                </w:p>
                <w:p>
                  <w:pPr>
                    <w:pStyle w:val="46"/>
                    <w:jc w:val="left"/>
                    <w:rPr>
                      <w:szCs w:val="21"/>
                      <w:lang w:bidi="ar"/>
                    </w:rPr>
                  </w:pPr>
                  <w:r>
                    <w:rPr>
                      <w:rFonts w:hint="eastAsia"/>
                      <w:szCs w:val="21"/>
                      <w:lang w:eastAsia="zh-CN" w:bidi="ar"/>
                    </w:rPr>
                    <w:t>2F</w:t>
                  </w:r>
                  <w:r>
                    <w:rPr>
                      <w:szCs w:val="21"/>
                      <w:lang w:bidi="ar"/>
                    </w:rPr>
                    <w:t>：主要包括阅片室、更衣室、样本接受间、样本前处理室、控制室、检测室、免疫实验室、细胞技术室、组织技术室、污物楼梯、DNA倍体、洗消间、危废暂存间、危险品仓库等。</w:t>
                  </w:r>
                </w:p>
                <w:p>
                  <w:pPr>
                    <w:pStyle w:val="46"/>
                    <w:jc w:val="left"/>
                    <w:rPr>
                      <w:szCs w:val="21"/>
                      <w:lang w:bidi="ar"/>
                    </w:rPr>
                  </w:pPr>
                  <w:r>
                    <w:rPr>
                      <w:rFonts w:hint="eastAsia"/>
                      <w:szCs w:val="21"/>
                      <w:lang w:eastAsia="zh-CN" w:bidi="ar"/>
                    </w:rPr>
                    <w:t>3F</w:t>
                  </w:r>
                  <w:r>
                    <w:rPr>
                      <w:szCs w:val="21"/>
                      <w:lang w:bidi="ar"/>
                    </w:rPr>
                    <w:t>：主要包括更衣室、卫生间、分子诊断备用室、试剂准备区、标本制备区、污物分析区、实验原料仓库、危废暂存区、实验室走廊、缓冲间等。</w:t>
                  </w:r>
                </w:p>
              </w:tc>
              <w:tc>
                <w:tcPr>
                  <w:tcW w:w="769" w:type="pct"/>
                  <w:vMerge w:val="restar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lang w:eastAsia="zh-CN" w:bidi="ar"/>
                    </w:rPr>
                    <w:t>项目所在楼房楼层实际为三层，环评规划中</w:t>
                  </w:r>
                  <w:r>
                    <w:rPr>
                      <w:rFonts w:hint="eastAsia"/>
                      <w:szCs w:val="21"/>
                      <w:lang w:val="en-US" w:eastAsia="zh-CN" w:bidi="ar"/>
                    </w:rPr>
                    <w:t>3F和4F，实际中分别为2F和3F，项目建设地点未发生变化，楼层平面布置未变，楼房高度未变；</w:t>
                  </w:r>
                  <w:r>
                    <w:rPr>
                      <w:rFonts w:hint="eastAsia"/>
                      <w:szCs w:val="21"/>
                      <w:lang w:eastAsia="zh-CN" w:bidi="ar"/>
                    </w:rPr>
                    <w:t>环评规划中3F危废间用于危险废物暂存、4F危废间用于医疗废物暂存，为方便人员和物料流动的顺畅性，实际建设为2F危废间用于医疗废物暂存、3F危废间用于医疗废物和危险废物暂存</w:t>
                  </w:r>
                  <w:r>
                    <w:rPr>
                      <w:rFonts w:hint="eastAsia"/>
                      <w:szCs w:val="21"/>
                      <w:lang w:bidi="ar"/>
                    </w:rPr>
                    <w:t>，</w:t>
                  </w:r>
                  <w:r>
                    <w:rPr>
                      <w:szCs w:val="21"/>
                    </w:rPr>
                    <w:t>环境防护距离</w:t>
                  </w:r>
                  <w:r>
                    <w:rPr>
                      <w:rFonts w:hint="eastAsia"/>
                      <w:szCs w:val="21"/>
                    </w:rPr>
                    <w:t>未发生变化且</w:t>
                  </w:r>
                  <w:r>
                    <w:rPr>
                      <w:szCs w:val="21"/>
                    </w:rPr>
                    <w:t>未新增敏感点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restart"/>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辅助工程</w:t>
                  </w:r>
                </w:p>
              </w:tc>
              <w:tc>
                <w:tcPr>
                  <w:tcW w:w="633" w:type="pct"/>
                  <w:vMerge w:val="restar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危废间</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val="en-US" w:eastAsia="zh-CN" w:bidi="ar"/>
                    </w:rPr>
                    <w:t>3</w:t>
                  </w:r>
                  <w:r>
                    <w:rPr>
                      <w:rFonts w:hint="eastAsia"/>
                      <w:szCs w:val="21"/>
                      <w:lang w:eastAsia="zh-CN" w:bidi="ar"/>
                    </w:rPr>
                    <w:t>F</w:t>
                  </w:r>
                  <w:r>
                    <w:rPr>
                      <w:szCs w:val="21"/>
                      <w:lang w:bidi="ar"/>
                    </w:rPr>
                    <w:t>西北侧，建筑面积约4.2</w:t>
                  </w:r>
                  <w:r>
                    <w:rPr>
                      <w:rFonts w:hint="eastAsia"/>
                      <w:szCs w:val="21"/>
                      <w:lang w:eastAsia="zh-CN" w:bidi="ar"/>
                    </w:rPr>
                    <w:t>m</w:t>
                  </w:r>
                  <w:r>
                    <w:rPr>
                      <w:rFonts w:hint="eastAsia"/>
                      <w:szCs w:val="21"/>
                      <w:vertAlign w:val="superscript"/>
                      <w:lang w:eastAsia="zh-CN" w:bidi="ar"/>
                    </w:rPr>
                    <w:t>2</w:t>
                  </w:r>
                  <w:r>
                    <w:rPr>
                      <w:szCs w:val="21"/>
                      <w:lang w:bidi="ar"/>
                    </w:rPr>
                    <w:t>，主要用于危险废物暂存。</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eastAsia="zh-CN" w:bidi="ar"/>
                    </w:rPr>
                    <w:t>2F</w:t>
                  </w:r>
                  <w:r>
                    <w:rPr>
                      <w:szCs w:val="21"/>
                      <w:lang w:bidi="ar"/>
                    </w:rPr>
                    <w:t>西北侧，建筑面积约4.2</w:t>
                  </w:r>
                  <w:r>
                    <w:rPr>
                      <w:rFonts w:hint="eastAsia"/>
                      <w:szCs w:val="21"/>
                      <w:lang w:eastAsia="zh-CN" w:bidi="ar"/>
                    </w:rPr>
                    <w:t>m</w:t>
                  </w:r>
                  <w:r>
                    <w:rPr>
                      <w:rFonts w:hint="eastAsia"/>
                      <w:szCs w:val="21"/>
                      <w:vertAlign w:val="superscript"/>
                      <w:lang w:eastAsia="zh-CN" w:bidi="ar"/>
                    </w:rPr>
                    <w:t>2</w:t>
                  </w:r>
                  <w:r>
                    <w:rPr>
                      <w:szCs w:val="21"/>
                      <w:lang w:bidi="ar"/>
                    </w:rPr>
                    <w:t>，主要用于</w:t>
                  </w:r>
                  <w:r>
                    <w:rPr>
                      <w:rFonts w:hint="eastAsia"/>
                      <w:szCs w:val="21"/>
                      <w:lang w:bidi="ar"/>
                    </w:rPr>
                    <w:t>医疗</w:t>
                  </w:r>
                  <w:r>
                    <w:rPr>
                      <w:szCs w:val="21"/>
                      <w:lang w:bidi="ar"/>
                    </w:rPr>
                    <w:t>废物暂存。</w:t>
                  </w:r>
                </w:p>
              </w:tc>
              <w:tc>
                <w:tcPr>
                  <w:tcW w:w="769" w:type="pct"/>
                  <w:vMerge w:val="continue"/>
                  <w:tcBorders>
                    <w:left w:val="single" w:color="auto" w:sz="6" w:space="0"/>
                    <w:right w:val="single" w:color="auto" w:sz="6" w:space="0"/>
                  </w:tcBorders>
                  <w:tcMar>
                    <w:top w:w="0" w:type="dxa"/>
                    <w:left w:w="0" w:type="dxa"/>
                    <w:bottom w:w="0" w:type="dxa"/>
                    <w:right w:w="0" w:type="dxa"/>
                  </w:tcMar>
                  <w:vAlign w:val="center"/>
                </w:tcPr>
                <w:p>
                  <w:pPr>
                    <w:pStyle w:val="46"/>
                    <w:rPr>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633" w:type="pct"/>
                  <w:vMerge w:val="continue"/>
                  <w:tcBorders>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val="en-US" w:eastAsia="zh-CN" w:bidi="ar"/>
                    </w:rPr>
                    <w:t>4</w:t>
                  </w:r>
                  <w:r>
                    <w:rPr>
                      <w:rFonts w:hint="eastAsia"/>
                      <w:szCs w:val="21"/>
                      <w:lang w:eastAsia="zh-CN" w:bidi="ar"/>
                    </w:rPr>
                    <w:t>F</w:t>
                  </w:r>
                  <w:r>
                    <w:rPr>
                      <w:szCs w:val="21"/>
                      <w:lang w:bidi="ar"/>
                    </w:rPr>
                    <w:t>西北侧，建筑面积约12.2</w:t>
                  </w:r>
                  <w:r>
                    <w:rPr>
                      <w:rFonts w:hint="eastAsia"/>
                      <w:szCs w:val="21"/>
                      <w:lang w:eastAsia="zh-CN" w:bidi="ar"/>
                    </w:rPr>
                    <w:t>m</w:t>
                  </w:r>
                  <w:r>
                    <w:rPr>
                      <w:rFonts w:hint="eastAsia"/>
                      <w:szCs w:val="21"/>
                      <w:vertAlign w:val="superscript"/>
                      <w:lang w:eastAsia="zh-CN" w:bidi="ar"/>
                    </w:rPr>
                    <w:t>2</w:t>
                  </w:r>
                  <w:r>
                    <w:rPr>
                      <w:szCs w:val="21"/>
                      <w:lang w:bidi="ar"/>
                    </w:rPr>
                    <w:t>，主要用于医疗废物暂存。</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eastAsia="zh-CN" w:bidi="ar"/>
                    </w:rPr>
                    <w:t>3F</w:t>
                  </w:r>
                  <w:r>
                    <w:rPr>
                      <w:szCs w:val="21"/>
                      <w:lang w:bidi="ar"/>
                    </w:rPr>
                    <w:t>西北侧，建筑面积约12.2</w:t>
                  </w:r>
                  <w:r>
                    <w:rPr>
                      <w:rFonts w:hint="eastAsia"/>
                      <w:szCs w:val="21"/>
                      <w:lang w:eastAsia="zh-CN" w:bidi="ar"/>
                    </w:rPr>
                    <w:t>m</w:t>
                  </w:r>
                  <w:r>
                    <w:rPr>
                      <w:rFonts w:hint="eastAsia"/>
                      <w:szCs w:val="21"/>
                      <w:vertAlign w:val="superscript"/>
                      <w:lang w:eastAsia="zh-CN" w:bidi="ar"/>
                    </w:rPr>
                    <w:t>2</w:t>
                  </w:r>
                  <w:r>
                    <w:rPr>
                      <w:szCs w:val="21"/>
                      <w:lang w:bidi="ar"/>
                    </w:rPr>
                    <w:t>，主要用于医疗废物</w:t>
                  </w:r>
                  <w:r>
                    <w:rPr>
                      <w:rFonts w:hint="eastAsia"/>
                      <w:szCs w:val="21"/>
                      <w:lang w:bidi="ar"/>
                    </w:rPr>
                    <w:t>和危险废物</w:t>
                  </w:r>
                  <w:r>
                    <w:rPr>
                      <w:szCs w:val="21"/>
                      <w:lang w:bidi="ar"/>
                    </w:rPr>
                    <w:t>暂存。</w:t>
                  </w:r>
                </w:p>
              </w:tc>
              <w:tc>
                <w:tcPr>
                  <w:tcW w:w="769" w:type="pct"/>
                  <w:vMerge w:val="continue"/>
                  <w:tcBorders>
                    <w:left w:val="single" w:color="auto" w:sz="6" w:space="0"/>
                    <w:right w:val="single" w:color="auto" w:sz="6" w:space="0"/>
                  </w:tcBorders>
                  <w:tcMar>
                    <w:top w:w="0" w:type="dxa"/>
                    <w:left w:w="0" w:type="dxa"/>
                    <w:bottom w:w="0" w:type="dxa"/>
                    <w:right w:w="0" w:type="dxa"/>
                  </w:tcMar>
                  <w:vAlign w:val="center"/>
                </w:tcPr>
                <w:p>
                  <w:pPr>
                    <w:pStyle w:val="46"/>
                    <w:rPr>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仓库</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rFonts w:hint="eastAsia"/>
                      <w:szCs w:val="21"/>
                      <w:lang w:val="en-US" w:eastAsia="zh-CN" w:bidi="ar"/>
                    </w:rPr>
                    <w:t>3</w:t>
                  </w:r>
                  <w:r>
                    <w:rPr>
                      <w:rFonts w:hint="eastAsia"/>
                      <w:szCs w:val="21"/>
                      <w:lang w:eastAsia="zh-CN" w:bidi="ar"/>
                    </w:rPr>
                    <w:t>F</w:t>
                  </w:r>
                  <w:r>
                    <w:rPr>
                      <w:szCs w:val="21"/>
                      <w:lang w:bidi="ar"/>
                    </w:rPr>
                    <w:t>西侧危险品仓库建筑面积约9.8</w:t>
                  </w:r>
                  <w:r>
                    <w:rPr>
                      <w:rFonts w:hint="eastAsia"/>
                      <w:szCs w:val="21"/>
                      <w:lang w:eastAsia="zh-CN" w:bidi="ar"/>
                    </w:rPr>
                    <w:t>m</w:t>
                  </w:r>
                  <w:r>
                    <w:rPr>
                      <w:rFonts w:hint="eastAsia"/>
                      <w:szCs w:val="21"/>
                      <w:vertAlign w:val="superscript"/>
                      <w:lang w:eastAsia="zh-CN" w:bidi="ar"/>
                    </w:rPr>
                    <w:t>2</w:t>
                  </w:r>
                  <w:r>
                    <w:rPr>
                      <w:szCs w:val="21"/>
                      <w:lang w:bidi="ar"/>
                    </w:rPr>
                    <w:t>，用于存放实验试剂等危险品。</w:t>
                  </w:r>
                </w:p>
                <w:p>
                  <w:pPr>
                    <w:pStyle w:val="46"/>
                    <w:jc w:val="left"/>
                    <w:rPr>
                      <w:szCs w:val="21"/>
                      <w:lang w:bidi="ar"/>
                    </w:rPr>
                  </w:pPr>
                  <w:r>
                    <w:rPr>
                      <w:rFonts w:hint="eastAsia"/>
                      <w:szCs w:val="21"/>
                      <w:lang w:val="en-US" w:eastAsia="zh-CN" w:bidi="ar"/>
                    </w:rPr>
                    <w:t>4</w:t>
                  </w:r>
                  <w:r>
                    <w:rPr>
                      <w:rFonts w:hint="eastAsia"/>
                      <w:szCs w:val="21"/>
                      <w:lang w:eastAsia="zh-CN" w:bidi="ar"/>
                    </w:rPr>
                    <w:t>F</w:t>
                  </w:r>
                  <w:r>
                    <w:rPr>
                      <w:szCs w:val="21"/>
                      <w:lang w:bidi="ar"/>
                    </w:rPr>
                    <w:t>东侧实验原料仓库建筑面积约8.2</w:t>
                  </w:r>
                  <w:r>
                    <w:rPr>
                      <w:rFonts w:hint="eastAsia"/>
                      <w:szCs w:val="21"/>
                      <w:lang w:eastAsia="zh-CN" w:bidi="ar"/>
                    </w:rPr>
                    <w:t>m</w:t>
                  </w:r>
                  <w:r>
                    <w:rPr>
                      <w:rFonts w:hint="eastAsia"/>
                      <w:szCs w:val="21"/>
                      <w:vertAlign w:val="superscript"/>
                      <w:lang w:eastAsia="zh-CN" w:bidi="ar"/>
                    </w:rPr>
                    <w:t>2</w:t>
                  </w:r>
                  <w:r>
                    <w:rPr>
                      <w:szCs w:val="21"/>
                      <w:lang w:bidi="ar"/>
                    </w:rPr>
                    <w:t>，用于存放原辅料</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rFonts w:hint="eastAsia"/>
                      <w:szCs w:val="21"/>
                      <w:lang w:eastAsia="zh-CN" w:bidi="ar"/>
                    </w:rPr>
                    <w:t>2F</w:t>
                  </w:r>
                  <w:r>
                    <w:rPr>
                      <w:szCs w:val="21"/>
                      <w:lang w:bidi="ar"/>
                    </w:rPr>
                    <w:t>西侧危险品仓库建筑面积约9.8</w:t>
                  </w:r>
                  <w:r>
                    <w:rPr>
                      <w:rFonts w:hint="eastAsia"/>
                      <w:szCs w:val="21"/>
                      <w:lang w:eastAsia="zh-CN" w:bidi="ar"/>
                    </w:rPr>
                    <w:t>m</w:t>
                  </w:r>
                  <w:r>
                    <w:rPr>
                      <w:rFonts w:hint="eastAsia"/>
                      <w:szCs w:val="21"/>
                      <w:vertAlign w:val="superscript"/>
                      <w:lang w:eastAsia="zh-CN" w:bidi="ar"/>
                    </w:rPr>
                    <w:t>2</w:t>
                  </w:r>
                  <w:r>
                    <w:rPr>
                      <w:szCs w:val="21"/>
                      <w:lang w:bidi="ar"/>
                    </w:rPr>
                    <w:t>，用于存放实验试剂等危险品。</w:t>
                  </w:r>
                </w:p>
                <w:p>
                  <w:pPr>
                    <w:pStyle w:val="46"/>
                    <w:jc w:val="left"/>
                    <w:rPr>
                      <w:szCs w:val="21"/>
                      <w:lang w:bidi="ar"/>
                    </w:rPr>
                  </w:pPr>
                  <w:r>
                    <w:rPr>
                      <w:rFonts w:hint="eastAsia"/>
                      <w:szCs w:val="21"/>
                      <w:lang w:eastAsia="zh-CN" w:bidi="ar"/>
                    </w:rPr>
                    <w:t>3F</w:t>
                  </w:r>
                  <w:r>
                    <w:rPr>
                      <w:szCs w:val="21"/>
                      <w:lang w:bidi="ar"/>
                    </w:rPr>
                    <w:t>东侧实验原料仓库建筑面积约8.2</w:t>
                  </w:r>
                  <w:r>
                    <w:rPr>
                      <w:rFonts w:hint="eastAsia"/>
                      <w:szCs w:val="21"/>
                      <w:lang w:eastAsia="zh-CN" w:bidi="ar"/>
                    </w:rPr>
                    <w:t>m</w:t>
                  </w:r>
                  <w:r>
                    <w:rPr>
                      <w:rFonts w:hint="eastAsia"/>
                      <w:szCs w:val="21"/>
                      <w:vertAlign w:val="superscript"/>
                      <w:lang w:eastAsia="zh-CN" w:bidi="ar"/>
                    </w:rPr>
                    <w:t>2</w:t>
                  </w:r>
                  <w:r>
                    <w:rPr>
                      <w:szCs w:val="21"/>
                      <w:lang w:bidi="ar"/>
                    </w:rPr>
                    <w:t>，用于存放原辅料</w:t>
                  </w:r>
                </w:p>
              </w:tc>
              <w:tc>
                <w:tcPr>
                  <w:tcW w:w="769" w:type="pct"/>
                  <w:vMerge w:val="continue"/>
                  <w:tcBorders>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公用工程</w:t>
                  </w: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给水</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由当地自来水管网提供。</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由当地自来水管网提供。</w:t>
                  </w:r>
                </w:p>
              </w:tc>
              <w:tc>
                <w:tcPr>
                  <w:tcW w:w="76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依托已有管线，与环评一致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供电</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由当地供电网提供。</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由当地供电网提供。</w:t>
                  </w:r>
                </w:p>
              </w:tc>
              <w:tc>
                <w:tcPr>
                  <w:tcW w:w="76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依托已有管线，与环评一致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bottom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供暖、制冷</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项目办公采用空调供暖制冷。</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项目办公采用空调供暖制冷。</w:t>
                  </w:r>
                </w:p>
              </w:tc>
              <w:tc>
                <w:tcPr>
                  <w:tcW w:w="76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rPr>
                      <w:b/>
                      <w:bCs/>
                      <w:szCs w:val="21"/>
                      <w:lang w:bidi="ar"/>
                    </w:rPr>
                  </w:pPr>
                  <w:r>
                    <w:rPr>
                      <w:b/>
                      <w:bCs/>
                      <w:szCs w:val="21"/>
                      <w:lang w:bidi="ar"/>
                    </w:rPr>
                    <w:t>环保工程</w:t>
                  </w:r>
                </w:p>
              </w:tc>
              <w:tc>
                <w:tcPr>
                  <w:tcW w:w="633"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val="en-GB" w:bidi="ar"/>
                    </w:rPr>
                    <w:t>废气</w:t>
                  </w:r>
                </w:p>
              </w:tc>
              <w:tc>
                <w:tcPr>
                  <w:tcW w:w="1561"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实验室设置9处通风橱，实验废气于通风橱产生后经二级活性炭吸附处理后，通过1根15m高排气筒DA001有组织排放；</w:t>
                  </w:r>
                </w:p>
              </w:tc>
              <w:tc>
                <w:tcPr>
                  <w:tcW w:w="1491"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实验室设置9处通风橱，实验废气于通风橱产生后经二级活性炭吸附处理后，通过1根</w:t>
                  </w:r>
                  <w:r>
                    <w:rPr>
                      <w:rFonts w:hint="eastAsia"/>
                      <w:szCs w:val="21"/>
                      <w:lang w:bidi="ar"/>
                    </w:rPr>
                    <w:t>24</w:t>
                  </w:r>
                  <w:r>
                    <w:rPr>
                      <w:szCs w:val="21"/>
                      <w:lang w:bidi="ar"/>
                    </w:rPr>
                    <w:t>m高排气筒DA001有组织排放；</w:t>
                  </w:r>
                </w:p>
              </w:tc>
              <w:tc>
                <w:tcPr>
                  <w:tcW w:w="769"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环评设计排气筒高15m，实际建设排气高于楼顶5m（总高24m）</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szCs w:val="21"/>
                      <w:lang w:bidi="ar"/>
                    </w:rPr>
                  </w:pP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废水</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生活污水经化粪池处理后与地面清洁废水、实验人员洗手废水、实验器皿后两次清洗废水、纯水制备浓水经园区管网进入银丰国际生物城污水处理站处理，处理达标后排入巨野河污水厂深度处理，后排入巨野河。</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生活污水经化粪池处理后与地面清洁废水、实验人员洗手废水、实验器皿后两次清洗废水、纯水制备浓水经园区管网进入银丰国际生物城污水处理站处理，处理达标后排入巨野河污水厂深度处理，后排入巨野河。</w:t>
                  </w:r>
                </w:p>
              </w:tc>
              <w:tc>
                <w:tcPr>
                  <w:tcW w:w="76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right w:val="single" w:color="auto" w:sz="6" w:space="0"/>
                  </w:tcBorders>
                  <w:tcMar>
                    <w:top w:w="0" w:type="dxa"/>
                    <w:left w:w="0" w:type="dxa"/>
                    <w:bottom w:w="0" w:type="dxa"/>
                    <w:right w:w="0" w:type="dxa"/>
                  </w:tcMar>
                  <w:vAlign w:val="center"/>
                </w:tcPr>
                <w:p>
                  <w:pPr>
                    <w:pStyle w:val="46"/>
                    <w:rPr>
                      <w:szCs w:val="21"/>
                      <w:lang w:bidi="ar"/>
                    </w:rPr>
                  </w:pP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噪声</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选用低噪声设备，使用减震装置，安装隔声门窗等，保证室内安静。</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选用低噪声设备，使用减震装置，安装隔声门窗等，保证室内安静。</w:t>
                  </w:r>
                </w:p>
              </w:tc>
              <w:tc>
                <w:tcPr>
                  <w:tcW w:w="76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544"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p>
              </w:tc>
              <w:tc>
                <w:tcPr>
                  <w:tcW w:w="63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szCs w:val="21"/>
                      <w:lang w:bidi="ar"/>
                    </w:rPr>
                    <w:t>固体废物</w:t>
                  </w:r>
                </w:p>
              </w:tc>
              <w:tc>
                <w:tcPr>
                  <w:tcW w:w="1561"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6"/>
                    <w:jc w:val="left"/>
                    <w:rPr>
                      <w:szCs w:val="21"/>
                      <w:lang w:bidi="ar"/>
                    </w:rPr>
                  </w:pPr>
                  <w:r>
                    <w:rPr>
                      <w:szCs w:val="21"/>
                      <w:lang w:bidi="ar"/>
                    </w:rPr>
                    <w:t>生活垃圾委托环卫部门定期清运；纯水机废滤芯、废RO膜由设备厂家回收处理；</w:t>
                  </w:r>
                  <w:r>
                    <w:rPr>
                      <w:rFonts w:hint="eastAsia"/>
                      <w:szCs w:val="21"/>
                      <w:lang w:bidi="ar"/>
                    </w:rPr>
                    <w:t>未沾染药品检测样品废包装物</w:t>
                  </w:r>
                  <w:r>
                    <w:rPr>
                      <w:szCs w:val="21"/>
                      <w:lang w:bidi="ar"/>
                    </w:rPr>
                    <w:t xml:space="preserve">外售资源回收单位；废试剂瓶、实验废液、实验废物、废样本、废活性炭作为危废处理，暂存于危废间，后交由有危废经营许可证的单位处理。 </w:t>
                  </w:r>
                </w:p>
              </w:tc>
              <w:tc>
                <w:tcPr>
                  <w:tcW w:w="1491"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6"/>
                    <w:jc w:val="left"/>
                    <w:rPr>
                      <w:szCs w:val="21"/>
                      <w:lang w:bidi="ar"/>
                    </w:rPr>
                  </w:pPr>
                  <w:r>
                    <w:rPr>
                      <w:szCs w:val="21"/>
                      <w:lang w:bidi="ar"/>
                    </w:rPr>
                    <w:t>生活垃圾委托环卫部门定期清运；纯水机废滤芯、废RO膜由设备厂家回收处理；</w:t>
                  </w:r>
                  <w:r>
                    <w:rPr>
                      <w:rFonts w:hint="eastAsia"/>
                      <w:szCs w:val="21"/>
                      <w:lang w:bidi="ar"/>
                    </w:rPr>
                    <w:t>未沾染药品检测样品废包装物</w:t>
                  </w:r>
                  <w:r>
                    <w:rPr>
                      <w:szCs w:val="21"/>
                      <w:lang w:bidi="ar"/>
                    </w:rPr>
                    <w:t>外售资源回收单位；废试剂瓶、废活性炭作为危废处理，实验废液、实验废物、废样本作为</w:t>
                  </w:r>
                  <w:r>
                    <w:rPr>
                      <w:rFonts w:hint="eastAsia"/>
                      <w:szCs w:val="21"/>
                      <w:lang w:eastAsia="zh-CN" w:bidi="ar"/>
                    </w:rPr>
                    <w:t>医</w:t>
                  </w:r>
                  <w:r>
                    <w:rPr>
                      <w:szCs w:val="21"/>
                      <w:lang w:bidi="ar"/>
                    </w:rPr>
                    <w:t>废处理</w:t>
                  </w:r>
                  <w:r>
                    <w:rPr>
                      <w:rFonts w:hint="eastAsia"/>
                      <w:szCs w:val="21"/>
                      <w:lang w:eastAsia="zh-CN" w:bidi="ar"/>
                    </w:rPr>
                    <w:t>，</w:t>
                  </w:r>
                  <w:r>
                    <w:rPr>
                      <w:szCs w:val="21"/>
                      <w:lang w:bidi="ar"/>
                    </w:rPr>
                    <w:t>暂存于</w:t>
                  </w:r>
                  <w:r>
                    <w:rPr>
                      <w:rFonts w:hint="eastAsia"/>
                      <w:szCs w:val="21"/>
                      <w:lang w:eastAsia="zh-CN" w:bidi="ar"/>
                    </w:rPr>
                    <w:t>医疗</w:t>
                  </w:r>
                  <w:r>
                    <w:rPr>
                      <w:rFonts w:hint="eastAsia"/>
                      <w:szCs w:val="21"/>
                      <w:lang w:val="en-US" w:eastAsia="zh-CN" w:bidi="ar"/>
                    </w:rPr>
                    <w:t>+</w:t>
                  </w:r>
                  <w:r>
                    <w:rPr>
                      <w:szCs w:val="21"/>
                      <w:lang w:bidi="ar"/>
                    </w:rPr>
                    <w:t>危废</w:t>
                  </w:r>
                  <w:r>
                    <w:rPr>
                      <w:rFonts w:hint="eastAsia"/>
                      <w:szCs w:val="21"/>
                      <w:lang w:eastAsia="zh-CN" w:bidi="ar"/>
                    </w:rPr>
                    <w:t>暂存间</w:t>
                  </w:r>
                  <w:r>
                    <w:rPr>
                      <w:szCs w:val="21"/>
                      <w:lang w:bidi="ar"/>
                    </w:rPr>
                    <w:t>，</w:t>
                  </w:r>
                  <w:r>
                    <w:rPr>
                      <w:rFonts w:hint="eastAsia"/>
                      <w:szCs w:val="21"/>
                      <w:lang w:eastAsia="zh-CN" w:bidi="ar"/>
                    </w:rPr>
                    <w:t>医疗废物</w:t>
                  </w:r>
                  <w:r>
                    <w:rPr>
                      <w:rFonts w:hint="eastAsia"/>
                      <w:szCs w:val="21"/>
                      <w:lang w:bidi="ar"/>
                    </w:rPr>
                    <w:t>委托济南腾笙环保科技有限公司</w:t>
                  </w:r>
                  <w:r>
                    <w:rPr>
                      <w:szCs w:val="21"/>
                      <w:lang w:bidi="ar"/>
                    </w:rPr>
                    <w:t>处理</w:t>
                  </w:r>
                  <w:r>
                    <w:rPr>
                      <w:rFonts w:hint="eastAsia"/>
                      <w:szCs w:val="21"/>
                      <w:lang w:eastAsia="zh-CN" w:bidi="ar"/>
                    </w:rPr>
                    <w:t>；危险危废产生待转移时，委托有资质单位处置</w:t>
                  </w:r>
                  <w:r>
                    <w:rPr>
                      <w:szCs w:val="21"/>
                      <w:lang w:bidi="ar"/>
                    </w:rPr>
                    <w:t>。</w:t>
                  </w:r>
                </w:p>
              </w:tc>
              <w:tc>
                <w:tcPr>
                  <w:tcW w:w="76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6"/>
                    <w:rPr>
                      <w:szCs w:val="21"/>
                      <w:lang w:bidi="ar"/>
                    </w:rPr>
                  </w:pPr>
                  <w:r>
                    <w:rPr>
                      <w:rFonts w:hint="eastAsia"/>
                      <w:szCs w:val="21"/>
                    </w:rPr>
                    <w:t>与环评一致</w:t>
                  </w:r>
                </w:p>
              </w:tc>
            </w:tr>
          </w:tbl>
          <w:p>
            <w:pPr>
              <w:pStyle w:val="38"/>
              <w:ind w:firstLine="0" w:firstLineChars="0"/>
              <w:jc w:val="center"/>
              <w:rPr>
                <w:rFonts w:cs="Times New Roman"/>
                <w:b/>
                <w:bCs/>
                <w:szCs w:val="24"/>
              </w:rPr>
            </w:pPr>
            <w:r>
              <w:rPr>
                <w:rFonts w:cs="Times New Roman"/>
                <w:b/>
                <w:bCs/>
                <w:szCs w:val="24"/>
              </w:rPr>
              <w:t>表2-2  本项目主要产品情况</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909"/>
              <w:gridCol w:w="1278"/>
              <w:gridCol w:w="1454"/>
              <w:gridCol w:w="1440"/>
              <w:gridCol w:w="1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2" w:type="pct"/>
                  <w:shd w:val="clear" w:color="auto" w:fill="auto"/>
                  <w:vAlign w:val="center"/>
                </w:tcPr>
                <w:p>
                  <w:pPr>
                    <w:pStyle w:val="46"/>
                    <w:rPr>
                      <w:b/>
                      <w:bCs/>
                      <w:szCs w:val="21"/>
                      <w:lang w:val="zh-CN"/>
                    </w:rPr>
                  </w:pPr>
                  <w:r>
                    <w:rPr>
                      <w:b/>
                      <w:bCs/>
                      <w:szCs w:val="21"/>
                    </w:rPr>
                    <w:t>序号</w:t>
                  </w:r>
                </w:p>
              </w:tc>
              <w:tc>
                <w:tcPr>
                  <w:tcW w:w="1071" w:type="pct"/>
                  <w:shd w:val="clear" w:color="auto" w:fill="auto"/>
                  <w:vAlign w:val="center"/>
                </w:tcPr>
                <w:p>
                  <w:pPr>
                    <w:pStyle w:val="46"/>
                    <w:rPr>
                      <w:rFonts w:hint="eastAsia"/>
                      <w:b/>
                      <w:bCs/>
                    </w:rPr>
                  </w:pPr>
                  <w:r>
                    <w:rPr>
                      <w:rFonts w:hint="eastAsia"/>
                      <w:b/>
                      <w:bCs/>
                    </w:rPr>
                    <w:t>实验名称</w:t>
                  </w:r>
                </w:p>
                <w:p>
                  <w:pPr>
                    <w:pStyle w:val="46"/>
                    <w:rPr>
                      <w:b/>
                      <w:bCs/>
                      <w:szCs w:val="21"/>
                      <w:lang w:val="zh-CN"/>
                    </w:rPr>
                  </w:pPr>
                  <w:r>
                    <w:rPr>
                      <w:rFonts w:hint="eastAsia"/>
                      <w:b/>
                      <w:bCs/>
                      <w:szCs w:val="21"/>
                    </w:rPr>
                    <w:t>（</w:t>
                  </w:r>
                  <w:r>
                    <w:rPr>
                      <w:rFonts w:hint="eastAsia"/>
                      <w:b/>
                      <w:bCs/>
                    </w:rPr>
                    <w:t>实验方案</w:t>
                  </w:r>
                  <w:r>
                    <w:rPr>
                      <w:rFonts w:hint="eastAsia"/>
                      <w:b/>
                      <w:bCs/>
                      <w:szCs w:val="21"/>
                    </w:rPr>
                    <w:t>）</w:t>
                  </w:r>
                </w:p>
              </w:tc>
              <w:tc>
                <w:tcPr>
                  <w:tcW w:w="717" w:type="pct"/>
                  <w:shd w:val="clear" w:color="auto" w:fill="auto"/>
                  <w:vAlign w:val="center"/>
                </w:tcPr>
                <w:p>
                  <w:pPr>
                    <w:pStyle w:val="46"/>
                    <w:rPr>
                      <w:b/>
                      <w:bCs/>
                      <w:szCs w:val="21"/>
                      <w:lang w:val="zh-CN"/>
                    </w:rPr>
                  </w:pPr>
                  <w:r>
                    <w:rPr>
                      <w:rFonts w:hint="eastAsia"/>
                      <w:b/>
                      <w:bCs/>
                      <w:szCs w:val="21"/>
                    </w:rPr>
                    <w:t>单位</w:t>
                  </w:r>
                </w:p>
              </w:tc>
              <w:tc>
                <w:tcPr>
                  <w:tcW w:w="816" w:type="pct"/>
                  <w:shd w:val="clear" w:color="auto" w:fill="auto"/>
                  <w:vAlign w:val="center"/>
                </w:tcPr>
                <w:p>
                  <w:pPr>
                    <w:pStyle w:val="46"/>
                    <w:rPr>
                      <w:b/>
                      <w:bCs/>
                      <w:szCs w:val="21"/>
                      <w:lang w:val="zh-CN" w:eastAsia="zh-TW"/>
                    </w:rPr>
                  </w:pPr>
                  <w:r>
                    <w:rPr>
                      <w:b/>
                      <w:bCs/>
                      <w:szCs w:val="21"/>
                    </w:rPr>
                    <w:t>环评年</w:t>
                  </w:r>
                  <w:r>
                    <w:rPr>
                      <w:rFonts w:hint="eastAsia"/>
                      <w:b/>
                      <w:bCs/>
                      <w:szCs w:val="21"/>
                    </w:rPr>
                    <w:t>检</w:t>
                  </w:r>
                  <w:r>
                    <w:rPr>
                      <w:b/>
                      <w:bCs/>
                      <w:szCs w:val="21"/>
                    </w:rPr>
                    <w:t>量</w:t>
                  </w:r>
                </w:p>
              </w:tc>
              <w:tc>
                <w:tcPr>
                  <w:tcW w:w="808" w:type="pct"/>
                  <w:shd w:val="clear" w:color="auto" w:fill="auto"/>
                  <w:vAlign w:val="center"/>
                </w:tcPr>
                <w:p>
                  <w:pPr>
                    <w:pStyle w:val="46"/>
                    <w:rPr>
                      <w:b/>
                      <w:bCs/>
                      <w:szCs w:val="21"/>
                      <w:lang w:val="zh-CN"/>
                    </w:rPr>
                  </w:pPr>
                  <w:r>
                    <w:rPr>
                      <w:b/>
                      <w:bCs/>
                      <w:szCs w:val="21"/>
                    </w:rPr>
                    <w:t>实际年</w:t>
                  </w:r>
                  <w:r>
                    <w:rPr>
                      <w:rFonts w:hint="eastAsia"/>
                      <w:b/>
                      <w:bCs/>
                      <w:szCs w:val="21"/>
                    </w:rPr>
                    <w:t>检</w:t>
                  </w:r>
                  <w:r>
                    <w:rPr>
                      <w:b/>
                      <w:bCs/>
                      <w:szCs w:val="21"/>
                    </w:rPr>
                    <w:t>量</w:t>
                  </w:r>
                </w:p>
              </w:tc>
              <w:tc>
                <w:tcPr>
                  <w:tcW w:w="804" w:type="pct"/>
                  <w:shd w:val="clear" w:color="auto" w:fill="auto"/>
                  <w:vAlign w:val="center"/>
                </w:tcPr>
                <w:p>
                  <w:pPr>
                    <w:pStyle w:val="46"/>
                    <w:rPr>
                      <w:szCs w:val="21"/>
                    </w:rPr>
                  </w:pPr>
                  <w:r>
                    <w:rPr>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2" w:type="pct"/>
                  <w:shd w:val="clear" w:color="auto" w:fill="auto"/>
                  <w:vAlign w:val="center"/>
                </w:tcPr>
                <w:p>
                  <w:pPr>
                    <w:pStyle w:val="46"/>
                    <w:rPr>
                      <w:szCs w:val="21"/>
                    </w:rPr>
                  </w:pPr>
                  <w:r>
                    <w:rPr>
                      <w:szCs w:val="21"/>
                    </w:rPr>
                    <w:t>1</w:t>
                  </w:r>
                </w:p>
              </w:tc>
              <w:tc>
                <w:tcPr>
                  <w:tcW w:w="1071" w:type="pct"/>
                  <w:shd w:val="clear" w:color="auto" w:fill="auto"/>
                  <w:vAlign w:val="center"/>
                </w:tcPr>
                <w:p>
                  <w:pPr>
                    <w:pStyle w:val="46"/>
                    <w:rPr>
                      <w:szCs w:val="21"/>
                    </w:rPr>
                  </w:pPr>
                  <w:r>
                    <w:rPr>
                      <w:rFonts w:hint="eastAsia"/>
                      <w:szCs w:val="21"/>
                    </w:rPr>
                    <w:t>分子分型实验：主要进行HPV分子分型检测实验</w:t>
                  </w:r>
                </w:p>
              </w:tc>
              <w:tc>
                <w:tcPr>
                  <w:tcW w:w="717" w:type="pct"/>
                  <w:shd w:val="clear" w:color="auto" w:fill="auto"/>
                  <w:vAlign w:val="center"/>
                </w:tcPr>
                <w:p>
                  <w:pPr>
                    <w:pStyle w:val="46"/>
                    <w:rPr>
                      <w:szCs w:val="21"/>
                    </w:rPr>
                  </w:pPr>
                  <w:r>
                    <w:rPr>
                      <w:rFonts w:hint="eastAsia"/>
                      <w:szCs w:val="21"/>
                    </w:rPr>
                    <w:t>个样本</w:t>
                  </w:r>
                </w:p>
              </w:tc>
              <w:tc>
                <w:tcPr>
                  <w:tcW w:w="816" w:type="pct"/>
                  <w:shd w:val="clear" w:color="auto" w:fill="auto"/>
                  <w:vAlign w:val="center"/>
                </w:tcPr>
                <w:p>
                  <w:pPr>
                    <w:pStyle w:val="46"/>
                    <w:rPr>
                      <w:szCs w:val="21"/>
                    </w:rPr>
                  </w:pPr>
                  <w:r>
                    <w:rPr>
                      <w:rFonts w:hint="eastAsia"/>
                      <w:szCs w:val="21"/>
                    </w:rPr>
                    <w:t>7300</w:t>
                  </w:r>
                </w:p>
              </w:tc>
              <w:tc>
                <w:tcPr>
                  <w:tcW w:w="808" w:type="pct"/>
                  <w:shd w:val="clear" w:color="auto" w:fill="auto"/>
                  <w:vAlign w:val="center"/>
                </w:tcPr>
                <w:p>
                  <w:pPr>
                    <w:pStyle w:val="46"/>
                    <w:rPr>
                      <w:szCs w:val="21"/>
                    </w:rPr>
                  </w:pPr>
                  <w:r>
                    <w:rPr>
                      <w:rFonts w:hint="eastAsia"/>
                      <w:szCs w:val="21"/>
                    </w:rPr>
                    <w:t>7300</w:t>
                  </w:r>
                </w:p>
              </w:tc>
              <w:tc>
                <w:tcPr>
                  <w:tcW w:w="804" w:type="pct"/>
                  <w:vMerge w:val="restart"/>
                  <w:shd w:val="clear" w:color="auto" w:fill="auto"/>
                  <w:vAlign w:val="center"/>
                </w:tcPr>
                <w:p>
                  <w:pPr>
                    <w:pStyle w:val="46"/>
                    <w:rPr>
                      <w:szCs w:val="21"/>
                    </w:rPr>
                  </w:pPr>
                  <w:r>
                    <w:rPr>
                      <w:rFonts w:hint="eastAsia"/>
                      <w:szCs w:val="21"/>
                    </w:rPr>
                    <w:t>根据项目进度调整，</w:t>
                  </w: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2" w:type="pct"/>
                  <w:shd w:val="clear" w:color="auto" w:fill="auto"/>
                  <w:vAlign w:val="center"/>
                </w:tcPr>
                <w:p>
                  <w:pPr>
                    <w:pStyle w:val="46"/>
                    <w:rPr>
                      <w:szCs w:val="21"/>
                    </w:rPr>
                  </w:pPr>
                  <w:r>
                    <w:rPr>
                      <w:rFonts w:hint="eastAsia"/>
                      <w:szCs w:val="21"/>
                    </w:rPr>
                    <w:t>2</w:t>
                  </w:r>
                </w:p>
              </w:tc>
              <w:tc>
                <w:tcPr>
                  <w:tcW w:w="1071" w:type="pct"/>
                  <w:shd w:val="clear" w:color="auto" w:fill="auto"/>
                  <w:vAlign w:val="center"/>
                </w:tcPr>
                <w:p>
                  <w:pPr>
                    <w:pStyle w:val="46"/>
                    <w:rPr>
                      <w:szCs w:val="21"/>
                    </w:rPr>
                  </w:pPr>
                  <w:r>
                    <w:rPr>
                      <w:rFonts w:hint="eastAsia"/>
                      <w:szCs w:val="21"/>
                    </w:rPr>
                    <w:t>病理TCT实验：主要进行病理细胞检测实验</w:t>
                  </w:r>
                </w:p>
              </w:tc>
              <w:tc>
                <w:tcPr>
                  <w:tcW w:w="717" w:type="pct"/>
                  <w:shd w:val="clear" w:color="auto" w:fill="auto"/>
                  <w:vAlign w:val="center"/>
                </w:tcPr>
                <w:p>
                  <w:pPr>
                    <w:pStyle w:val="46"/>
                    <w:rPr>
                      <w:szCs w:val="21"/>
                    </w:rPr>
                  </w:pPr>
                  <w:r>
                    <w:rPr>
                      <w:rFonts w:hint="eastAsia"/>
                      <w:szCs w:val="21"/>
                    </w:rPr>
                    <w:t>个样本</w:t>
                  </w:r>
                </w:p>
              </w:tc>
              <w:tc>
                <w:tcPr>
                  <w:tcW w:w="816" w:type="pct"/>
                  <w:shd w:val="clear" w:color="auto" w:fill="auto"/>
                  <w:vAlign w:val="center"/>
                </w:tcPr>
                <w:p>
                  <w:pPr>
                    <w:pStyle w:val="46"/>
                    <w:rPr>
                      <w:szCs w:val="21"/>
                    </w:rPr>
                  </w:pPr>
                  <w:r>
                    <w:rPr>
                      <w:rFonts w:hint="eastAsia"/>
                      <w:szCs w:val="21"/>
                    </w:rPr>
                    <w:t>30000</w:t>
                  </w:r>
                </w:p>
              </w:tc>
              <w:tc>
                <w:tcPr>
                  <w:tcW w:w="808" w:type="pct"/>
                  <w:shd w:val="clear" w:color="auto" w:fill="auto"/>
                  <w:vAlign w:val="center"/>
                </w:tcPr>
                <w:p>
                  <w:pPr>
                    <w:pStyle w:val="46"/>
                    <w:rPr>
                      <w:szCs w:val="21"/>
                    </w:rPr>
                  </w:pPr>
                  <w:r>
                    <w:rPr>
                      <w:rFonts w:hint="eastAsia"/>
                      <w:szCs w:val="21"/>
                    </w:rPr>
                    <w:t>30000</w:t>
                  </w:r>
                </w:p>
              </w:tc>
              <w:tc>
                <w:tcPr>
                  <w:tcW w:w="804" w:type="pct"/>
                  <w:vMerge w:val="continue"/>
                  <w:shd w:val="clear" w:color="auto" w:fill="auto"/>
                  <w:vAlign w:val="center"/>
                </w:tcPr>
                <w:p>
                  <w:pPr>
                    <w:pStyle w:val="46"/>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2" w:type="pct"/>
                  <w:shd w:val="clear" w:color="auto" w:fill="auto"/>
                  <w:vAlign w:val="center"/>
                </w:tcPr>
                <w:p>
                  <w:pPr>
                    <w:pStyle w:val="46"/>
                    <w:rPr>
                      <w:szCs w:val="21"/>
                    </w:rPr>
                  </w:pPr>
                  <w:r>
                    <w:rPr>
                      <w:rFonts w:hint="eastAsia"/>
                      <w:szCs w:val="21"/>
                    </w:rPr>
                    <w:t>3</w:t>
                  </w:r>
                </w:p>
              </w:tc>
              <w:tc>
                <w:tcPr>
                  <w:tcW w:w="1071" w:type="pct"/>
                  <w:shd w:val="clear" w:color="auto" w:fill="auto"/>
                  <w:vAlign w:val="center"/>
                </w:tcPr>
                <w:p>
                  <w:pPr>
                    <w:pStyle w:val="46"/>
                    <w:rPr>
                      <w:szCs w:val="21"/>
                    </w:rPr>
                  </w:pPr>
                  <w:r>
                    <w:rPr>
                      <w:rFonts w:hint="eastAsia"/>
                      <w:szCs w:val="21"/>
                    </w:rPr>
                    <w:t>免疫实验：主要进行免疫分析检测实验</w:t>
                  </w:r>
                </w:p>
              </w:tc>
              <w:tc>
                <w:tcPr>
                  <w:tcW w:w="717" w:type="pct"/>
                  <w:shd w:val="clear" w:color="auto" w:fill="auto"/>
                  <w:vAlign w:val="center"/>
                </w:tcPr>
                <w:p>
                  <w:pPr>
                    <w:pStyle w:val="46"/>
                    <w:rPr>
                      <w:szCs w:val="21"/>
                    </w:rPr>
                  </w:pPr>
                  <w:r>
                    <w:rPr>
                      <w:rFonts w:hint="eastAsia"/>
                      <w:szCs w:val="21"/>
                    </w:rPr>
                    <w:t>个样本</w:t>
                  </w:r>
                </w:p>
              </w:tc>
              <w:tc>
                <w:tcPr>
                  <w:tcW w:w="816" w:type="pct"/>
                  <w:shd w:val="clear" w:color="auto" w:fill="auto"/>
                  <w:vAlign w:val="center"/>
                </w:tcPr>
                <w:p>
                  <w:pPr>
                    <w:pStyle w:val="46"/>
                    <w:rPr>
                      <w:szCs w:val="21"/>
                    </w:rPr>
                  </w:pPr>
                  <w:r>
                    <w:rPr>
                      <w:rFonts w:hint="eastAsia"/>
                      <w:szCs w:val="21"/>
                    </w:rPr>
                    <w:t>100</w:t>
                  </w:r>
                </w:p>
              </w:tc>
              <w:tc>
                <w:tcPr>
                  <w:tcW w:w="808" w:type="pct"/>
                  <w:shd w:val="clear" w:color="auto" w:fill="auto"/>
                  <w:vAlign w:val="center"/>
                </w:tcPr>
                <w:p>
                  <w:pPr>
                    <w:pStyle w:val="46"/>
                    <w:rPr>
                      <w:szCs w:val="21"/>
                    </w:rPr>
                  </w:pPr>
                  <w:r>
                    <w:rPr>
                      <w:rFonts w:hint="eastAsia"/>
                      <w:szCs w:val="21"/>
                    </w:rPr>
                    <w:t>100</w:t>
                  </w:r>
                </w:p>
              </w:tc>
              <w:tc>
                <w:tcPr>
                  <w:tcW w:w="804" w:type="pct"/>
                  <w:vMerge w:val="continue"/>
                  <w:shd w:val="clear" w:color="auto" w:fill="auto"/>
                  <w:vAlign w:val="center"/>
                </w:tcPr>
                <w:p>
                  <w:pPr>
                    <w:pStyle w:val="46"/>
                    <w:rPr>
                      <w:szCs w:val="21"/>
                    </w:rPr>
                  </w:pPr>
                </w:p>
              </w:tc>
            </w:tr>
          </w:tbl>
          <w:p>
            <w:pPr>
              <w:ind w:firstLine="482"/>
              <w:jc w:val="center"/>
              <w:rPr>
                <w:b/>
                <w:bCs/>
              </w:rPr>
            </w:pPr>
            <w:r>
              <w:rPr>
                <w:b/>
                <w:bCs/>
              </w:rPr>
              <w:t>表2-</w:t>
            </w:r>
            <w:r>
              <w:rPr>
                <w:rFonts w:hint="eastAsia"/>
                <w:b/>
                <w:bCs/>
              </w:rPr>
              <w:t>3</w:t>
            </w:r>
            <w:r>
              <w:rPr>
                <w:b/>
                <w:bCs/>
              </w:rPr>
              <w:t xml:space="preserve">  本项目主要生产设备一览表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2446"/>
              <w:gridCol w:w="1921"/>
              <w:gridCol w:w="1199"/>
              <w:gridCol w:w="1124"/>
              <w:gridCol w:w="15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right w:val="single" w:color="auto" w:sz="4" w:space="0"/>
                  </w:tcBorders>
                  <w:vAlign w:val="center"/>
                </w:tcPr>
                <w:p>
                  <w:pPr>
                    <w:pStyle w:val="46"/>
                    <w:rPr>
                      <w:b/>
                      <w:bCs/>
                      <w:szCs w:val="21"/>
                      <w:lang w:bidi="ar"/>
                    </w:rPr>
                  </w:pPr>
                  <w:r>
                    <w:rPr>
                      <w:b/>
                      <w:bCs/>
                      <w:szCs w:val="21"/>
                      <w:lang w:bidi="ar"/>
                    </w:rPr>
                    <w:t>序号</w:t>
                  </w:r>
                </w:p>
              </w:tc>
              <w:tc>
                <w:tcPr>
                  <w:tcW w:w="1372" w:type="pct"/>
                  <w:tcBorders>
                    <w:top w:val="single" w:color="auto" w:sz="4" w:space="0"/>
                    <w:left w:val="single" w:color="auto" w:sz="4" w:space="0"/>
                    <w:right w:val="single" w:color="auto" w:sz="4" w:space="0"/>
                  </w:tcBorders>
                  <w:vAlign w:val="center"/>
                </w:tcPr>
                <w:p>
                  <w:pPr>
                    <w:pStyle w:val="46"/>
                    <w:rPr>
                      <w:b/>
                      <w:bCs/>
                      <w:szCs w:val="21"/>
                      <w:lang w:bidi="ar"/>
                    </w:rPr>
                  </w:pPr>
                  <w:r>
                    <w:rPr>
                      <w:b/>
                      <w:bCs/>
                      <w:szCs w:val="21"/>
                      <w:lang w:bidi="ar"/>
                    </w:rPr>
                    <w:t>设备名称</w:t>
                  </w:r>
                </w:p>
              </w:tc>
              <w:tc>
                <w:tcPr>
                  <w:tcW w:w="1077" w:type="pct"/>
                  <w:tcBorders>
                    <w:top w:val="single" w:color="auto" w:sz="4" w:space="0"/>
                    <w:left w:val="single" w:color="auto" w:sz="4" w:space="0"/>
                    <w:right w:val="single" w:color="auto" w:sz="4" w:space="0"/>
                  </w:tcBorders>
                  <w:vAlign w:val="center"/>
                </w:tcPr>
                <w:p>
                  <w:pPr>
                    <w:pStyle w:val="46"/>
                    <w:rPr>
                      <w:b/>
                      <w:bCs/>
                      <w:szCs w:val="21"/>
                      <w:lang w:bidi="ar"/>
                    </w:rPr>
                  </w:pPr>
                  <w:r>
                    <w:rPr>
                      <w:b/>
                      <w:bCs/>
                      <w:szCs w:val="21"/>
                      <w:lang w:bidi="ar"/>
                    </w:rPr>
                    <w:t>型号</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b/>
                      <w:bCs/>
                      <w:szCs w:val="21"/>
                      <w:lang w:bidi="ar"/>
                    </w:rPr>
                  </w:pPr>
                  <w:r>
                    <w:rPr>
                      <w:b/>
                      <w:bCs/>
                      <w:szCs w:val="21"/>
                      <w:lang w:bidi="ar"/>
                    </w:rPr>
                    <w:t>环评数量（套/台）</w:t>
                  </w:r>
                </w:p>
              </w:tc>
              <w:tc>
                <w:tcPr>
                  <w:tcW w:w="631" w:type="pct"/>
                  <w:tcBorders>
                    <w:top w:val="single" w:color="auto" w:sz="4" w:space="0"/>
                    <w:left w:val="single" w:color="auto" w:sz="4" w:space="0"/>
                    <w:right w:val="single" w:color="auto" w:sz="4" w:space="0"/>
                  </w:tcBorders>
                  <w:vAlign w:val="center"/>
                </w:tcPr>
                <w:p>
                  <w:pPr>
                    <w:pStyle w:val="46"/>
                    <w:rPr>
                      <w:b/>
                      <w:bCs/>
                      <w:szCs w:val="21"/>
                      <w:lang w:bidi="ar"/>
                    </w:rPr>
                  </w:pPr>
                  <w:r>
                    <w:rPr>
                      <w:b/>
                      <w:bCs/>
                      <w:szCs w:val="21"/>
                      <w:lang w:bidi="ar"/>
                    </w:rPr>
                    <w:t>实际数量（套/台）</w:t>
                  </w:r>
                </w:p>
              </w:tc>
              <w:tc>
                <w:tcPr>
                  <w:tcW w:w="844" w:type="pct"/>
                  <w:tcBorders>
                    <w:top w:val="single" w:color="auto" w:sz="4" w:space="0"/>
                    <w:left w:val="single" w:color="auto" w:sz="4" w:space="0"/>
                    <w:right w:val="single" w:color="auto" w:sz="4" w:space="0"/>
                  </w:tcBorders>
                  <w:vAlign w:val="center"/>
                </w:tcPr>
                <w:p>
                  <w:pPr>
                    <w:pStyle w:val="46"/>
                    <w:rPr>
                      <w:b/>
                      <w:bCs/>
                      <w:szCs w:val="21"/>
                      <w:lang w:bidi="ar"/>
                    </w:rPr>
                  </w:pPr>
                  <w:r>
                    <w:rPr>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低温冰箱</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DW-25L400</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2</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2</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2</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恒温金属浴</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TU-10</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3</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单通道移液器（5-50）</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4</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单通道移液器（10-100）</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5</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单通道移液器（20-200）</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6</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单通道移液器（100-1000）</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7</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全自动核酸分子杂交仪</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HS2400</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3</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3</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8</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生物安全柜</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BSC-1500ⅡB2-X</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9</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基因扩增仪</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Hema9600</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10</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振荡器</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NMSG-12</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1</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11</w:t>
                  </w:r>
                </w:p>
              </w:tc>
              <w:tc>
                <w:tcPr>
                  <w:tcW w:w="1372"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离心机</w:t>
                  </w:r>
                </w:p>
              </w:tc>
              <w:tc>
                <w:tcPr>
                  <w:tcW w:w="1077"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JY-ZPA</w:t>
                  </w:r>
                </w:p>
              </w:tc>
              <w:tc>
                <w:tcPr>
                  <w:tcW w:w="673"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2</w:t>
                  </w:r>
                </w:p>
              </w:tc>
              <w:tc>
                <w:tcPr>
                  <w:tcW w:w="631" w:type="pct"/>
                  <w:tcBorders>
                    <w:left w:val="single" w:color="auto" w:sz="4" w:space="0"/>
                    <w:right w:val="single" w:color="auto" w:sz="4" w:space="0"/>
                  </w:tcBorders>
                  <w:vAlign w:val="center"/>
                </w:tcPr>
                <w:p>
                  <w:pPr>
                    <w:pStyle w:val="46"/>
                    <w:rPr>
                      <w:szCs w:val="21"/>
                      <w:lang w:bidi="ar"/>
                    </w:rPr>
                  </w:pPr>
                  <w:r>
                    <w:rPr>
                      <w:szCs w:val="21"/>
                      <w:lang w:bidi="ar"/>
                    </w:rPr>
                    <w:t>2</w:t>
                  </w:r>
                </w:p>
              </w:tc>
              <w:tc>
                <w:tcPr>
                  <w:tcW w:w="844" w:type="pct"/>
                  <w:tcBorders>
                    <w:left w:val="single" w:color="auto" w:sz="4" w:space="0"/>
                    <w:right w:val="single" w:color="auto" w:sz="4" w:space="0"/>
                  </w:tcBorders>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13</w:t>
                  </w:r>
                </w:p>
              </w:tc>
              <w:tc>
                <w:tcPr>
                  <w:tcW w:w="1372" w:type="pct"/>
                  <w:vAlign w:val="center"/>
                </w:tcPr>
                <w:p>
                  <w:pPr>
                    <w:pStyle w:val="46"/>
                    <w:rPr>
                      <w:szCs w:val="21"/>
                      <w:lang w:bidi="ar"/>
                    </w:rPr>
                  </w:pPr>
                  <w:r>
                    <w:rPr>
                      <w:szCs w:val="21"/>
                      <w:lang w:bidi="ar"/>
                    </w:rPr>
                    <w:t>酶标分析仪</w:t>
                  </w:r>
                </w:p>
              </w:tc>
              <w:tc>
                <w:tcPr>
                  <w:tcW w:w="1077" w:type="pct"/>
                  <w:vAlign w:val="center"/>
                </w:tcPr>
                <w:p>
                  <w:pPr>
                    <w:pStyle w:val="46"/>
                    <w:rPr>
                      <w:szCs w:val="21"/>
                      <w:lang w:bidi="ar"/>
                    </w:rPr>
                  </w:pPr>
                  <w:r>
                    <w:rPr>
                      <w:szCs w:val="21"/>
                      <w:lang w:bidi="ar"/>
                    </w:rPr>
                    <w:t>URIT660</w:t>
                  </w:r>
                </w:p>
              </w:tc>
              <w:tc>
                <w:tcPr>
                  <w:tcW w:w="673" w:type="pct"/>
                  <w:vAlign w:val="center"/>
                </w:tcPr>
                <w:p>
                  <w:pPr>
                    <w:pStyle w:val="46"/>
                    <w:rPr>
                      <w:szCs w:val="21"/>
                      <w:lang w:bidi="ar"/>
                    </w:rPr>
                  </w:pPr>
                  <w:r>
                    <w:rPr>
                      <w:szCs w:val="21"/>
                      <w:lang w:bidi="ar"/>
                    </w:rPr>
                    <w:t>1</w:t>
                  </w:r>
                </w:p>
              </w:tc>
              <w:tc>
                <w:tcPr>
                  <w:tcW w:w="631" w:type="pct"/>
                  <w:vAlign w:val="center"/>
                </w:tcPr>
                <w:p>
                  <w:pPr>
                    <w:pStyle w:val="46"/>
                    <w:rPr>
                      <w:szCs w:val="21"/>
                      <w:lang w:bidi="ar"/>
                    </w:rPr>
                  </w:pPr>
                  <w:r>
                    <w:rPr>
                      <w:szCs w:val="21"/>
                      <w:lang w:bidi="ar"/>
                    </w:rPr>
                    <w:t>1</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14</w:t>
                  </w:r>
                </w:p>
              </w:tc>
              <w:tc>
                <w:tcPr>
                  <w:tcW w:w="1372" w:type="pct"/>
                  <w:vAlign w:val="center"/>
                </w:tcPr>
                <w:p>
                  <w:pPr>
                    <w:pStyle w:val="46"/>
                    <w:rPr>
                      <w:szCs w:val="21"/>
                      <w:lang w:bidi="ar"/>
                    </w:rPr>
                  </w:pPr>
                  <w:r>
                    <w:rPr>
                      <w:szCs w:val="21"/>
                      <w:lang w:bidi="ar"/>
                    </w:rPr>
                    <w:t>自动酶标洗板机</w:t>
                  </w:r>
                </w:p>
              </w:tc>
              <w:tc>
                <w:tcPr>
                  <w:tcW w:w="1077" w:type="pct"/>
                  <w:vAlign w:val="center"/>
                </w:tcPr>
                <w:p>
                  <w:pPr>
                    <w:pStyle w:val="46"/>
                    <w:rPr>
                      <w:szCs w:val="21"/>
                      <w:lang w:bidi="ar"/>
                    </w:rPr>
                  </w:pPr>
                  <w:r>
                    <w:rPr>
                      <w:szCs w:val="21"/>
                      <w:lang w:bidi="ar"/>
                    </w:rPr>
                    <w:t>URIT670</w:t>
                  </w:r>
                </w:p>
              </w:tc>
              <w:tc>
                <w:tcPr>
                  <w:tcW w:w="673" w:type="pct"/>
                  <w:vAlign w:val="center"/>
                </w:tcPr>
                <w:p>
                  <w:pPr>
                    <w:pStyle w:val="46"/>
                    <w:rPr>
                      <w:szCs w:val="21"/>
                      <w:lang w:bidi="ar"/>
                    </w:rPr>
                  </w:pPr>
                  <w:r>
                    <w:rPr>
                      <w:szCs w:val="21"/>
                      <w:lang w:bidi="ar"/>
                    </w:rPr>
                    <w:t>1</w:t>
                  </w:r>
                </w:p>
              </w:tc>
              <w:tc>
                <w:tcPr>
                  <w:tcW w:w="631" w:type="pct"/>
                  <w:vAlign w:val="center"/>
                </w:tcPr>
                <w:p>
                  <w:pPr>
                    <w:pStyle w:val="46"/>
                    <w:rPr>
                      <w:szCs w:val="21"/>
                      <w:lang w:bidi="ar"/>
                    </w:rPr>
                  </w:pPr>
                  <w:r>
                    <w:rPr>
                      <w:szCs w:val="21"/>
                      <w:lang w:bidi="ar"/>
                    </w:rPr>
                    <w:t>1</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15</w:t>
                  </w:r>
                </w:p>
              </w:tc>
              <w:tc>
                <w:tcPr>
                  <w:tcW w:w="1372" w:type="pct"/>
                  <w:vAlign w:val="center"/>
                </w:tcPr>
                <w:p>
                  <w:pPr>
                    <w:pStyle w:val="46"/>
                    <w:rPr>
                      <w:szCs w:val="21"/>
                      <w:lang w:bidi="ar"/>
                    </w:rPr>
                  </w:pPr>
                  <w:r>
                    <w:rPr>
                      <w:szCs w:val="21"/>
                      <w:lang w:bidi="ar"/>
                    </w:rPr>
                    <w:t>全自动化学发光测定仪</w:t>
                  </w:r>
                </w:p>
              </w:tc>
              <w:tc>
                <w:tcPr>
                  <w:tcW w:w="1077" w:type="pct"/>
                  <w:vAlign w:val="center"/>
                </w:tcPr>
                <w:p>
                  <w:pPr>
                    <w:pStyle w:val="46"/>
                    <w:rPr>
                      <w:szCs w:val="21"/>
                      <w:lang w:bidi="ar"/>
                    </w:rPr>
                  </w:pPr>
                  <w:r>
                    <w:rPr>
                      <w:szCs w:val="21"/>
                      <w:lang w:bidi="ar"/>
                    </w:rPr>
                    <w:t>IFLASH3000</w:t>
                  </w:r>
                </w:p>
              </w:tc>
              <w:tc>
                <w:tcPr>
                  <w:tcW w:w="673" w:type="pct"/>
                  <w:vAlign w:val="center"/>
                </w:tcPr>
                <w:p>
                  <w:pPr>
                    <w:pStyle w:val="46"/>
                    <w:rPr>
                      <w:szCs w:val="21"/>
                      <w:lang w:bidi="ar"/>
                    </w:rPr>
                  </w:pPr>
                  <w:r>
                    <w:rPr>
                      <w:szCs w:val="21"/>
                      <w:lang w:bidi="ar"/>
                    </w:rPr>
                    <w:t>1</w:t>
                  </w:r>
                </w:p>
              </w:tc>
              <w:tc>
                <w:tcPr>
                  <w:tcW w:w="631" w:type="pct"/>
                  <w:vAlign w:val="center"/>
                </w:tcPr>
                <w:p>
                  <w:pPr>
                    <w:pStyle w:val="46"/>
                    <w:rPr>
                      <w:szCs w:val="21"/>
                      <w:lang w:bidi="ar"/>
                    </w:rPr>
                  </w:pPr>
                  <w:r>
                    <w:rPr>
                      <w:szCs w:val="21"/>
                      <w:lang w:bidi="ar"/>
                    </w:rPr>
                    <w:t>1</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16</w:t>
                  </w:r>
                </w:p>
              </w:tc>
              <w:tc>
                <w:tcPr>
                  <w:tcW w:w="1372" w:type="pct"/>
                  <w:vAlign w:val="center"/>
                </w:tcPr>
                <w:p>
                  <w:pPr>
                    <w:pStyle w:val="46"/>
                    <w:rPr>
                      <w:szCs w:val="21"/>
                      <w:lang w:bidi="ar"/>
                    </w:rPr>
                  </w:pPr>
                  <w:r>
                    <w:rPr>
                      <w:szCs w:val="21"/>
                      <w:lang w:bidi="ar"/>
                    </w:rPr>
                    <w:t>高压灭菌器</w:t>
                  </w:r>
                </w:p>
              </w:tc>
              <w:tc>
                <w:tcPr>
                  <w:tcW w:w="1077" w:type="pct"/>
                  <w:vAlign w:val="center"/>
                </w:tcPr>
                <w:p>
                  <w:pPr>
                    <w:pStyle w:val="46"/>
                    <w:rPr>
                      <w:szCs w:val="21"/>
                      <w:lang w:bidi="ar"/>
                    </w:rPr>
                  </w:pPr>
                  <w:r>
                    <w:rPr>
                      <w:szCs w:val="21"/>
                      <w:lang w:bidi="ar"/>
                    </w:rPr>
                    <w:t>/</w:t>
                  </w:r>
                </w:p>
              </w:tc>
              <w:tc>
                <w:tcPr>
                  <w:tcW w:w="673" w:type="pct"/>
                  <w:vAlign w:val="center"/>
                </w:tcPr>
                <w:p>
                  <w:pPr>
                    <w:pStyle w:val="46"/>
                    <w:rPr>
                      <w:szCs w:val="21"/>
                      <w:lang w:bidi="ar"/>
                    </w:rPr>
                  </w:pPr>
                  <w:r>
                    <w:rPr>
                      <w:szCs w:val="21"/>
                      <w:lang w:bidi="ar"/>
                    </w:rPr>
                    <w:t>1</w:t>
                  </w:r>
                </w:p>
              </w:tc>
              <w:tc>
                <w:tcPr>
                  <w:tcW w:w="631" w:type="pct"/>
                  <w:vAlign w:val="center"/>
                </w:tcPr>
                <w:p>
                  <w:pPr>
                    <w:pStyle w:val="46"/>
                    <w:rPr>
                      <w:szCs w:val="21"/>
                      <w:lang w:bidi="ar"/>
                    </w:rPr>
                  </w:pPr>
                  <w:r>
                    <w:rPr>
                      <w:szCs w:val="21"/>
                      <w:lang w:bidi="ar"/>
                    </w:rPr>
                    <w:t>1</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17</w:t>
                  </w:r>
                </w:p>
              </w:tc>
              <w:tc>
                <w:tcPr>
                  <w:tcW w:w="1372" w:type="pct"/>
                  <w:vAlign w:val="center"/>
                </w:tcPr>
                <w:p>
                  <w:pPr>
                    <w:pStyle w:val="46"/>
                    <w:rPr>
                      <w:szCs w:val="21"/>
                      <w:lang w:bidi="ar"/>
                    </w:rPr>
                  </w:pPr>
                  <w:r>
                    <w:rPr>
                      <w:szCs w:val="21"/>
                      <w:lang w:bidi="ar"/>
                    </w:rPr>
                    <w:t>通风橱</w:t>
                  </w:r>
                </w:p>
              </w:tc>
              <w:tc>
                <w:tcPr>
                  <w:tcW w:w="1077" w:type="pct"/>
                  <w:vAlign w:val="center"/>
                </w:tcPr>
                <w:p>
                  <w:pPr>
                    <w:pStyle w:val="46"/>
                    <w:rPr>
                      <w:szCs w:val="21"/>
                      <w:lang w:bidi="ar"/>
                    </w:rPr>
                  </w:pPr>
                  <w:r>
                    <w:rPr>
                      <w:szCs w:val="21"/>
                      <w:lang w:bidi="ar"/>
                    </w:rPr>
                    <w:t>FH1800(A)</w:t>
                  </w:r>
                </w:p>
              </w:tc>
              <w:tc>
                <w:tcPr>
                  <w:tcW w:w="673" w:type="pct"/>
                  <w:vAlign w:val="center"/>
                </w:tcPr>
                <w:p>
                  <w:pPr>
                    <w:pStyle w:val="46"/>
                    <w:rPr>
                      <w:szCs w:val="21"/>
                      <w:lang w:bidi="ar"/>
                    </w:rPr>
                  </w:pPr>
                  <w:r>
                    <w:rPr>
                      <w:szCs w:val="21"/>
                      <w:lang w:bidi="ar"/>
                    </w:rPr>
                    <w:t>9</w:t>
                  </w:r>
                </w:p>
              </w:tc>
              <w:tc>
                <w:tcPr>
                  <w:tcW w:w="631" w:type="pct"/>
                  <w:vAlign w:val="center"/>
                </w:tcPr>
                <w:p>
                  <w:pPr>
                    <w:pStyle w:val="46"/>
                    <w:rPr>
                      <w:szCs w:val="21"/>
                      <w:lang w:bidi="ar"/>
                    </w:rPr>
                  </w:pPr>
                  <w:r>
                    <w:rPr>
                      <w:szCs w:val="21"/>
                      <w:lang w:bidi="ar"/>
                    </w:rPr>
                    <w:t>9</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18</w:t>
                  </w:r>
                </w:p>
              </w:tc>
              <w:tc>
                <w:tcPr>
                  <w:tcW w:w="1372" w:type="pct"/>
                  <w:vAlign w:val="center"/>
                </w:tcPr>
                <w:p>
                  <w:pPr>
                    <w:pStyle w:val="46"/>
                    <w:rPr>
                      <w:szCs w:val="21"/>
                      <w:lang w:bidi="ar"/>
                    </w:rPr>
                  </w:pPr>
                  <w:r>
                    <w:rPr>
                      <w:szCs w:val="21"/>
                      <w:lang w:bidi="ar"/>
                    </w:rPr>
                    <w:t>二级活性炭吸附</w:t>
                  </w:r>
                </w:p>
              </w:tc>
              <w:tc>
                <w:tcPr>
                  <w:tcW w:w="1077" w:type="pct"/>
                  <w:vAlign w:val="center"/>
                </w:tcPr>
                <w:p>
                  <w:pPr>
                    <w:pStyle w:val="46"/>
                    <w:rPr>
                      <w:szCs w:val="21"/>
                      <w:lang w:bidi="ar"/>
                    </w:rPr>
                  </w:pPr>
                  <w:r>
                    <w:rPr>
                      <w:szCs w:val="21"/>
                      <w:lang w:bidi="ar"/>
                    </w:rPr>
                    <w:t>PH—2000</w:t>
                  </w:r>
                </w:p>
              </w:tc>
              <w:tc>
                <w:tcPr>
                  <w:tcW w:w="673" w:type="pct"/>
                  <w:vAlign w:val="center"/>
                </w:tcPr>
                <w:p>
                  <w:pPr>
                    <w:pStyle w:val="46"/>
                    <w:rPr>
                      <w:szCs w:val="21"/>
                      <w:lang w:bidi="ar"/>
                    </w:rPr>
                  </w:pPr>
                  <w:r>
                    <w:rPr>
                      <w:szCs w:val="21"/>
                      <w:lang w:bidi="ar"/>
                    </w:rPr>
                    <w:t>1</w:t>
                  </w:r>
                </w:p>
              </w:tc>
              <w:tc>
                <w:tcPr>
                  <w:tcW w:w="631" w:type="pct"/>
                  <w:vAlign w:val="center"/>
                </w:tcPr>
                <w:p>
                  <w:pPr>
                    <w:pStyle w:val="46"/>
                    <w:rPr>
                      <w:szCs w:val="21"/>
                      <w:lang w:bidi="ar"/>
                    </w:rPr>
                  </w:pPr>
                  <w:r>
                    <w:rPr>
                      <w:szCs w:val="21"/>
                      <w:lang w:bidi="ar"/>
                    </w:rPr>
                    <w:t>1</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19</w:t>
                  </w:r>
                </w:p>
              </w:tc>
              <w:tc>
                <w:tcPr>
                  <w:tcW w:w="1372" w:type="pct"/>
                  <w:vAlign w:val="center"/>
                </w:tcPr>
                <w:p>
                  <w:pPr>
                    <w:pStyle w:val="46"/>
                    <w:rPr>
                      <w:szCs w:val="21"/>
                      <w:lang w:bidi="ar"/>
                    </w:rPr>
                  </w:pPr>
                  <w:r>
                    <w:rPr>
                      <w:szCs w:val="21"/>
                      <w:lang w:bidi="ar"/>
                    </w:rPr>
                    <w:t>送风机箱</w:t>
                  </w:r>
                </w:p>
              </w:tc>
              <w:tc>
                <w:tcPr>
                  <w:tcW w:w="1077" w:type="pct"/>
                  <w:vAlign w:val="center"/>
                </w:tcPr>
                <w:p>
                  <w:pPr>
                    <w:pStyle w:val="46"/>
                    <w:rPr>
                      <w:szCs w:val="21"/>
                      <w:lang w:bidi="ar"/>
                    </w:rPr>
                  </w:pPr>
                  <w:r>
                    <w:rPr>
                      <w:szCs w:val="21"/>
                      <w:lang w:bidi="ar"/>
                    </w:rPr>
                    <w:t>1000</w:t>
                  </w:r>
                  <w:r>
                    <w:rPr>
                      <w:rFonts w:hint="eastAsia"/>
                      <w:szCs w:val="21"/>
                      <w:lang w:eastAsia="zh-CN" w:bidi="ar"/>
                    </w:rPr>
                    <w:t>m</w:t>
                  </w:r>
                  <w:r>
                    <w:rPr>
                      <w:rFonts w:hint="eastAsia"/>
                      <w:szCs w:val="21"/>
                      <w:vertAlign w:val="superscript"/>
                      <w:lang w:eastAsia="zh-CN" w:bidi="ar"/>
                    </w:rPr>
                    <w:t>3</w:t>
                  </w:r>
                  <w:r>
                    <w:rPr>
                      <w:szCs w:val="21"/>
                      <w:lang w:bidi="ar"/>
                    </w:rPr>
                    <w:t>/h</w:t>
                  </w:r>
                </w:p>
              </w:tc>
              <w:tc>
                <w:tcPr>
                  <w:tcW w:w="673" w:type="pct"/>
                  <w:vAlign w:val="center"/>
                </w:tcPr>
                <w:p>
                  <w:pPr>
                    <w:pStyle w:val="46"/>
                    <w:rPr>
                      <w:szCs w:val="21"/>
                      <w:lang w:bidi="ar"/>
                    </w:rPr>
                  </w:pPr>
                  <w:r>
                    <w:rPr>
                      <w:szCs w:val="21"/>
                      <w:lang w:bidi="ar"/>
                    </w:rPr>
                    <w:t>9</w:t>
                  </w:r>
                </w:p>
              </w:tc>
              <w:tc>
                <w:tcPr>
                  <w:tcW w:w="631" w:type="pct"/>
                  <w:vAlign w:val="center"/>
                </w:tcPr>
                <w:p>
                  <w:pPr>
                    <w:pStyle w:val="46"/>
                    <w:rPr>
                      <w:szCs w:val="21"/>
                      <w:lang w:bidi="ar"/>
                    </w:rPr>
                  </w:pPr>
                  <w:r>
                    <w:rPr>
                      <w:szCs w:val="21"/>
                      <w:lang w:bidi="ar"/>
                    </w:rPr>
                    <w:t>9</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20</w:t>
                  </w:r>
                </w:p>
              </w:tc>
              <w:tc>
                <w:tcPr>
                  <w:tcW w:w="1372" w:type="pct"/>
                  <w:vAlign w:val="center"/>
                </w:tcPr>
                <w:p>
                  <w:pPr>
                    <w:pStyle w:val="46"/>
                    <w:rPr>
                      <w:szCs w:val="21"/>
                      <w:lang w:bidi="ar"/>
                    </w:rPr>
                  </w:pPr>
                  <w:r>
                    <w:rPr>
                      <w:szCs w:val="21"/>
                      <w:lang w:bidi="ar"/>
                    </w:rPr>
                    <w:t>排风机箱</w:t>
                  </w:r>
                </w:p>
              </w:tc>
              <w:tc>
                <w:tcPr>
                  <w:tcW w:w="1077" w:type="pct"/>
                  <w:vAlign w:val="center"/>
                </w:tcPr>
                <w:p>
                  <w:pPr>
                    <w:pStyle w:val="46"/>
                    <w:rPr>
                      <w:szCs w:val="21"/>
                      <w:lang w:bidi="ar"/>
                    </w:rPr>
                  </w:pPr>
                  <w:r>
                    <w:rPr>
                      <w:szCs w:val="21"/>
                      <w:lang w:bidi="ar"/>
                    </w:rPr>
                    <w:t>3000</w:t>
                  </w:r>
                  <w:r>
                    <w:rPr>
                      <w:rFonts w:hint="eastAsia"/>
                      <w:szCs w:val="21"/>
                      <w:lang w:eastAsia="zh-CN" w:bidi="ar"/>
                    </w:rPr>
                    <w:t>m</w:t>
                  </w:r>
                  <w:r>
                    <w:rPr>
                      <w:rFonts w:hint="eastAsia"/>
                      <w:szCs w:val="21"/>
                      <w:vertAlign w:val="superscript"/>
                      <w:lang w:eastAsia="zh-CN" w:bidi="ar"/>
                    </w:rPr>
                    <w:t>3</w:t>
                  </w:r>
                  <w:r>
                    <w:rPr>
                      <w:szCs w:val="21"/>
                      <w:lang w:bidi="ar"/>
                    </w:rPr>
                    <w:t>/h</w:t>
                  </w:r>
                </w:p>
              </w:tc>
              <w:tc>
                <w:tcPr>
                  <w:tcW w:w="673" w:type="pct"/>
                  <w:vAlign w:val="center"/>
                </w:tcPr>
                <w:p>
                  <w:pPr>
                    <w:pStyle w:val="46"/>
                    <w:rPr>
                      <w:szCs w:val="21"/>
                      <w:lang w:bidi="ar"/>
                    </w:rPr>
                  </w:pPr>
                  <w:r>
                    <w:rPr>
                      <w:szCs w:val="21"/>
                      <w:lang w:bidi="ar"/>
                    </w:rPr>
                    <w:t>9</w:t>
                  </w:r>
                </w:p>
              </w:tc>
              <w:tc>
                <w:tcPr>
                  <w:tcW w:w="631" w:type="pct"/>
                  <w:vAlign w:val="center"/>
                </w:tcPr>
                <w:p>
                  <w:pPr>
                    <w:pStyle w:val="46"/>
                    <w:rPr>
                      <w:szCs w:val="21"/>
                      <w:lang w:bidi="ar"/>
                    </w:rPr>
                  </w:pPr>
                  <w:r>
                    <w:rPr>
                      <w:szCs w:val="21"/>
                      <w:lang w:bidi="ar"/>
                    </w:rPr>
                    <w:t>9</w:t>
                  </w:r>
                </w:p>
              </w:tc>
              <w:tc>
                <w:tcPr>
                  <w:tcW w:w="844" w:type="pct"/>
                  <w:vAlign w:val="center"/>
                </w:tcPr>
                <w:p>
                  <w:pPr>
                    <w:pStyle w:val="46"/>
                    <w:rPr>
                      <w:szCs w:val="21"/>
                      <w:lang w:bidi="ar"/>
                    </w:rPr>
                  </w:pPr>
                  <w:r>
                    <w:rPr>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0" w:type="pct"/>
                  <w:vAlign w:val="center"/>
                </w:tcPr>
                <w:p>
                  <w:pPr>
                    <w:pStyle w:val="46"/>
                    <w:rPr>
                      <w:szCs w:val="21"/>
                      <w:lang w:bidi="ar"/>
                    </w:rPr>
                  </w:pPr>
                  <w:r>
                    <w:rPr>
                      <w:szCs w:val="21"/>
                      <w:lang w:bidi="ar"/>
                    </w:rPr>
                    <w:t>21</w:t>
                  </w:r>
                </w:p>
              </w:tc>
              <w:tc>
                <w:tcPr>
                  <w:tcW w:w="1372" w:type="pct"/>
                  <w:vAlign w:val="center"/>
                </w:tcPr>
                <w:p>
                  <w:pPr>
                    <w:pStyle w:val="46"/>
                    <w:rPr>
                      <w:szCs w:val="21"/>
                      <w:lang w:bidi="ar"/>
                    </w:rPr>
                  </w:pPr>
                  <w:r>
                    <w:rPr>
                      <w:szCs w:val="21"/>
                      <w:lang w:bidi="ar"/>
                    </w:rPr>
                    <w:t>排风机箱</w:t>
                  </w:r>
                </w:p>
              </w:tc>
              <w:tc>
                <w:tcPr>
                  <w:tcW w:w="1077" w:type="pct"/>
                  <w:vAlign w:val="center"/>
                </w:tcPr>
                <w:p>
                  <w:pPr>
                    <w:pStyle w:val="46"/>
                    <w:rPr>
                      <w:szCs w:val="21"/>
                      <w:lang w:bidi="ar"/>
                    </w:rPr>
                  </w:pPr>
                  <w:r>
                    <w:rPr>
                      <w:szCs w:val="21"/>
                      <w:lang w:bidi="ar"/>
                    </w:rPr>
                    <w:t>12000</w:t>
                  </w:r>
                  <w:r>
                    <w:rPr>
                      <w:rFonts w:hint="eastAsia"/>
                      <w:szCs w:val="21"/>
                      <w:lang w:eastAsia="zh-CN" w:bidi="ar"/>
                    </w:rPr>
                    <w:t>m</w:t>
                  </w:r>
                  <w:r>
                    <w:rPr>
                      <w:rFonts w:hint="eastAsia"/>
                      <w:szCs w:val="21"/>
                      <w:vertAlign w:val="superscript"/>
                      <w:lang w:eastAsia="zh-CN" w:bidi="ar"/>
                    </w:rPr>
                    <w:t>3</w:t>
                  </w:r>
                  <w:r>
                    <w:rPr>
                      <w:szCs w:val="21"/>
                      <w:lang w:bidi="ar"/>
                    </w:rPr>
                    <w:t>/h</w:t>
                  </w:r>
                </w:p>
              </w:tc>
              <w:tc>
                <w:tcPr>
                  <w:tcW w:w="673" w:type="pct"/>
                  <w:vAlign w:val="center"/>
                </w:tcPr>
                <w:p>
                  <w:pPr>
                    <w:pStyle w:val="46"/>
                    <w:rPr>
                      <w:szCs w:val="21"/>
                      <w:lang w:bidi="ar"/>
                    </w:rPr>
                  </w:pPr>
                  <w:r>
                    <w:rPr>
                      <w:szCs w:val="21"/>
                      <w:lang w:bidi="ar"/>
                    </w:rPr>
                    <w:t>1</w:t>
                  </w:r>
                </w:p>
              </w:tc>
              <w:tc>
                <w:tcPr>
                  <w:tcW w:w="631" w:type="pct"/>
                  <w:vAlign w:val="center"/>
                </w:tcPr>
                <w:p>
                  <w:pPr>
                    <w:pStyle w:val="46"/>
                    <w:rPr>
                      <w:szCs w:val="21"/>
                      <w:lang w:bidi="ar"/>
                    </w:rPr>
                  </w:pPr>
                  <w:r>
                    <w:rPr>
                      <w:szCs w:val="21"/>
                      <w:lang w:bidi="ar"/>
                    </w:rPr>
                    <w:t>1</w:t>
                  </w:r>
                </w:p>
              </w:tc>
              <w:tc>
                <w:tcPr>
                  <w:tcW w:w="844" w:type="pct"/>
                  <w:vAlign w:val="center"/>
                </w:tcPr>
                <w:p>
                  <w:pPr>
                    <w:pStyle w:val="46"/>
                    <w:rPr>
                      <w:szCs w:val="21"/>
                      <w:lang w:bidi="ar"/>
                    </w:rPr>
                  </w:pPr>
                  <w:r>
                    <w:rPr>
                      <w:szCs w:val="21"/>
                    </w:rPr>
                    <w:t>与环评一致</w:t>
                  </w:r>
                </w:p>
              </w:tc>
            </w:tr>
          </w:tbl>
          <w:p>
            <w:pPr>
              <w:ind w:firstLine="482"/>
              <w:jc w:val="center"/>
              <w:rPr>
                <w:b/>
                <w:bCs/>
              </w:rPr>
            </w:pPr>
            <w:r>
              <w:rPr>
                <w:b/>
                <w:bCs/>
              </w:rPr>
              <w:t>表2-</w:t>
            </w:r>
            <w:r>
              <w:rPr>
                <w:rFonts w:hint="eastAsia"/>
                <w:b/>
                <w:bCs/>
              </w:rPr>
              <w:t>4</w:t>
            </w:r>
            <w:r>
              <w:rPr>
                <w:b/>
                <w:bCs/>
              </w:rPr>
              <w:t xml:space="preserve">  本项目原辅材料使用一览表</w:t>
            </w:r>
          </w:p>
          <w:tbl>
            <w:tblPr>
              <w:tblStyle w:val="28"/>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96"/>
              <w:gridCol w:w="1997"/>
              <w:gridCol w:w="1861"/>
              <w:gridCol w:w="794"/>
              <w:gridCol w:w="1049"/>
              <w:gridCol w:w="867"/>
              <w:gridCol w:w="133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b/>
                      <w:bCs/>
                      <w:szCs w:val="21"/>
                      <w:lang w:bidi="ar"/>
                    </w:rPr>
                  </w:pPr>
                  <w:r>
                    <w:rPr>
                      <w:rFonts w:hint="eastAsia"/>
                      <w:b/>
                      <w:bCs/>
                      <w:szCs w:val="21"/>
                      <w:lang w:bidi="ar"/>
                    </w:rPr>
                    <w:t>序号</w:t>
                  </w:r>
                </w:p>
              </w:tc>
              <w:tc>
                <w:tcPr>
                  <w:tcW w:w="1120" w:type="pct"/>
                  <w:tcBorders>
                    <w:left w:val="single" w:color="auto" w:sz="4" w:space="0"/>
                  </w:tcBorders>
                  <w:vAlign w:val="center"/>
                </w:tcPr>
                <w:p>
                  <w:pPr>
                    <w:pStyle w:val="46"/>
                    <w:rPr>
                      <w:b/>
                      <w:bCs/>
                      <w:szCs w:val="21"/>
                      <w:lang w:bidi="ar"/>
                    </w:rPr>
                  </w:pPr>
                  <w:r>
                    <w:rPr>
                      <w:b/>
                      <w:bCs/>
                      <w:szCs w:val="21"/>
                      <w:lang w:bidi="ar"/>
                    </w:rPr>
                    <w:t>原料名称</w:t>
                  </w:r>
                </w:p>
              </w:tc>
              <w:tc>
                <w:tcPr>
                  <w:tcW w:w="1044" w:type="pct"/>
                  <w:vAlign w:val="center"/>
                </w:tcPr>
                <w:p>
                  <w:pPr>
                    <w:pStyle w:val="46"/>
                    <w:rPr>
                      <w:b/>
                      <w:bCs/>
                      <w:szCs w:val="21"/>
                      <w:lang w:bidi="ar"/>
                    </w:rPr>
                  </w:pPr>
                  <w:r>
                    <w:rPr>
                      <w:b/>
                      <w:bCs/>
                      <w:szCs w:val="21"/>
                      <w:lang w:bidi="ar"/>
                    </w:rPr>
                    <w:t>型号</w:t>
                  </w:r>
                </w:p>
              </w:tc>
              <w:tc>
                <w:tcPr>
                  <w:tcW w:w="446" w:type="pct"/>
                  <w:tcBorders>
                    <w:right w:val="single" w:color="auto" w:sz="4" w:space="0"/>
                  </w:tcBorders>
                  <w:vAlign w:val="center"/>
                </w:tcPr>
                <w:p>
                  <w:pPr>
                    <w:pStyle w:val="46"/>
                    <w:rPr>
                      <w:b/>
                      <w:bCs/>
                      <w:szCs w:val="21"/>
                      <w:lang w:bidi="ar"/>
                    </w:rPr>
                  </w:pPr>
                  <w:r>
                    <w:rPr>
                      <w:b/>
                      <w:bCs/>
                      <w:szCs w:val="21"/>
                      <w:lang w:bidi="ar"/>
                    </w:rPr>
                    <w:t>单位</w:t>
                  </w:r>
                </w:p>
              </w:tc>
              <w:tc>
                <w:tcPr>
                  <w:tcW w:w="589" w:type="pct"/>
                  <w:tcBorders>
                    <w:left w:val="single" w:color="auto" w:sz="4" w:space="0"/>
                  </w:tcBorders>
                  <w:vAlign w:val="center"/>
                </w:tcPr>
                <w:p>
                  <w:pPr>
                    <w:pStyle w:val="46"/>
                    <w:rPr>
                      <w:b/>
                      <w:bCs/>
                      <w:szCs w:val="21"/>
                      <w:lang w:bidi="ar"/>
                    </w:rPr>
                  </w:pPr>
                  <w:r>
                    <w:rPr>
                      <w:b/>
                      <w:bCs/>
                      <w:szCs w:val="21"/>
                      <w:lang w:bidi="ar"/>
                    </w:rPr>
                    <w:t>环评年用量</w:t>
                  </w:r>
                </w:p>
              </w:tc>
              <w:tc>
                <w:tcPr>
                  <w:tcW w:w="487" w:type="pct"/>
                  <w:vAlign w:val="center"/>
                </w:tcPr>
                <w:p>
                  <w:pPr>
                    <w:pStyle w:val="46"/>
                    <w:rPr>
                      <w:b/>
                      <w:bCs/>
                      <w:szCs w:val="21"/>
                      <w:lang w:bidi="ar"/>
                    </w:rPr>
                  </w:pPr>
                  <w:r>
                    <w:rPr>
                      <w:b/>
                      <w:bCs/>
                      <w:szCs w:val="21"/>
                      <w:lang w:bidi="ar"/>
                    </w:rPr>
                    <w:t>实际年用量</w:t>
                  </w:r>
                </w:p>
              </w:tc>
              <w:tc>
                <w:tcPr>
                  <w:tcW w:w="752" w:type="pct"/>
                  <w:vAlign w:val="center"/>
                </w:tcPr>
                <w:p>
                  <w:pPr>
                    <w:pStyle w:val="46"/>
                    <w:rPr>
                      <w:b/>
                      <w:bCs/>
                      <w:szCs w:val="21"/>
                      <w:lang w:bidi="ar"/>
                    </w:rPr>
                  </w:pPr>
                  <w:r>
                    <w:rPr>
                      <w:b/>
                      <w:bCs/>
                      <w:szCs w:val="21"/>
                      <w:lang w:bidi="ar"/>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1</w:t>
                  </w:r>
                </w:p>
              </w:tc>
              <w:tc>
                <w:tcPr>
                  <w:tcW w:w="1120" w:type="pct"/>
                  <w:tcBorders>
                    <w:left w:val="single" w:color="auto" w:sz="4" w:space="0"/>
                  </w:tcBorders>
                  <w:vAlign w:val="center"/>
                </w:tcPr>
                <w:p>
                  <w:pPr>
                    <w:pStyle w:val="46"/>
                    <w:rPr>
                      <w:szCs w:val="21"/>
                      <w:lang w:bidi="ar"/>
                    </w:rPr>
                  </w:pPr>
                  <w:r>
                    <w:rPr>
                      <w:szCs w:val="21"/>
                      <w:lang w:bidi="ar"/>
                    </w:rPr>
                    <w:t>离心管</w:t>
                  </w:r>
                </w:p>
              </w:tc>
              <w:tc>
                <w:tcPr>
                  <w:tcW w:w="1044" w:type="pct"/>
                  <w:vAlign w:val="center"/>
                </w:tcPr>
                <w:p>
                  <w:pPr>
                    <w:pStyle w:val="46"/>
                    <w:rPr>
                      <w:szCs w:val="21"/>
                      <w:lang w:bidi="ar"/>
                    </w:rPr>
                  </w:pPr>
                  <w:r>
                    <w:rPr>
                      <w:szCs w:val="21"/>
                      <w:lang w:bidi="ar"/>
                    </w:rPr>
                    <w:t>1.5ml离心管</w:t>
                  </w:r>
                </w:p>
              </w:tc>
              <w:tc>
                <w:tcPr>
                  <w:tcW w:w="446" w:type="pct"/>
                  <w:vAlign w:val="center"/>
                </w:tcPr>
                <w:p>
                  <w:pPr>
                    <w:pStyle w:val="46"/>
                    <w:rPr>
                      <w:szCs w:val="21"/>
                      <w:lang w:bidi="ar"/>
                    </w:rPr>
                  </w:pPr>
                  <w:r>
                    <w:rPr>
                      <w:szCs w:val="21"/>
                      <w:lang w:bidi="ar"/>
                    </w:rPr>
                    <w:t>只</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2</w:t>
                  </w:r>
                </w:p>
              </w:tc>
              <w:tc>
                <w:tcPr>
                  <w:tcW w:w="1120" w:type="pct"/>
                  <w:tcBorders>
                    <w:left w:val="single" w:color="auto" w:sz="4" w:space="0"/>
                  </w:tcBorders>
                  <w:vAlign w:val="center"/>
                </w:tcPr>
                <w:p>
                  <w:pPr>
                    <w:pStyle w:val="46"/>
                    <w:rPr>
                      <w:szCs w:val="21"/>
                      <w:lang w:bidi="ar"/>
                    </w:rPr>
                  </w:pPr>
                  <w:r>
                    <w:rPr>
                      <w:szCs w:val="21"/>
                      <w:lang w:bidi="ar"/>
                    </w:rPr>
                    <w:t>微升滤芯枪头</w:t>
                  </w:r>
                </w:p>
              </w:tc>
              <w:tc>
                <w:tcPr>
                  <w:tcW w:w="1044" w:type="pct"/>
                  <w:vAlign w:val="center"/>
                </w:tcPr>
                <w:p>
                  <w:pPr>
                    <w:pStyle w:val="46"/>
                    <w:rPr>
                      <w:szCs w:val="21"/>
                      <w:lang w:bidi="ar"/>
                    </w:rPr>
                  </w:pPr>
                  <w:r>
                    <w:rPr>
                      <w:szCs w:val="21"/>
                      <w:lang w:bidi="ar"/>
                    </w:rPr>
                    <w:t>200微升滤芯枪头</w:t>
                  </w:r>
                </w:p>
              </w:tc>
              <w:tc>
                <w:tcPr>
                  <w:tcW w:w="446" w:type="pct"/>
                  <w:vAlign w:val="center"/>
                </w:tcPr>
                <w:p>
                  <w:pPr>
                    <w:pStyle w:val="46"/>
                    <w:rPr>
                      <w:szCs w:val="21"/>
                      <w:lang w:bidi="ar"/>
                    </w:rPr>
                  </w:pPr>
                  <w:r>
                    <w:rPr>
                      <w:szCs w:val="21"/>
                      <w:lang w:bidi="ar"/>
                    </w:rPr>
                    <w:t>支</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3</w:t>
                  </w:r>
                </w:p>
              </w:tc>
              <w:tc>
                <w:tcPr>
                  <w:tcW w:w="1120" w:type="pct"/>
                  <w:tcBorders>
                    <w:left w:val="single" w:color="auto" w:sz="4" w:space="0"/>
                  </w:tcBorders>
                  <w:vAlign w:val="center"/>
                </w:tcPr>
                <w:p>
                  <w:pPr>
                    <w:pStyle w:val="46"/>
                    <w:rPr>
                      <w:szCs w:val="21"/>
                      <w:lang w:bidi="ar"/>
                    </w:rPr>
                  </w:pPr>
                  <w:r>
                    <w:rPr>
                      <w:szCs w:val="21"/>
                      <w:lang w:bidi="ar"/>
                    </w:rPr>
                    <w:t>微升滤芯枪头</w:t>
                  </w:r>
                </w:p>
              </w:tc>
              <w:tc>
                <w:tcPr>
                  <w:tcW w:w="1044" w:type="pct"/>
                  <w:vAlign w:val="center"/>
                </w:tcPr>
                <w:p>
                  <w:pPr>
                    <w:pStyle w:val="46"/>
                    <w:rPr>
                      <w:szCs w:val="21"/>
                      <w:lang w:bidi="ar"/>
                    </w:rPr>
                  </w:pPr>
                  <w:r>
                    <w:rPr>
                      <w:szCs w:val="21"/>
                      <w:lang w:bidi="ar"/>
                    </w:rPr>
                    <w:t>20微升滤芯枪头</w:t>
                  </w:r>
                </w:p>
              </w:tc>
              <w:tc>
                <w:tcPr>
                  <w:tcW w:w="446" w:type="pct"/>
                  <w:vAlign w:val="center"/>
                </w:tcPr>
                <w:p>
                  <w:pPr>
                    <w:pStyle w:val="46"/>
                    <w:rPr>
                      <w:szCs w:val="21"/>
                      <w:lang w:bidi="ar"/>
                    </w:rPr>
                  </w:pPr>
                  <w:r>
                    <w:rPr>
                      <w:szCs w:val="21"/>
                      <w:lang w:bidi="ar"/>
                    </w:rPr>
                    <w:t>支</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4</w:t>
                  </w:r>
                </w:p>
              </w:tc>
              <w:tc>
                <w:tcPr>
                  <w:tcW w:w="1120" w:type="pct"/>
                  <w:tcBorders>
                    <w:left w:val="single" w:color="auto" w:sz="4" w:space="0"/>
                  </w:tcBorders>
                  <w:vAlign w:val="center"/>
                </w:tcPr>
                <w:p>
                  <w:pPr>
                    <w:pStyle w:val="46"/>
                    <w:rPr>
                      <w:szCs w:val="21"/>
                      <w:lang w:bidi="ar"/>
                    </w:rPr>
                  </w:pPr>
                  <w:r>
                    <w:rPr>
                      <w:szCs w:val="21"/>
                      <w:lang w:bidi="ar"/>
                    </w:rPr>
                    <w:t>散装微升滤芯枪头</w:t>
                  </w:r>
                </w:p>
              </w:tc>
              <w:tc>
                <w:tcPr>
                  <w:tcW w:w="1044" w:type="pct"/>
                  <w:vAlign w:val="center"/>
                </w:tcPr>
                <w:p>
                  <w:pPr>
                    <w:pStyle w:val="46"/>
                    <w:rPr>
                      <w:szCs w:val="21"/>
                      <w:lang w:bidi="ar"/>
                    </w:rPr>
                  </w:pPr>
                  <w:r>
                    <w:rPr>
                      <w:szCs w:val="21"/>
                      <w:lang w:bidi="ar"/>
                    </w:rPr>
                    <w:t>散装1000微升滤芯枪头</w:t>
                  </w:r>
                </w:p>
              </w:tc>
              <w:tc>
                <w:tcPr>
                  <w:tcW w:w="446" w:type="pct"/>
                  <w:vAlign w:val="center"/>
                </w:tcPr>
                <w:p>
                  <w:pPr>
                    <w:pStyle w:val="46"/>
                    <w:rPr>
                      <w:szCs w:val="21"/>
                      <w:lang w:bidi="ar"/>
                    </w:rPr>
                  </w:pPr>
                  <w:r>
                    <w:rPr>
                      <w:szCs w:val="21"/>
                      <w:lang w:bidi="ar"/>
                    </w:rPr>
                    <w:t>支</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5</w:t>
                  </w:r>
                </w:p>
              </w:tc>
              <w:tc>
                <w:tcPr>
                  <w:tcW w:w="1120" w:type="pct"/>
                  <w:tcBorders>
                    <w:left w:val="single" w:color="auto" w:sz="4" w:space="0"/>
                  </w:tcBorders>
                  <w:vAlign w:val="center"/>
                </w:tcPr>
                <w:p>
                  <w:pPr>
                    <w:pStyle w:val="46"/>
                    <w:rPr>
                      <w:szCs w:val="21"/>
                      <w:lang w:bidi="ar"/>
                    </w:rPr>
                  </w:pPr>
                  <w:r>
                    <w:rPr>
                      <w:szCs w:val="21"/>
                      <w:lang w:bidi="ar"/>
                    </w:rPr>
                    <w:t>扩增试剂</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支</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6</w:t>
                  </w:r>
                </w:p>
              </w:tc>
              <w:tc>
                <w:tcPr>
                  <w:tcW w:w="1120" w:type="pct"/>
                  <w:tcBorders>
                    <w:left w:val="single" w:color="auto" w:sz="4" w:space="0"/>
                  </w:tcBorders>
                  <w:vAlign w:val="center"/>
                </w:tcPr>
                <w:p>
                  <w:pPr>
                    <w:pStyle w:val="46"/>
                    <w:rPr>
                      <w:szCs w:val="21"/>
                      <w:lang w:bidi="ar"/>
                    </w:rPr>
                  </w:pPr>
                  <w:r>
                    <w:rPr>
                      <w:szCs w:val="21"/>
                      <w:lang w:bidi="ar"/>
                    </w:rPr>
                    <w:t>杂交液Ⅰ浓缩液</w:t>
                  </w:r>
                </w:p>
              </w:tc>
              <w:tc>
                <w:tcPr>
                  <w:tcW w:w="1044" w:type="pct"/>
                  <w:vAlign w:val="center"/>
                </w:tcPr>
                <w:p>
                  <w:pPr>
                    <w:pStyle w:val="46"/>
                    <w:rPr>
                      <w:szCs w:val="21"/>
                      <w:lang w:bidi="ar"/>
                    </w:rPr>
                  </w:pPr>
                  <w:r>
                    <w:rPr>
                      <w:szCs w:val="21"/>
                      <w:lang w:bidi="ar"/>
                    </w:rPr>
                    <w:t>（50ml）浓缩液</w:t>
                  </w:r>
                </w:p>
              </w:tc>
              <w:tc>
                <w:tcPr>
                  <w:tcW w:w="446" w:type="pct"/>
                  <w:vAlign w:val="center"/>
                </w:tcPr>
                <w:p>
                  <w:pPr>
                    <w:pStyle w:val="46"/>
                    <w:rPr>
                      <w:szCs w:val="21"/>
                      <w:lang w:bidi="ar"/>
                    </w:rPr>
                  </w:pPr>
                  <w:r>
                    <w:rPr>
                      <w:szCs w:val="21"/>
                      <w:lang w:bidi="ar"/>
                    </w:rPr>
                    <w:t>瓶</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7</w:t>
                  </w:r>
                </w:p>
              </w:tc>
              <w:tc>
                <w:tcPr>
                  <w:tcW w:w="1120" w:type="pct"/>
                  <w:tcBorders>
                    <w:left w:val="single" w:color="auto" w:sz="4" w:space="0"/>
                  </w:tcBorders>
                  <w:vAlign w:val="center"/>
                </w:tcPr>
                <w:p>
                  <w:pPr>
                    <w:pStyle w:val="46"/>
                    <w:rPr>
                      <w:szCs w:val="21"/>
                      <w:lang w:bidi="ar"/>
                    </w:rPr>
                  </w:pPr>
                  <w:r>
                    <w:rPr>
                      <w:szCs w:val="21"/>
                      <w:lang w:bidi="ar"/>
                    </w:rPr>
                    <w:t>杂交液Ⅱ浓缩液</w:t>
                  </w:r>
                </w:p>
              </w:tc>
              <w:tc>
                <w:tcPr>
                  <w:tcW w:w="1044" w:type="pct"/>
                  <w:vAlign w:val="center"/>
                </w:tcPr>
                <w:p>
                  <w:pPr>
                    <w:pStyle w:val="46"/>
                    <w:rPr>
                      <w:szCs w:val="21"/>
                      <w:lang w:bidi="ar"/>
                    </w:rPr>
                  </w:pPr>
                  <w:r>
                    <w:rPr>
                      <w:szCs w:val="21"/>
                      <w:lang w:bidi="ar"/>
                    </w:rPr>
                    <w:t>（50ml）浓缩液</w:t>
                  </w:r>
                </w:p>
              </w:tc>
              <w:tc>
                <w:tcPr>
                  <w:tcW w:w="446" w:type="pct"/>
                  <w:vAlign w:val="center"/>
                </w:tcPr>
                <w:p>
                  <w:pPr>
                    <w:pStyle w:val="46"/>
                    <w:rPr>
                      <w:szCs w:val="21"/>
                      <w:lang w:bidi="ar"/>
                    </w:rPr>
                  </w:pPr>
                  <w:r>
                    <w:rPr>
                      <w:szCs w:val="21"/>
                      <w:lang w:bidi="ar"/>
                    </w:rPr>
                    <w:t>瓶</w:t>
                  </w:r>
                </w:p>
              </w:tc>
              <w:tc>
                <w:tcPr>
                  <w:tcW w:w="589" w:type="pct"/>
                  <w:vAlign w:val="center"/>
                </w:tcPr>
                <w:p>
                  <w:pPr>
                    <w:pStyle w:val="46"/>
                    <w:rPr>
                      <w:szCs w:val="21"/>
                      <w:lang w:bidi="ar"/>
                    </w:rPr>
                  </w:pPr>
                  <w:r>
                    <w:rPr>
                      <w:szCs w:val="21"/>
                      <w:lang w:bidi="ar"/>
                    </w:rPr>
                    <w:t>14600</w:t>
                  </w:r>
                </w:p>
              </w:tc>
              <w:tc>
                <w:tcPr>
                  <w:tcW w:w="487" w:type="pct"/>
                  <w:vAlign w:val="center"/>
                </w:tcPr>
                <w:p>
                  <w:pPr>
                    <w:pStyle w:val="46"/>
                    <w:rPr>
                      <w:szCs w:val="21"/>
                      <w:lang w:bidi="ar"/>
                    </w:rPr>
                  </w:pPr>
                  <w:r>
                    <w:rPr>
                      <w:szCs w:val="21"/>
                      <w:lang w:bidi="ar"/>
                    </w:rPr>
                    <w:t>14600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8</w:t>
                  </w:r>
                </w:p>
              </w:tc>
              <w:tc>
                <w:tcPr>
                  <w:tcW w:w="1120" w:type="pct"/>
                  <w:tcBorders>
                    <w:left w:val="single" w:color="auto" w:sz="4" w:space="0"/>
                  </w:tcBorders>
                  <w:vAlign w:val="center"/>
                </w:tcPr>
                <w:p>
                  <w:pPr>
                    <w:pStyle w:val="46"/>
                    <w:rPr>
                      <w:szCs w:val="21"/>
                      <w:lang w:bidi="ar"/>
                    </w:rPr>
                  </w:pPr>
                  <w:r>
                    <w:rPr>
                      <w:szCs w:val="21"/>
                      <w:lang w:bidi="ar"/>
                    </w:rPr>
                    <w:t>溶液Ⅱ浓缩液</w:t>
                  </w:r>
                </w:p>
              </w:tc>
              <w:tc>
                <w:tcPr>
                  <w:tcW w:w="1044" w:type="pct"/>
                  <w:vAlign w:val="center"/>
                </w:tcPr>
                <w:p>
                  <w:pPr>
                    <w:pStyle w:val="46"/>
                    <w:rPr>
                      <w:szCs w:val="21"/>
                      <w:lang w:bidi="ar"/>
                    </w:rPr>
                  </w:pPr>
                  <w:r>
                    <w:rPr>
                      <w:szCs w:val="21"/>
                      <w:lang w:bidi="ar"/>
                    </w:rPr>
                    <w:t>（50ml）浓缩液</w:t>
                  </w:r>
                </w:p>
              </w:tc>
              <w:tc>
                <w:tcPr>
                  <w:tcW w:w="446" w:type="pct"/>
                  <w:vAlign w:val="center"/>
                </w:tcPr>
                <w:p>
                  <w:pPr>
                    <w:pStyle w:val="46"/>
                    <w:rPr>
                      <w:szCs w:val="21"/>
                      <w:lang w:bidi="ar"/>
                    </w:rPr>
                  </w:pPr>
                  <w:r>
                    <w:rPr>
                      <w:szCs w:val="21"/>
                      <w:lang w:bidi="ar"/>
                    </w:rPr>
                    <w:t>瓶</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tcBorders>
                    <w:right w:val="single" w:color="auto" w:sz="4" w:space="0"/>
                  </w:tcBorders>
                  <w:vAlign w:val="center"/>
                </w:tcPr>
                <w:p>
                  <w:pPr>
                    <w:pStyle w:val="46"/>
                    <w:rPr>
                      <w:szCs w:val="21"/>
                      <w:lang w:bidi="ar"/>
                    </w:rPr>
                  </w:pPr>
                  <w:r>
                    <w:rPr>
                      <w:szCs w:val="21"/>
                      <w:lang w:bidi="ar"/>
                    </w:rPr>
                    <w:t>9</w:t>
                  </w:r>
                </w:p>
              </w:tc>
              <w:tc>
                <w:tcPr>
                  <w:tcW w:w="1120" w:type="pct"/>
                  <w:vAlign w:val="center"/>
                </w:tcPr>
                <w:p>
                  <w:pPr>
                    <w:pStyle w:val="46"/>
                    <w:rPr>
                      <w:szCs w:val="21"/>
                      <w:lang w:bidi="ar"/>
                    </w:rPr>
                  </w:pPr>
                  <w:r>
                    <w:rPr>
                      <w:szCs w:val="21"/>
                      <w:lang w:bidi="ar"/>
                    </w:rPr>
                    <w:t>溶液Ⅳ浓缩液</w:t>
                  </w:r>
                </w:p>
              </w:tc>
              <w:tc>
                <w:tcPr>
                  <w:tcW w:w="1044" w:type="pct"/>
                  <w:vAlign w:val="center"/>
                </w:tcPr>
                <w:p>
                  <w:pPr>
                    <w:pStyle w:val="46"/>
                    <w:rPr>
                      <w:szCs w:val="21"/>
                      <w:lang w:bidi="ar"/>
                    </w:rPr>
                  </w:pPr>
                  <w:r>
                    <w:rPr>
                      <w:szCs w:val="21"/>
                      <w:lang w:bidi="ar"/>
                    </w:rPr>
                    <w:t>（100µl）浓缩液</w:t>
                  </w:r>
                </w:p>
              </w:tc>
              <w:tc>
                <w:tcPr>
                  <w:tcW w:w="446" w:type="pct"/>
                  <w:vAlign w:val="center"/>
                </w:tcPr>
                <w:p>
                  <w:pPr>
                    <w:pStyle w:val="46"/>
                    <w:rPr>
                      <w:szCs w:val="21"/>
                      <w:lang w:bidi="ar"/>
                    </w:rPr>
                  </w:pPr>
                  <w:r>
                    <w:rPr>
                      <w:szCs w:val="21"/>
                      <w:lang w:bidi="ar"/>
                    </w:rPr>
                    <w:t>管</w:t>
                  </w:r>
                </w:p>
              </w:tc>
              <w:tc>
                <w:tcPr>
                  <w:tcW w:w="589" w:type="pct"/>
                  <w:vAlign w:val="center"/>
                </w:tcPr>
                <w:p>
                  <w:pPr>
                    <w:pStyle w:val="46"/>
                    <w:rPr>
                      <w:szCs w:val="21"/>
                      <w:lang w:bidi="ar"/>
                    </w:rPr>
                  </w:pPr>
                  <w:r>
                    <w:rPr>
                      <w:szCs w:val="21"/>
                      <w:lang w:bidi="ar"/>
                    </w:rPr>
                    <w:t>7300</w:t>
                  </w:r>
                </w:p>
              </w:tc>
              <w:tc>
                <w:tcPr>
                  <w:tcW w:w="487" w:type="pct"/>
                  <w:vAlign w:val="center"/>
                </w:tcPr>
                <w:p>
                  <w:pPr>
                    <w:pStyle w:val="46"/>
                    <w:rPr>
                      <w:szCs w:val="21"/>
                      <w:lang w:bidi="ar"/>
                    </w:rPr>
                  </w:pPr>
                  <w:r>
                    <w:rPr>
                      <w:szCs w:val="21"/>
                      <w:lang w:bidi="ar"/>
                    </w:rPr>
                    <w:t>7300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10</w:t>
                  </w:r>
                </w:p>
              </w:tc>
              <w:tc>
                <w:tcPr>
                  <w:tcW w:w="1120" w:type="pct"/>
                  <w:vAlign w:val="center"/>
                </w:tcPr>
                <w:p>
                  <w:pPr>
                    <w:pStyle w:val="46"/>
                    <w:rPr>
                      <w:szCs w:val="21"/>
                      <w:lang w:bidi="ar"/>
                    </w:rPr>
                  </w:pPr>
                  <w:r>
                    <w:rPr>
                      <w:szCs w:val="21"/>
                      <w:lang w:bidi="ar"/>
                    </w:rPr>
                    <w:t>95%酒精</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170</w:t>
                  </w:r>
                </w:p>
              </w:tc>
              <w:tc>
                <w:tcPr>
                  <w:tcW w:w="487" w:type="pct"/>
                  <w:vAlign w:val="center"/>
                </w:tcPr>
                <w:p>
                  <w:pPr>
                    <w:pStyle w:val="46"/>
                    <w:rPr>
                      <w:szCs w:val="21"/>
                      <w:lang w:bidi="ar"/>
                    </w:rPr>
                  </w:pPr>
                  <w:r>
                    <w:rPr>
                      <w:szCs w:val="21"/>
                      <w:lang w:bidi="ar"/>
                    </w:rPr>
                    <w:t>170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11</w:t>
                  </w:r>
                </w:p>
              </w:tc>
              <w:tc>
                <w:tcPr>
                  <w:tcW w:w="1120" w:type="pct"/>
                  <w:vAlign w:val="center"/>
                </w:tcPr>
                <w:p>
                  <w:pPr>
                    <w:pStyle w:val="46"/>
                    <w:rPr>
                      <w:szCs w:val="21"/>
                      <w:lang w:bidi="ar"/>
                    </w:rPr>
                  </w:pPr>
                  <w:r>
                    <w:rPr>
                      <w:szCs w:val="21"/>
                      <w:lang w:bidi="ar"/>
                    </w:rPr>
                    <w:t>无水乙醇</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130</w:t>
                  </w:r>
                </w:p>
              </w:tc>
              <w:tc>
                <w:tcPr>
                  <w:tcW w:w="487" w:type="pct"/>
                  <w:vAlign w:val="center"/>
                </w:tcPr>
                <w:p>
                  <w:pPr>
                    <w:pStyle w:val="46"/>
                    <w:rPr>
                      <w:szCs w:val="21"/>
                      <w:lang w:bidi="ar"/>
                    </w:rPr>
                  </w:pPr>
                  <w:r>
                    <w:rPr>
                      <w:szCs w:val="21"/>
                      <w:lang w:bidi="ar"/>
                    </w:rPr>
                    <w:t>130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12</w:t>
                  </w:r>
                </w:p>
              </w:tc>
              <w:tc>
                <w:tcPr>
                  <w:tcW w:w="1120" w:type="pct"/>
                  <w:vAlign w:val="center"/>
                </w:tcPr>
                <w:p>
                  <w:pPr>
                    <w:pStyle w:val="46"/>
                    <w:rPr>
                      <w:szCs w:val="21"/>
                      <w:lang w:bidi="ar"/>
                    </w:rPr>
                  </w:pPr>
                  <w:r>
                    <w:rPr>
                      <w:szCs w:val="21"/>
                      <w:lang w:bidi="ar"/>
                    </w:rPr>
                    <w:t>二甲苯</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110</w:t>
                  </w:r>
                </w:p>
              </w:tc>
              <w:tc>
                <w:tcPr>
                  <w:tcW w:w="487" w:type="pct"/>
                  <w:vAlign w:val="center"/>
                </w:tcPr>
                <w:p>
                  <w:pPr>
                    <w:pStyle w:val="46"/>
                    <w:rPr>
                      <w:szCs w:val="21"/>
                      <w:lang w:bidi="ar"/>
                    </w:rPr>
                  </w:pPr>
                  <w:r>
                    <w:rPr>
                      <w:szCs w:val="21"/>
                      <w:lang w:bidi="ar"/>
                    </w:rPr>
                    <w:t>110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13</w:t>
                  </w:r>
                </w:p>
              </w:tc>
              <w:tc>
                <w:tcPr>
                  <w:tcW w:w="1120" w:type="pct"/>
                  <w:vAlign w:val="center"/>
                </w:tcPr>
                <w:p>
                  <w:pPr>
                    <w:pStyle w:val="46"/>
                    <w:rPr>
                      <w:szCs w:val="21"/>
                      <w:lang w:bidi="ar"/>
                    </w:rPr>
                  </w:pPr>
                  <w:r>
                    <w:rPr>
                      <w:szCs w:val="21"/>
                      <w:lang w:bidi="ar"/>
                    </w:rPr>
                    <w:t>苏木素</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19</w:t>
                  </w:r>
                </w:p>
              </w:tc>
              <w:tc>
                <w:tcPr>
                  <w:tcW w:w="487" w:type="pct"/>
                  <w:vAlign w:val="center"/>
                </w:tcPr>
                <w:p>
                  <w:pPr>
                    <w:pStyle w:val="46"/>
                    <w:rPr>
                      <w:szCs w:val="21"/>
                      <w:lang w:bidi="ar"/>
                    </w:rPr>
                  </w:pPr>
                  <w:r>
                    <w:rPr>
                      <w:szCs w:val="21"/>
                      <w:lang w:bidi="ar"/>
                    </w:rPr>
                    <w:t>19</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14</w:t>
                  </w:r>
                </w:p>
              </w:tc>
              <w:tc>
                <w:tcPr>
                  <w:tcW w:w="1120" w:type="pct"/>
                  <w:vAlign w:val="center"/>
                </w:tcPr>
                <w:p>
                  <w:pPr>
                    <w:pStyle w:val="46"/>
                    <w:rPr>
                      <w:szCs w:val="21"/>
                      <w:lang w:bidi="ar"/>
                    </w:rPr>
                  </w:pPr>
                  <w:r>
                    <w:rPr>
                      <w:szCs w:val="21"/>
                      <w:lang w:bidi="ar"/>
                    </w:rPr>
                    <w:t>橘黄G</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19</w:t>
                  </w:r>
                </w:p>
              </w:tc>
              <w:tc>
                <w:tcPr>
                  <w:tcW w:w="487" w:type="pct"/>
                  <w:vAlign w:val="center"/>
                </w:tcPr>
                <w:p>
                  <w:pPr>
                    <w:pStyle w:val="46"/>
                    <w:rPr>
                      <w:szCs w:val="21"/>
                      <w:lang w:bidi="ar"/>
                    </w:rPr>
                  </w:pPr>
                  <w:r>
                    <w:rPr>
                      <w:szCs w:val="21"/>
                      <w:lang w:bidi="ar"/>
                    </w:rPr>
                    <w:t>19</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15</w:t>
                  </w:r>
                </w:p>
              </w:tc>
              <w:tc>
                <w:tcPr>
                  <w:tcW w:w="1120" w:type="pct"/>
                  <w:vAlign w:val="center"/>
                </w:tcPr>
                <w:p>
                  <w:pPr>
                    <w:pStyle w:val="46"/>
                    <w:rPr>
                      <w:szCs w:val="21"/>
                      <w:lang w:bidi="ar"/>
                    </w:rPr>
                  </w:pPr>
                  <w:r>
                    <w:rPr>
                      <w:szCs w:val="21"/>
                      <w:lang w:bidi="ar"/>
                    </w:rPr>
                    <w:t>巴氏染色液EA50</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19</w:t>
                  </w:r>
                </w:p>
              </w:tc>
              <w:tc>
                <w:tcPr>
                  <w:tcW w:w="487" w:type="pct"/>
                  <w:vAlign w:val="center"/>
                </w:tcPr>
                <w:p>
                  <w:pPr>
                    <w:pStyle w:val="46"/>
                    <w:rPr>
                      <w:szCs w:val="21"/>
                      <w:lang w:bidi="ar"/>
                    </w:rPr>
                  </w:pPr>
                  <w:r>
                    <w:rPr>
                      <w:szCs w:val="21"/>
                      <w:lang w:bidi="ar"/>
                    </w:rPr>
                    <w:t>19</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16</w:t>
                  </w:r>
                </w:p>
              </w:tc>
              <w:tc>
                <w:tcPr>
                  <w:tcW w:w="1120" w:type="pct"/>
                  <w:vAlign w:val="center"/>
                </w:tcPr>
                <w:p>
                  <w:pPr>
                    <w:pStyle w:val="46"/>
                    <w:rPr>
                      <w:szCs w:val="21"/>
                      <w:lang w:bidi="ar"/>
                    </w:rPr>
                  </w:pPr>
                  <w:r>
                    <w:rPr>
                      <w:szCs w:val="21"/>
                      <w:lang w:bidi="ar"/>
                    </w:rPr>
                    <w:t>1%盐酸酒精</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19</w:t>
                  </w:r>
                </w:p>
              </w:tc>
              <w:tc>
                <w:tcPr>
                  <w:tcW w:w="487" w:type="pct"/>
                  <w:vAlign w:val="center"/>
                </w:tcPr>
                <w:p>
                  <w:pPr>
                    <w:pStyle w:val="46"/>
                    <w:rPr>
                      <w:szCs w:val="21"/>
                      <w:lang w:bidi="ar"/>
                    </w:rPr>
                  </w:pPr>
                  <w:r>
                    <w:rPr>
                      <w:szCs w:val="21"/>
                      <w:lang w:bidi="ar"/>
                    </w:rPr>
                    <w:t>19</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17</w:t>
                  </w:r>
                </w:p>
              </w:tc>
              <w:tc>
                <w:tcPr>
                  <w:tcW w:w="1120" w:type="pct"/>
                  <w:vAlign w:val="center"/>
                </w:tcPr>
                <w:p>
                  <w:pPr>
                    <w:pStyle w:val="46"/>
                    <w:rPr>
                      <w:szCs w:val="21"/>
                      <w:lang w:bidi="ar"/>
                    </w:rPr>
                  </w:pPr>
                  <w:r>
                    <w:rPr>
                      <w:szCs w:val="21"/>
                      <w:lang w:bidi="ar"/>
                    </w:rPr>
                    <w:t>中性树胶</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2</w:t>
                  </w:r>
                </w:p>
              </w:tc>
              <w:tc>
                <w:tcPr>
                  <w:tcW w:w="487" w:type="pct"/>
                  <w:vAlign w:val="center"/>
                </w:tcPr>
                <w:p>
                  <w:pPr>
                    <w:pStyle w:val="46"/>
                    <w:rPr>
                      <w:szCs w:val="21"/>
                      <w:lang w:bidi="ar"/>
                    </w:rPr>
                  </w:pPr>
                  <w:r>
                    <w:rPr>
                      <w:szCs w:val="21"/>
                      <w:lang w:bidi="ar"/>
                    </w:rPr>
                    <w:t>2</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18</w:t>
                  </w:r>
                </w:p>
              </w:tc>
              <w:tc>
                <w:tcPr>
                  <w:tcW w:w="1120" w:type="pct"/>
                  <w:vAlign w:val="center"/>
                </w:tcPr>
                <w:p>
                  <w:pPr>
                    <w:pStyle w:val="46"/>
                    <w:rPr>
                      <w:szCs w:val="21"/>
                      <w:lang w:bidi="ar"/>
                    </w:rPr>
                  </w:pPr>
                  <w:r>
                    <w:rPr>
                      <w:szCs w:val="21"/>
                      <w:lang w:bidi="ar"/>
                    </w:rPr>
                    <w:t>清洗液</w:t>
                  </w:r>
                </w:p>
              </w:tc>
              <w:tc>
                <w:tcPr>
                  <w:tcW w:w="1044" w:type="pct"/>
                  <w:vAlign w:val="center"/>
                </w:tcPr>
                <w:p>
                  <w:pPr>
                    <w:pStyle w:val="46"/>
                    <w:rPr>
                      <w:szCs w:val="21"/>
                      <w:lang w:bidi="ar"/>
                    </w:rPr>
                  </w:pPr>
                  <w:r>
                    <w:rPr>
                      <w:szCs w:val="21"/>
                      <w:lang w:bidi="ar"/>
                    </w:rPr>
                    <w:t>10L/桶</w:t>
                  </w:r>
                </w:p>
              </w:tc>
              <w:tc>
                <w:tcPr>
                  <w:tcW w:w="446" w:type="pct"/>
                  <w:vAlign w:val="center"/>
                </w:tcPr>
                <w:p>
                  <w:pPr>
                    <w:pStyle w:val="46"/>
                    <w:rPr>
                      <w:szCs w:val="21"/>
                      <w:lang w:bidi="ar"/>
                    </w:rPr>
                  </w:pPr>
                  <w:r>
                    <w:rPr>
                      <w:szCs w:val="21"/>
                      <w:lang w:bidi="ar"/>
                    </w:rPr>
                    <w:t>L</w:t>
                  </w:r>
                </w:p>
              </w:tc>
              <w:tc>
                <w:tcPr>
                  <w:tcW w:w="589" w:type="pct"/>
                  <w:vAlign w:val="center"/>
                </w:tcPr>
                <w:p>
                  <w:pPr>
                    <w:pStyle w:val="46"/>
                    <w:rPr>
                      <w:szCs w:val="21"/>
                      <w:lang w:bidi="ar"/>
                    </w:rPr>
                  </w:pPr>
                  <w:r>
                    <w:rPr>
                      <w:szCs w:val="21"/>
                      <w:lang w:bidi="ar"/>
                    </w:rPr>
                    <w:t>10</w:t>
                  </w:r>
                </w:p>
              </w:tc>
              <w:tc>
                <w:tcPr>
                  <w:tcW w:w="487" w:type="pct"/>
                  <w:vAlign w:val="center"/>
                </w:tcPr>
                <w:p>
                  <w:pPr>
                    <w:pStyle w:val="46"/>
                    <w:rPr>
                      <w:szCs w:val="21"/>
                      <w:lang w:bidi="ar"/>
                    </w:rPr>
                  </w:pPr>
                  <w:r>
                    <w:rPr>
                      <w:szCs w:val="21"/>
                      <w:lang w:bidi="ar"/>
                    </w:rPr>
                    <w:t>10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19</w:t>
                  </w:r>
                </w:p>
              </w:tc>
              <w:tc>
                <w:tcPr>
                  <w:tcW w:w="1120" w:type="pct"/>
                  <w:vAlign w:val="center"/>
                </w:tcPr>
                <w:p>
                  <w:pPr>
                    <w:pStyle w:val="46"/>
                    <w:rPr>
                      <w:szCs w:val="21"/>
                      <w:lang w:bidi="ar"/>
                    </w:rPr>
                  </w:pPr>
                  <w:r>
                    <w:rPr>
                      <w:szCs w:val="21"/>
                      <w:lang w:bidi="ar"/>
                    </w:rPr>
                    <w:t>反应杯</w:t>
                  </w:r>
                </w:p>
              </w:tc>
              <w:tc>
                <w:tcPr>
                  <w:tcW w:w="1044" w:type="pct"/>
                  <w:vAlign w:val="center"/>
                </w:tcPr>
                <w:p>
                  <w:pPr>
                    <w:pStyle w:val="46"/>
                    <w:rPr>
                      <w:szCs w:val="21"/>
                      <w:lang w:bidi="ar"/>
                    </w:rPr>
                  </w:pPr>
                  <w:r>
                    <w:rPr>
                      <w:szCs w:val="21"/>
                      <w:lang w:bidi="ar"/>
                    </w:rPr>
                    <w:t>1000个/包</w:t>
                  </w:r>
                </w:p>
              </w:tc>
              <w:tc>
                <w:tcPr>
                  <w:tcW w:w="446" w:type="pct"/>
                  <w:vAlign w:val="center"/>
                </w:tcPr>
                <w:p>
                  <w:pPr>
                    <w:pStyle w:val="46"/>
                    <w:rPr>
                      <w:szCs w:val="21"/>
                      <w:lang w:bidi="ar"/>
                    </w:rPr>
                  </w:pPr>
                  <w:r>
                    <w:rPr>
                      <w:szCs w:val="21"/>
                      <w:lang w:bidi="ar"/>
                    </w:rPr>
                    <w:t>个</w:t>
                  </w:r>
                </w:p>
              </w:tc>
              <w:tc>
                <w:tcPr>
                  <w:tcW w:w="589" w:type="pct"/>
                  <w:vAlign w:val="center"/>
                </w:tcPr>
                <w:p>
                  <w:pPr>
                    <w:pStyle w:val="46"/>
                    <w:rPr>
                      <w:szCs w:val="21"/>
                      <w:lang w:bidi="ar"/>
                    </w:rPr>
                  </w:pPr>
                  <w:r>
                    <w:rPr>
                      <w:szCs w:val="21"/>
                      <w:lang w:bidi="ar"/>
                    </w:rPr>
                    <w:t>1000</w:t>
                  </w:r>
                </w:p>
              </w:tc>
              <w:tc>
                <w:tcPr>
                  <w:tcW w:w="487" w:type="pct"/>
                  <w:vAlign w:val="center"/>
                </w:tcPr>
                <w:p>
                  <w:pPr>
                    <w:pStyle w:val="46"/>
                    <w:rPr>
                      <w:szCs w:val="21"/>
                      <w:lang w:bidi="ar"/>
                    </w:rPr>
                  </w:pPr>
                  <w:r>
                    <w:rPr>
                      <w:szCs w:val="21"/>
                      <w:lang w:bidi="ar"/>
                    </w:rPr>
                    <w:t>1000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20</w:t>
                  </w:r>
                </w:p>
              </w:tc>
              <w:tc>
                <w:tcPr>
                  <w:tcW w:w="1120" w:type="pct"/>
                  <w:vAlign w:val="center"/>
                </w:tcPr>
                <w:p>
                  <w:pPr>
                    <w:pStyle w:val="46"/>
                    <w:rPr>
                      <w:szCs w:val="21"/>
                      <w:lang w:bidi="ar"/>
                    </w:rPr>
                  </w:pPr>
                  <w:r>
                    <w:rPr>
                      <w:szCs w:val="21"/>
                      <w:lang w:bidi="ar"/>
                    </w:rPr>
                    <w:t>预激发液</w:t>
                  </w:r>
                </w:p>
              </w:tc>
              <w:tc>
                <w:tcPr>
                  <w:tcW w:w="1044" w:type="pct"/>
                  <w:vAlign w:val="center"/>
                </w:tcPr>
                <w:p>
                  <w:pPr>
                    <w:pStyle w:val="46"/>
                    <w:rPr>
                      <w:szCs w:val="21"/>
                      <w:lang w:bidi="ar"/>
                    </w:rPr>
                  </w:pPr>
                  <w:r>
                    <w:rPr>
                      <w:szCs w:val="21"/>
                      <w:lang w:bidi="ar"/>
                    </w:rPr>
                    <w:t>500m1/瓶</w:t>
                  </w:r>
                </w:p>
              </w:tc>
              <w:tc>
                <w:tcPr>
                  <w:tcW w:w="446" w:type="pct"/>
                  <w:vAlign w:val="center"/>
                </w:tcPr>
                <w:p>
                  <w:pPr>
                    <w:pStyle w:val="46"/>
                    <w:rPr>
                      <w:szCs w:val="21"/>
                      <w:lang w:bidi="ar"/>
                    </w:rPr>
                  </w:pPr>
                  <w:r>
                    <w:rPr>
                      <w:szCs w:val="21"/>
                      <w:lang w:bidi="ar"/>
                    </w:rPr>
                    <w:t>mL</w:t>
                  </w:r>
                </w:p>
              </w:tc>
              <w:tc>
                <w:tcPr>
                  <w:tcW w:w="589" w:type="pct"/>
                  <w:vAlign w:val="center"/>
                </w:tcPr>
                <w:p>
                  <w:pPr>
                    <w:pStyle w:val="46"/>
                    <w:rPr>
                      <w:szCs w:val="21"/>
                      <w:lang w:bidi="ar"/>
                    </w:rPr>
                  </w:pPr>
                  <w:r>
                    <w:rPr>
                      <w:szCs w:val="21"/>
                      <w:lang w:bidi="ar"/>
                    </w:rPr>
                    <w:t>2000</w:t>
                  </w:r>
                </w:p>
              </w:tc>
              <w:tc>
                <w:tcPr>
                  <w:tcW w:w="487" w:type="pct"/>
                  <w:vAlign w:val="center"/>
                </w:tcPr>
                <w:p>
                  <w:pPr>
                    <w:pStyle w:val="46"/>
                    <w:rPr>
                      <w:szCs w:val="21"/>
                      <w:lang w:bidi="ar"/>
                    </w:rPr>
                  </w:pPr>
                  <w:r>
                    <w:rPr>
                      <w:szCs w:val="21"/>
                      <w:lang w:bidi="ar"/>
                    </w:rPr>
                    <w:t>2000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21</w:t>
                  </w:r>
                </w:p>
              </w:tc>
              <w:tc>
                <w:tcPr>
                  <w:tcW w:w="1120" w:type="pct"/>
                  <w:vAlign w:val="center"/>
                </w:tcPr>
                <w:p>
                  <w:pPr>
                    <w:pStyle w:val="46"/>
                    <w:rPr>
                      <w:szCs w:val="21"/>
                      <w:lang w:bidi="ar"/>
                    </w:rPr>
                  </w:pPr>
                  <w:r>
                    <w:rPr>
                      <w:szCs w:val="21"/>
                      <w:lang w:bidi="ar"/>
                    </w:rPr>
                    <w:t>激发液</w:t>
                  </w:r>
                </w:p>
              </w:tc>
              <w:tc>
                <w:tcPr>
                  <w:tcW w:w="1044" w:type="pct"/>
                  <w:vAlign w:val="center"/>
                </w:tcPr>
                <w:p>
                  <w:pPr>
                    <w:pStyle w:val="46"/>
                    <w:rPr>
                      <w:szCs w:val="21"/>
                      <w:lang w:bidi="ar"/>
                    </w:rPr>
                  </w:pPr>
                  <w:r>
                    <w:rPr>
                      <w:szCs w:val="21"/>
                      <w:lang w:bidi="ar"/>
                    </w:rPr>
                    <w:t>500m1/瓶</w:t>
                  </w:r>
                </w:p>
              </w:tc>
              <w:tc>
                <w:tcPr>
                  <w:tcW w:w="446" w:type="pct"/>
                  <w:vAlign w:val="center"/>
                </w:tcPr>
                <w:p>
                  <w:pPr>
                    <w:pStyle w:val="46"/>
                    <w:rPr>
                      <w:szCs w:val="21"/>
                      <w:lang w:bidi="ar"/>
                    </w:rPr>
                  </w:pPr>
                  <w:r>
                    <w:rPr>
                      <w:szCs w:val="21"/>
                      <w:lang w:bidi="ar"/>
                    </w:rPr>
                    <w:t>mL</w:t>
                  </w:r>
                </w:p>
              </w:tc>
              <w:tc>
                <w:tcPr>
                  <w:tcW w:w="589" w:type="pct"/>
                  <w:vAlign w:val="center"/>
                </w:tcPr>
                <w:p>
                  <w:pPr>
                    <w:pStyle w:val="46"/>
                    <w:rPr>
                      <w:szCs w:val="21"/>
                      <w:lang w:bidi="ar"/>
                    </w:rPr>
                  </w:pPr>
                  <w:r>
                    <w:rPr>
                      <w:szCs w:val="21"/>
                      <w:lang w:bidi="ar"/>
                    </w:rPr>
                    <w:t>2000</w:t>
                  </w:r>
                </w:p>
              </w:tc>
              <w:tc>
                <w:tcPr>
                  <w:tcW w:w="487" w:type="pct"/>
                  <w:vAlign w:val="center"/>
                </w:tcPr>
                <w:p>
                  <w:pPr>
                    <w:pStyle w:val="46"/>
                    <w:rPr>
                      <w:szCs w:val="21"/>
                      <w:lang w:bidi="ar"/>
                    </w:rPr>
                  </w:pPr>
                  <w:r>
                    <w:rPr>
                      <w:szCs w:val="21"/>
                      <w:lang w:bidi="ar"/>
                    </w:rPr>
                    <w:t>2000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22</w:t>
                  </w:r>
                </w:p>
              </w:tc>
              <w:tc>
                <w:tcPr>
                  <w:tcW w:w="1120" w:type="pct"/>
                  <w:vAlign w:val="center"/>
                </w:tcPr>
                <w:p>
                  <w:pPr>
                    <w:pStyle w:val="46"/>
                    <w:rPr>
                      <w:szCs w:val="21"/>
                      <w:lang w:bidi="ar"/>
                    </w:rPr>
                  </w:pPr>
                  <w:r>
                    <w:rPr>
                      <w:szCs w:val="21"/>
                      <w:lang w:bidi="ar"/>
                    </w:rPr>
                    <w:t>乙型肝炎病毒e抗体检测试剂盒</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g</w:t>
                  </w:r>
                </w:p>
              </w:tc>
              <w:tc>
                <w:tcPr>
                  <w:tcW w:w="589" w:type="pct"/>
                  <w:vAlign w:val="center"/>
                </w:tcPr>
                <w:p>
                  <w:pPr>
                    <w:pStyle w:val="46"/>
                    <w:rPr>
                      <w:szCs w:val="21"/>
                      <w:lang w:bidi="ar"/>
                    </w:rPr>
                  </w:pPr>
                  <w:r>
                    <w:rPr>
                      <w:szCs w:val="21"/>
                      <w:lang w:bidi="ar"/>
                    </w:rPr>
                    <w:t>200</w:t>
                  </w:r>
                </w:p>
              </w:tc>
              <w:tc>
                <w:tcPr>
                  <w:tcW w:w="487" w:type="pct"/>
                  <w:vAlign w:val="center"/>
                </w:tcPr>
                <w:p>
                  <w:pPr>
                    <w:pStyle w:val="46"/>
                    <w:rPr>
                      <w:szCs w:val="21"/>
                      <w:lang w:bidi="ar"/>
                    </w:rPr>
                  </w:pPr>
                  <w:r>
                    <w:rPr>
                      <w:szCs w:val="21"/>
                      <w:lang w:bidi="ar"/>
                    </w:rPr>
                    <w:t>200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23</w:t>
                  </w:r>
                </w:p>
              </w:tc>
              <w:tc>
                <w:tcPr>
                  <w:tcW w:w="1120" w:type="pct"/>
                  <w:vAlign w:val="center"/>
                </w:tcPr>
                <w:p>
                  <w:pPr>
                    <w:pStyle w:val="46"/>
                    <w:rPr>
                      <w:szCs w:val="21"/>
                      <w:lang w:bidi="ar"/>
                    </w:rPr>
                  </w:pPr>
                  <w:r>
                    <w:rPr>
                      <w:szCs w:val="21"/>
                      <w:lang w:bidi="ar"/>
                    </w:rPr>
                    <w:t>乙型肝炎病毒e抗原检测试剂盒</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g</w:t>
                  </w:r>
                </w:p>
              </w:tc>
              <w:tc>
                <w:tcPr>
                  <w:tcW w:w="589" w:type="pct"/>
                  <w:vAlign w:val="center"/>
                </w:tcPr>
                <w:p>
                  <w:pPr>
                    <w:pStyle w:val="46"/>
                    <w:rPr>
                      <w:szCs w:val="21"/>
                      <w:lang w:bidi="ar"/>
                    </w:rPr>
                  </w:pPr>
                  <w:r>
                    <w:rPr>
                      <w:szCs w:val="21"/>
                      <w:lang w:bidi="ar"/>
                    </w:rPr>
                    <w:t>200</w:t>
                  </w:r>
                </w:p>
              </w:tc>
              <w:tc>
                <w:tcPr>
                  <w:tcW w:w="487" w:type="pct"/>
                  <w:vAlign w:val="center"/>
                </w:tcPr>
                <w:p>
                  <w:pPr>
                    <w:pStyle w:val="46"/>
                    <w:rPr>
                      <w:szCs w:val="21"/>
                      <w:lang w:bidi="ar"/>
                    </w:rPr>
                  </w:pPr>
                  <w:r>
                    <w:rPr>
                      <w:szCs w:val="21"/>
                      <w:lang w:bidi="ar"/>
                    </w:rPr>
                    <w:t>200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24</w:t>
                  </w:r>
                </w:p>
              </w:tc>
              <w:tc>
                <w:tcPr>
                  <w:tcW w:w="1120" w:type="pct"/>
                  <w:vAlign w:val="center"/>
                </w:tcPr>
                <w:p>
                  <w:pPr>
                    <w:pStyle w:val="46"/>
                    <w:rPr>
                      <w:szCs w:val="21"/>
                      <w:lang w:bidi="ar"/>
                    </w:rPr>
                  </w:pPr>
                  <w:r>
                    <w:rPr>
                      <w:szCs w:val="21"/>
                      <w:lang w:bidi="ar"/>
                    </w:rPr>
                    <w:t>乙型肝炎病毒核心抗体检测试剂盒</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g</w:t>
                  </w:r>
                </w:p>
              </w:tc>
              <w:tc>
                <w:tcPr>
                  <w:tcW w:w="589" w:type="pct"/>
                  <w:vAlign w:val="center"/>
                </w:tcPr>
                <w:p>
                  <w:pPr>
                    <w:pStyle w:val="46"/>
                    <w:rPr>
                      <w:szCs w:val="21"/>
                      <w:lang w:bidi="ar"/>
                    </w:rPr>
                  </w:pPr>
                  <w:r>
                    <w:rPr>
                      <w:szCs w:val="21"/>
                      <w:lang w:bidi="ar"/>
                    </w:rPr>
                    <w:t>200</w:t>
                  </w:r>
                </w:p>
              </w:tc>
              <w:tc>
                <w:tcPr>
                  <w:tcW w:w="487" w:type="pct"/>
                  <w:vAlign w:val="center"/>
                </w:tcPr>
                <w:p>
                  <w:pPr>
                    <w:pStyle w:val="46"/>
                    <w:rPr>
                      <w:szCs w:val="21"/>
                      <w:lang w:bidi="ar"/>
                    </w:rPr>
                  </w:pPr>
                  <w:r>
                    <w:rPr>
                      <w:szCs w:val="21"/>
                      <w:lang w:bidi="ar"/>
                    </w:rPr>
                    <w:t>200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25</w:t>
                  </w:r>
                </w:p>
              </w:tc>
              <w:tc>
                <w:tcPr>
                  <w:tcW w:w="1120" w:type="pct"/>
                  <w:vAlign w:val="center"/>
                </w:tcPr>
                <w:p>
                  <w:pPr>
                    <w:pStyle w:val="46"/>
                    <w:rPr>
                      <w:szCs w:val="21"/>
                      <w:lang w:bidi="ar"/>
                    </w:rPr>
                  </w:pPr>
                  <w:r>
                    <w:rPr>
                      <w:szCs w:val="21"/>
                      <w:lang w:bidi="ar"/>
                    </w:rPr>
                    <w:t>乙型肝炎病毒表面抗体测定试剂盒</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g</w:t>
                  </w:r>
                </w:p>
              </w:tc>
              <w:tc>
                <w:tcPr>
                  <w:tcW w:w="589" w:type="pct"/>
                  <w:vAlign w:val="center"/>
                </w:tcPr>
                <w:p>
                  <w:pPr>
                    <w:pStyle w:val="46"/>
                    <w:rPr>
                      <w:szCs w:val="21"/>
                      <w:lang w:bidi="ar"/>
                    </w:rPr>
                  </w:pPr>
                  <w:r>
                    <w:rPr>
                      <w:szCs w:val="21"/>
                      <w:lang w:bidi="ar"/>
                    </w:rPr>
                    <w:t>200</w:t>
                  </w:r>
                </w:p>
              </w:tc>
              <w:tc>
                <w:tcPr>
                  <w:tcW w:w="487" w:type="pct"/>
                  <w:vAlign w:val="center"/>
                </w:tcPr>
                <w:p>
                  <w:pPr>
                    <w:pStyle w:val="46"/>
                    <w:rPr>
                      <w:szCs w:val="21"/>
                      <w:lang w:bidi="ar"/>
                    </w:rPr>
                  </w:pPr>
                  <w:r>
                    <w:rPr>
                      <w:szCs w:val="21"/>
                      <w:lang w:bidi="ar"/>
                    </w:rPr>
                    <w:t>200</w:t>
                  </w:r>
                </w:p>
              </w:tc>
              <w:tc>
                <w:tcPr>
                  <w:tcW w:w="752" w:type="pct"/>
                  <w:vAlign w:val="center"/>
                </w:tcPr>
                <w:p>
                  <w:pPr>
                    <w:pStyle w:val="46"/>
                    <w:rPr>
                      <w:szCs w:val="21"/>
                      <w:lang w:bidi="ar"/>
                    </w:rPr>
                  </w:pPr>
                  <w:r>
                    <w:rPr>
                      <w:szCs w:val="21"/>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59" w:type="pct"/>
                  <w:vAlign w:val="center"/>
                </w:tcPr>
                <w:p>
                  <w:pPr>
                    <w:pStyle w:val="46"/>
                    <w:rPr>
                      <w:szCs w:val="21"/>
                      <w:lang w:bidi="ar"/>
                    </w:rPr>
                  </w:pPr>
                  <w:r>
                    <w:rPr>
                      <w:szCs w:val="21"/>
                      <w:lang w:bidi="ar"/>
                    </w:rPr>
                    <w:t>26</w:t>
                  </w:r>
                </w:p>
              </w:tc>
              <w:tc>
                <w:tcPr>
                  <w:tcW w:w="1120" w:type="pct"/>
                  <w:vAlign w:val="center"/>
                </w:tcPr>
                <w:p>
                  <w:pPr>
                    <w:pStyle w:val="46"/>
                    <w:rPr>
                      <w:szCs w:val="21"/>
                      <w:lang w:bidi="ar"/>
                    </w:rPr>
                  </w:pPr>
                  <w:r>
                    <w:rPr>
                      <w:szCs w:val="21"/>
                      <w:lang w:bidi="ar"/>
                    </w:rPr>
                    <w:t>乙型肝炎病毒表面抗原测定试剂盒</w:t>
                  </w:r>
                </w:p>
              </w:tc>
              <w:tc>
                <w:tcPr>
                  <w:tcW w:w="1044" w:type="pct"/>
                  <w:vAlign w:val="center"/>
                </w:tcPr>
                <w:p>
                  <w:pPr>
                    <w:pStyle w:val="46"/>
                    <w:rPr>
                      <w:szCs w:val="21"/>
                      <w:lang w:bidi="ar"/>
                    </w:rPr>
                  </w:pPr>
                  <w:r>
                    <w:rPr>
                      <w:szCs w:val="21"/>
                      <w:lang w:bidi="ar"/>
                    </w:rPr>
                    <w:t>/</w:t>
                  </w:r>
                </w:p>
              </w:tc>
              <w:tc>
                <w:tcPr>
                  <w:tcW w:w="446" w:type="pct"/>
                  <w:vAlign w:val="center"/>
                </w:tcPr>
                <w:p>
                  <w:pPr>
                    <w:pStyle w:val="46"/>
                    <w:rPr>
                      <w:szCs w:val="21"/>
                      <w:lang w:bidi="ar"/>
                    </w:rPr>
                  </w:pPr>
                  <w:r>
                    <w:rPr>
                      <w:szCs w:val="21"/>
                      <w:lang w:bidi="ar"/>
                    </w:rPr>
                    <w:t>g</w:t>
                  </w:r>
                </w:p>
              </w:tc>
              <w:tc>
                <w:tcPr>
                  <w:tcW w:w="589" w:type="pct"/>
                  <w:vAlign w:val="center"/>
                </w:tcPr>
                <w:p>
                  <w:pPr>
                    <w:pStyle w:val="46"/>
                    <w:rPr>
                      <w:szCs w:val="21"/>
                      <w:lang w:bidi="ar"/>
                    </w:rPr>
                  </w:pPr>
                  <w:r>
                    <w:rPr>
                      <w:szCs w:val="21"/>
                      <w:lang w:bidi="ar"/>
                    </w:rPr>
                    <w:t>200</w:t>
                  </w:r>
                </w:p>
              </w:tc>
              <w:tc>
                <w:tcPr>
                  <w:tcW w:w="487" w:type="pct"/>
                  <w:vAlign w:val="center"/>
                </w:tcPr>
                <w:p>
                  <w:pPr>
                    <w:pStyle w:val="46"/>
                    <w:rPr>
                      <w:szCs w:val="21"/>
                      <w:lang w:bidi="ar"/>
                    </w:rPr>
                  </w:pPr>
                  <w:r>
                    <w:rPr>
                      <w:szCs w:val="21"/>
                      <w:lang w:bidi="ar"/>
                    </w:rPr>
                    <w:t>200</w:t>
                  </w:r>
                </w:p>
              </w:tc>
              <w:tc>
                <w:tcPr>
                  <w:tcW w:w="752" w:type="pct"/>
                  <w:vAlign w:val="center"/>
                </w:tcPr>
                <w:p>
                  <w:pPr>
                    <w:pStyle w:val="46"/>
                    <w:rPr>
                      <w:szCs w:val="21"/>
                      <w:lang w:bidi="ar"/>
                    </w:rPr>
                  </w:pPr>
                  <w:r>
                    <w:rPr>
                      <w:szCs w:val="21"/>
                    </w:rPr>
                    <w:t>与环评一致</w:t>
                  </w:r>
                </w:p>
              </w:tc>
            </w:tr>
          </w:tbl>
          <w:p>
            <w:pPr>
              <w:pStyle w:val="38"/>
              <w:ind w:firstLine="482"/>
              <w:rPr>
                <w:rFonts w:cs="Times New Roman"/>
                <w:b/>
                <w:bCs/>
              </w:rPr>
            </w:pPr>
            <w:r>
              <w:rPr>
                <w:rFonts w:cs="Times New Roman"/>
                <w:b/>
                <w:bCs/>
              </w:rPr>
              <w:t>2、公用工程</w:t>
            </w:r>
          </w:p>
          <w:p>
            <w:pPr>
              <w:pStyle w:val="38"/>
              <w:snapToGrid w:val="0"/>
              <w:rPr>
                <w:rFonts w:cs="Times New Roman"/>
                <w:szCs w:val="24"/>
              </w:rPr>
            </w:pPr>
            <w:r>
              <w:rPr>
                <w:rFonts w:cs="Times New Roman"/>
                <w:szCs w:val="24"/>
              </w:rPr>
              <w:t>（1）给水</w:t>
            </w:r>
          </w:p>
          <w:p>
            <w:pPr>
              <w:pStyle w:val="38"/>
              <w:snapToGrid w:val="0"/>
              <w:rPr>
                <w:rFonts w:cs="Times New Roman"/>
                <w:szCs w:val="24"/>
              </w:rPr>
            </w:pPr>
            <w:r>
              <w:rPr>
                <w:rFonts w:hint="eastAsia" w:cs="Times New Roman"/>
                <w:szCs w:val="24"/>
              </w:rPr>
              <w:t>项目用水主要为生活用水、地面清洁用水、实验用水（实验人员洗手用水、实验室器皿前两次清洗用水、纯水制备用水、实验过程用水）。</w:t>
            </w:r>
          </w:p>
          <w:p>
            <w:pPr>
              <w:pStyle w:val="38"/>
              <w:snapToGrid w:val="0"/>
              <w:rPr>
                <w:rFonts w:cs="Times New Roman"/>
                <w:szCs w:val="24"/>
              </w:rPr>
            </w:pPr>
            <w:r>
              <w:rPr>
                <w:rFonts w:hint="eastAsia" w:cs="Times New Roman"/>
                <w:szCs w:val="24"/>
              </w:rPr>
              <w:t>1）生活用水：项目</w:t>
            </w:r>
            <w:r>
              <w:rPr>
                <w:rFonts w:hint="eastAsia" w:cs="Times New Roman"/>
                <w:szCs w:val="24"/>
                <w:lang w:eastAsia="zh-CN"/>
              </w:rPr>
              <w:t>职工</w:t>
            </w:r>
            <w:r>
              <w:rPr>
                <w:rFonts w:hint="eastAsia" w:cs="Times New Roman"/>
                <w:szCs w:val="24"/>
              </w:rPr>
              <w:t>20人，工作天数为250天，生活用水量为249</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/a，用水为新鲜水。</w:t>
            </w:r>
          </w:p>
          <w:p>
            <w:pPr>
              <w:pStyle w:val="38"/>
              <w:snapToGrid w:val="0"/>
              <w:rPr>
                <w:rFonts w:cs="Times New Roman"/>
                <w:szCs w:val="24"/>
              </w:rPr>
            </w:pPr>
            <w:r>
              <w:rPr>
                <w:rFonts w:hint="eastAsia" w:cs="Times New Roman"/>
                <w:szCs w:val="24"/>
              </w:rPr>
              <w:t>2）地面清洁用水：项目地面每天清洁1次，地面清洁采用新鲜水，采取拖把保洁方式，不直接冲洗房间地面，地面清洁用水量为43.26</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w:t>
            </w:r>
          </w:p>
          <w:p>
            <w:pPr>
              <w:pStyle w:val="38"/>
              <w:snapToGrid w:val="0"/>
              <w:rPr>
                <w:rFonts w:cs="Times New Roman"/>
                <w:szCs w:val="24"/>
              </w:rPr>
            </w:pPr>
            <w:r>
              <w:rPr>
                <w:rFonts w:hint="eastAsia" w:cs="Times New Roman"/>
                <w:szCs w:val="24"/>
              </w:rPr>
              <w:t>3）实验用水：</w:t>
            </w:r>
          </w:p>
          <w:p>
            <w:pPr>
              <w:pStyle w:val="38"/>
              <w:snapToGrid w:val="0"/>
              <w:rPr>
                <w:rFonts w:cs="Times New Roman"/>
                <w:szCs w:val="24"/>
              </w:rPr>
            </w:pPr>
            <w:r>
              <w:rPr>
                <w:rFonts w:hint="eastAsia" w:cs="Times New Roman"/>
                <w:szCs w:val="24"/>
              </w:rPr>
              <w:t>①实验人员洗手用水：项目实验人员实验后洗手用水量约为2</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/a，采用新鲜水。</w:t>
            </w:r>
          </w:p>
          <w:p>
            <w:pPr>
              <w:pStyle w:val="38"/>
              <w:snapToGrid w:val="0"/>
              <w:rPr>
                <w:rFonts w:cs="Times New Roman"/>
                <w:szCs w:val="24"/>
              </w:rPr>
            </w:pPr>
            <w:r>
              <w:rPr>
                <w:rFonts w:hint="eastAsia" w:cs="Times New Roman"/>
                <w:szCs w:val="24"/>
              </w:rPr>
              <w:t>②实验室器皿前两次清洗用水：实验后器皿前两次使用自来水对实验器皿清洗用水，实验器皿前两次清洗用水量约0.05</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w:t>
            </w:r>
          </w:p>
          <w:p>
            <w:pPr>
              <w:pStyle w:val="38"/>
              <w:snapToGrid w:val="0"/>
              <w:rPr>
                <w:rFonts w:cs="Times New Roman"/>
                <w:szCs w:val="24"/>
              </w:rPr>
            </w:pPr>
            <w:r>
              <w:rPr>
                <w:rFonts w:hint="eastAsia" w:cs="Times New Roman"/>
                <w:szCs w:val="24"/>
              </w:rPr>
              <w:t>③纯水制备用水：项目通过1台纯水机进行制备，采用过滤+RO反渗透工艺，新鲜水用水量为0.62</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/a，制备纯水0.31</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w:t>
            </w:r>
          </w:p>
          <w:p>
            <w:pPr>
              <w:pStyle w:val="38"/>
              <w:snapToGrid w:val="0"/>
              <w:rPr>
                <w:rFonts w:cs="Times New Roman"/>
                <w:szCs w:val="24"/>
              </w:rPr>
            </w:pPr>
            <w:r>
              <w:rPr>
                <w:rFonts w:hint="eastAsia" w:cs="Times New Roman"/>
                <w:szCs w:val="24"/>
              </w:rPr>
              <w:t>④实验过程用水：实验过程用水均为纯水，共使用纯水0.31</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/a，包括病理TCT实验用水量约为0.12</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/a、分子分型用水量为0.09</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/a、实验器皿后两次清洗用水量为0.1</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w:t>
            </w:r>
          </w:p>
          <w:p>
            <w:pPr>
              <w:pStyle w:val="38"/>
              <w:snapToGrid w:val="0"/>
              <w:rPr>
                <w:rFonts w:cs="Times New Roman"/>
                <w:szCs w:val="24"/>
              </w:rPr>
            </w:pPr>
            <w:r>
              <w:rPr>
                <w:rFonts w:hint="eastAsia" w:cs="Times New Roman"/>
                <w:szCs w:val="24"/>
              </w:rPr>
              <w:t>（2）排水</w:t>
            </w:r>
          </w:p>
          <w:p>
            <w:pPr>
              <w:pStyle w:val="38"/>
              <w:snapToGrid w:val="0"/>
              <w:rPr>
                <w:rFonts w:cs="Times New Roman"/>
                <w:szCs w:val="24"/>
              </w:rPr>
            </w:pPr>
            <w:r>
              <w:rPr>
                <w:rFonts w:hint="eastAsia" w:cs="Times New Roman"/>
                <w:szCs w:val="24"/>
              </w:rPr>
              <w:t>项目产生的废水主要是生活污水、地面清洁废水、实验废水（实验人员洗手废水、实验室器皿前两次清洗废水、纯水制备浓水、分子分型废液、病理TCT废液、实验室器皿后两次清洗废水）。</w:t>
            </w:r>
          </w:p>
          <w:p>
            <w:pPr>
              <w:pStyle w:val="38"/>
              <w:snapToGrid w:val="0"/>
              <w:rPr>
                <w:rFonts w:cs="Times New Roman"/>
                <w:szCs w:val="24"/>
              </w:rPr>
            </w:pPr>
            <w:r>
              <w:rPr>
                <w:rFonts w:hint="eastAsia" w:cs="Times New Roman"/>
                <w:szCs w:val="24"/>
              </w:rPr>
              <w:t>1）生活污水：生活污水产生量为199.2</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/a。经化粪池预处理后，排入银丰国际生物城污水处理站处理，处理达标后排入巨野河污水厂深度处理，后排入巨野河。</w:t>
            </w:r>
          </w:p>
          <w:p>
            <w:pPr>
              <w:pStyle w:val="38"/>
              <w:snapToGrid w:val="0"/>
              <w:rPr>
                <w:rFonts w:cs="Times New Roman"/>
                <w:szCs w:val="24"/>
              </w:rPr>
            </w:pPr>
            <w:r>
              <w:rPr>
                <w:rFonts w:hint="eastAsia" w:cs="Times New Roman"/>
                <w:szCs w:val="24"/>
              </w:rPr>
              <w:t>2）地面清洁废水：项目采取拖把保洁方式，地面清洁废水产生量为34.61</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/a，经园区管网收集后，排入银丰国际生物城污水处理站处理，处理达标后排入巨野河污水厂深度处理，后排入巨野河。</w:t>
            </w:r>
          </w:p>
          <w:p>
            <w:pPr>
              <w:pStyle w:val="38"/>
              <w:snapToGrid w:val="0"/>
              <w:rPr>
                <w:rFonts w:cs="Times New Roman"/>
                <w:szCs w:val="24"/>
              </w:rPr>
            </w:pPr>
            <w:r>
              <w:rPr>
                <w:rFonts w:hint="eastAsia" w:cs="Times New Roman"/>
                <w:szCs w:val="24"/>
              </w:rPr>
              <w:t>3）实验废水：</w:t>
            </w:r>
          </w:p>
          <w:p>
            <w:pPr>
              <w:pStyle w:val="38"/>
              <w:snapToGrid w:val="0"/>
              <w:rPr>
                <w:rFonts w:cs="Times New Roman"/>
                <w:szCs w:val="24"/>
              </w:rPr>
            </w:pPr>
            <w:r>
              <w:rPr>
                <w:rFonts w:hint="eastAsia" w:cs="Times New Roman"/>
                <w:szCs w:val="24"/>
              </w:rPr>
              <w:t>①实验人员洗手废水：实验人员洗手废水产生量约为1.6</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/a，经园区管网收集后，排入银丰国际生物城污水处理站处理，处理达标后排入巨野河污水厂深度处理，后排入巨野河。</w:t>
            </w:r>
          </w:p>
          <w:p>
            <w:pPr>
              <w:pStyle w:val="38"/>
              <w:snapToGrid w:val="0"/>
              <w:rPr>
                <w:rFonts w:cs="Times New Roman"/>
                <w:szCs w:val="24"/>
              </w:rPr>
            </w:pPr>
            <w:r>
              <w:rPr>
                <w:rFonts w:hint="eastAsia" w:cs="Times New Roman"/>
                <w:szCs w:val="24"/>
              </w:rPr>
              <w:t>②实验室器皿前两次清洗废水：实验室器皿前两次清洗废水产生量为0.04</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/a，作为</w:t>
            </w:r>
            <w:r>
              <w:rPr>
                <w:rFonts w:hint="eastAsia" w:cs="Times New Roman"/>
                <w:szCs w:val="24"/>
                <w:lang w:eastAsia="zh-CN"/>
              </w:rPr>
              <w:t>医</w:t>
            </w:r>
            <w:r>
              <w:rPr>
                <w:rFonts w:hint="eastAsia" w:cs="Times New Roman"/>
                <w:szCs w:val="24"/>
              </w:rPr>
              <w:t>废，暂存于暂存间，委托有资质的单位进行处置，不外排。</w:t>
            </w:r>
          </w:p>
          <w:p>
            <w:pPr>
              <w:pStyle w:val="38"/>
              <w:snapToGrid w:val="0"/>
              <w:rPr>
                <w:rFonts w:cs="Times New Roman"/>
                <w:szCs w:val="24"/>
              </w:rPr>
            </w:pPr>
            <w:r>
              <w:rPr>
                <w:rFonts w:hint="eastAsia" w:cs="Times New Roman"/>
                <w:szCs w:val="24"/>
              </w:rPr>
              <w:t>③纯水制备废水：纯水制备浓水量为0.31</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/a，经园区管网收集后，排入银丰国际生物城污水处理站处理，处理达标后排入巨野河污水厂深度处理，后排入巨野河。</w:t>
            </w:r>
          </w:p>
          <w:p>
            <w:pPr>
              <w:pStyle w:val="38"/>
              <w:snapToGrid w:val="0"/>
              <w:rPr>
                <w:rFonts w:cs="Times New Roman"/>
                <w:szCs w:val="24"/>
              </w:rPr>
            </w:pPr>
            <w:r>
              <w:rPr>
                <w:rFonts w:hint="eastAsia" w:cs="Times New Roman"/>
                <w:szCs w:val="24"/>
              </w:rPr>
              <w:t>④实验过程废水：实验过程废水包括病理TCT实验废水、分子分型废水、实验器皿后两次清洗废水；其中病理TCT实验废水产生量为0.096</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/a，分子分型废水产生量为0.072</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/a，作为危废，暂存于危险废物暂存间，委托有资质的单位进行处置，不外排；实验器皿后两次清洗废水产生量为0.08</w:t>
            </w:r>
            <w:r>
              <w:rPr>
                <w:rFonts w:hint="eastAsia" w:cs="Times New Roman"/>
                <w:szCs w:val="24"/>
                <w:lang w:eastAsia="zh-CN"/>
              </w:rPr>
              <w:t>m</w:t>
            </w:r>
            <w:r>
              <w:rPr>
                <w:rFonts w:hint="eastAsia" w:cs="Times New Roman"/>
                <w:szCs w:val="24"/>
                <w:vertAlign w:val="superscript"/>
                <w:lang w:eastAsia="zh-CN"/>
              </w:rPr>
              <w:t>3</w:t>
            </w:r>
            <w:r>
              <w:rPr>
                <w:rFonts w:hint="eastAsia" w:cs="Times New Roman"/>
                <w:szCs w:val="24"/>
              </w:rPr>
              <w:t>/a，经园区管网收集后，排入银丰国际生物城污水处理站处理，处理达标后排入巨野河污水厂深度处理，后排入巨野河。</w:t>
            </w:r>
          </w:p>
          <w:p>
            <w:pPr>
              <w:pStyle w:val="38"/>
              <w:snapToGrid w:val="0"/>
              <w:rPr>
                <w:rFonts w:cs="Times New Roman"/>
                <w:szCs w:val="24"/>
              </w:rPr>
            </w:pPr>
            <w:r>
              <w:rPr>
                <w:rFonts w:hint="eastAsia" w:cs="Times New Roman"/>
                <w:szCs w:val="24"/>
              </w:rPr>
              <w:t>综上，项目分子分型废水、病理TCT废水、实验器皿前两次清洗废水，</w:t>
            </w:r>
            <w:r>
              <w:rPr>
                <w:rFonts w:hint="eastAsia" w:cs="Times New Roman"/>
                <w:szCs w:val="24"/>
                <w:lang w:eastAsia="zh-CN"/>
              </w:rPr>
              <w:t>统称为实验废液，</w:t>
            </w:r>
            <w:r>
              <w:rPr>
                <w:rFonts w:hint="eastAsia" w:cs="Times New Roman"/>
                <w:szCs w:val="24"/>
              </w:rPr>
              <w:t>作为</w:t>
            </w:r>
            <w:r>
              <w:rPr>
                <w:rFonts w:hint="eastAsia" w:cs="Times New Roman"/>
                <w:szCs w:val="24"/>
                <w:lang w:eastAsia="zh-CN"/>
              </w:rPr>
              <w:t>医</w:t>
            </w:r>
            <w:r>
              <w:rPr>
                <w:rFonts w:hint="eastAsia" w:cs="Times New Roman"/>
                <w:szCs w:val="24"/>
              </w:rPr>
              <w:t>废，暂存于医疗+危废暂存间，医疗废物委托济南腾笙环保科技有限公司处理，不外排。项目生活污水排入化粪池预处理后与地面清洁废水、实验人员洗手废水、实验器皿后两次清洗废水和纯水制备废水，满足银丰国际生物城污水处理站进水水质要求后，经园区污水管网进入银丰国际生物城污水处理站处理，污水处理站执行《污水排入城镇下水道水质标准》（GB/T31962-2015）A级标准，同时满足巨野河污水处理厂进水水质要求后通过市政管污水管网排入巨野河污水处理厂，经巨野河污水处理厂深度处理满足《城镇污水处理厂污染物排放标准》（GB18918-2002）一级A标准、《济南市人民政府办公厅关于提高部分排污企业水污染物排放执行标准的通知》（济政办字</w:t>
            </w:r>
            <w:r>
              <w:rPr>
                <w:rFonts w:hint="eastAsia" w:cs="Times New Roman"/>
                <w:szCs w:val="24"/>
                <w:lang w:eastAsia="zh-CN"/>
              </w:rPr>
              <w:t>〔</w:t>
            </w:r>
            <w:r>
              <w:rPr>
                <w:rFonts w:hint="eastAsia" w:cs="Times New Roman"/>
                <w:szCs w:val="24"/>
              </w:rPr>
              <w:t>2011</w:t>
            </w:r>
            <w:r>
              <w:rPr>
                <w:rFonts w:hint="eastAsia" w:cs="Times New Roman"/>
                <w:szCs w:val="24"/>
                <w:lang w:eastAsia="zh-CN"/>
              </w:rPr>
              <w:t>〕</w:t>
            </w:r>
            <w:r>
              <w:rPr>
                <w:rFonts w:hint="eastAsia" w:cs="Times New Roman"/>
                <w:szCs w:val="24"/>
              </w:rPr>
              <w:t>49号）（所有直排小清河的单位排放标准全部按照化学需氧量45mg/L、氨氮4.5mg/L）、《济南市小清河流域执行水污染物区域排放限值的通知》（济政办字〔2017〕30号）中的要求（氨氮≤2.0（3.5）mg/L）等相关要求后，最终经西巨野河排入小清河。</w:t>
            </w:r>
          </w:p>
          <w:p>
            <w:pPr>
              <w:pStyle w:val="38"/>
              <w:snapToGrid w:val="0"/>
              <w:rPr>
                <w:rFonts w:cs="Times New Roman"/>
                <w:szCs w:val="24"/>
              </w:rPr>
            </w:pPr>
            <w:r>
              <w:rPr>
                <w:rFonts w:cs="Times New Roman"/>
                <w:szCs w:val="24"/>
              </w:rPr>
              <w:t>项目水平衡图见图 2-1。</w:t>
            </w:r>
          </w:p>
          <w:p>
            <w:pPr>
              <w:pStyle w:val="38"/>
              <w:ind w:firstLine="0" w:firstLineChars="0"/>
              <w:jc w:val="center"/>
            </w:pPr>
            <w:r>
              <w:pict>
                <v:shape id="_x0000_i1025" o:spt="75" alt="图片1" type="#_x0000_t75" style="height:453.8pt;width:445.85pt;" filled="f" o:preferrelative="t" stroked="f" coordsize="21600,21600">
                  <v:path/>
                  <v:fill on="f" focussize="0,0"/>
                  <v:stroke on="f"/>
                  <v:imagedata r:id="rId8" o:title="图片1"/>
                  <o:lock v:ext="edit" aspectratio="t"/>
                  <w10:wrap type="none"/>
                  <w10:anchorlock/>
                </v:shape>
              </w:pict>
            </w:r>
          </w:p>
          <w:p>
            <w:pPr>
              <w:pStyle w:val="38"/>
              <w:ind w:firstLine="0" w:firstLineChars="0"/>
              <w:jc w:val="center"/>
              <w:rPr>
                <w:rFonts w:cs="Times New Roman"/>
                <w:b/>
                <w:bCs/>
                <w:spacing w:val="-1"/>
              </w:rPr>
            </w:pPr>
            <w:r>
              <w:rPr>
                <w:rFonts w:cs="Times New Roman"/>
                <w:b/>
                <w:bCs/>
                <w:spacing w:val="-1"/>
              </w:rPr>
              <w:t>图2-1  项目水平衡图（单位：</w:t>
            </w:r>
            <w:r>
              <w:rPr>
                <w:rFonts w:hint="eastAsia" w:cs="Times New Roman"/>
                <w:b/>
                <w:bCs/>
                <w:spacing w:val="-1"/>
                <w:lang w:eastAsia="zh-CN"/>
              </w:rPr>
              <w:t>m</w:t>
            </w:r>
            <w:r>
              <w:rPr>
                <w:rFonts w:hint="eastAsia" w:cs="Times New Roman"/>
                <w:b/>
                <w:bCs/>
                <w:spacing w:val="-1"/>
                <w:vertAlign w:val="superscript"/>
                <w:lang w:eastAsia="zh-CN"/>
              </w:rPr>
              <w:t>3</w:t>
            </w:r>
            <w:r>
              <w:rPr>
                <w:rFonts w:cs="Times New Roman"/>
                <w:b/>
                <w:bCs/>
                <w:spacing w:val="-1"/>
                <w:vertAlign w:val="baseline"/>
              </w:rPr>
              <w:t>/</w:t>
            </w:r>
            <w:r>
              <w:rPr>
                <w:rFonts w:cs="Times New Roman"/>
                <w:b/>
                <w:bCs/>
                <w:spacing w:val="-1"/>
              </w:rPr>
              <w:t>a）</w:t>
            </w:r>
          </w:p>
          <w:p>
            <w:pPr>
              <w:numPr>
                <w:ilvl w:val="0"/>
                <w:numId w:val="5"/>
              </w:numPr>
              <w:ind w:firstLine="480"/>
              <w:jc w:val="left"/>
            </w:pPr>
            <w:r>
              <w:t>供电：</w:t>
            </w:r>
            <w:r>
              <w:rPr>
                <w:rFonts w:hint="eastAsia"/>
              </w:rPr>
              <w:t>由济南市高新区供电公司统一供给。</w:t>
            </w:r>
          </w:p>
          <w:p>
            <w:pPr>
              <w:adjustRightInd w:val="0"/>
              <w:snapToGrid w:val="0"/>
              <w:ind w:firstLine="480"/>
            </w:pPr>
            <w:r>
              <w:t>（4）供热：项目</w:t>
            </w:r>
            <w:r>
              <w:rPr>
                <w:rFonts w:hint="eastAsia"/>
              </w:rPr>
              <w:t>办公区</w:t>
            </w:r>
            <w:r>
              <w:t>采暖</w:t>
            </w:r>
            <w:r>
              <w:rPr>
                <w:rFonts w:hint="eastAsia"/>
              </w:rPr>
              <w:t>、</w:t>
            </w:r>
            <w:r>
              <w:t>制冷</w:t>
            </w:r>
            <w:r>
              <w:rPr>
                <w:rFonts w:hint="eastAsia"/>
              </w:rPr>
              <w:t>均</w:t>
            </w:r>
            <w:r>
              <w:t>采用空调</w:t>
            </w:r>
            <w:r>
              <w:rPr>
                <w:rFonts w:hint="eastAsia"/>
              </w:rPr>
              <w:t>，实验装置加热均采用电加热。</w:t>
            </w:r>
          </w:p>
          <w:p>
            <w:pPr>
              <w:pStyle w:val="38"/>
              <w:spacing w:line="240" w:lineRule="auto"/>
              <w:ind w:firstLine="476" w:firstLineChars="0"/>
              <w:rPr>
                <w:rFonts w:cs="Times New Roman"/>
                <w:b/>
                <w:bCs/>
                <w:spacing w:val="-1"/>
              </w:rPr>
            </w:pPr>
            <w:r>
              <w:rPr>
                <w:rFonts w:cs="Times New Roman"/>
                <w:b/>
                <w:bCs/>
                <w:spacing w:val="-1"/>
              </w:rPr>
              <w:t>3、劳动</w:t>
            </w:r>
            <w:r>
              <w:rPr>
                <w:rFonts w:hint="eastAsia" w:cs="Times New Roman"/>
                <w:b/>
                <w:bCs/>
                <w:spacing w:val="-1"/>
                <w:lang w:eastAsia="zh-CN"/>
              </w:rPr>
              <w:t>职工</w:t>
            </w:r>
            <w:r>
              <w:rPr>
                <w:rFonts w:cs="Times New Roman"/>
                <w:b/>
                <w:bCs/>
                <w:spacing w:val="-1"/>
              </w:rPr>
              <w:t>及工作制度</w:t>
            </w:r>
          </w:p>
          <w:p>
            <w:pPr>
              <w:pStyle w:val="38"/>
              <w:rPr>
                <w:rFonts w:cs="Times New Roman"/>
                <w:szCs w:val="24"/>
              </w:rPr>
            </w:pPr>
            <w:r>
              <w:rPr>
                <w:rFonts w:hint="eastAsia" w:cs="Times New Roman"/>
                <w:szCs w:val="24"/>
              </w:rPr>
              <w:t>项目</w:t>
            </w:r>
            <w:r>
              <w:rPr>
                <w:rFonts w:hint="eastAsia" w:cs="Times New Roman"/>
                <w:szCs w:val="24"/>
                <w:lang w:eastAsia="zh-CN"/>
              </w:rPr>
              <w:t>职工</w:t>
            </w:r>
            <w:r>
              <w:rPr>
                <w:rFonts w:hint="eastAsia" w:cs="Times New Roman"/>
                <w:szCs w:val="24"/>
              </w:rPr>
              <w:t>20人，实行单班白班制，每天工作8小时，年工作250天，夜间不运行。</w:t>
            </w:r>
          </w:p>
          <w:p>
            <w:pPr>
              <w:pStyle w:val="38"/>
              <w:ind w:firstLine="476" w:firstLineChars="0"/>
              <w:rPr>
                <w:rFonts w:cs="Times New Roman"/>
                <w:b/>
                <w:bCs/>
                <w:spacing w:val="-1"/>
              </w:rPr>
            </w:pPr>
            <w:r>
              <w:rPr>
                <w:rFonts w:cs="Times New Roman"/>
                <w:b/>
                <w:bCs/>
                <w:spacing w:val="-1"/>
              </w:rPr>
              <w:t>4、工程投资</w:t>
            </w:r>
          </w:p>
          <w:p>
            <w:pPr>
              <w:pStyle w:val="38"/>
              <w:ind w:firstLine="476"/>
              <w:rPr>
                <w:rFonts w:cs="Times New Roman"/>
                <w:spacing w:val="-1"/>
              </w:rPr>
            </w:pPr>
            <w:r>
              <w:rPr>
                <w:rFonts w:cs="Times New Roman"/>
                <w:spacing w:val="-1"/>
              </w:rPr>
              <w:t>本</w:t>
            </w:r>
            <w:r>
              <w:rPr>
                <w:rFonts w:hint="eastAsia" w:cs="Times New Roman"/>
                <w:spacing w:val="-1"/>
              </w:rPr>
              <w:t>项目总投资1000万元，其中环保投资60万元，占总投资的6.0%。</w:t>
            </w:r>
          </w:p>
          <w:p>
            <w:pPr>
              <w:pStyle w:val="38"/>
              <w:ind w:firstLine="0" w:firstLineChars="0"/>
              <w:jc w:val="center"/>
              <w:rPr>
                <w:rFonts w:cs="Times New Roman"/>
                <w:b/>
                <w:bCs/>
              </w:rPr>
            </w:pPr>
          </w:p>
          <w:p>
            <w:pPr>
              <w:pStyle w:val="38"/>
              <w:ind w:firstLine="0" w:firstLineChars="0"/>
              <w:jc w:val="center"/>
              <w:rPr>
                <w:rFonts w:cs="Times New Roman"/>
                <w:b/>
                <w:bCs/>
              </w:rPr>
            </w:pPr>
            <w:r>
              <w:rPr>
                <w:rFonts w:cs="Times New Roman"/>
                <w:b/>
                <w:bCs/>
              </w:rPr>
              <w:t>表2-5  本项目环保投资情况一览表</w:t>
            </w:r>
          </w:p>
          <w:tbl>
            <w:tblPr>
              <w:tblStyle w:val="28"/>
              <w:tblW w:w="8920" w:type="dxa"/>
              <w:jc w:val="center"/>
              <w:tblLayout w:type="fixed"/>
              <w:tblCellMar>
                <w:top w:w="0" w:type="dxa"/>
                <w:left w:w="108" w:type="dxa"/>
                <w:bottom w:w="0" w:type="dxa"/>
                <w:right w:w="108" w:type="dxa"/>
              </w:tblCellMar>
            </w:tblPr>
            <w:tblGrid>
              <w:gridCol w:w="1105"/>
              <w:gridCol w:w="1095"/>
              <w:gridCol w:w="4565"/>
              <w:gridCol w:w="1126"/>
              <w:gridCol w:w="1029"/>
            </w:tblGrid>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vAlign w:val="center"/>
                </w:tcPr>
                <w:p>
                  <w:pPr>
                    <w:pStyle w:val="46"/>
                    <w:rPr>
                      <w:b/>
                      <w:bCs/>
                      <w:szCs w:val="21"/>
                      <w:lang w:bidi="ar"/>
                    </w:rPr>
                  </w:pPr>
                  <w:r>
                    <w:rPr>
                      <w:b/>
                      <w:bCs/>
                      <w:szCs w:val="21"/>
                      <w:lang w:bidi="ar"/>
                    </w:rPr>
                    <w:t>污染类型</w:t>
                  </w:r>
                </w:p>
              </w:tc>
              <w:tc>
                <w:tcPr>
                  <w:tcW w:w="613" w:type="pct"/>
                  <w:tcBorders>
                    <w:top w:val="single" w:color="auto" w:sz="4" w:space="0"/>
                    <w:left w:val="nil"/>
                    <w:bottom w:val="single" w:color="auto" w:sz="4" w:space="0"/>
                    <w:right w:val="single" w:color="auto" w:sz="4" w:space="0"/>
                  </w:tcBorders>
                  <w:vAlign w:val="center"/>
                </w:tcPr>
                <w:p>
                  <w:pPr>
                    <w:pStyle w:val="46"/>
                    <w:rPr>
                      <w:b/>
                      <w:bCs/>
                      <w:szCs w:val="21"/>
                      <w:lang w:bidi="ar"/>
                    </w:rPr>
                  </w:pPr>
                  <w:r>
                    <w:rPr>
                      <w:b/>
                      <w:bCs/>
                      <w:szCs w:val="21"/>
                      <w:lang w:bidi="ar"/>
                    </w:rPr>
                    <w:t>污染源</w:t>
                  </w:r>
                </w:p>
              </w:tc>
              <w:tc>
                <w:tcPr>
                  <w:tcW w:w="2558" w:type="pct"/>
                  <w:tcBorders>
                    <w:top w:val="single" w:color="auto" w:sz="4" w:space="0"/>
                    <w:left w:val="nil"/>
                    <w:bottom w:val="single" w:color="auto" w:sz="4" w:space="0"/>
                    <w:right w:val="single" w:color="auto" w:sz="4" w:space="0"/>
                  </w:tcBorders>
                  <w:vAlign w:val="center"/>
                </w:tcPr>
                <w:p>
                  <w:pPr>
                    <w:pStyle w:val="46"/>
                    <w:rPr>
                      <w:b/>
                      <w:bCs/>
                      <w:szCs w:val="21"/>
                      <w:lang w:bidi="ar"/>
                    </w:rPr>
                  </w:pPr>
                  <w:r>
                    <w:rPr>
                      <w:b/>
                      <w:bCs/>
                      <w:szCs w:val="21"/>
                      <w:lang w:bidi="ar"/>
                    </w:rPr>
                    <w:t>环保措施</w:t>
                  </w:r>
                </w:p>
              </w:tc>
              <w:tc>
                <w:tcPr>
                  <w:tcW w:w="631" w:type="pct"/>
                  <w:tcBorders>
                    <w:top w:val="single" w:color="auto" w:sz="4" w:space="0"/>
                    <w:left w:val="nil"/>
                    <w:bottom w:val="single" w:color="auto" w:sz="4" w:space="0"/>
                    <w:right w:val="single" w:color="auto" w:sz="4" w:space="0"/>
                  </w:tcBorders>
                  <w:vAlign w:val="center"/>
                </w:tcPr>
                <w:p>
                  <w:pPr>
                    <w:pStyle w:val="46"/>
                    <w:rPr>
                      <w:b/>
                      <w:bCs/>
                      <w:szCs w:val="21"/>
                      <w:lang w:bidi="ar"/>
                    </w:rPr>
                  </w:pPr>
                  <w:r>
                    <w:rPr>
                      <w:b/>
                      <w:bCs/>
                      <w:szCs w:val="21"/>
                      <w:lang w:bidi="ar"/>
                    </w:rPr>
                    <w:t>投资费用（万元）</w:t>
                  </w:r>
                </w:p>
              </w:tc>
              <w:tc>
                <w:tcPr>
                  <w:tcW w:w="577" w:type="pct"/>
                  <w:tcBorders>
                    <w:top w:val="single" w:color="auto" w:sz="4" w:space="0"/>
                    <w:left w:val="nil"/>
                    <w:bottom w:val="single" w:color="auto" w:sz="4" w:space="0"/>
                    <w:right w:val="single" w:color="auto" w:sz="4" w:space="0"/>
                  </w:tcBorders>
                  <w:vAlign w:val="center"/>
                </w:tcPr>
                <w:p>
                  <w:pPr>
                    <w:pStyle w:val="46"/>
                    <w:rPr>
                      <w:b/>
                      <w:bCs/>
                      <w:szCs w:val="21"/>
                      <w:lang w:bidi="ar"/>
                    </w:rPr>
                  </w:pPr>
                  <w:r>
                    <w:rPr>
                      <w:b/>
                      <w:bCs/>
                      <w:szCs w:val="21"/>
                      <w:lang w:bidi="ar"/>
                    </w:rPr>
                    <w:t>环保落实情况</w:t>
                  </w:r>
                </w:p>
              </w:tc>
            </w:tr>
            <w:tr>
              <w:tblPrEx>
                <w:tblCellMar>
                  <w:top w:w="0" w:type="dxa"/>
                  <w:left w:w="108" w:type="dxa"/>
                  <w:bottom w:w="0" w:type="dxa"/>
                  <w:right w:w="108" w:type="dxa"/>
                </w:tblCellMar>
              </w:tblPrEx>
              <w:trPr>
                <w:trHeight w:val="369" w:hRule="atLeast"/>
                <w:jc w:val="center"/>
              </w:trPr>
              <w:tc>
                <w:tcPr>
                  <w:tcW w:w="619" w:type="pct"/>
                  <w:tcBorders>
                    <w:top w:val="nil"/>
                    <w:left w:val="single" w:color="auto" w:sz="4" w:space="0"/>
                    <w:right w:val="single" w:color="auto" w:sz="4" w:space="0"/>
                  </w:tcBorders>
                  <w:vAlign w:val="center"/>
                </w:tcPr>
                <w:p>
                  <w:pPr>
                    <w:pStyle w:val="46"/>
                    <w:rPr>
                      <w:szCs w:val="21"/>
                      <w:lang w:bidi="ar"/>
                    </w:rPr>
                  </w:pPr>
                  <w:r>
                    <w:rPr>
                      <w:szCs w:val="21"/>
                      <w:lang w:bidi="ar"/>
                    </w:rPr>
                    <w:t>废气</w:t>
                  </w:r>
                </w:p>
              </w:tc>
              <w:tc>
                <w:tcPr>
                  <w:tcW w:w="613" w:type="pct"/>
                  <w:tcBorders>
                    <w:top w:val="single" w:color="auto" w:sz="4" w:space="0"/>
                    <w:left w:val="nil"/>
                    <w:right w:val="single" w:color="auto" w:sz="4" w:space="0"/>
                  </w:tcBorders>
                  <w:vAlign w:val="center"/>
                </w:tcPr>
                <w:p>
                  <w:pPr>
                    <w:pStyle w:val="46"/>
                    <w:rPr>
                      <w:szCs w:val="21"/>
                      <w:lang w:bidi="ar"/>
                    </w:rPr>
                  </w:pPr>
                  <w:r>
                    <w:rPr>
                      <w:rFonts w:hint="eastAsia"/>
                      <w:szCs w:val="21"/>
                      <w:lang w:bidi="ar"/>
                    </w:rPr>
                    <w:t>实验废气</w:t>
                  </w:r>
                </w:p>
              </w:tc>
              <w:tc>
                <w:tcPr>
                  <w:tcW w:w="2558" w:type="pct"/>
                  <w:tcBorders>
                    <w:top w:val="single" w:color="auto" w:sz="4" w:space="0"/>
                    <w:left w:val="nil"/>
                    <w:bottom w:val="single" w:color="auto" w:sz="4" w:space="0"/>
                    <w:right w:val="single" w:color="auto" w:sz="4" w:space="0"/>
                  </w:tcBorders>
                  <w:vAlign w:val="center"/>
                </w:tcPr>
                <w:p>
                  <w:pPr>
                    <w:pStyle w:val="46"/>
                    <w:rPr>
                      <w:szCs w:val="21"/>
                      <w:lang w:bidi="ar"/>
                    </w:rPr>
                  </w:pPr>
                  <w:r>
                    <w:rPr>
                      <w:color w:val="000000"/>
                      <w:kern w:val="0"/>
                      <w:szCs w:val="21"/>
                      <w:lang w:bidi="ar"/>
                    </w:rPr>
                    <w:t>实验室设置9处通风橱，</w:t>
                  </w:r>
                  <w:r>
                    <w:rPr>
                      <w:szCs w:val="21"/>
                    </w:rPr>
                    <w:t>实验废气于通风橱产生后经二级活性炭吸附处理后，通过1根</w:t>
                  </w:r>
                  <w:r>
                    <w:rPr>
                      <w:rFonts w:hint="eastAsia"/>
                      <w:szCs w:val="21"/>
                    </w:rPr>
                    <w:t>24</w:t>
                  </w:r>
                  <w:r>
                    <w:rPr>
                      <w:szCs w:val="21"/>
                    </w:rPr>
                    <w:t>m高排气筒DA001有组织排放</w:t>
                  </w:r>
                </w:p>
              </w:tc>
              <w:tc>
                <w:tcPr>
                  <w:tcW w:w="631" w:type="pct"/>
                  <w:tcBorders>
                    <w:top w:val="nil"/>
                    <w:left w:val="nil"/>
                    <w:right w:val="single" w:color="auto" w:sz="4" w:space="0"/>
                  </w:tcBorders>
                  <w:vAlign w:val="center"/>
                </w:tcPr>
                <w:p>
                  <w:pPr>
                    <w:pStyle w:val="46"/>
                    <w:rPr>
                      <w:szCs w:val="21"/>
                      <w:lang w:bidi="ar"/>
                    </w:rPr>
                  </w:pPr>
                  <w:r>
                    <w:rPr>
                      <w:rFonts w:hint="eastAsia"/>
                      <w:szCs w:val="21"/>
                      <w:lang w:bidi="ar"/>
                    </w:rPr>
                    <w:t>37.5</w:t>
                  </w:r>
                </w:p>
              </w:tc>
              <w:tc>
                <w:tcPr>
                  <w:tcW w:w="577" w:type="pct"/>
                  <w:tcBorders>
                    <w:top w:val="nil"/>
                    <w:left w:val="nil"/>
                    <w:right w:val="single" w:color="auto" w:sz="4" w:space="0"/>
                  </w:tcBorders>
                  <w:vAlign w:val="center"/>
                </w:tcPr>
                <w:p>
                  <w:pPr>
                    <w:pStyle w:val="46"/>
                    <w:rPr>
                      <w:szCs w:val="21"/>
                      <w:lang w:bidi="ar"/>
                    </w:rPr>
                  </w:pPr>
                  <w:r>
                    <w:rPr>
                      <w:szCs w:val="21"/>
                      <w:lang w:bidi="ar"/>
                    </w:rPr>
                    <w:t>已落实</w:t>
                  </w:r>
                </w:p>
              </w:tc>
            </w:tr>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废水</w:t>
                  </w:r>
                </w:p>
              </w:tc>
              <w:tc>
                <w:tcPr>
                  <w:tcW w:w="613" w:type="pct"/>
                  <w:tcBorders>
                    <w:top w:val="single" w:color="auto" w:sz="4" w:space="0"/>
                    <w:left w:val="nil"/>
                    <w:bottom w:val="single" w:color="auto" w:sz="4" w:space="0"/>
                    <w:right w:val="single" w:color="auto" w:sz="4" w:space="0"/>
                  </w:tcBorders>
                  <w:vAlign w:val="center"/>
                </w:tcPr>
                <w:p>
                  <w:pPr>
                    <w:pStyle w:val="46"/>
                    <w:rPr>
                      <w:szCs w:val="21"/>
                      <w:lang w:bidi="ar"/>
                    </w:rPr>
                  </w:pPr>
                  <w:r>
                    <w:rPr>
                      <w:rFonts w:hint="eastAsia"/>
                      <w:szCs w:val="21"/>
                      <w:lang w:bidi="ar"/>
                    </w:rPr>
                    <w:t>实验废水、生活污水</w:t>
                  </w:r>
                </w:p>
              </w:tc>
              <w:tc>
                <w:tcPr>
                  <w:tcW w:w="2558" w:type="pct"/>
                  <w:tcBorders>
                    <w:top w:val="single" w:color="auto" w:sz="4" w:space="0"/>
                    <w:left w:val="nil"/>
                    <w:bottom w:val="single" w:color="auto" w:sz="4" w:space="0"/>
                    <w:right w:val="single" w:color="auto" w:sz="4" w:space="0"/>
                  </w:tcBorders>
                  <w:vAlign w:val="center"/>
                </w:tcPr>
                <w:p>
                  <w:pPr>
                    <w:pStyle w:val="46"/>
                    <w:rPr>
                      <w:szCs w:val="21"/>
                      <w:lang w:bidi="ar"/>
                    </w:rPr>
                  </w:pPr>
                  <w:r>
                    <w:rPr>
                      <w:color w:val="000000"/>
                      <w:kern w:val="0"/>
                      <w:szCs w:val="21"/>
                      <w:lang w:bidi="ar"/>
                    </w:rPr>
                    <w:t>生活污水经化粪池处理后与地面清洁废水、实验人员洗手废水、实验器皿后两次清洗废水、纯水制备浓水经园区管网进入银丰国际生物城污水处理站处理，处理达标后排入巨野河污水厂深度处理，后排入巨野河。</w:t>
                  </w:r>
                </w:p>
              </w:tc>
              <w:tc>
                <w:tcPr>
                  <w:tcW w:w="631" w:type="pct"/>
                  <w:tcBorders>
                    <w:top w:val="single" w:color="auto" w:sz="4" w:space="0"/>
                    <w:left w:val="nil"/>
                    <w:bottom w:val="single" w:color="auto" w:sz="4" w:space="0"/>
                    <w:right w:val="single" w:color="auto" w:sz="4" w:space="0"/>
                  </w:tcBorders>
                  <w:vAlign w:val="center"/>
                </w:tcPr>
                <w:p>
                  <w:pPr>
                    <w:pStyle w:val="46"/>
                    <w:rPr>
                      <w:szCs w:val="21"/>
                      <w:lang w:bidi="ar"/>
                    </w:rPr>
                  </w:pPr>
                  <w:r>
                    <w:rPr>
                      <w:rFonts w:hint="eastAsia"/>
                      <w:szCs w:val="21"/>
                      <w:lang w:bidi="ar"/>
                    </w:rPr>
                    <w:t>6.2</w:t>
                  </w:r>
                </w:p>
              </w:tc>
              <w:tc>
                <w:tcPr>
                  <w:tcW w:w="577"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已落实</w:t>
                  </w:r>
                </w:p>
              </w:tc>
            </w:tr>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固体废物</w:t>
                  </w:r>
                </w:p>
              </w:tc>
              <w:tc>
                <w:tcPr>
                  <w:tcW w:w="613"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生产过程</w:t>
                  </w:r>
                </w:p>
              </w:tc>
              <w:tc>
                <w:tcPr>
                  <w:tcW w:w="2558"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厂区暂存，合理处置，然后委托有资质单位处理。</w:t>
                  </w:r>
                </w:p>
              </w:tc>
              <w:tc>
                <w:tcPr>
                  <w:tcW w:w="631" w:type="pct"/>
                  <w:tcBorders>
                    <w:top w:val="single" w:color="auto" w:sz="4" w:space="0"/>
                    <w:left w:val="nil"/>
                    <w:bottom w:val="single" w:color="auto" w:sz="4" w:space="0"/>
                    <w:right w:val="single" w:color="auto" w:sz="4" w:space="0"/>
                  </w:tcBorders>
                  <w:vAlign w:val="center"/>
                </w:tcPr>
                <w:p>
                  <w:pPr>
                    <w:pStyle w:val="46"/>
                    <w:rPr>
                      <w:szCs w:val="21"/>
                      <w:lang w:bidi="ar"/>
                    </w:rPr>
                  </w:pPr>
                  <w:r>
                    <w:rPr>
                      <w:rFonts w:hint="eastAsia"/>
                      <w:szCs w:val="21"/>
                      <w:lang w:bidi="ar"/>
                    </w:rPr>
                    <w:t>8.4</w:t>
                  </w:r>
                </w:p>
              </w:tc>
              <w:tc>
                <w:tcPr>
                  <w:tcW w:w="577"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已落实</w:t>
                  </w:r>
                </w:p>
              </w:tc>
            </w:tr>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噪声</w:t>
                  </w:r>
                </w:p>
              </w:tc>
              <w:tc>
                <w:tcPr>
                  <w:tcW w:w="613"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机械噪声</w:t>
                  </w:r>
                </w:p>
              </w:tc>
              <w:tc>
                <w:tcPr>
                  <w:tcW w:w="2558"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加强管理，选用低噪声设备，隔声、减振等措施</w:t>
                  </w:r>
                </w:p>
              </w:tc>
              <w:tc>
                <w:tcPr>
                  <w:tcW w:w="631" w:type="pct"/>
                  <w:tcBorders>
                    <w:top w:val="single" w:color="auto" w:sz="4" w:space="0"/>
                    <w:left w:val="nil"/>
                    <w:bottom w:val="single" w:color="auto" w:sz="4" w:space="0"/>
                    <w:right w:val="single" w:color="auto" w:sz="4" w:space="0"/>
                  </w:tcBorders>
                  <w:vAlign w:val="center"/>
                </w:tcPr>
                <w:p>
                  <w:pPr>
                    <w:pStyle w:val="46"/>
                    <w:rPr>
                      <w:szCs w:val="21"/>
                      <w:lang w:bidi="ar"/>
                    </w:rPr>
                  </w:pPr>
                  <w:r>
                    <w:rPr>
                      <w:rFonts w:hint="eastAsia"/>
                      <w:szCs w:val="21"/>
                      <w:lang w:bidi="ar"/>
                    </w:rPr>
                    <w:t>7.9</w:t>
                  </w:r>
                </w:p>
              </w:tc>
              <w:tc>
                <w:tcPr>
                  <w:tcW w:w="577"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已落实</w:t>
                  </w:r>
                </w:p>
              </w:tc>
            </w:tr>
            <w:tr>
              <w:tblPrEx>
                <w:tblCellMar>
                  <w:top w:w="0" w:type="dxa"/>
                  <w:left w:w="108" w:type="dxa"/>
                  <w:bottom w:w="0" w:type="dxa"/>
                  <w:right w:w="108" w:type="dxa"/>
                </w:tblCellMar>
              </w:tblPrEx>
              <w:trPr>
                <w:trHeight w:val="369" w:hRule="atLeast"/>
                <w:jc w:val="center"/>
              </w:trPr>
              <w:tc>
                <w:tcPr>
                  <w:tcW w:w="3790" w:type="pct"/>
                  <w:gridSpan w:val="3"/>
                  <w:tcBorders>
                    <w:top w:val="single" w:color="auto" w:sz="4" w:space="0"/>
                    <w:left w:val="single" w:color="auto" w:sz="4" w:space="0"/>
                    <w:bottom w:val="single" w:color="auto" w:sz="4" w:space="0"/>
                    <w:right w:val="single" w:color="auto" w:sz="4" w:space="0"/>
                  </w:tcBorders>
                  <w:vAlign w:val="center"/>
                </w:tcPr>
                <w:p>
                  <w:pPr>
                    <w:pStyle w:val="46"/>
                    <w:rPr>
                      <w:szCs w:val="21"/>
                      <w:lang w:bidi="ar"/>
                    </w:rPr>
                  </w:pPr>
                  <w:r>
                    <w:rPr>
                      <w:szCs w:val="21"/>
                      <w:lang w:bidi="ar"/>
                    </w:rPr>
                    <w:t>合计</w:t>
                  </w:r>
                </w:p>
              </w:tc>
              <w:tc>
                <w:tcPr>
                  <w:tcW w:w="631" w:type="pct"/>
                  <w:tcBorders>
                    <w:top w:val="single" w:color="auto" w:sz="4" w:space="0"/>
                    <w:left w:val="nil"/>
                    <w:bottom w:val="single" w:color="auto" w:sz="4" w:space="0"/>
                    <w:right w:val="single" w:color="auto" w:sz="4" w:space="0"/>
                  </w:tcBorders>
                  <w:vAlign w:val="center"/>
                </w:tcPr>
                <w:p>
                  <w:pPr>
                    <w:pStyle w:val="46"/>
                    <w:rPr>
                      <w:szCs w:val="21"/>
                      <w:lang w:bidi="ar"/>
                    </w:rPr>
                  </w:pPr>
                  <w:r>
                    <w:rPr>
                      <w:rFonts w:hint="eastAsia"/>
                      <w:szCs w:val="21"/>
                      <w:lang w:bidi="ar"/>
                    </w:rPr>
                    <w:t>60</w:t>
                  </w:r>
                </w:p>
              </w:tc>
              <w:tc>
                <w:tcPr>
                  <w:tcW w:w="577" w:type="pct"/>
                  <w:tcBorders>
                    <w:top w:val="single" w:color="auto" w:sz="4" w:space="0"/>
                    <w:left w:val="nil"/>
                    <w:bottom w:val="single" w:color="auto" w:sz="4" w:space="0"/>
                    <w:right w:val="single" w:color="auto" w:sz="4" w:space="0"/>
                  </w:tcBorders>
                  <w:vAlign w:val="center"/>
                </w:tcPr>
                <w:p>
                  <w:pPr>
                    <w:pStyle w:val="46"/>
                    <w:rPr>
                      <w:szCs w:val="21"/>
                      <w:lang w:bidi="ar"/>
                    </w:rPr>
                  </w:pPr>
                  <w:r>
                    <w:rPr>
                      <w:szCs w:val="21"/>
                      <w:lang w:bidi="ar"/>
                    </w:rPr>
                    <w:t>已落实</w:t>
                  </w:r>
                </w:p>
              </w:tc>
            </w:tr>
          </w:tbl>
          <w:p>
            <w:pPr>
              <w:pStyle w:val="38"/>
              <w:ind w:firstLine="476" w:firstLineChars="0"/>
              <w:rPr>
                <w:rFonts w:cs="Times New Roman"/>
                <w:b/>
                <w:bCs/>
                <w:spacing w:val="-1"/>
              </w:rPr>
            </w:pPr>
            <w:r>
              <w:rPr>
                <w:rFonts w:cs="Times New Roman"/>
                <w:b/>
                <w:bCs/>
                <w:spacing w:val="-1"/>
              </w:rPr>
              <w:t>5、项目平面布置及环境保护目标</w:t>
            </w:r>
          </w:p>
          <w:p>
            <w:pPr>
              <w:pStyle w:val="38"/>
              <w:ind w:firstLine="476"/>
              <w:jc w:val="both"/>
              <w:rPr>
                <w:rFonts w:cs="Times New Roman"/>
                <w:spacing w:val="-1"/>
              </w:rPr>
            </w:pPr>
            <w:r>
              <w:rPr>
                <w:rFonts w:cs="Times New Roman"/>
                <w:spacing w:val="-1"/>
              </w:rPr>
              <w:t>本</w:t>
            </w:r>
            <w:r>
              <w:rPr>
                <w:rFonts w:cs="Times New Roman"/>
                <w:szCs w:val="24"/>
              </w:rPr>
              <w:t>项目位于</w:t>
            </w:r>
            <w:r>
              <w:rPr>
                <w:rFonts w:hint="eastAsia" w:cs="Times New Roman"/>
                <w:szCs w:val="24"/>
              </w:rPr>
              <w:t>山东省济南市高新区春兰路1177号银丰国际生物城A4-101-3</w:t>
            </w:r>
            <w:r>
              <w:rPr>
                <w:rFonts w:cs="Times New Roman"/>
                <w:szCs w:val="24"/>
              </w:rPr>
              <w:t>。项目</w:t>
            </w:r>
            <w:r>
              <w:rPr>
                <w:rFonts w:hint="eastAsia" w:cs="Times New Roman"/>
                <w:szCs w:val="24"/>
              </w:rPr>
              <w:t>车间内</w:t>
            </w:r>
            <w:r>
              <w:rPr>
                <w:rFonts w:cs="Times New Roman"/>
                <w:szCs w:val="24"/>
              </w:rPr>
              <w:t>分区明确，总平面布置较好的满足了人员流动的顺畅性，方便</w:t>
            </w:r>
            <w:r>
              <w:rPr>
                <w:rFonts w:hint="eastAsia" w:cs="Times New Roman"/>
                <w:szCs w:val="24"/>
              </w:rPr>
              <w:t>生产、</w:t>
            </w:r>
            <w:r>
              <w:rPr>
                <w:rFonts w:cs="Times New Roman"/>
                <w:szCs w:val="24"/>
              </w:rPr>
              <w:t>活动。</w:t>
            </w:r>
            <w:r>
              <w:rPr>
                <w:rFonts w:cs="Times New Roman"/>
                <w:bCs/>
                <w:szCs w:val="21"/>
              </w:rPr>
              <w:t>项目所在区域范围内</w:t>
            </w:r>
            <w:r>
              <w:rPr>
                <w:rFonts w:cs="Times New Roman"/>
                <w:szCs w:val="24"/>
              </w:rPr>
              <w:t>无自然保护区、风景名胜区、国家重点保护文物或历史文化保护地，也无社会关注的具有历史、科学、民族、文化意义的保护地</w:t>
            </w:r>
            <w:r>
              <w:rPr>
                <w:rFonts w:cs="Times New Roman"/>
              </w:rPr>
              <w:t>。</w:t>
            </w:r>
          </w:p>
          <w:p>
            <w:pPr>
              <w:pStyle w:val="38"/>
              <w:ind w:firstLine="476"/>
              <w:rPr>
                <w:rFonts w:cs="Times New Roman"/>
                <w:spacing w:val="-1"/>
              </w:rPr>
            </w:pPr>
            <w:r>
              <w:rPr>
                <w:rFonts w:cs="Times New Roman"/>
                <w:spacing w:val="-1"/>
              </w:rPr>
              <w:t>项目地理位置见附图1，本项目周边敏感目标分布图见附图2，厂区总平面布置图见附图3。</w:t>
            </w:r>
          </w:p>
          <w:p>
            <w:pPr>
              <w:pStyle w:val="38"/>
              <w:ind w:firstLine="0" w:firstLineChars="0"/>
              <w:jc w:val="center"/>
              <w:rPr>
                <w:rFonts w:cs="Times New Roman"/>
                <w:b/>
                <w:bCs/>
              </w:rPr>
            </w:pPr>
            <w:r>
              <w:rPr>
                <w:rFonts w:cs="Times New Roman"/>
                <w:b/>
                <w:bCs/>
              </w:rPr>
              <w:t>表2-</w:t>
            </w:r>
            <w:r>
              <w:rPr>
                <w:rFonts w:hint="eastAsia" w:cs="Times New Roman"/>
                <w:b/>
                <w:bCs/>
              </w:rPr>
              <w:t>6</w:t>
            </w:r>
            <w:r>
              <w:rPr>
                <w:rFonts w:cs="Times New Roman"/>
                <w:b/>
                <w:bCs/>
              </w:rPr>
              <w:t xml:space="preserve">  本项目主要环境保护目标一览表</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2251"/>
              <w:gridCol w:w="895"/>
              <w:gridCol w:w="1222"/>
              <w:gridCol w:w="3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shd w:val="clear" w:color="auto" w:fill="auto"/>
                  <w:vAlign w:val="center"/>
                </w:tcPr>
                <w:p>
                  <w:pPr>
                    <w:pStyle w:val="56"/>
                    <w:widowControl/>
                    <w:spacing w:line="240" w:lineRule="auto"/>
                    <w:ind w:firstLine="0" w:firstLineChars="0"/>
                    <w:jc w:val="center"/>
                    <w:rPr>
                      <w:rFonts w:ascii="Times New Roman" w:hAnsi="Times New Roman"/>
                      <w:b/>
                      <w:spacing w:val="0"/>
                      <w:kern w:val="2"/>
                      <w:sz w:val="21"/>
                      <w:szCs w:val="21"/>
                      <w:lang w:bidi="ar"/>
                    </w:rPr>
                  </w:pPr>
                  <w:r>
                    <w:rPr>
                      <w:rFonts w:hint="eastAsia" w:ascii="Times New Roman" w:hAnsi="Times New Roman"/>
                      <w:b/>
                      <w:spacing w:val="0"/>
                      <w:kern w:val="2"/>
                      <w:sz w:val="21"/>
                      <w:szCs w:val="21"/>
                      <w:lang w:bidi="ar"/>
                    </w:rPr>
                    <w:t>环境要素</w:t>
                  </w:r>
                </w:p>
              </w:tc>
              <w:tc>
                <w:tcPr>
                  <w:tcW w:w="1263" w:type="pct"/>
                  <w:shd w:val="clear" w:color="auto" w:fill="auto"/>
                  <w:vAlign w:val="center"/>
                </w:tcPr>
                <w:p>
                  <w:pPr>
                    <w:pStyle w:val="56"/>
                    <w:widowControl/>
                    <w:spacing w:line="240" w:lineRule="auto"/>
                    <w:ind w:firstLine="0" w:firstLineChars="0"/>
                    <w:jc w:val="center"/>
                    <w:rPr>
                      <w:rFonts w:ascii="Times New Roman" w:hAnsi="Times New Roman"/>
                      <w:b/>
                      <w:spacing w:val="0"/>
                      <w:kern w:val="2"/>
                      <w:sz w:val="21"/>
                      <w:szCs w:val="21"/>
                      <w:lang w:bidi="ar"/>
                    </w:rPr>
                  </w:pPr>
                  <w:r>
                    <w:rPr>
                      <w:rFonts w:hint="eastAsia" w:ascii="Times New Roman" w:hAnsi="Times New Roman"/>
                      <w:b/>
                      <w:spacing w:val="0"/>
                      <w:kern w:val="2"/>
                      <w:sz w:val="21"/>
                      <w:szCs w:val="21"/>
                      <w:lang w:bidi="ar"/>
                    </w:rPr>
                    <w:t>保护目标</w:t>
                  </w:r>
                </w:p>
              </w:tc>
              <w:tc>
                <w:tcPr>
                  <w:tcW w:w="502" w:type="pct"/>
                  <w:shd w:val="clear" w:color="auto" w:fill="auto"/>
                  <w:vAlign w:val="center"/>
                </w:tcPr>
                <w:p>
                  <w:pPr>
                    <w:pStyle w:val="56"/>
                    <w:widowControl/>
                    <w:spacing w:line="240" w:lineRule="auto"/>
                    <w:ind w:firstLine="0" w:firstLineChars="0"/>
                    <w:jc w:val="center"/>
                    <w:rPr>
                      <w:rFonts w:ascii="Times New Roman" w:hAnsi="Times New Roman"/>
                      <w:b/>
                      <w:spacing w:val="0"/>
                      <w:kern w:val="2"/>
                      <w:sz w:val="21"/>
                      <w:szCs w:val="21"/>
                      <w:lang w:bidi="ar"/>
                    </w:rPr>
                  </w:pPr>
                  <w:r>
                    <w:rPr>
                      <w:rFonts w:hint="eastAsia" w:ascii="Times New Roman" w:hAnsi="Times New Roman"/>
                      <w:b/>
                      <w:spacing w:val="0"/>
                      <w:kern w:val="2"/>
                      <w:sz w:val="21"/>
                      <w:szCs w:val="21"/>
                      <w:lang w:bidi="ar"/>
                    </w:rPr>
                    <w:t>方位</w:t>
                  </w:r>
                </w:p>
              </w:tc>
              <w:tc>
                <w:tcPr>
                  <w:tcW w:w="686" w:type="pct"/>
                  <w:shd w:val="clear" w:color="auto" w:fill="auto"/>
                  <w:vAlign w:val="center"/>
                </w:tcPr>
                <w:p>
                  <w:pPr>
                    <w:pStyle w:val="56"/>
                    <w:widowControl/>
                    <w:spacing w:line="240" w:lineRule="auto"/>
                    <w:ind w:firstLine="0" w:firstLineChars="0"/>
                    <w:jc w:val="center"/>
                    <w:rPr>
                      <w:rFonts w:ascii="Times New Roman" w:hAnsi="Times New Roman"/>
                      <w:b/>
                      <w:spacing w:val="0"/>
                      <w:kern w:val="2"/>
                      <w:sz w:val="21"/>
                      <w:szCs w:val="21"/>
                      <w:lang w:bidi="ar"/>
                    </w:rPr>
                  </w:pPr>
                  <w:r>
                    <w:rPr>
                      <w:rFonts w:hint="eastAsia" w:ascii="Times New Roman" w:hAnsi="Times New Roman"/>
                      <w:b/>
                      <w:spacing w:val="0"/>
                      <w:kern w:val="2"/>
                      <w:sz w:val="21"/>
                      <w:szCs w:val="21"/>
                      <w:lang w:bidi="ar"/>
                    </w:rPr>
                    <w:t>距离（m）</w:t>
                  </w:r>
                </w:p>
              </w:tc>
              <w:tc>
                <w:tcPr>
                  <w:tcW w:w="1847" w:type="pct"/>
                  <w:shd w:val="clear" w:color="auto" w:fill="auto"/>
                  <w:vAlign w:val="center"/>
                </w:tcPr>
                <w:p>
                  <w:pPr>
                    <w:pStyle w:val="56"/>
                    <w:widowControl/>
                    <w:spacing w:line="240" w:lineRule="auto"/>
                    <w:ind w:firstLine="0" w:firstLineChars="0"/>
                    <w:jc w:val="center"/>
                    <w:rPr>
                      <w:rFonts w:ascii="Times New Roman" w:hAnsi="Times New Roman"/>
                      <w:b/>
                      <w:spacing w:val="0"/>
                      <w:kern w:val="2"/>
                      <w:sz w:val="21"/>
                      <w:szCs w:val="21"/>
                      <w:lang w:bidi="ar"/>
                    </w:rPr>
                  </w:pPr>
                  <w:r>
                    <w:rPr>
                      <w:rFonts w:hint="eastAsia" w:ascii="Times New Roman" w:hAnsi="Times New Roman"/>
                      <w:b/>
                      <w:spacing w:val="0"/>
                      <w:kern w:val="2"/>
                      <w:sz w:val="21"/>
                      <w:szCs w:val="21"/>
                      <w:lang w:bidi="ar"/>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vMerge w:val="restart"/>
                  <w:shd w:val="clear" w:color="auto" w:fill="auto"/>
                  <w:vAlign w:val="center"/>
                </w:tcPr>
                <w:p>
                  <w:pPr>
                    <w:pStyle w:val="56"/>
                    <w:widowControl/>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环境空气</w:t>
                  </w:r>
                </w:p>
              </w:tc>
              <w:tc>
                <w:tcPr>
                  <w:tcW w:w="1263"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公寓A12</w:t>
                  </w:r>
                </w:p>
              </w:tc>
              <w:tc>
                <w:tcPr>
                  <w:tcW w:w="502"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SE</w:t>
                  </w:r>
                </w:p>
              </w:tc>
              <w:tc>
                <w:tcPr>
                  <w:tcW w:w="686"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100</w:t>
                  </w:r>
                </w:p>
              </w:tc>
              <w:tc>
                <w:tcPr>
                  <w:tcW w:w="1847" w:type="pct"/>
                  <w:vMerge w:val="restar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《环境空气质量标准》</w:t>
                  </w:r>
                </w:p>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（GB3095-2012）及其修改单中二级标准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vMerge w:val="continue"/>
                  <w:shd w:val="clear" w:color="auto" w:fill="auto"/>
                  <w:vAlign w:val="center"/>
                </w:tcPr>
                <w:p>
                  <w:pPr>
                    <w:pStyle w:val="56"/>
                    <w:widowControl/>
                    <w:ind w:firstLine="0" w:firstLineChars="0"/>
                    <w:jc w:val="center"/>
                    <w:rPr>
                      <w:rFonts w:ascii="Times New Roman" w:hAnsi="Times New Roman"/>
                      <w:bCs/>
                      <w:spacing w:val="0"/>
                      <w:kern w:val="2"/>
                      <w:sz w:val="21"/>
                      <w:szCs w:val="21"/>
                      <w:lang w:bidi="ar"/>
                    </w:rPr>
                  </w:pPr>
                </w:p>
              </w:tc>
              <w:tc>
                <w:tcPr>
                  <w:tcW w:w="1263"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山东省女子监狱</w:t>
                  </w:r>
                </w:p>
              </w:tc>
              <w:tc>
                <w:tcPr>
                  <w:tcW w:w="502"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S</w:t>
                  </w:r>
                </w:p>
              </w:tc>
              <w:tc>
                <w:tcPr>
                  <w:tcW w:w="686"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640</w:t>
                  </w:r>
                </w:p>
              </w:tc>
              <w:tc>
                <w:tcPr>
                  <w:tcW w:w="1847" w:type="pct"/>
                  <w:vMerge w:val="continue"/>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shd w:val="clear" w:color="auto" w:fill="auto"/>
                  <w:vAlign w:val="center"/>
                </w:tcPr>
                <w:p>
                  <w:pPr>
                    <w:pStyle w:val="56"/>
                    <w:widowControl/>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声环境</w:t>
                  </w:r>
                </w:p>
              </w:tc>
              <w:tc>
                <w:tcPr>
                  <w:tcW w:w="1263"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公寓A12</w:t>
                  </w:r>
                </w:p>
              </w:tc>
              <w:tc>
                <w:tcPr>
                  <w:tcW w:w="502"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SE</w:t>
                  </w:r>
                </w:p>
              </w:tc>
              <w:tc>
                <w:tcPr>
                  <w:tcW w:w="686"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100</w:t>
                  </w:r>
                </w:p>
              </w:tc>
              <w:tc>
                <w:tcPr>
                  <w:tcW w:w="1847"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《声环境质量标准》</w:t>
                  </w:r>
                </w:p>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（GB3096-2008）2 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shd w:val="clear" w:color="auto" w:fill="auto"/>
                  <w:vAlign w:val="center"/>
                </w:tcPr>
                <w:p>
                  <w:pPr>
                    <w:pStyle w:val="56"/>
                    <w:widowControl/>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地表水</w:t>
                  </w:r>
                </w:p>
              </w:tc>
              <w:tc>
                <w:tcPr>
                  <w:tcW w:w="1263"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巨野河</w:t>
                  </w:r>
                </w:p>
              </w:tc>
              <w:tc>
                <w:tcPr>
                  <w:tcW w:w="502"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W</w:t>
                  </w:r>
                </w:p>
              </w:tc>
              <w:tc>
                <w:tcPr>
                  <w:tcW w:w="686"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650</w:t>
                  </w:r>
                </w:p>
              </w:tc>
              <w:tc>
                <w:tcPr>
                  <w:tcW w:w="1847" w:type="pct"/>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《地表水环境质量标准》</w:t>
                  </w:r>
                </w:p>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(GB3838-2002)V类标准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shd w:val="clear" w:color="auto" w:fill="auto"/>
                  <w:vAlign w:val="center"/>
                </w:tcPr>
                <w:p>
                  <w:pPr>
                    <w:pStyle w:val="56"/>
                    <w:widowControl/>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地下水</w:t>
                  </w:r>
                </w:p>
              </w:tc>
              <w:tc>
                <w:tcPr>
                  <w:tcW w:w="4300" w:type="pct"/>
                  <w:gridSpan w:val="4"/>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厂界 500m 范围内无特殊地下水资源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699" w:type="pct"/>
                  <w:shd w:val="clear" w:color="auto" w:fill="auto"/>
                  <w:vAlign w:val="center"/>
                </w:tcPr>
                <w:p>
                  <w:pPr>
                    <w:pStyle w:val="56"/>
                    <w:widowControl/>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生态环境</w:t>
                  </w:r>
                </w:p>
              </w:tc>
              <w:tc>
                <w:tcPr>
                  <w:tcW w:w="4300" w:type="pct"/>
                  <w:gridSpan w:val="4"/>
                  <w:shd w:val="clear" w:color="auto" w:fill="auto"/>
                  <w:vAlign w:val="center"/>
                </w:tcPr>
                <w:p>
                  <w:pPr>
                    <w:pStyle w:val="56"/>
                    <w:widowControl/>
                    <w:spacing w:line="240" w:lineRule="auto"/>
                    <w:ind w:firstLine="0" w:firstLineChars="0"/>
                    <w:jc w:val="center"/>
                    <w:rPr>
                      <w:rFonts w:ascii="Times New Roman" w:hAnsi="Times New Roman"/>
                      <w:bCs/>
                      <w:spacing w:val="0"/>
                      <w:kern w:val="2"/>
                      <w:sz w:val="21"/>
                      <w:szCs w:val="21"/>
                      <w:lang w:bidi="ar"/>
                    </w:rPr>
                  </w:pPr>
                  <w:r>
                    <w:rPr>
                      <w:rFonts w:hint="eastAsia" w:ascii="Times New Roman" w:hAnsi="Times New Roman"/>
                      <w:bCs/>
                      <w:spacing w:val="0"/>
                      <w:kern w:val="2"/>
                      <w:sz w:val="21"/>
                      <w:szCs w:val="21"/>
                      <w:lang w:bidi="ar"/>
                    </w:rPr>
                    <w:t>项目范围内无重要生态环境保护目标</w:t>
                  </w:r>
                </w:p>
              </w:tc>
            </w:tr>
          </w:tbl>
          <w:p>
            <w:pPr>
              <w:pStyle w:val="38"/>
              <w:ind w:firstLine="482"/>
              <w:rPr>
                <w:rFonts w:cs="Times New Roman"/>
              </w:rPr>
            </w:pPr>
            <w:r>
              <w:rPr>
                <w:rFonts w:cs="Times New Roman"/>
                <w:b/>
                <w:bCs/>
              </w:rPr>
              <w:t>6、本项目实际建设情况与环评内容的变更情况</w:t>
            </w:r>
          </w:p>
          <w:p>
            <w:pPr>
              <w:pStyle w:val="38"/>
              <w:rPr>
                <w:rFonts w:cs="Times New Roman"/>
                <w:b/>
                <w:bCs/>
              </w:rPr>
            </w:pPr>
            <w:r>
              <w:rPr>
                <w:rFonts w:cs="Times New Roman"/>
                <w:szCs w:val="24"/>
              </w:rPr>
              <w:t>根据</w:t>
            </w:r>
            <w:r>
              <w:rPr>
                <w:rFonts w:cs="Times New Roman"/>
              </w:rPr>
              <w:t>《中华人民共和国环境影响评价法》、《建设项目环境保护管理条例》（国务院令第682号）和关于印发《污染影响类建设项目重大变动清单（试行）》的通知（环办环评函</w:t>
            </w:r>
            <w:r>
              <w:rPr>
                <w:rFonts w:hint="eastAsia" w:cs="Times New Roman"/>
                <w:lang w:eastAsia="zh-CN"/>
              </w:rPr>
              <w:t>〔</w:t>
            </w:r>
            <w:r>
              <w:rPr>
                <w:rFonts w:cs="Times New Roman"/>
              </w:rPr>
              <w:t>2020</w:t>
            </w:r>
            <w:r>
              <w:rPr>
                <w:rFonts w:hint="eastAsia" w:cs="Times New Roman"/>
                <w:lang w:eastAsia="zh-CN"/>
              </w:rPr>
              <w:t>〕</w:t>
            </w:r>
            <w:r>
              <w:rPr>
                <w:rFonts w:cs="Times New Roman"/>
              </w:rPr>
              <w:t>688号）</w:t>
            </w:r>
            <w:r>
              <w:rPr>
                <w:rFonts w:cs="Times New Roman"/>
                <w:szCs w:val="24"/>
              </w:rPr>
              <w:t>等有关规定，“建设项目的性质、规模、地点、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8"/>
              <w:ind w:firstLine="0" w:firstLineChars="0"/>
              <w:jc w:val="center"/>
              <w:rPr>
                <w:rFonts w:cs="Times New Roman"/>
                <w:b/>
                <w:bCs/>
              </w:rPr>
            </w:pPr>
            <w:r>
              <w:rPr>
                <w:rFonts w:cs="Times New Roman"/>
                <w:b/>
                <w:bCs/>
              </w:rPr>
              <w:t>表2-</w:t>
            </w:r>
            <w:r>
              <w:rPr>
                <w:rFonts w:hint="eastAsia" w:cs="Times New Roman"/>
                <w:b/>
                <w:bCs/>
              </w:rPr>
              <w:t>7</w:t>
            </w:r>
            <w:r>
              <w:rPr>
                <w:rFonts w:cs="Times New Roman"/>
                <w:b/>
                <w:bCs/>
              </w:rPr>
              <w:t xml:space="preserve">  本项目与环评相比变动情况一览表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070"/>
              <w:gridCol w:w="2322"/>
              <w:gridCol w:w="2235"/>
              <w:gridCol w:w="2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b/>
                      <w:bCs/>
                      <w:sz w:val="21"/>
                      <w:szCs w:val="21"/>
                    </w:rPr>
                  </w:pPr>
                  <w:r>
                    <w:rPr>
                      <w:rFonts w:cs="Times New Roman"/>
                      <w:b/>
                      <w:bCs/>
                      <w:sz w:val="21"/>
                      <w:szCs w:val="21"/>
                    </w:rPr>
                    <w:t>序号</w:t>
                  </w:r>
                </w:p>
              </w:tc>
              <w:tc>
                <w:tcPr>
                  <w:tcW w:w="1070" w:type="dxa"/>
                  <w:shd w:val="clear" w:color="auto" w:fill="auto"/>
                  <w:vAlign w:val="center"/>
                </w:tcPr>
                <w:p>
                  <w:pPr>
                    <w:pStyle w:val="38"/>
                    <w:spacing w:line="240" w:lineRule="auto"/>
                    <w:ind w:firstLine="0" w:firstLineChars="0"/>
                    <w:jc w:val="center"/>
                    <w:rPr>
                      <w:rFonts w:cs="Times New Roman"/>
                      <w:b/>
                      <w:bCs/>
                      <w:sz w:val="21"/>
                      <w:szCs w:val="21"/>
                    </w:rPr>
                  </w:pPr>
                  <w:r>
                    <w:rPr>
                      <w:rFonts w:cs="Times New Roman"/>
                      <w:b/>
                      <w:bCs/>
                      <w:sz w:val="21"/>
                      <w:szCs w:val="21"/>
                    </w:rPr>
                    <w:t>变化类别</w:t>
                  </w:r>
                </w:p>
              </w:tc>
              <w:tc>
                <w:tcPr>
                  <w:tcW w:w="2322" w:type="dxa"/>
                  <w:shd w:val="clear" w:color="auto" w:fill="auto"/>
                  <w:vAlign w:val="center"/>
                </w:tcPr>
                <w:p>
                  <w:pPr>
                    <w:pStyle w:val="38"/>
                    <w:spacing w:line="240" w:lineRule="auto"/>
                    <w:ind w:firstLine="0" w:firstLineChars="0"/>
                    <w:jc w:val="center"/>
                    <w:rPr>
                      <w:rFonts w:cs="Times New Roman"/>
                      <w:b/>
                      <w:bCs/>
                      <w:sz w:val="21"/>
                      <w:szCs w:val="21"/>
                    </w:rPr>
                  </w:pPr>
                  <w:r>
                    <w:rPr>
                      <w:rFonts w:hint="eastAsia" w:cs="Times New Roman"/>
                      <w:b/>
                      <w:bCs/>
                      <w:sz w:val="21"/>
                      <w:szCs w:val="21"/>
                    </w:rPr>
                    <w:t>本项目环评</w:t>
                  </w:r>
                </w:p>
              </w:tc>
              <w:tc>
                <w:tcPr>
                  <w:tcW w:w="2235" w:type="dxa"/>
                  <w:shd w:val="clear" w:color="auto" w:fill="auto"/>
                  <w:vAlign w:val="center"/>
                </w:tcPr>
                <w:p>
                  <w:pPr>
                    <w:pStyle w:val="38"/>
                    <w:spacing w:line="240" w:lineRule="auto"/>
                    <w:ind w:firstLine="0" w:firstLineChars="0"/>
                    <w:jc w:val="center"/>
                    <w:rPr>
                      <w:rFonts w:cs="Times New Roman"/>
                      <w:b/>
                      <w:bCs/>
                      <w:sz w:val="21"/>
                      <w:szCs w:val="21"/>
                    </w:rPr>
                  </w:pPr>
                  <w:r>
                    <w:rPr>
                      <w:rFonts w:cs="Times New Roman"/>
                      <w:b/>
                      <w:bCs/>
                      <w:sz w:val="21"/>
                      <w:szCs w:val="21"/>
                    </w:rPr>
                    <w:t>目前实际</w:t>
                  </w:r>
                </w:p>
              </w:tc>
              <w:tc>
                <w:tcPr>
                  <w:tcW w:w="2619" w:type="dxa"/>
                  <w:shd w:val="clear" w:color="auto" w:fill="auto"/>
                  <w:vAlign w:val="center"/>
                </w:tcPr>
                <w:p>
                  <w:pPr>
                    <w:pStyle w:val="38"/>
                    <w:spacing w:line="240" w:lineRule="auto"/>
                    <w:ind w:firstLine="0" w:firstLineChars="0"/>
                    <w:jc w:val="center"/>
                    <w:rPr>
                      <w:rFonts w:cs="Times New Roman"/>
                      <w:b/>
                      <w:bCs/>
                      <w:sz w:val="21"/>
                      <w:szCs w:val="21"/>
                    </w:rPr>
                  </w:pPr>
                  <w:r>
                    <w:rPr>
                      <w:rFonts w:cs="Times New Roman"/>
                      <w:b/>
                      <w:bCs/>
                      <w:sz w:val="21"/>
                      <w:szCs w:val="21"/>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1</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性质</w:t>
                  </w:r>
                </w:p>
              </w:tc>
              <w:tc>
                <w:tcPr>
                  <w:tcW w:w="2322"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新建</w:t>
                  </w:r>
                </w:p>
              </w:tc>
              <w:tc>
                <w:tcPr>
                  <w:tcW w:w="2235"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新建</w:t>
                  </w:r>
                </w:p>
              </w:tc>
              <w:tc>
                <w:tcPr>
                  <w:tcW w:w="2619"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2</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规模</w:t>
                  </w:r>
                </w:p>
              </w:tc>
              <w:tc>
                <w:tcPr>
                  <w:tcW w:w="2322" w:type="dxa"/>
                  <w:shd w:val="clear" w:color="auto" w:fill="auto"/>
                  <w:vAlign w:val="center"/>
                </w:tcPr>
                <w:p>
                  <w:pPr>
                    <w:pStyle w:val="38"/>
                    <w:spacing w:line="240" w:lineRule="auto"/>
                    <w:ind w:firstLine="0" w:firstLineChars="0"/>
                    <w:jc w:val="center"/>
                    <w:rPr>
                      <w:rFonts w:cs="Times New Roman"/>
                      <w:sz w:val="21"/>
                      <w:szCs w:val="21"/>
                      <w:lang w:bidi="ar"/>
                    </w:rPr>
                  </w:pPr>
                  <w:r>
                    <w:rPr>
                      <w:rFonts w:hint="eastAsia" w:cs="Times New Roman"/>
                      <w:sz w:val="21"/>
                      <w:szCs w:val="21"/>
                      <w:lang w:bidi="ar"/>
                    </w:rPr>
                    <w:t>分子分型实验：主要进行HPV分子分型检测实验，年检7300个样本；病理TCT实验：主要进行病理细胞检测实验，年检3万个样本；免疫实验：主要进行免疫分析检测实验，年检100个样本；（根据项目进度调整）</w:t>
                  </w:r>
                </w:p>
              </w:tc>
              <w:tc>
                <w:tcPr>
                  <w:tcW w:w="2235" w:type="dxa"/>
                  <w:shd w:val="clear" w:color="auto" w:fill="auto"/>
                  <w:vAlign w:val="center"/>
                </w:tcPr>
                <w:p>
                  <w:pPr>
                    <w:pStyle w:val="38"/>
                    <w:spacing w:line="240" w:lineRule="auto"/>
                    <w:ind w:firstLine="0" w:firstLineChars="0"/>
                    <w:jc w:val="center"/>
                    <w:rPr>
                      <w:rFonts w:cs="Times New Roman"/>
                      <w:sz w:val="21"/>
                      <w:szCs w:val="21"/>
                      <w:lang w:bidi="ar"/>
                    </w:rPr>
                  </w:pPr>
                  <w:r>
                    <w:rPr>
                      <w:rFonts w:hint="eastAsia" w:cs="Times New Roman"/>
                      <w:sz w:val="21"/>
                      <w:szCs w:val="21"/>
                      <w:lang w:bidi="ar"/>
                    </w:rPr>
                    <w:t>分子分型实验：主要进行HPV分子分型检测实验，年检7300个样本；病理TCT实验：主要进行病理细胞检测实验，年检3万个样本；免疫实验：主要进行免疫分析检测实验，年检100个样本；（根据项目进度调整）</w:t>
                  </w:r>
                </w:p>
              </w:tc>
              <w:tc>
                <w:tcPr>
                  <w:tcW w:w="2619"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3</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建设地点</w:t>
                  </w:r>
                </w:p>
              </w:tc>
              <w:tc>
                <w:tcPr>
                  <w:tcW w:w="2322" w:type="dxa"/>
                  <w:shd w:val="clear" w:color="auto" w:fill="auto"/>
                  <w:vAlign w:val="center"/>
                </w:tcPr>
                <w:p>
                  <w:pPr>
                    <w:pStyle w:val="38"/>
                    <w:spacing w:line="240" w:lineRule="auto"/>
                    <w:ind w:firstLine="0" w:firstLineChars="0"/>
                    <w:jc w:val="center"/>
                    <w:rPr>
                      <w:rFonts w:cs="Times New Roman"/>
                      <w:sz w:val="21"/>
                      <w:szCs w:val="21"/>
                      <w:lang w:bidi="ar"/>
                    </w:rPr>
                  </w:pPr>
                  <w:r>
                    <w:rPr>
                      <w:rFonts w:hint="eastAsia" w:cs="Times New Roman"/>
                      <w:sz w:val="21"/>
                      <w:szCs w:val="21"/>
                      <w:lang w:bidi="ar"/>
                    </w:rPr>
                    <w:t>山东省济南市高新区春兰路1177号银丰国际生物城A4-101-3</w:t>
                  </w:r>
                </w:p>
              </w:tc>
              <w:tc>
                <w:tcPr>
                  <w:tcW w:w="2235" w:type="dxa"/>
                  <w:shd w:val="clear" w:color="auto" w:fill="auto"/>
                  <w:vAlign w:val="center"/>
                </w:tcPr>
                <w:p>
                  <w:pPr>
                    <w:pStyle w:val="38"/>
                    <w:spacing w:line="240" w:lineRule="auto"/>
                    <w:ind w:firstLine="0" w:firstLineChars="0"/>
                    <w:jc w:val="center"/>
                    <w:rPr>
                      <w:rFonts w:cs="Times New Roman"/>
                      <w:sz w:val="21"/>
                      <w:szCs w:val="21"/>
                      <w:lang w:bidi="ar"/>
                    </w:rPr>
                  </w:pPr>
                  <w:r>
                    <w:rPr>
                      <w:rFonts w:hint="eastAsia" w:cs="Times New Roman"/>
                      <w:sz w:val="21"/>
                      <w:szCs w:val="21"/>
                      <w:lang w:bidi="ar"/>
                    </w:rPr>
                    <w:t>山东省济南市高新区春兰路1177号银丰国际生物城A4-101-3</w:t>
                  </w:r>
                </w:p>
              </w:tc>
              <w:tc>
                <w:tcPr>
                  <w:tcW w:w="2619"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4</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工艺</w:t>
                  </w:r>
                </w:p>
              </w:tc>
              <w:tc>
                <w:tcPr>
                  <w:tcW w:w="4557" w:type="dxa"/>
                  <w:gridSpan w:val="2"/>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见图2-2</w:t>
                  </w:r>
                  <w:r>
                    <w:rPr>
                      <w:rFonts w:hint="eastAsia" w:cs="Times New Roman"/>
                      <w:sz w:val="21"/>
                      <w:szCs w:val="21"/>
                    </w:rPr>
                    <w:t>、2-3、2-4</w:t>
                  </w:r>
                </w:p>
              </w:tc>
              <w:tc>
                <w:tcPr>
                  <w:tcW w:w="2619"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5</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平面布置</w:t>
                  </w:r>
                </w:p>
              </w:tc>
              <w:tc>
                <w:tcPr>
                  <w:tcW w:w="4557" w:type="dxa"/>
                  <w:gridSpan w:val="2"/>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见附图3</w:t>
                  </w:r>
                </w:p>
              </w:tc>
              <w:tc>
                <w:tcPr>
                  <w:tcW w:w="2619" w:type="dxa"/>
                  <w:shd w:val="clear" w:color="auto" w:fill="auto"/>
                  <w:vAlign w:val="center"/>
                </w:tcPr>
                <w:p>
                  <w:pPr>
                    <w:pStyle w:val="38"/>
                    <w:spacing w:line="240" w:lineRule="auto"/>
                    <w:ind w:firstLine="0" w:firstLineChars="0"/>
                    <w:jc w:val="center"/>
                    <w:rPr>
                      <w:rFonts w:cs="Times New Roman"/>
                      <w:sz w:val="21"/>
                      <w:szCs w:val="21"/>
                    </w:rPr>
                  </w:pPr>
                  <w:r>
                    <w:rPr>
                      <w:rFonts w:hint="eastAsia" w:cs="Times New Roman"/>
                      <w:sz w:val="21"/>
                      <w:szCs w:val="21"/>
                    </w:rPr>
                    <w:t>项目所在楼房楼层实际为三层，环评规划中3F和4F，实际中分别为2F和3F，项目建设地点未发生变化，楼层平面布置未变，楼房高度未变；环评规划中3F危废间用于危险废物暂存、4F危废间用于医疗废物暂存，为方便人员和物料流动的顺畅性，实际建设为2F危废间用于医疗废物暂存、3F危废间用于医疗废物和危险废物暂存，环境防护距离未发生变化且未新增敏感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6</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生产设备</w:t>
                  </w:r>
                </w:p>
              </w:tc>
              <w:tc>
                <w:tcPr>
                  <w:tcW w:w="4557" w:type="dxa"/>
                  <w:gridSpan w:val="2"/>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见表2-</w:t>
                  </w:r>
                  <w:r>
                    <w:rPr>
                      <w:rFonts w:hint="eastAsia" w:cs="Times New Roman"/>
                      <w:sz w:val="21"/>
                      <w:szCs w:val="21"/>
                    </w:rPr>
                    <w:t>3</w:t>
                  </w:r>
                </w:p>
              </w:tc>
              <w:tc>
                <w:tcPr>
                  <w:tcW w:w="2619"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7</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环境保护措施</w:t>
                  </w:r>
                </w:p>
              </w:tc>
              <w:tc>
                <w:tcPr>
                  <w:tcW w:w="2322" w:type="dxa"/>
                  <w:shd w:val="clear" w:color="auto" w:fill="auto"/>
                  <w:vAlign w:val="center"/>
                </w:tcPr>
                <w:p>
                  <w:pPr>
                    <w:spacing w:line="240" w:lineRule="auto"/>
                    <w:ind w:firstLine="420"/>
                    <w:rPr>
                      <w:sz w:val="21"/>
                      <w:szCs w:val="21"/>
                    </w:rPr>
                  </w:pPr>
                  <w:r>
                    <w:rPr>
                      <w:sz w:val="21"/>
                      <w:szCs w:val="21"/>
                    </w:rPr>
                    <w:t>废气：</w:t>
                  </w:r>
                  <w:r>
                    <w:rPr>
                      <w:rFonts w:hint="eastAsia"/>
                      <w:sz w:val="21"/>
                      <w:szCs w:val="21"/>
                    </w:rPr>
                    <w:t>实验室设置9处通风橱，实验废气于通风橱产生后经二级活性炭吸附处理后，通过1根15m高排气筒DA001有组织排放。</w:t>
                  </w:r>
                </w:p>
                <w:p>
                  <w:pPr>
                    <w:spacing w:line="240" w:lineRule="auto"/>
                    <w:ind w:firstLine="420"/>
                    <w:rPr>
                      <w:sz w:val="21"/>
                      <w:szCs w:val="21"/>
                    </w:rPr>
                  </w:pPr>
                  <w:r>
                    <w:rPr>
                      <w:sz w:val="21"/>
                      <w:szCs w:val="21"/>
                    </w:rPr>
                    <w:t>废水：</w:t>
                  </w:r>
                  <w:r>
                    <w:rPr>
                      <w:rFonts w:hint="eastAsia"/>
                      <w:sz w:val="21"/>
                      <w:szCs w:val="21"/>
                    </w:rPr>
                    <w:t>生活污水经化粪池处理后与地面清洁废水、实验人员洗手废水、实验器皿后两次清洗废水、纯水制备浓水经园区管网进入银丰国际生物城污水处理站处理，处理达标后排入巨野河污水厂深度处理，后排入巨野河。</w:t>
                  </w:r>
                </w:p>
              </w:tc>
              <w:tc>
                <w:tcPr>
                  <w:tcW w:w="2235" w:type="dxa"/>
                  <w:shd w:val="clear" w:color="auto" w:fill="auto"/>
                  <w:vAlign w:val="center"/>
                </w:tcPr>
                <w:p>
                  <w:pPr>
                    <w:spacing w:line="240" w:lineRule="auto"/>
                    <w:ind w:firstLine="420"/>
                    <w:rPr>
                      <w:sz w:val="21"/>
                      <w:szCs w:val="21"/>
                    </w:rPr>
                  </w:pPr>
                  <w:r>
                    <w:rPr>
                      <w:rFonts w:hint="eastAsia"/>
                      <w:sz w:val="21"/>
                      <w:szCs w:val="21"/>
                    </w:rPr>
                    <w:t>废气：实验室设置9处通风橱，实验废气于通风橱产生后经二级活性炭吸附处理后，通过1根24m高排气筒DA001有组织排放。</w:t>
                  </w:r>
                </w:p>
                <w:p>
                  <w:pPr>
                    <w:spacing w:line="240" w:lineRule="auto"/>
                    <w:ind w:firstLine="420"/>
                    <w:rPr>
                      <w:sz w:val="21"/>
                      <w:szCs w:val="21"/>
                    </w:rPr>
                  </w:pPr>
                  <w:r>
                    <w:rPr>
                      <w:rFonts w:hint="eastAsia"/>
                      <w:sz w:val="21"/>
                      <w:szCs w:val="21"/>
                    </w:rPr>
                    <w:t>废水：生活污水经化粪池处理后与地面清洁废水、实验人员洗手废水、实验器皿后两次清洗废水、纯水制备废水经园区管网进入银丰国际生物城污水处理站处理，处理达标后排入巨野河污水厂深度处理，后排入巨野河。</w:t>
                  </w:r>
                </w:p>
              </w:tc>
              <w:tc>
                <w:tcPr>
                  <w:tcW w:w="2619" w:type="dxa"/>
                  <w:shd w:val="clear" w:color="auto" w:fill="auto"/>
                  <w:vAlign w:val="center"/>
                </w:tcPr>
                <w:p>
                  <w:pPr>
                    <w:spacing w:line="240" w:lineRule="auto"/>
                    <w:ind w:firstLine="0" w:firstLineChars="0"/>
                    <w:jc w:val="center"/>
                    <w:rPr>
                      <w:sz w:val="21"/>
                      <w:szCs w:val="21"/>
                    </w:rPr>
                  </w:pPr>
                  <w:r>
                    <w:rPr>
                      <w:rFonts w:hint="eastAsia"/>
                      <w:sz w:val="21"/>
                      <w:szCs w:val="21"/>
                      <w:lang w:eastAsia="zh-CN"/>
                    </w:rPr>
                    <w:t>环评设计排气筒高15m</w:t>
                  </w:r>
                  <w:r>
                    <w:rPr>
                      <w:rFonts w:hint="eastAsia"/>
                      <w:sz w:val="21"/>
                      <w:szCs w:val="21"/>
                    </w:rPr>
                    <w:t>，实际建设排气高于楼顶5m（总高24m）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8</w:t>
                  </w:r>
                </w:p>
              </w:tc>
              <w:tc>
                <w:tcPr>
                  <w:tcW w:w="1070" w:type="dxa"/>
                  <w:shd w:val="clear" w:color="auto" w:fill="auto"/>
                  <w:vAlign w:val="center"/>
                </w:tcPr>
                <w:p>
                  <w:pPr>
                    <w:pStyle w:val="38"/>
                    <w:spacing w:line="240" w:lineRule="auto"/>
                    <w:ind w:firstLine="0" w:firstLineChars="0"/>
                    <w:jc w:val="center"/>
                    <w:rPr>
                      <w:rFonts w:cs="Times New Roman"/>
                      <w:sz w:val="21"/>
                      <w:szCs w:val="21"/>
                    </w:rPr>
                  </w:pPr>
                  <w:r>
                    <w:rPr>
                      <w:rFonts w:cs="Times New Roman"/>
                      <w:sz w:val="21"/>
                      <w:szCs w:val="21"/>
                    </w:rPr>
                    <w:t>固体废物</w:t>
                  </w:r>
                </w:p>
              </w:tc>
              <w:tc>
                <w:tcPr>
                  <w:tcW w:w="2322" w:type="dxa"/>
                  <w:shd w:val="clear" w:color="auto" w:fill="auto"/>
                  <w:vAlign w:val="center"/>
                </w:tcPr>
                <w:p>
                  <w:pPr>
                    <w:pStyle w:val="46"/>
                    <w:jc w:val="left"/>
                    <w:rPr>
                      <w:szCs w:val="21"/>
                    </w:rPr>
                  </w:pPr>
                  <w:r>
                    <w:rPr>
                      <w:szCs w:val="21"/>
                      <w:lang w:bidi="ar"/>
                    </w:rPr>
                    <w:t>生活垃圾委托环卫部门定期清运；纯水机废滤芯、废RO膜由设备厂家回收处理；</w:t>
                  </w:r>
                  <w:r>
                    <w:rPr>
                      <w:rFonts w:hint="eastAsia"/>
                      <w:szCs w:val="21"/>
                      <w:lang w:bidi="ar"/>
                    </w:rPr>
                    <w:t>未沾染药品检测样品废包装物</w:t>
                  </w:r>
                  <w:r>
                    <w:rPr>
                      <w:szCs w:val="21"/>
                      <w:lang w:bidi="ar"/>
                    </w:rPr>
                    <w:t xml:space="preserve">外售资源回收单位；废试剂瓶、实验废液、实验废物、废样本、废活性炭作为危废处理，暂存于危废间，后交由有危废经营许可证的单位处理。 </w:t>
                  </w:r>
                </w:p>
              </w:tc>
              <w:tc>
                <w:tcPr>
                  <w:tcW w:w="2235" w:type="dxa"/>
                  <w:shd w:val="clear" w:color="auto" w:fill="auto"/>
                  <w:vAlign w:val="center"/>
                </w:tcPr>
                <w:p>
                  <w:pPr>
                    <w:pStyle w:val="46"/>
                    <w:jc w:val="left"/>
                    <w:rPr>
                      <w:szCs w:val="21"/>
                    </w:rPr>
                  </w:pPr>
                  <w:r>
                    <w:rPr>
                      <w:rFonts w:hint="eastAsia"/>
                      <w:szCs w:val="21"/>
                    </w:rPr>
                    <w:t>生活垃圾委托环卫部门定期清运；纯水机废滤芯、废RO膜由设备厂家回收处理；未沾染药品检测样品废包装物外售资源回收单位；废试剂瓶、废活性炭作为危废处理，实验废液、实验废物、废样本作为医废处理，暂存于医疗+危废暂存间，医疗废物委托济南腾笙环保科技有限公司处理；危险危废产生待转移时，委托有资质单位处置。</w:t>
                  </w:r>
                </w:p>
              </w:tc>
              <w:tc>
                <w:tcPr>
                  <w:tcW w:w="2619" w:type="dxa"/>
                  <w:shd w:val="clear" w:color="auto" w:fill="auto"/>
                  <w:vAlign w:val="center"/>
                </w:tcPr>
                <w:p>
                  <w:pPr>
                    <w:spacing w:line="240" w:lineRule="auto"/>
                    <w:ind w:firstLine="0" w:firstLineChars="0"/>
                    <w:jc w:val="center"/>
                    <w:rPr>
                      <w:sz w:val="21"/>
                      <w:szCs w:val="21"/>
                    </w:rPr>
                  </w:pPr>
                  <w:r>
                    <w:rPr>
                      <w:sz w:val="21"/>
                      <w:szCs w:val="21"/>
                    </w:rPr>
                    <w:t>与环评一致</w:t>
                  </w:r>
                </w:p>
              </w:tc>
            </w:tr>
          </w:tbl>
          <w:p>
            <w:pPr>
              <w:pStyle w:val="38"/>
              <w:rPr>
                <w:rFonts w:ascii="Calibri" w:hAnsi="Calibri" w:cs="Calibri"/>
                <w:szCs w:val="24"/>
              </w:rPr>
            </w:pPr>
            <w:r>
              <w:rPr>
                <w:rFonts w:cs="Times New Roman"/>
                <w:szCs w:val="24"/>
              </w:rPr>
              <w:t>项目建设过程发生的变化为：</w:t>
            </w:r>
            <w:r>
              <w:rPr>
                <w:rFonts w:hint="eastAsia" w:cs="Times New Roman"/>
                <w:szCs w:val="24"/>
                <w:lang w:eastAsia="zh-CN"/>
              </w:rPr>
              <w:t>环评设计排气筒高15m</w:t>
            </w:r>
            <w:r>
              <w:rPr>
                <w:rFonts w:hint="eastAsia" w:cs="Times New Roman"/>
                <w:szCs w:val="24"/>
              </w:rPr>
              <w:t>，实际建设排气高于楼顶5m（总高24m）；项目所在楼房楼层实际为三层，环评规划中3F和4F，实际中分别为2F和3F，项目建设地点未发生变化，楼层平面布置未变，楼房高度未变；环评规划中3F危废间用于危险废物暂存、4F危废间用于医疗废物暂存，为方便人员和物料流动的顺畅性，实际建设为2F危废间用于医疗废物暂存、3F危废间用于医疗废物和危险废物暂存，环境防护距离未发生变化且未新增敏感点</w:t>
            </w:r>
            <w:r>
              <w:rPr>
                <w:rFonts w:hint="eastAsia" w:ascii="Calibri" w:hAnsi="Calibri" w:cs="Calibri"/>
                <w:szCs w:val="24"/>
              </w:rPr>
              <w:t>。</w:t>
            </w:r>
          </w:p>
          <w:p>
            <w:pPr>
              <w:pStyle w:val="38"/>
              <w:rPr>
                <w:rFonts w:cs="Times New Roman"/>
                <w:szCs w:val="24"/>
              </w:rPr>
            </w:pPr>
            <w:r>
              <w:rPr>
                <w:rFonts w:cs="Times New Roman"/>
                <w:szCs w:val="24"/>
              </w:rPr>
              <w:t>根据《中华人民共和国环境影响评价法》、《建设项目环境保护管理条例》（国务院令第682号）</w:t>
            </w:r>
            <w:r>
              <w:rPr>
                <w:rFonts w:cs="Times New Roman"/>
              </w:rPr>
              <w:t>和关于印发《污染影响类建设项目重大变动清单（试行）》的通知（环办环评函</w:t>
            </w:r>
            <w:r>
              <w:rPr>
                <w:rFonts w:hint="eastAsia" w:cs="Times New Roman"/>
                <w:lang w:eastAsia="zh-CN"/>
              </w:rPr>
              <w:t>〔</w:t>
            </w:r>
            <w:r>
              <w:rPr>
                <w:rFonts w:cs="Times New Roman"/>
              </w:rPr>
              <w:t>2020</w:t>
            </w:r>
            <w:r>
              <w:rPr>
                <w:rFonts w:hint="eastAsia" w:cs="Times New Roman"/>
                <w:lang w:eastAsia="zh-CN"/>
              </w:rPr>
              <w:t>〕</w:t>
            </w:r>
            <w:r>
              <w:rPr>
                <w:rFonts w:cs="Times New Roman"/>
              </w:rPr>
              <w:t>688号）</w:t>
            </w:r>
            <w:r>
              <w:rPr>
                <w:rFonts w:cs="Times New Roman"/>
                <w:szCs w:val="24"/>
              </w:rPr>
              <w:t>等的有关规定，</w:t>
            </w:r>
            <w:r>
              <w:rPr>
                <w:rFonts w:hint="eastAsia" w:cs="Times New Roman"/>
                <w:szCs w:val="24"/>
              </w:rPr>
              <w:t>项目性质、规模、实际建设地点、工艺</w:t>
            </w:r>
            <w:r>
              <w:rPr>
                <w:rFonts w:cs="Times New Roman"/>
                <w:szCs w:val="24"/>
              </w:rPr>
              <w:t>、防治污染的措施与环评基本一致</w:t>
            </w:r>
            <w:r>
              <w:rPr>
                <w:rFonts w:hint="eastAsia" w:cs="Times New Roman"/>
                <w:szCs w:val="24"/>
              </w:rPr>
              <w:t>，不属于重大变动，应纳入竣</w:t>
            </w:r>
            <w:r>
              <w:rPr>
                <w:rFonts w:cs="Times New Roman"/>
                <w:szCs w:val="24"/>
              </w:rPr>
              <w:t>工环境保护验收管理。</w:t>
            </w:r>
          </w:p>
          <w:p>
            <w:pPr>
              <w:numPr>
                <w:ilvl w:val="0"/>
                <w:numId w:val="6"/>
              </w:numPr>
              <w:ind w:firstLine="482"/>
              <w:rPr>
                <w:b/>
                <w:bCs/>
              </w:rPr>
            </w:pPr>
            <w:r>
              <w:rPr>
                <w:b/>
                <w:bCs/>
              </w:rPr>
              <w:t>工艺流程</w:t>
            </w:r>
          </w:p>
          <w:p>
            <w:pPr>
              <w:ind w:firstLine="482"/>
              <w:rPr>
                <w:b/>
                <w:bCs/>
              </w:rPr>
            </w:pPr>
            <w:r>
              <w:rPr>
                <w:b/>
                <w:bCs/>
              </w:rPr>
              <w:t>（一）施工期</w:t>
            </w:r>
          </w:p>
          <w:p>
            <w:pPr>
              <w:pStyle w:val="59"/>
              <w:widowControl/>
            </w:pPr>
            <w:r>
              <w:t>本项目施工期</w:t>
            </w:r>
            <w:r>
              <w:rPr>
                <w:rFonts w:hint="eastAsia"/>
              </w:rPr>
              <w:t>已结束，</w:t>
            </w:r>
            <w:r>
              <w:t>不做分析。</w:t>
            </w:r>
          </w:p>
          <w:p>
            <w:pPr>
              <w:adjustRightInd w:val="0"/>
              <w:snapToGrid w:val="0"/>
              <w:ind w:firstLine="482"/>
              <w:jc w:val="left"/>
              <w:rPr>
                <w:b/>
                <w:bCs/>
              </w:rPr>
            </w:pPr>
            <w:r>
              <w:rPr>
                <w:b/>
                <w:bCs/>
              </w:rPr>
              <w:t>（二）运营期</w:t>
            </w:r>
          </w:p>
          <w:p>
            <w:pPr>
              <w:widowControl/>
              <w:adjustRightInd w:val="0"/>
              <w:snapToGrid w:val="0"/>
              <w:ind w:firstLine="480"/>
              <w:rPr>
                <w:b/>
                <w:bCs/>
              </w:rPr>
            </w:pPr>
            <w:r>
              <w:t>项目从医疗机构收取灭活样本进行检测，为各级医疗机构进行第三方检验诊断、提供快速准确的报告。</w:t>
            </w:r>
          </w:p>
          <w:p>
            <w:pPr>
              <w:pStyle w:val="38"/>
              <w:ind w:firstLine="482"/>
              <w:rPr>
                <w:rFonts w:cs="Times New Roman"/>
                <w:b/>
                <w:szCs w:val="24"/>
              </w:rPr>
            </w:pPr>
            <w:r>
              <w:rPr>
                <w:rFonts w:cs="Times New Roman"/>
                <w:b/>
                <w:szCs w:val="24"/>
              </w:rPr>
              <w:t>1、病理TCT检测实验</w:t>
            </w:r>
          </w:p>
          <w:p>
            <w:pPr>
              <w:pStyle w:val="38"/>
              <w:ind w:firstLine="0" w:firstLineChars="0"/>
              <w:jc w:val="center"/>
              <w:rPr>
                <w:rFonts w:cs="Times New Roman"/>
                <w:bCs/>
                <w:szCs w:val="24"/>
              </w:rPr>
            </w:pPr>
            <w:r>
              <w:rPr>
                <w:rFonts w:cs="Times New Roman"/>
                <w:bCs/>
                <w:szCs w:val="24"/>
              </w:rPr>
              <w:pict>
                <v:shape id="_x0000_i1026" o:spt="75" alt="wps" type="#_x0000_t75" style="height:94.15pt;width:396.3pt;" filled="f" o:preferrelative="t" stroked="f" coordsize="21600,21600">
                  <v:path/>
                  <v:fill on="f" focussize="0,0"/>
                  <v:stroke on="f" joinstyle="miter"/>
                  <v:imagedata r:id="rId9" cropleft="2210f" croptop="12710f" o:title="wps"/>
                  <o:lock v:ext="edit" aspectratio="t"/>
                  <w10:wrap type="none"/>
                  <w10:anchorlock/>
                </v:shape>
              </w:pict>
            </w:r>
          </w:p>
          <w:p>
            <w:pPr>
              <w:adjustRightInd w:val="0"/>
              <w:snapToGrid w:val="0"/>
              <w:ind w:firstLine="0" w:firstLineChars="0"/>
              <w:jc w:val="left"/>
              <w:rPr>
                <w:b/>
                <w:bCs/>
                <w:sz w:val="21"/>
                <w:szCs w:val="21"/>
              </w:rPr>
            </w:pPr>
            <w:r>
              <w:rPr>
                <w:b/>
                <w:bCs/>
                <w:sz w:val="21"/>
                <w:szCs w:val="21"/>
              </w:rPr>
              <w:t>注：G：废气；W：废液；S：固废；N：噪声</w:t>
            </w:r>
          </w:p>
          <w:p>
            <w:pPr>
              <w:adjustRightInd w:val="0"/>
              <w:snapToGrid w:val="0"/>
              <w:ind w:firstLine="0" w:firstLineChars="0"/>
              <w:jc w:val="center"/>
            </w:pPr>
            <w:r>
              <w:rPr>
                <w:b/>
                <w:bCs/>
              </w:rPr>
              <w:t xml:space="preserve">图2-2  </w:t>
            </w:r>
            <w:r>
              <w:rPr>
                <w:b/>
              </w:rPr>
              <w:t>病理TCT实验</w:t>
            </w:r>
            <w:r>
              <w:rPr>
                <w:b/>
                <w:bCs/>
              </w:rPr>
              <w:t>流程</w:t>
            </w:r>
          </w:p>
          <w:p>
            <w:pPr>
              <w:ind w:firstLine="480"/>
            </w:pPr>
            <w:r>
              <w:t>（1）接受样本：由医疗机构临床医生采集的样本使用公司专用样品运输车运送并有专业检验人员押运至中仁医学检验所楼下，由接运人员对车辆外围喷洒消毒。样本保温箱在样本取出后，由外到内进行擦拭清洁消毒，置于库房备用。</w:t>
            </w:r>
          </w:p>
          <w:p>
            <w:pPr>
              <w:pStyle w:val="38"/>
              <w:rPr>
                <w:rFonts w:cs="Times New Roman"/>
              </w:rPr>
            </w:pPr>
            <w:r>
              <w:rPr>
                <w:rFonts w:cs="Times New Roman"/>
                <w:szCs w:val="24"/>
              </w:rPr>
              <w:t>（2）实验准备：</w:t>
            </w:r>
            <w:r>
              <w:rPr>
                <w:rFonts w:cs="Times New Roman"/>
              </w:rPr>
              <w:t>准备实验需要的实验仪器以及实验所需原料试剂、样本；放置于通风橱内，该实验在通风橱内进行。</w:t>
            </w:r>
          </w:p>
          <w:p>
            <w:pPr>
              <w:pStyle w:val="38"/>
              <w:rPr>
                <w:rFonts w:cs="Times New Roman"/>
                <w:bCs/>
                <w:szCs w:val="24"/>
              </w:rPr>
            </w:pPr>
            <w:r>
              <w:rPr>
                <w:rFonts w:cs="Times New Roman"/>
                <w:bCs/>
                <w:szCs w:val="24"/>
              </w:rPr>
              <w:t>（3）震荡加样：将样本放置振荡器震荡5min，再保存瓶中取出2ml 液体（样本）加入制片夹中。</w:t>
            </w:r>
          </w:p>
          <w:p>
            <w:pPr>
              <w:pStyle w:val="38"/>
              <w:rPr>
                <w:rFonts w:cs="Times New Roman"/>
                <w:bCs/>
                <w:szCs w:val="24"/>
              </w:rPr>
            </w:pPr>
            <w:r>
              <w:rPr>
                <w:rFonts w:cs="Times New Roman"/>
                <w:bCs/>
                <w:szCs w:val="24"/>
              </w:rPr>
              <w:t>（4）离心制片：接通液基细胞学低速离心机电源，打开开关，抬起机盖，把加样后的制片夹两两配平放入离心机的卡口中，配平原则按照离心机的对应平衡原则，使相对应的转子离心力相等。盖紧机盖，设置离心时间5分钟、速度1800转/分，点击“开始”按钮，开始制片。</w:t>
            </w:r>
          </w:p>
          <w:p>
            <w:pPr>
              <w:pStyle w:val="38"/>
              <w:rPr>
                <w:rFonts w:cs="Times New Roman"/>
                <w:bCs/>
                <w:szCs w:val="24"/>
              </w:rPr>
            </w:pPr>
            <w:r>
              <w:rPr>
                <w:rFonts w:cs="Times New Roman"/>
                <w:bCs/>
                <w:szCs w:val="24"/>
              </w:rPr>
              <w:t>（5）固定：</w:t>
            </w:r>
            <w:r>
              <w:rPr>
                <w:rFonts w:cs="Times New Roman"/>
              </w:rPr>
              <w:t>点击“停止”按钮，打开机盖将离心后的制片夹取出，捏紧海绵和玻片，把它们一起缓慢地从制片夹模具中取出，垂直向上掀去海绵，将玻片插入染色架上，放入95%酒精缸内固定5分钟</w:t>
            </w:r>
            <w:r>
              <w:rPr>
                <w:rFonts w:cs="Times New Roman"/>
                <w:bCs/>
                <w:szCs w:val="24"/>
              </w:rPr>
              <w:t>。</w:t>
            </w:r>
          </w:p>
          <w:p>
            <w:pPr>
              <w:pStyle w:val="38"/>
              <w:rPr>
                <w:rFonts w:cs="Times New Roman"/>
                <w:bCs/>
                <w:szCs w:val="24"/>
              </w:rPr>
            </w:pPr>
            <w:r>
              <w:rPr>
                <w:rFonts w:cs="Times New Roman"/>
                <w:bCs/>
                <w:szCs w:val="24"/>
              </w:rPr>
              <w:t>（6）染色：使用95%酒精、水、苏木素、1%盐酸酒精、橙黄G、EA50、无水乙醇、二甲苯，按照不同顺序停留不同时间进行染色。</w:t>
            </w:r>
          </w:p>
          <w:p>
            <w:pPr>
              <w:pStyle w:val="38"/>
              <w:rPr>
                <w:rFonts w:cs="Times New Roman"/>
              </w:rPr>
            </w:pPr>
            <w:r>
              <w:rPr>
                <w:rFonts w:cs="Times New Roman"/>
                <w:bCs/>
                <w:szCs w:val="24"/>
              </w:rPr>
              <w:t>（7）封片：中性树胶滴至涂片中央用盖玻片封固。</w:t>
            </w:r>
          </w:p>
          <w:p>
            <w:pPr>
              <w:pStyle w:val="38"/>
              <w:rPr>
                <w:rFonts w:cs="Times New Roman"/>
              </w:rPr>
            </w:pPr>
            <w:r>
              <w:rPr>
                <w:rFonts w:cs="Times New Roman"/>
              </w:rPr>
              <w:t>（8）目测观察：通过观察载玻片内样本情况，得出实验结果。</w:t>
            </w:r>
          </w:p>
          <w:p>
            <w:pPr>
              <w:pStyle w:val="38"/>
              <w:rPr>
                <w:rFonts w:cs="Times New Roman"/>
                <w:bCs/>
                <w:szCs w:val="24"/>
              </w:rPr>
            </w:pPr>
            <w:r>
              <w:rPr>
                <w:rFonts w:cs="Times New Roman"/>
                <w:bCs/>
                <w:szCs w:val="24"/>
              </w:rPr>
              <w:t>（9）出具报告：对实验结果进行分析，出具实验报告。</w:t>
            </w:r>
          </w:p>
          <w:p>
            <w:pPr>
              <w:pStyle w:val="38"/>
              <w:ind w:firstLine="482"/>
              <w:rPr>
                <w:rFonts w:cs="Times New Roman"/>
                <w:b/>
                <w:bCs/>
                <w:szCs w:val="24"/>
              </w:rPr>
            </w:pPr>
            <w:r>
              <w:rPr>
                <w:rFonts w:cs="Times New Roman"/>
                <w:b/>
                <w:szCs w:val="24"/>
              </w:rPr>
              <w:t>2、分子分型实验</w:t>
            </w:r>
          </w:p>
          <w:p>
            <w:pPr>
              <w:pStyle w:val="38"/>
              <w:ind w:firstLine="0" w:firstLineChars="0"/>
              <w:jc w:val="center"/>
              <w:rPr>
                <w:rFonts w:cs="Times New Roman"/>
                <w:b/>
                <w:bCs/>
                <w:szCs w:val="24"/>
              </w:rPr>
            </w:pPr>
            <w:r>
              <w:rPr>
                <w:rFonts w:cs="Times New Roman"/>
                <w:b/>
                <w:bCs/>
                <w:szCs w:val="24"/>
              </w:rPr>
              <w:pict>
                <v:shape id="_x0000_i1027" o:spt="75" alt="wps" type="#_x0000_t75" style="height:98.45pt;width:411.1pt;" filled="f" o:preferrelative="t" stroked="f" coordsize="21600,21600">
                  <v:path/>
                  <v:fill on="f" focussize="0,0"/>
                  <v:stroke on="f" joinstyle="miter"/>
                  <v:imagedata r:id="rId10" croptop="14726f" o:title="wps"/>
                  <o:lock v:ext="edit" aspectratio="t"/>
                  <w10:wrap type="none"/>
                  <w10:anchorlock/>
                </v:shape>
              </w:pict>
            </w:r>
          </w:p>
          <w:p>
            <w:pPr>
              <w:adjustRightInd w:val="0"/>
              <w:snapToGrid w:val="0"/>
              <w:ind w:firstLine="0" w:firstLineChars="0"/>
              <w:jc w:val="left"/>
              <w:rPr>
                <w:b/>
                <w:bCs/>
                <w:sz w:val="21"/>
                <w:szCs w:val="21"/>
              </w:rPr>
            </w:pPr>
            <w:r>
              <w:rPr>
                <w:b/>
                <w:bCs/>
                <w:sz w:val="21"/>
                <w:szCs w:val="21"/>
              </w:rPr>
              <w:t>注：W：废液；S：固废</w:t>
            </w:r>
          </w:p>
          <w:p>
            <w:pPr>
              <w:pStyle w:val="38"/>
              <w:ind w:firstLine="0" w:firstLineChars="0"/>
              <w:jc w:val="center"/>
              <w:rPr>
                <w:rFonts w:cs="Times New Roman"/>
                <w:b/>
                <w:bCs/>
                <w:szCs w:val="24"/>
              </w:rPr>
            </w:pPr>
            <w:r>
              <w:rPr>
                <w:rFonts w:cs="Times New Roman"/>
                <w:b/>
                <w:bCs/>
                <w:szCs w:val="24"/>
              </w:rPr>
              <w:t>图2-3  分子分型实验流程</w:t>
            </w:r>
          </w:p>
          <w:p>
            <w:pPr>
              <w:ind w:firstLine="480"/>
            </w:pPr>
            <w:r>
              <w:t>（1）接受样本：由医疗机构临床医生采集的样本使用公司专用样品运输车运送并有专业检验人员押运至中仁医学检验所楼下，由接运人员对车辆外围喷洒消毒。样本保温箱在样本取出后，由外到内进行擦拭清洁消毒，置于库房备用。</w:t>
            </w:r>
          </w:p>
          <w:p>
            <w:pPr>
              <w:pStyle w:val="38"/>
              <w:rPr>
                <w:rFonts w:cs="Times New Roman"/>
              </w:rPr>
            </w:pPr>
            <w:r>
              <w:rPr>
                <w:rFonts w:cs="Times New Roman"/>
                <w:szCs w:val="24"/>
              </w:rPr>
              <w:t>（2）实验准备：</w:t>
            </w:r>
            <w:r>
              <w:rPr>
                <w:rFonts w:cs="Times New Roman"/>
              </w:rPr>
              <w:t>准备实验所需原料：成品试剂、样本及实验仪器。</w:t>
            </w:r>
          </w:p>
          <w:p>
            <w:pPr>
              <w:pStyle w:val="38"/>
              <w:rPr>
                <w:rFonts w:cs="Times New Roman"/>
                <w:bCs/>
                <w:szCs w:val="24"/>
              </w:rPr>
            </w:pPr>
            <w:r>
              <w:rPr>
                <w:rFonts w:cs="Times New Roman"/>
                <w:bCs/>
                <w:szCs w:val="24"/>
              </w:rPr>
              <w:t>（3）开始实验：从试剂盒中取出HPV分子分型反应管，5,000rpm 离心5 秒后备用。</w:t>
            </w:r>
          </w:p>
          <w:p>
            <w:pPr>
              <w:pStyle w:val="38"/>
              <w:rPr>
                <w:rFonts w:cs="Times New Roman"/>
                <w:bCs/>
                <w:szCs w:val="24"/>
              </w:rPr>
            </w:pPr>
            <w:r>
              <w:rPr>
                <w:rFonts w:cs="Times New Roman"/>
                <w:bCs/>
                <w:szCs w:val="24"/>
              </w:rPr>
              <w:t>（4）提取：标本细胞保存液充分震荡摇匀，吸取1ml液体离心；加无菌生理盐水、DNA提取液；100℃水浴（100℃电加热金属浴）10min，取上清20ul作为分子反应模板。</w:t>
            </w:r>
          </w:p>
          <w:p>
            <w:pPr>
              <w:pStyle w:val="38"/>
              <w:rPr>
                <w:rFonts w:cs="Times New Roman"/>
                <w:bCs/>
                <w:szCs w:val="24"/>
              </w:rPr>
            </w:pPr>
            <w:r>
              <w:rPr>
                <w:rFonts w:cs="Times New Roman"/>
                <w:bCs/>
                <w:szCs w:val="24"/>
              </w:rPr>
              <w:t>（5）扩增：循环参数设置：50℃×3min，95℃×5min，循环一次；94℃×20s，55℃×20s，72℃×20s，循环40次，72℃×7min循环一次，反应体系为50</w:t>
            </w:r>
            <w:r>
              <w:rPr>
                <w:rFonts w:cs="Times New Roman"/>
                <w:bCs/>
                <w:szCs w:val="24"/>
              </w:rPr>
              <w:sym w:font="Symbol" w:char="006D"/>
            </w:r>
            <w:r>
              <w:rPr>
                <w:rFonts w:cs="Times New Roman"/>
                <w:bCs/>
                <w:szCs w:val="24"/>
              </w:rPr>
              <w:t>l。</w:t>
            </w:r>
          </w:p>
          <w:p>
            <w:pPr>
              <w:pStyle w:val="38"/>
              <w:rPr>
                <w:rFonts w:cs="Times New Roman"/>
                <w:bCs/>
                <w:szCs w:val="24"/>
              </w:rPr>
            </w:pPr>
            <w:r>
              <w:rPr>
                <w:rFonts w:cs="Times New Roman"/>
                <w:bCs/>
                <w:szCs w:val="24"/>
              </w:rPr>
              <w:t>（6）杂交：将分子扩增产物98℃变性8分钟，立即置于冰水混合物中2分钟以上，30分钟以下（使用前应一直放置于冰水混合物中）。膜条编号后（中性笔或铅笔），放入对应反应槽中；根据杂交仪SOP进行操作。</w:t>
            </w:r>
          </w:p>
          <w:p>
            <w:pPr>
              <w:pStyle w:val="38"/>
              <w:rPr>
                <w:rFonts w:cs="Times New Roman"/>
                <w:bCs/>
                <w:szCs w:val="24"/>
              </w:rPr>
            </w:pPr>
            <w:r>
              <w:rPr>
                <w:rFonts w:cs="Times New Roman"/>
                <w:bCs/>
                <w:szCs w:val="24"/>
              </w:rPr>
              <w:t>（7）出具报告：分析实验结果，出具实验报告。</w:t>
            </w:r>
          </w:p>
          <w:p>
            <w:pPr>
              <w:pStyle w:val="38"/>
              <w:rPr>
                <w:rFonts w:cs="Times New Roman"/>
                <w:bCs/>
                <w:szCs w:val="24"/>
              </w:rPr>
            </w:pPr>
            <w:r>
              <w:rPr>
                <w:rFonts w:cs="Times New Roman"/>
                <w:bCs/>
                <w:szCs w:val="24"/>
              </w:rPr>
              <w:t>3</w:t>
            </w:r>
            <w:r>
              <w:rPr>
                <w:rFonts w:cs="Times New Roman"/>
                <w:b/>
                <w:szCs w:val="24"/>
              </w:rPr>
              <w:t>、免疫实验</w:t>
            </w:r>
          </w:p>
          <w:p>
            <w:pPr>
              <w:adjustRightInd w:val="0"/>
              <w:snapToGrid w:val="0"/>
              <w:ind w:firstLine="0" w:firstLineChars="0"/>
              <w:jc w:val="left"/>
              <w:rPr>
                <w:bCs/>
              </w:rPr>
            </w:pPr>
            <w:r>
              <w:rPr>
                <w:bCs/>
              </w:rPr>
              <w:pict>
                <v:shape id="_x0000_i1028" o:spt="75" alt="wps" type="#_x0000_t75" style="height:83.1pt;width:411.7pt;" filled="f" o:preferrelative="t" stroked="f" coordsize="21600,21600">
                  <v:path/>
                  <v:fill on="f" focussize="0,0"/>
                  <v:stroke on="f" joinstyle="miter"/>
                  <v:imagedata r:id="rId11" croptop="16340f" cropbottom="5669f" o:title="wps"/>
                  <o:lock v:ext="edit" aspectratio="t"/>
                  <w10:wrap type="none"/>
                  <w10:anchorlock/>
                </v:shape>
              </w:pict>
            </w:r>
          </w:p>
          <w:p>
            <w:pPr>
              <w:adjustRightInd w:val="0"/>
              <w:snapToGrid w:val="0"/>
              <w:ind w:firstLine="0" w:firstLineChars="0"/>
              <w:jc w:val="left"/>
              <w:rPr>
                <w:b/>
                <w:bCs/>
                <w:sz w:val="21"/>
                <w:szCs w:val="21"/>
              </w:rPr>
            </w:pPr>
            <w:r>
              <w:rPr>
                <w:b/>
                <w:bCs/>
                <w:sz w:val="21"/>
                <w:szCs w:val="21"/>
              </w:rPr>
              <w:t>注：W：废液；S：固废</w:t>
            </w:r>
          </w:p>
          <w:p>
            <w:pPr>
              <w:pStyle w:val="38"/>
              <w:ind w:firstLine="0" w:firstLineChars="0"/>
              <w:jc w:val="center"/>
              <w:rPr>
                <w:rFonts w:cs="Times New Roman"/>
                <w:bCs/>
                <w:szCs w:val="24"/>
              </w:rPr>
            </w:pPr>
            <w:r>
              <w:rPr>
                <w:rFonts w:cs="Times New Roman"/>
                <w:b/>
                <w:bCs/>
                <w:szCs w:val="24"/>
              </w:rPr>
              <w:t>图2-4  免疫实验流程</w:t>
            </w:r>
          </w:p>
          <w:p>
            <w:pPr>
              <w:pStyle w:val="38"/>
              <w:numPr>
                <w:ilvl w:val="0"/>
                <w:numId w:val="7"/>
              </w:numPr>
              <w:rPr>
                <w:rFonts w:cs="Times New Roman"/>
                <w:bCs/>
                <w:szCs w:val="24"/>
              </w:rPr>
            </w:pPr>
            <w:r>
              <w:rPr>
                <w:rFonts w:cs="Times New Roman"/>
                <w:bCs/>
                <w:szCs w:val="24"/>
              </w:rPr>
              <w:t>实验准备：</w:t>
            </w:r>
            <w:r>
              <w:rPr>
                <w:rFonts w:cs="Times New Roman"/>
              </w:rPr>
              <w:t>准备实验所需原料：成品试剂、样本，启动实验仪器，将试剂加入实验仪器中</w:t>
            </w:r>
            <w:r>
              <w:rPr>
                <w:rFonts w:cs="Times New Roman"/>
                <w:bCs/>
                <w:szCs w:val="24"/>
              </w:rPr>
              <w:t>。</w:t>
            </w:r>
          </w:p>
          <w:p>
            <w:pPr>
              <w:pStyle w:val="38"/>
              <w:rPr>
                <w:rFonts w:cs="Times New Roman"/>
                <w:bCs/>
                <w:szCs w:val="24"/>
              </w:rPr>
            </w:pPr>
            <w:r>
              <w:rPr>
                <w:rFonts w:cs="Times New Roman"/>
                <w:bCs/>
                <w:szCs w:val="24"/>
              </w:rPr>
              <w:t>（2）仪器测定：将样本放入添加成品试剂的全自动仪器内，根据样本情况不同，使用试剂不同，测定时间不同。</w:t>
            </w:r>
          </w:p>
          <w:p>
            <w:pPr>
              <w:pStyle w:val="38"/>
              <w:rPr>
                <w:rFonts w:cs="Times New Roman"/>
                <w:b/>
                <w:bCs/>
              </w:rPr>
            </w:pPr>
            <w:r>
              <w:rPr>
                <w:rFonts w:cs="Times New Roman"/>
                <w:bCs/>
                <w:szCs w:val="24"/>
              </w:rPr>
              <w:t>（3）实验结果：实验结束，仪器自动生成实验结果，根据实验结果出具实验报告。</w:t>
            </w:r>
          </w:p>
          <w:p>
            <w:pPr>
              <w:pStyle w:val="38"/>
              <w:ind w:firstLine="0" w:firstLineChars="0"/>
            </w:pPr>
          </w:p>
        </w:tc>
      </w:tr>
    </w:tbl>
    <w:p>
      <w:pPr>
        <w:snapToGrid w:val="0"/>
        <w:spacing w:line="240" w:lineRule="auto"/>
        <w:ind w:firstLine="0" w:firstLineChars="0"/>
        <w:outlineLvl w:val="0"/>
        <w:rPr>
          <w:b/>
          <w:bCs/>
          <w:sz w:val="30"/>
          <w:szCs w:val="30"/>
        </w:rPr>
      </w:pPr>
      <w:bookmarkStart w:id="100" w:name="_Toc25077"/>
      <w:r>
        <w:rPr>
          <w:b/>
          <w:bCs/>
          <w:sz w:val="30"/>
          <w:szCs w:val="30"/>
        </w:rPr>
        <w:br w:type="page"/>
      </w:r>
      <w:bookmarkStart w:id="101" w:name="_Toc22121"/>
      <w:bookmarkStart w:id="102" w:name="_Toc25850"/>
      <w:bookmarkStart w:id="103" w:name="_Toc30786"/>
      <w:bookmarkStart w:id="104" w:name="_Toc7280"/>
      <w:bookmarkStart w:id="105" w:name="_Toc18497"/>
      <w:bookmarkStart w:id="106" w:name="_Toc16069"/>
      <w:bookmarkStart w:id="107" w:name="_Toc30645"/>
      <w:bookmarkStart w:id="108" w:name="_Toc26036"/>
      <w:bookmarkStart w:id="109" w:name="_Toc21179"/>
      <w:bookmarkStart w:id="110" w:name="_Toc17651"/>
      <w:bookmarkStart w:id="111" w:name="_Toc383"/>
      <w:bookmarkStart w:id="112" w:name="_Toc6227"/>
      <w:bookmarkStart w:id="113" w:name="_Toc30922"/>
      <w:bookmarkStart w:id="114" w:name="_Toc17270"/>
      <w:bookmarkStart w:id="115" w:name="_Toc13067"/>
      <w:bookmarkStart w:id="116" w:name="_Toc22635"/>
      <w:bookmarkStart w:id="117" w:name="_Toc23853"/>
      <w:bookmarkStart w:id="118" w:name="_Toc31089"/>
      <w:bookmarkStart w:id="119" w:name="_Toc9551"/>
      <w:bookmarkStart w:id="120" w:name="_Toc3546"/>
      <w:bookmarkStart w:id="121" w:name="_Toc10002"/>
      <w:bookmarkStart w:id="122" w:name="_Toc25722"/>
      <w:bookmarkStart w:id="123" w:name="_Toc26196"/>
      <w:bookmarkStart w:id="124" w:name="_Toc23355"/>
      <w:bookmarkStart w:id="125" w:name="_Toc6464"/>
      <w:bookmarkStart w:id="126" w:name="_Toc16068"/>
      <w:bookmarkStart w:id="127" w:name="_Toc19405"/>
      <w:bookmarkStart w:id="128" w:name="_Toc30675"/>
      <w:bookmarkStart w:id="129" w:name="_Toc6955"/>
      <w:bookmarkStart w:id="130" w:name="_Toc20706"/>
      <w:bookmarkStart w:id="131" w:name="_Toc8534"/>
      <w:bookmarkStart w:id="132" w:name="_Toc27411"/>
      <w:bookmarkStart w:id="133" w:name="_Toc25376"/>
      <w:bookmarkStart w:id="134" w:name="_Toc30695"/>
      <w:bookmarkStart w:id="135" w:name="_Toc13463"/>
      <w:bookmarkStart w:id="136" w:name="_Toc23661"/>
      <w:bookmarkStart w:id="137" w:name="_Toc31085"/>
      <w:bookmarkStart w:id="138" w:name="_Toc21421"/>
      <w:bookmarkStart w:id="139" w:name="_Toc19092"/>
      <w:bookmarkStart w:id="140" w:name="_Toc21063"/>
      <w:bookmarkStart w:id="141" w:name="_Toc2599"/>
      <w:bookmarkStart w:id="142" w:name="_Toc23704"/>
      <w:bookmarkStart w:id="143" w:name="_Toc6506"/>
      <w:bookmarkStart w:id="144" w:name="_Toc23748"/>
      <w:bookmarkStart w:id="145" w:name="_Toc31388"/>
      <w:bookmarkStart w:id="146" w:name="_Toc9972"/>
      <w:bookmarkStart w:id="147" w:name="_Toc32320"/>
      <w:r>
        <w:rPr>
          <w:b/>
          <w:bCs/>
          <w:sz w:val="30"/>
          <w:szCs w:val="30"/>
        </w:rPr>
        <w:t>表3  主要污染源、污染物处理和排放情况</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Style w:val="28"/>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8"/>
              <w:ind w:firstLine="482"/>
              <w:rPr>
                <w:rFonts w:cs="Times New Roman"/>
                <w:b/>
                <w:bCs/>
                <w:szCs w:val="24"/>
              </w:rPr>
            </w:pPr>
            <w:r>
              <w:rPr>
                <w:rFonts w:cs="Times New Roman"/>
                <w:b/>
                <w:bCs/>
                <w:szCs w:val="24"/>
              </w:rPr>
              <w:t>一、主要污染源的产生</w:t>
            </w:r>
          </w:p>
          <w:p>
            <w:pPr>
              <w:pStyle w:val="38"/>
              <w:ind w:firstLine="482"/>
              <w:rPr>
                <w:rFonts w:cs="Times New Roman"/>
                <w:b/>
                <w:bCs/>
                <w:szCs w:val="24"/>
              </w:rPr>
            </w:pPr>
            <w:r>
              <w:rPr>
                <w:rFonts w:cs="Times New Roman"/>
                <w:b/>
                <w:bCs/>
                <w:szCs w:val="24"/>
              </w:rPr>
              <w:t>1、废气</w:t>
            </w:r>
          </w:p>
          <w:p>
            <w:pPr>
              <w:pStyle w:val="38"/>
              <w:snapToGrid w:val="0"/>
              <w:rPr>
                <w:rFonts w:cs="Times New Roman"/>
                <w:szCs w:val="24"/>
              </w:rPr>
            </w:pPr>
            <w:r>
              <w:rPr>
                <w:rFonts w:hint="eastAsia" w:cs="Times New Roman"/>
                <w:szCs w:val="24"/>
              </w:rPr>
              <w:t>项目废气主要是灭活样本检测实验过程中挥发的废气，主要为VOCs、二甲苯、氯化氢等。</w:t>
            </w:r>
          </w:p>
          <w:p>
            <w:pPr>
              <w:ind w:firstLine="482"/>
              <w:rPr>
                <w:b/>
                <w:bCs/>
              </w:rPr>
            </w:pPr>
            <w:r>
              <w:rPr>
                <w:b/>
                <w:bCs/>
              </w:rPr>
              <w:t>2、废水</w:t>
            </w:r>
          </w:p>
          <w:p>
            <w:pPr>
              <w:pStyle w:val="38"/>
              <w:rPr>
                <w:rFonts w:cs="Times New Roman"/>
                <w:kern w:val="0"/>
                <w:szCs w:val="24"/>
                <w:lang w:bidi="ar"/>
              </w:rPr>
            </w:pPr>
            <w:r>
              <w:rPr>
                <w:rFonts w:hint="eastAsia" w:cs="Times New Roman"/>
                <w:kern w:val="0"/>
                <w:szCs w:val="24"/>
                <w:lang w:bidi="ar"/>
              </w:rPr>
              <w:t>项目产生的废水主要是生活污水、地面清洁废水、实验废</w:t>
            </w:r>
            <w:r>
              <w:rPr>
                <w:rFonts w:hint="eastAsia" w:cs="Times New Roman"/>
                <w:kern w:val="0"/>
                <w:szCs w:val="24"/>
                <w:lang w:eastAsia="zh-CN" w:bidi="ar"/>
              </w:rPr>
              <w:t>液</w:t>
            </w:r>
            <w:r>
              <w:rPr>
                <w:rFonts w:hint="eastAsia" w:cs="Times New Roman"/>
                <w:kern w:val="0"/>
                <w:szCs w:val="24"/>
                <w:lang w:bidi="ar"/>
              </w:rPr>
              <w:t>（实验人员洗手废水、实验室器皿前两次清洗废水、纯水制备废水、分子分型废水、病理TCT废水、实验室器皿后两次清洗废水）。</w:t>
            </w:r>
          </w:p>
          <w:p>
            <w:pPr>
              <w:pStyle w:val="38"/>
              <w:ind w:firstLine="482"/>
              <w:rPr>
                <w:rFonts w:cs="Times New Roman"/>
                <w:b/>
                <w:bCs/>
                <w:szCs w:val="24"/>
              </w:rPr>
            </w:pPr>
            <w:r>
              <w:rPr>
                <w:rFonts w:cs="Times New Roman"/>
                <w:b/>
                <w:bCs/>
                <w:szCs w:val="24"/>
              </w:rPr>
              <w:t>3、噪声</w:t>
            </w:r>
          </w:p>
          <w:p>
            <w:pPr>
              <w:pStyle w:val="38"/>
              <w:rPr>
                <w:rFonts w:cs="Times New Roman"/>
                <w:szCs w:val="24"/>
              </w:rPr>
            </w:pPr>
            <w:r>
              <w:rPr>
                <w:rFonts w:hint="eastAsia" w:cs="Times New Roman"/>
                <w:szCs w:val="24"/>
              </w:rPr>
              <w:t>项目产生的噪声主要是实验室设备等的运行噪声。</w:t>
            </w:r>
          </w:p>
          <w:p>
            <w:pPr>
              <w:pStyle w:val="38"/>
              <w:ind w:firstLine="482"/>
              <w:rPr>
                <w:rFonts w:cs="Times New Roman"/>
                <w:b/>
                <w:bCs/>
                <w:szCs w:val="24"/>
              </w:rPr>
            </w:pPr>
            <w:r>
              <w:rPr>
                <w:rFonts w:cs="Times New Roman"/>
                <w:b/>
                <w:bCs/>
                <w:szCs w:val="24"/>
              </w:rPr>
              <w:t>4、固体废物</w:t>
            </w:r>
          </w:p>
          <w:p>
            <w:pPr>
              <w:pStyle w:val="38"/>
              <w:widowControl/>
              <w:adjustRightInd/>
              <w:rPr>
                <w:rFonts w:cs="Times New Roman"/>
                <w:szCs w:val="24"/>
              </w:rPr>
            </w:pPr>
            <w:r>
              <w:rPr>
                <w:rFonts w:hint="eastAsia" w:cs="Times New Roman"/>
                <w:szCs w:val="24"/>
              </w:rPr>
              <w:t>项目产生的固体废物主要是纯水机废滤芯、废RO膜、未沾染药品检测样品废包装物、废试剂瓶、实验废液、实验废物、废样本、废活性炭和生活垃圾。</w:t>
            </w:r>
          </w:p>
          <w:p>
            <w:pPr>
              <w:pStyle w:val="38"/>
              <w:ind w:firstLine="482"/>
              <w:rPr>
                <w:rFonts w:cs="Times New Roman"/>
                <w:b/>
                <w:bCs/>
                <w:szCs w:val="24"/>
              </w:rPr>
            </w:pPr>
            <w:r>
              <w:rPr>
                <w:rFonts w:cs="Times New Roman"/>
                <w:b/>
                <w:bCs/>
                <w:szCs w:val="24"/>
              </w:rPr>
              <w:t>二、主要污染源处理和排放情况（附示意图、标出废气、废水监测点位）：</w:t>
            </w:r>
          </w:p>
          <w:p>
            <w:pPr>
              <w:pStyle w:val="38"/>
              <w:ind w:firstLine="482"/>
              <w:rPr>
                <w:rFonts w:cs="Times New Roman"/>
                <w:b/>
                <w:bCs/>
                <w:szCs w:val="24"/>
              </w:rPr>
            </w:pPr>
            <w:r>
              <w:rPr>
                <w:rFonts w:cs="Times New Roman"/>
                <w:b/>
                <w:bCs/>
                <w:szCs w:val="24"/>
              </w:rPr>
              <w:t>1、废气</w:t>
            </w:r>
          </w:p>
          <w:p>
            <w:pPr>
              <w:pStyle w:val="38"/>
              <w:rPr>
                <w:rFonts w:cs="Times New Roman"/>
                <w:szCs w:val="24"/>
              </w:rPr>
            </w:pPr>
            <w:r>
              <w:rPr>
                <w:rFonts w:hint="eastAsia" w:cs="Times New Roman"/>
                <w:szCs w:val="24"/>
              </w:rPr>
              <w:t>项目废气主要是灭活样本检测实验过程中挥发的废气，主要为VOCs、二甲苯、氯化氢等。</w:t>
            </w:r>
          </w:p>
          <w:p>
            <w:pPr>
              <w:pStyle w:val="38"/>
              <w:rPr>
                <w:rFonts w:cs="Times New Roman"/>
                <w:szCs w:val="24"/>
              </w:rPr>
            </w:pPr>
            <w:r>
              <w:rPr>
                <w:rFonts w:hint="eastAsia" w:cs="Times New Roman"/>
                <w:szCs w:val="24"/>
              </w:rPr>
              <w:t>①有组织废气：</w:t>
            </w:r>
          </w:p>
          <w:p>
            <w:pPr>
              <w:pStyle w:val="38"/>
              <w:rPr>
                <w:rFonts w:cs="Times New Roman"/>
                <w:szCs w:val="24"/>
              </w:rPr>
            </w:pPr>
            <w:r>
              <w:rPr>
                <w:rFonts w:hint="eastAsia" w:cs="Times New Roman"/>
                <w:szCs w:val="24"/>
              </w:rPr>
              <w:t>项目试剂的取用以及检测时产生的废气操作均在通风橱内进行，废气经集气罩收集后，通过二级活性炭吸附装置处理后，由一根24m高排气筒DA001排放。</w:t>
            </w:r>
          </w:p>
          <w:p>
            <w:pPr>
              <w:pStyle w:val="38"/>
              <w:rPr>
                <w:rFonts w:cs="Times New Roman"/>
                <w:szCs w:val="24"/>
              </w:rPr>
            </w:pPr>
            <w:r>
              <w:rPr>
                <w:rFonts w:hint="eastAsia" w:cs="Times New Roman"/>
                <w:szCs w:val="24"/>
              </w:rPr>
              <w:t>②无组织废气：</w:t>
            </w:r>
          </w:p>
          <w:p>
            <w:pPr>
              <w:pStyle w:val="38"/>
              <w:rPr>
                <w:rFonts w:cs="Times New Roman"/>
                <w:szCs w:val="24"/>
              </w:rPr>
            </w:pPr>
            <w:r>
              <w:rPr>
                <w:rFonts w:hint="eastAsia" w:cs="Times New Roman"/>
                <w:szCs w:val="24"/>
              </w:rPr>
              <w:t>未被收集的实验废气等，车间通风后无组织排放。</w:t>
            </w:r>
          </w:p>
          <w:p>
            <w:pPr>
              <w:pStyle w:val="38"/>
              <w:rPr>
                <w:rFonts w:cs="Times New Roman"/>
                <w:szCs w:val="24"/>
              </w:rPr>
            </w:pPr>
            <w:r>
              <w:rPr>
                <w:rFonts w:cs="Times New Roman"/>
                <w:szCs w:val="24"/>
              </w:rPr>
              <w:t>项目设置1根排气筒，此次验收共对1根排气筒的废气排放情况进行了监测。</w:t>
            </w:r>
          </w:p>
          <w:p>
            <w:pPr>
              <w:pStyle w:val="38"/>
              <w:ind w:firstLine="0" w:firstLineChars="0"/>
              <w:jc w:val="center"/>
              <w:rPr>
                <w:rFonts w:cs="Times New Roman"/>
              </w:rPr>
            </w:pPr>
            <w:r>
              <w:rPr>
                <w:rFonts w:cs="Times New Roman"/>
              </w:rPr>
              <w:pict>
                <v:shape id="_x0000_s2135" o:spid="_x0000_s2135" o:spt="100" style="position:absolute;left:0pt;margin-left:269.8pt;margin-top:45.4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pict>
                <v:shape id="ECB019B1-382A-4266-B25C-5B523AA43C14-1" o:spid="ECB019B1-382A-4266-B25C-5B523AA43C14-1" o:spt="75" alt="wps" type="#_x0000_t75" style="height:86.75pt;width:291.1pt;" filled="f" o:preferrelative="t" stroked="f" coordsize="21600,21600">
                  <v:path/>
                  <v:fill on="f" focussize="0,0"/>
                  <v:stroke on="f" joinstyle="miter"/>
                  <v:imagedata r:id="rId12" o:title="wps"/>
                  <o:lock v:ext="edit" aspectratio="t"/>
                  <w10:wrap type="none"/>
                  <w10:anchorlock/>
                </v:shape>
              </w:pict>
            </w:r>
          </w:p>
          <w:p>
            <w:pPr>
              <w:pStyle w:val="38"/>
              <w:ind w:firstLine="0" w:firstLineChars="0"/>
              <w:jc w:val="center"/>
              <w:rPr>
                <w:rFonts w:cs="Times New Roman"/>
                <w:szCs w:val="24"/>
              </w:rPr>
            </w:pPr>
            <w:r>
              <w:rPr>
                <w:rFonts w:cs="Times New Roman"/>
              </w:rPr>
              <w:pict>
                <v:shape id="自选图形 317" o:spid="_x0000_s2098" o:spt="100" style="position:absolute;left:0pt;margin-left:282.55pt;margin-top:7.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szCs w:val="24"/>
              </w:rPr>
              <w:t>图3-1 废气处理和排放示意图      监测点位</w:t>
            </w:r>
          </w:p>
          <w:p>
            <w:pPr>
              <w:pStyle w:val="38"/>
              <w:ind w:firstLine="482"/>
              <w:rPr>
                <w:rFonts w:cs="Times New Roman"/>
                <w:b/>
                <w:bCs/>
                <w:szCs w:val="24"/>
              </w:rPr>
            </w:pPr>
            <w:r>
              <w:rPr>
                <w:rFonts w:cs="Times New Roman"/>
                <w:b/>
                <w:bCs/>
                <w:szCs w:val="24"/>
              </w:rPr>
              <w:t>2、废水</w:t>
            </w:r>
          </w:p>
          <w:p>
            <w:pPr>
              <w:pStyle w:val="38"/>
              <w:rPr>
                <w:rFonts w:hint="eastAsia" w:cs="Times New Roman"/>
                <w:kern w:val="0"/>
                <w:szCs w:val="24"/>
                <w:lang w:bidi="ar"/>
              </w:rPr>
            </w:pPr>
            <w:r>
              <w:rPr>
                <w:rFonts w:hint="eastAsia" w:cs="Times New Roman"/>
                <w:kern w:val="0"/>
                <w:szCs w:val="24"/>
                <w:lang w:bidi="ar"/>
              </w:rPr>
              <w:t>项目产生的废水主要是生活污水、地面清洁废水、实验废液（实验人员洗手废水、实验室器皿前两次清洗废水、纯水制备废水、分子分型废水、病理TCT废水、实验室器皿后两次清洗废水）。</w:t>
            </w:r>
          </w:p>
          <w:p>
            <w:pPr>
              <w:pStyle w:val="38"/>
              <w:rPr>
                <w:rFonts w:cs="Times New Roman"/>
                <w:kern w:val="0"/>
                <w:szCs w:val="24"/>
                <w:lang w:bidi="ar"/>
              </w:rPr>
            </w:pPr>
            <w:r>
              <w:rPr>
                <w:rFonts w:hint="eastAsia" w:cs="Times New Roman"/>
                <w:kern w:val="0"/>
                <w:szCs w:val="24"/>
                <w:lang w:bidi="ar"/>
              </w:rPr>
              <w:t>项目分子分型废水、病理TCT废水、实验器皿前两次清洗废水，统称为实验废液，作为医废，暂存于医疗+危废暂存间，医疗废物委托济南腾笙环保科技有限公司处理，不外排。项目生活污水排入化粪池预处理后与地面清洁废水、实验人员洗手废水、实验器皿后两次清洗废水和纯水制备废水，经园区污水管网进入银丰国际生物城污水处理站处理后，通过市政管污水管网排入巨野河污水处理厂，经巨野河污水处理厂深度处理，最终经西巨野河排入小清河。</w:t>
            </w:r>
          </w:p>
          <w:p>
            <w:pPr>
              <w:pStyle w:val="38"/>
              <w:adjustRightInd/>
              <w:ind w:firstLine="0" w:firstLineChars="0"/>
              <w:jc w:val="center"/>
              <w:rPr>
                <w:rFonts w:cs="Times New Roman"/>
                <w:b/>
                <w:bCs/>
                <w:szCs w:val="24"/>
              </w:rPr>
            </w:pPr>
            <w:r>
              <w:pict>
                <v:shape id="_x0000_s2136" o:spid="_x0000_s2136" o:spt="12" type="#_x0000_t12" style="position:absolute;left:0pt;margin-left:366.45pt;margin-top:89.45pt;height:10.5pt;width:11.25pt;z-index:251659264;mso-width-relative:page;mso-height-relative:page;" fillcolor="#000000" filled="t" coordsize="21600,21600">
                  <v:path/>
                  <v:fill on="t" focussize="0,0"/>
                  <v:stroke joinstyle="miter"/>
                  <v:imagedata o:title=""/>
                  <o:lock v:ext="edit"/>
                </v:shape>
              </w:pict>
            </w:r>
            <w:r>
              <w:pict>
                <v:shape id="_x0000_s2134" o:spid="_x0000_s2134" o:spt="12" type="#_x0000_t12" style="position:absolute;left:0pt;margin-left:397.2pt;margin-top:108.2pt;height:10.5pt;width:11.25pt;z-index:251659264;mso-width-relative:page;mso-height-relative:page;" fillcolor="#000000" filled="t" coordsize="21600,21600">
                  <v:path/>
                  <v:fill on="t" focussize="0,0"/>
                  <v:stroke joinstyle="miter"/>
                  <v:imagedata o:title=""/>
                  <o:lock v:ext="edit"/>
                </v:shape>
              </w:pict>
            </w:r>
            <w:r>
              <w:pict>
                <v:shape id="_x0000_i1030" o:spt="75" alt="图片2" type="#_x0000_t75" style="height:429.45pt;width:421.95pt;" filled="f" o:preferrelative="t" stroked="f" coordsize="21600,21600">
                  <v:path/>
                  <v:fill on="f" focussize="0,0"/>
                  <v:stroke on="f"/>
                  <v:imagedata r:id="rId13" o:title="图片2"/>
                  <o:lock v:ext="edit" aspectratio="t"/>
                  <w10:wrap type="none"/>
                  <w10:anchorlock/>
                </v:shape>
              </w:pict>
            </w:r>
          </w:p>
          <w:p>
            <w:pPr>
              <w:pStyle w:val="38"/>
              <w:adjustRightInd/>
              <w:jc w:val="center"/>
              <w:rPr>
                <w:rFonts w:cs="Times New Roman"/>
                <w:b/>
                <w:bCs/>
                <w:szCs w:val="24"/>
              </w:rPr>
            </w:pPr>
            <w:r>
              <w:pict>
                <v:shape id="_x0000_s2114" o:spid="_x0000_s2114" o:spt="12" type="#_x0000_t12" style="position:absolute;left:0pt;margin-left:298.95pt;margin-top:5.6pt;height:10.5pt;width:11.25pt;z-index:251659264;mso-width-relative:page;mso-height-relative:page;" fillcolor="#000000" filled="t" coordsize="21600,21600">
                  <v:path/>
                  <v:fill on="t" focussize="0,0"/>
                  <v:stroke joinstyle="miter"/>
                  <v:imagedata o:title=""/>
                  <o:lock v:ext="edit"/>
                </v:shape>
              </w:pict>
            </w:r>
            <w:r>
              <w:rPr>
                <w:rFonts w:cs="Times New Roman"/>
                <w:b/>
                <w:bCs/>
                <w:szCs w:val="24"/>
              </w:rPr>
              <w:t>图3-</w:t>
            </w:r>
            <w:r>
              <w:rPr>
                <w:rFonts w:hint="eastAsia" w:cs="Times New Roman"/>
                <w:b/>
                <w:bCs/>
                <w:szCs w:val="24"/>
              </w:rPr>
              <w:t xml:space="preserve">2 </w:t>
            </w:r>
            <w:r>
              <w:rPr>
                <w:rFonts w:cs="Times New Roman"/>
                <w:b/>
                <w:bCs/>
                <w:szCs w:val="24"/>
              </w:rPr>
              <w:t xml:space="preserve"> 废</w:t>
            </w:r>
            <w:r>
              <w:rPr>
                <w:rFonts w:hint="eastAsia" w:cs="Times New Roman"/>
                <w:b/>
                <w:bCs/>
                <w:szCs w:val="24"/>
              </w:rPr>
              <w:t>水</w:t>
            </w:r>
            <w:r>
              <w:rPr>
                <w:rFonts w:cs="Times New Roman"/>
                <w:b/>
                <w:bCs/>
                <w:szCs w:val="24"/>
              </w:rPr>
              <w:t>处理和排放示意图      监测点位</w:t>
            </w:r>
          </w:p>
          <w:p>
            <w:pPr>
              <w:pStyle w:val="38"/>
              <w:ind w:firstLine="482"/>
              <w:rPr>
                <w:rFonts w:cs="Times New Roman"/>
                <w:b/>
                <w:bCs/>
                <w:szCs w:val="24"/>
              </w:rPr>
            </w:pPr>
            <w:r>
              <w:rPr>
                <w:rFonts w:cs="Times New Roman"/>
                <w:b/>
                <w:bCs/>
                <w:szCs w:val="24"/>
              </w:rPr>
              <w:t>3、噪声</w:t>
            </w:r>
          </w:p>
          <w:p>
            <w:pPr>
              <w:pStyle w:val="38"/>
              <w:jc w:val="both"/>
              <w:rPr>
                <w:rFonts w:cs="Times New Roman"/>
              </w:rPr>
            </w:pPr>
            <w:r>
              <w:rPr>
                <w:rFonts w:hint="eastAsia" w:cs="Times New Roman"/>
                <w:szCs w:val="24"/>
              </w:rPr>
              <w:t>项目产生的噪声主要是实验室设备等的运行噪声，</w:t>
            </w:r>
            <w:r>
              <w:rPr>
                <w:rFonts w:cs="Times New Roman"/>
              </w:rPr>
              <w:t>项目</w:t>
            </w:r>
            <w:r>
              <w:rPr>
                <w:rFonts w:hint="eastAsia" w:cs="Times New Roman"/>
                <w:szCs w:val="24"/>
              </w:rPr>
              <w:t>采取</w:t>
            </w:r>
            <w:r>
              <w:rPr>
                <w:rFonts w:cs="Times New Roman"/>
              </w:rPr>
              <w:t>设备均布置于室内，采取门窗、墙体隔声，全部设备均选用低噪声设备并采取减振措施。加强管理，经常保养和维护机械设备避免设备在不良状态下运行</w:t>
            </w:r>
            <w:r>
              <w:rPr>
                <w:rFonts w:hint="eastAsia" w:cs="Times New Roman"/>
              </w:rPr>
              <w:t>等措施</w:t>
            </w:r>
            <w:r>
              <w:rPr>
                <w:rFonts w:cs="Times New Roman"/>
              </w:rPr>
              <w:t>。</w:t>
            </w:r>
          </w:p>
          <w:p>
            <w:pPr>
              <w:pStyle w:val="38"/>
              <w:jc w:val="center"/>
              <w:rPr>
                <w:rFonts w:cs="Times New Roman"/>
              </w:rPr>
            </w:pPr>
            <w:r>
              <w:rPr>
                <w:rFonts w:cs="Times New Roman"/>
              </w:rPr>
              <w:pict>
                <v:shape id="自选图形 327" o:spid="_x0000_s2099" o:spt="5" type="#_x0000_t5" style="position:absolute;left:0pt;margin-left:370pt;margin-top:27.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rPr>
              <w:pict>
                <v:shape id="_x0000_i1031" o:spt="75" type="#_x0000_t75" style="height:60.9pt;width:277.55pt;" filled="f" o:preferrelative="t" stroked="f" coordsize="21600,21600">
                  <v:path/>
                  <v:fill on="f" focussize="0,0"/>
                  <v:stroke on="f" joinstyle="miter"/>
                  <v:imagedata r:id="rId14" o:title=""/>
                  <o:lock v:ext="edit" aspectratio="t"/>
                  <w10:wrap type="none"/>
                  <w10:anchorlock/>
                </v:shape>
              </w:pict>
            </w:r>
          </w:p>
          <w:p>
            <w:pPr>
              <w:pStyle w:val="38"/>
              <w:ind w:firstLine="0" w:firstLineChars="0"/>
              <w:jc w:val="center"/>
              <w:rPr>
                <w:rFonts w:cs="Times New Roman"/>
                <w:b/>
                <w:bCs/>
                <w:szCs w:val="24"/>
              </w:rPr>
            </w:pPr>
            <w:r>
              <w:rPr>
                <w:rFonts w:cs="Times New Roman"/>
              </w:rPr>
              <w:pict>
                <v:shape id="自选图形 95" o:spid="_x0000_s2100"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szCs w:val="24"/>
              </w:rPr>
              <w:t>图3-</w:t>
            </w:r>
            <w:r>
              <w:rPr>
                <w:rFonts w:hint="eastAsia" w:cs="Times New Roman"/>
                <w:b/>
                <w:bCs/>
                <w:szCs w:val="24"/>
              </w:rPr>
              <w:t>3</w:t>
            </w:r>
            <w:r>
              <w:rPr>
                <w:rFonts w:cs="Times New Roman"/>
                <w:b/>
                <w:bCs/>
                <w:szCs w:val="24"/>
              </w:rPr>
              <w:t xml:space="preserve">  本项目噪声处理和排放示意图       监测点位</w:t>
            </w:r>
          </w:p>
          <w:p>
            <w:pPr>
              <w:pStyle w:val="38"/>
              <w:ind w:firstLine="482"/>
              <w:rPr>
                <w:rFonts w:cs="Times New Roman"/>
                <w:b/>
                <w:bCs/>
                <w:szCs w:val="24"/>
              </w:rPr>
            </w:pPr>
            <w:r>
              <w:rPr>
                <w:rFonts w:cs="Times New Roman"/>
                <w:b/>
                <w:bCs/>
                <w:szCs w:val="24"/>
              </w:rPr>
              <w:t>4、固体废物</w:t>
            </w:r>
          </w:p>
          <w:p>
            <w:pPr>
              <w:pStyle w:val="38"/>
              <w:widowControl/>
              <w:adjustRightInd/>
              <w:rPr>
                <w:rFonts w:cs="Times New Roman"/>
                <w:szCs w:val="24"/>
              </w:rPr>
            </w:pPr>
            <w:r>
              <w:rPr>
                <w:rFonts w:hint="eastAsia" w:cs="Times New Roman"/>
                <w:szCs w:val="24"/>
              </w:rPr>
              <w:t>项目产生的固体废物主要是纯水机废滤芯、废RO膜、未沾染药品检测样品废包装物、废试剂瓶、实验废液、实验废物、废样本、废活性炭和生活垃圾。</w:t>
            </w:r>
          </w:p>
          <w:p>
            <w:pPr>
              <w:pStyle w:val="38"/>
              <w:widowControl/>
              <w:adjustRightInd/>
              <w:rPr>
                <w:rFonts w:hint="eastAsia" w:cs="Times New Roman"/>
                <w:szCs w:val="24"/>
              </w:rPr>
            </w:pPr>
            <w:r>
              <w:rPr>
                <w:rFonts w:hint="eastAsia" w:cs="Times New Roman"/>
                <w:szCs w:val="24"/>
              </w:rPr>
              <w:t>生活垃圾委托环卫部门定期清运；纯水机废滤芯、废RO膜由设备厂家回收处理；未沾染药品检测样品废包装物外售资源回收单位；废试剂瓶、废活性炭作为危废处理，实验废液、实验废物、废样本作为医废处理，暂存于医疗+危废暂存间，医疗废物委托济南腾笙环保科技有限公司处理；危险危废产生待转移时，委托有资质单位处置。</w:t>
            </w:r>
          </w:p>
          <w:p>
            <w:pPr>
              <w:pStyle w:val="38"/>
              <w:snapToGrid w:val="0"/>
              <w:ind w:firstLine="0" w:firstLineChars="0"/>
              <w:rPr>
                <w:rFonts w:cs="Times New Roman"/>
                <w:szCs w:val="24"/>
              </w:rPr>
            </w:pPr>
          </w:p>
        </w:tc>
      </w:tr>
    </w:tbl>
    <w:p>
      <w:pPr>
        <w:snapToGrid w:val="0"/>
        <w:spacing w:line="240" w:lineRule="auto"/>
        <w:ind w:firstLine="0" w:firstLineChars="0"/>
        <w:outlineLvl w:val="0"/>
        <w:rPr>
          <w:b/>
          <w:bCs/>
          <w:sz w:val="30"/>
          <w:szCs w:val="30"/>
        </w:rPr>
      </w:pPr>
      <w:bookmarkStart w:id="148" w:name="_Toc5948"/>
      <w:r>
        <w:rPr>
          <w:b/>
          <w:bCs/>
          <w:sz w:val="30"/>
          <w:szCs w:val="30"/>
        </w:rPr>
        <w:br w:type="page"/>
      </w:r>
      <w:bookmarkStart w:id="149" w:name="_Toc6038"/>
      <w:bookmarkStart w:id="150" w:name="_Toc23660"/>
      <w:bookmarkStart w:id="151" w:name="_Toc31914"/>
      <w:bookmarkStart w:id="152" w:name="_Toc25885"/>
      <w:bookmarkStart w:id="153" w:name="_Toc8578"/>
      <w:bookmarkStart w:id="154" w:name="_Toc22181"/>
      <w:bookmarkStart w:id="155" w:name="_Toc11717"/>
      <w:bookmarkStart w:id="156" w:name="_Toc20908"/>
      <w:bookmarkStart w:id="157" w:name="_Toc1306"/>
      <w:bookmarkStart w:id="158" w:name="_Toc21706"/>
      <w:bookmarkStart w:id="159" w:name="_Toc25448"/>
      <w:bookmarkStart w:id="160" w:name="_Toc2440"/>
      <w:bookmarkStart w:id="161" w:name="_Toc25391"/>
      <w:bookmarkStart w:id="162" w:name="_Toc28132"/>
      <w:bookmarkStart w:id="163" w:name="_Toc17845"/>
      <w:bookmarkStart w:id="164" w:name="_Toc13651"/>
      <w:bookmarkStart w:id="165" w:name="_Toc12683"/>
      <w:bookmarkStart w:id="166" w:name="_Toc28751"/>
      <w:bookmarkStart w:id="167" w:name="_Toc26525"/>
      <w:bookmarkStart w:id="168" w:name="_Toc244"/>
      <w:bookmarkStart w:id="169" w:name="_Toc27173"/>
      <w:bookmarkStart w:id="170" w:name="_Toc13129"/>
      <w:bookmarkStart w:id="171" w:name="_Toc14434"/>
      <w:bookmarkStart w:id="172" w:name="_Toc13383"/>
      <w:bookmarkStart w:id="173" w:name="_Toc14476"/>
      <w:bookmarkStart w:id="174" w:name="_Toc4396"/>
      <w:bookmarkStart w:id="175" w:name="_Toc26043"/>
      <w:bookmarkStart w:id="176" w:name="_Toc13938"/>
      <w:bookmarkStart w:id="177" w:name="_Toc5621"/>
      <w:bookmarkStart w:id="178" w:name="_Toc7548"/>
      <w:bookmarkStart w:id="179" w:name="_Toc3545"/>
      <w:bookmarkStart w:id="180" w:name="_Toc32283"/>
      <w:bookmarkStart w:id="181" w:name="_Toc16694"/>
      <w:bookmarkStart w:id="182" w:name="_Toc11994"/>
      <w:bookmarkStart w:id="183" w:name="_Toc30626"/>
      <w:bookmarkStart w:id="184" w:name="_Toc28915"/>
      <w:bookmarkStart w:id="185" w:name="_Toc6560"/>
      <w:bookmarkStart w:id="186" w:name="_Toc249"/>
      <w:bookmarkStart w:id="187" w:name="_Toc31353"/>
      <w:bookmarkStart w:id="188" w:name="_Toc5246"/>
      <w:bookmarkStart w:id="189" w:name="_Toc13944"/>
      <w:bookmarkStart w:id="190" w:name="_Toc3927"/>
      <w:bookmarkStart w:id="191" w:name="_Toc23840"/>
      <w:bookmarkStart w:id="192" w:name="_Toc4592"/>
      <w:bookmarkStart w:id="193" w:name="_Toc19570"/>
      <w:bookmarkStart w:id="194" w:name="_Toc28525"/>
      <w:bookmarkStart w:id="195" w:name="_Toc11721"/>
      <w:r>
        <w:rPr>
          <w:b/>
          <w:bCs/>
          <w:sz w:val="30"/>
          <w:szCs w:val="30"/>
        </w:rPr>
        <w:t>表4  环评主要结论、审批部门审批决定及批复落实情况</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8"/>
              <w:adjustRightInd/>
              <w:ind w:firstLine="482"/>
              <w:rPr>
                <w:rFonts w:cs="Times New Roman"/>
                <w:b/>
                <w:bCs/>
              </w:rPr>
            </w:pPr>
            <w:r>
              <w:rPr>
                <w:rFonts w:cs="Times New Roman"/>
                <w:b/>
                <w:bCs/>
              </w:rPr>
              <w:t>一、环评主要结论及建议</w:t>
            </w:r>
          </w:p>
          <w:p>
            <w:pPr>
              <w:pStyle w:val="38"/>
              <w:adjustRightInd/>
              <w:ind w:firstLine="482"/>
              <w:rPr>
                <w:rFonts w:cs="Times New Roman"/>
                <w:b/>
                <w:bCs/>
              </w:rPr>
            </w:pPr>
            <w:r>
              <w:rPr>
                <w:rFonts w:cs="Times New Roman"/>
                <w:b/>
                <w:bCs/>
              </w:rPr>
              <w:t>1、结论</w:t>
            </w:r>
          </w:p>
          <w:p>
            <w:pPr>
              <w:tabs>
                <w:tab w:val="left" w:pos="339"/>
              </w:tabs>
              <w:ind w:firstLine="480"/>
              <w:jc w:val="left"/>
            </w:pPr>
            <w:r>
              <w:rPr>
                <w:rFonts w:hint="eastAsia"/>
              </w:rPr>
              <w:t>（1）废气</w:t>
            </w:r>
          </w:p>
          <w:p>
            <w:pPr>
              <w:ind w:firstLine="480"/>
            </w:pPr>
            <w:r>
              <w:rPr>
                <w:rFonts w:hint="eastAsia"/>
              </w:rPr>
              <w:t>拟建项目计划购置9台通风橱，实验室内一切有可能产生废气的实验步骤均在通风橱内进行，并有良好的排风设备，通风橱内主要产生的废气</w:t>
            </w:r>
            <w:r>
              <w:t>为所用试剂挥发的VOCs</w:t>
            </w:r>
            <w:r>
              <w:rPr>
                <w:color w:val="000000"/>
                <w:kern w:val="0"/>
                <w:lang w:bidi="ar"/>
              </w:rPr>
              <w:t>、</w:t>
            </w:r>
            <w:r>
              <w:rPr>
                <w:rFonts w:hint="eastAsia"/>
                <w:szCs w:val="21"/>
              </w:rPr>
              <w:t>二甲苯、</w:t>
            </w:r>
            <w:r>
              <w:rPr>
                <w:rFonts w:hint="eastAsia"/>
                <w:color w:val="000000"/>
                <w:kern w:val="0"/>
                <w:lang w:bidi="ar"/>
              </w:rPr>
              <w:t>氯化氢</w:t>
            </w:r>
            <w:r>
              <w:rPr>
                <w:rFonts w:hint="eastAsia"/>
              </w:rPr>
              <w:t>。</w:t>
            </w:r>
          </w:p>
          <w:p>
            <w:pPr>
              <w:ind w:firstLine="480"/>
            </w:pPr>
            <w:r>
              <w:rPr>
                <w:rFonts w:hint="eastAsia"/>
              </w:rPr>
              <w:t>拟建项目有组织废气主要为病理TCT实验过程中产生VOCS、二甲苯、氯化氢，试剂的取用操作均在通风橱内进行，废气经通风橱收集后由二级活性炭（碘值≥800mg/g）吸附处理，经15米高排气筒DA001有组织排放。</w:t>
            </w:r>
          </w:p>
          <w:p>
            <w:pPr>
              <w:ind w:firstLine="480"/>
            </w:pPr>
            <w:r>
              <w:rPr>
                <w:rFonts w:hint="eastAsia"/>
              </w:rPr>
              <w:t>拟建项目济南市高新区春兰路1177号银丰国际生物城A4-101-3，所在区域环境空气属于不达标区。</w:t>
            </w:r>
          </w:p>
          <w:p>
            <w:pPr>
              <w:ind w:firstLine="480"/>
            </w:pPr>
            <w:r>
              <w:rPr>
                <w:rFonts w:hint="eastAsia"/>
              </w:rPr>
              <w:t>拟建项目运营期采取有效措施，VOCs、二甲苯、氯化氢均能达标排放，对周围环境影响较小。</w:t>
            </w:r>
          </w:p>
          <w:p>
            <w:pPr>
              <w:widowControl/>
              <w:ind w:firstLine="480"/>
              <w:jc w:val="left"/>
              <w:rPr>
                <w:kern w:val="0"/>
                <w:lang w:bidi="ar"/>
              </w:rPr>
            </w:pPr>
            <w:r>
              <w:rPr>
                <w:rFonts w:hint="eastAsia"/>
              </w:rPr>
              <w:t>（2）废水</w:t>
            </w:r>
            <w:r>
              <w:rPr>
                <w:kern w:val="0"/>
                <w:lang w:bidi="ar"/>
              </w:rPr>
              <w:t xml:space="preserve"> </w:t>
            </w:r>
          </w:p>
          <w:p>
            <w:pPr>
              <w:pStyle w:val="38"/>
            </w:pPr>
            <w:r>
              <w:rPr>
                <w:rFonts w:hint="eastAsia"/>
              </w:rPr>
              <w:t>拟建项目分子分型废液、病理TCT废液、实验器皿前两次清洗废液共0.208</w:t>
            </w:r>
            <w:r>
              <w:rPr>
                <w:rFonts w:hint="eastAsia"/>
                <w:lang w:eastAsia="zh-CN"/>
              </w:rPr>
              <w:t>m</w:t>
            </w:r>
            <w:r>
              <w:rPr>
                <w:rFonts w:hint="eastAsia"/>
                <w:vertAlign w:val="superscript"/>
                <w:lang w:eastAsia="zh-CN"/>
              </w:rPr>
              <w:t>3</w:t>
            </w:r>
            <w:r>
              <w:rPr>
                <w:rFonts w:hint="eastAsia"/>
              </w:rPr>
              <w:t>/a，属于危险废物，暂存危废间，委托有危废经营许可证的单位处理。</w:t>
            </w:r>
          </w:p>
          <w:p>
            <w:pPr>
              <w:pStyle w:val="38"/>
            </w:pPr>
            <w:r>
              <w:rPr>
                <w:rFonts w:hint="eastAsia"/>
              </w:rPr>
              <w:t>拟建项目生活污水经化粪池沉淀，与地面清洁废水、实验人员洗手废水、实验器皿后两次清洗废水、纯水制备浓水一起，满足银丰国际生物城污水处理站进水水质要求后，经园区污水管网排入银丰国际生物城污水处理站处理，满足《污水排入城镇下水道水质标准》（GB/T31962-2015）标准和巨野河污水处理厂进水水质要求后，通过市政管污水管网排入巨野河污水处理厂，经西巨野河排入小清河。</w:t>
            </w:r>
          </w:p>
          <w:p>
            <w:pPr>
              <w:pStyle w:val="38"/>
            </w:pPr>
            <w:r>
              <w:rPr>
                <w:rFonts w:hint="eastAsia"/>
              </w:rPr>
              <w:t>拟建项目废水排放量较小，水质满足园区污水处理站处理对象水质要求，从污水处理站、巨野河污水处理站的处理能力、处理效果等方面考虑，项目废水经园区污水管网收集入园区污水处理站处理后进入巨野河污水处理厂处理是可行的，对项目区地表水巨野河环境影响很小。</w:t>
            </w:r>
          </w:p>
          <w:p>
            <w:pPr>
              <w:widowControl/>
              <w:ind w:firstLine="480"/>
              <w:jc w:val="left"/>
              <w:rPr>
                <w:kern w:val="0"/>
                <w:lang w:bidi="ar"/>
              </w:rPr>
            </w:pPr>
            <w:r>
              <w:rPr>
                <w:rFonts w:hint="eastAsia"/>
              </w:rPr>
              <w:t>（3）</w:t>
            </w:r>
            <w:r>
              <w:rPr>
                <w:kern w:val="0"/>
                <w:lang w:bidi="ar"/>
              </w:rPr>
              <w:t>噪声</w:t>
            </w:r>
          </w:p>
          <w:p>
            <w:pPr>
              <w:ind w:firstLine="480"/>
            </w:pPr>
            <w:r>
              <w:rPr>
                <w:rFonts w:hint="eastAsia"/>
              </w:rPr>
              <w:t>拟建项目营运期主要噪声源为实验设备噪声等，噪声值在60~80dB（A）之间。采取选用低噪声设备、墙体隔声、设备减振、距离衰减等措施。</w:t>
            </w:r>
          </w:p>
          <w:p>
            <w:pPr>
              <w:ind w:firstLine="480"/>
            </w:pPr>
            <w:r>
              <w:rPr>
                <w:rFonts w:hint="eastAsia"/>
              </w:rPr>
              <w:t>厂界外50米范围内无声环境保护目标，夜间不工作，由预测结果可知，设备噪声采用隔声、设备减振措施后，经过厂区距离衰减，厂界昼间噪声值分别为：东厂界46.6dB（A）、西厂界43.0dB（A）、南厂界43.3dB（A）、北厂界47.7B（A）。厂界噪声满足《工业企业厂界环境噪声排放标准》（GB12348-2008）2类标准，对周围环境影响很小。</w:t>
            </w:r>
          </w:p>
          <w:p>
            <w:pPr>
              <w:widowControl/>
              <w:ind w:firstLine="480"/>
              <w:jc w:val="left"/>
              <w:rPr>
                <w:kern w:val="0"/>
                <w:lang w:bidi="ar"/>
              </w:rPr>
            </w:pPr>
            <w:r>
              <w:rPr>
                <w:kern w:val="0"/>
                <w:lang w:bidi="ar"/>
              </w:rPr>
              <w:t xml:space="preserve">（4）固体废物 </w:t>
            </w:r>
          </w:p>
          <w:p>
            <w:pPr>
              <w:ind w:firstLine="480"/>
            </w:pPr>
            <w:r>
              <w:rPr>
                <w:rFonts w:hint="eastAsia"/>
              </w:rPr>
              <w:t>生活垃圾委托环卫部门定期清运；废滤芯、废RO膜由设备厂家回收处理；未沾染药品、检测样品废包装物外售资源回收单位；废试剂瓶、实验废液（废酒精、杂交废液、定期更换的染液、实验器皿前两次清洗废液、分子分型废液、病理TCT废液、免疫废液等）、实验废物（废离心管、废移液枪头、废试剂盒等）、废样本、废活性炭作为危废处理暂存于危废间并交由有危废经营许可证的单位处理。</w:t>
            </w:r>
          </w:p>
          <w:p>
            <w:pPr>
              <w:ind w:firstLine="480"/>
            </w:pPr>
            <w:r>
              <w:rPr>
                <w:rFonts w:hint="eastAsia"/>
              </w:rPr>
              <w:t>拟建项目固废处置合理，一般固废的处置符合《一般工业固体废物贮存和填埋污染控制标准》(GB18599-2020)的要求，危险废物的处理措施和处置方案满足《危险废物贮存污染控制标准》（GB18597-2001）及修改单要求，对周围环境影响很小。</w:t>
            </w:r>
          </w:p>
          <w:p>
            <w:pPr>
              <w:pStyle w:val="27"/>
              <w:ind w:firstLine="480"/>
              <w:rPr>
                <w:rFonts w:ascii="Times New Roman" w:hAnsi="Times New Roman"/>
                <w:color w:val="auto"/>
                <w:sz w:val="24"/>
              </w:rPr>
            </w:pPr>
            <w:r>
              <w:rPr>
                <w:rFonts w:hint="eastAsia" w:ascii="Times New Roman" w:hAnsi="Times New Roman"/>
                <w:color w:val="auto"/>
                <w:sz w:val="24"/>
              </w:rPr>
              <w:t>（5）环境风险分析</w:t>
            </w:r>
          </w:p>
          <w:p>
            <w:pPr>
              <w:ind w:firstLine="480"/>
            </w:pPr>
            <w:r>
              <w:rPr>
                <w:rFonts w:hint="eastAsia"/>
              </w:rPr>
              <w:t>环境风险评价的目的是分析和预测建设项目存在的潜在危险、有害因素，建设项目运营期间可能产生的突发性事件或事故（一般不包括人为破坏及自然灾害），引起有毒有害和易燃易爆等物质泄漏，所造成的人身安全与环境影响和损害程度，提出合理可行的防范、应急减缓措施，以使建设项目的事故率、损失和环境影响降低到可接受水平。</w:t>
            </w:r>
          </w:p>
          <w:p>
            <w:pPr>
              <w:ind w:firstLine="480"/>
            </w:pPr>
            <w:r>
              <w:rPr>
                <w:rFonts w:hint="eastAsia"/>
              </w:rPr>
              <w:t>本次评价遵照《关于进一步加强环境影响评价管理防范环境风险的通知》（环发［2012］77号文）和《关于切实加强风险防范严格环境影响评价管理的通知》（环发［2012］98号文）精神，以《建设项目环境风险评价技术导则》（HJ169-2018）为指导，通过对拟建项目进行风险识别、源项分析及环境风险分析，提出风险防范措施和应急预案，为环境管理提供资料和依据，达到降低危险、减少危害的目的。</w:t>
            </w:r>
          </w:p>
          <w:p>
            <w:pPr>
              <w:ind w:firstLine="480"/>
            </w:pPr>
            <w:r>
              <w:rPr>
                <w:rFonts w:hint="eastAsia"/>
              </w:rPr>
              <w:t>（6）</w:t>
            </w:r>
            <w:r>
              <w:t>总体结论</w:t>
            </w:r>
          </w:p>
          <w:p>
            <w:pPr>
              <w:ind w:firstLine="480"/>
            </w:pPr>
            <w:r>
              <w:rPr>
                <w:rFonts w:hint="eastAsia"/>
              </w:rPr>
              <w:t>该项目建设符合国家产业政策，项目选址和平面布置基本合理，区域环境质量现状适合项目建设，拟采取的环保措施技术可靠、经济可行，污染物满足达标排放、总量控制的基本原则，环境风险可接受，对周围环境影响较小。在落实各项污染防治措施的条件下，从环境保护的角度分析，本项目的建设是可行。</w:t>
            </w:r>
          </w:p>
          <w:p>
            <w:pPr>
              <w:ind w:firstLine="482"/>
              <w:rPr>
                <w:b/>
                <w:bCs/>
              </w:rPr>
            </w:pPr>
            <w:r>
              <w:rPr>
                <w:b/>
                <w:bCs/>
              </w:rPr>
              <w:t>2、建议</w:t>
            </w:r>
          </w:p>
          <w:p>
            <w:pPr>
              <w:pStyle w:val="38"/>
              <w:adjustRightInd/>
              <w:rPr>
                <w:rFonts w:cs="Times New Roman"/>
              </w:rPr>
            </w:pPr>
            <w:r>
              <w:rPr>
                <w:rFonts w:hint="eastAsia" w:cs="Times New Roman"/>
              </w:rPr>
              <w:t>（1）建设方领导必须重视环境保护工作，应制定一系列规章制度已促进治理项目的环境保护工作。</w:t>
            </w:r>
          </w:p>
          <w:p>
            <w:pPr>
              <w:pStyle w:val="38"/>
              <w:adjustRightInd/>
              <w:rPr>
                <w:rFonts w:cs="Times New Roman"/>
              </w:rPr>
            </w:pPr>
            <w:r>
              <w:rPr>
                <w:rFonts w:hint="eastAsia" w:cs="Times New Roman"/>
              </w:rPr>
              <w:t>（2）根据《建设项目环境保护设计规范》等要求，拟建项目需设立专门的环境管理机构及专职负责人员1名，负责项目的日常环境管理工作。</w:t>
            </w:r>
          </w:p>
          <w:p>
            <w:pPr>
              <w:pStyle w:val="38"/>
              <w:adjustRightInd/>
              <w:rPr>
                <w:rFonts w:cs="Times New Roman"/>
              </w:rPr>
            </w:pPr>
            <w:r>
              <w:rPr>
                <w:rFonts w:hint="eastAsia" w:cs="Times New Roman"/>
              </w:rPr>
              <w:t>（3）建设单位应按照生态环境部＜关于发布《建设项目竣工环境保护验收技术指南 污染影响类》的公告＞（公告2018年第9号）及《建设项目竣工环境保护验收暂行办法》（国环规环评</w:t>
            </w:r>
            <w:r>
              <w:rPr>
                <w:rFonts w:hint="eastAsia" w:cs="Times New Roman"/>
                <w:lang w:eastAsia="zh-CN"/>
              </w:rPr>
              <w:t>〔</w:t>
            </w:r>
            <w:r>
              <w:rPr>
                <w:rFonts w:hint="eastAsia" w:cs="Times New Roman"/>
              </w:rPr>
              <w:t>2017</w:t>
            </w:r>
            <w:r>
              <w:rPr>
                <w:rFonts w:hint="eastAsia" w:cs="Times New Roman"/>
                <w:lang w:eastAsia="zh-CN"/>
              </w:rPr>
              <w:t>〕</w:t>
            </w:r>
            <w:r>
              <w:rPr>
                <w:rFonts w:hint="eastAsia" w:cs="Times New Roman"/>
              </w:rPr>
              <w:t>4号）要求，对项目进行验收。</w:t>
            </w:r>
          </w:p>
          <w:p>
            <w:pPr>
              <w:pStyle w:val="38"/>
              <w:adjustRightInd/>
              <w:rPr>
                <w:rFonts w:cs="Times New Roman"/>
              </w:rPr>
            </w:pPr>
            <w:r>
              <w:rPr>
                <w:rFonts w:hint="eastAsia" w:cs="Times New Roman"/>
              </w:rPr>
              <w:t>（4）建设单位应按《固定污染源排污许可分类管理名录（2019年版）》要求，变更排污许可。</w:t>
            </w:r>
          </w:p>
          <w:p>
            <w:pPr>
              <w:pStyle w:val="38"/>
              <w:adjustRightInd/>
              <w:rPr>
                <w:rFonts w:cs="Times New Roman"/>
              </w:rPr>
            </w:pPr>
            <w:r>
              <w:rPr>
                <w:rFonts w:hint="eastAsia" w:cs="Times New Roman"/>
              </w:rPr>
              <w:t>（5）各污染物排放口应按国家《环境保护图形标志》（15562.1-1995）与（GB15562.2-1995）的规定，设置国家环保总局统一制作的环境保护图形标志牌。</w:t>
            </w:r>
          </w:p>
          <w:p>
            <w:pPr>
              <w:pStyle w:val="38"/>
              <w:adjustRightInd/>
              <w:rPr>
                <w:rFonts w:cs="Times New Roman"/>
              </w:rPr>
            </w:pPr>
            <w:r>
              <w:rPr>
                <w:rFonts w:hint="eastAsia" w:cs="Times New Roman"/>
              </w:rPr>
              <w:t>（6）建设单位应根据《排污单位自行监测技术指南 总则》（HJ 819-2017）、《固定污染源废气监测点位设置技术规范》（DB37/T 3535-2019）预留专门的采样监测口和设置符合规范的采样平台。</w:t>
            </w: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hint="eastAsia"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r>
              <w:rPr>
                <w:rFonts w:cs="Times New Roman"/>
                <w:b/>
                <w:bCs/>
              </w:rPr>
              <w:t>二、环评批复</w:t>
            </w:r>
          </w:p>
          <w:p>
            <w:pPr>
              <w:widowControl/>
              <w:ind w:firstLine="480"/>
              <w:jc w:val="right"/>
            </w:pPr>
            <w:bookmarkStart w:id="196" w:name="bookmark4"/>
            <w:bookmarkStart w:id="197" w:name="bookmark3"/>
            <w:bookmarkStart w:id="198" w:name="bookmark5"/>
            <w:r>
              <w:rPr>
                <w:rFonts w:hint="eastAsia"/>
              </w:rPr>
              <w:t>济环报告表〔2022〕G108号</w:t>
            </w:r>
          </w:p>
          <w:p>
            <w:pPr>
              <w:widowControl/>
              <w:ind w:firstLine="0" w:firstLineChars="0"/>
              <w:jc w:val="center"/>
            </w:pPr>
            <w:r>
              <w:rPr>
                <w:rFonts w:hint="eastAsia"/>
              </w:rPr>
              <w:t>济南市生态环境局关于济南中仁谊科医学检验实验室有限公司济南中仁谊科医学检验实验室环境影响报告表的批复</w:t>
            </w:r>
          </w:p>
          <w:p>
            <w:pPr>
              <w:widowControl/>
              <w:ind w:firstLine="0" w:firstLineChars="0"/>
              <w:jc w:val="left"/>
            </w:pPr>
            <w:r>
              <w:rPr>
                <w:rFonts w:hint="eastAsia"/>
              </w:rPr>
              <w:t>济南中仁谊科医学检验实验室有限公司：</w:t>
            </w:r>
          </w:p>
          <w:p>
            <w:pPr>
              <w:widowControl/>
              <w:ind w:firstLine="480"/>
              <w:jc w:val="left"/>
            </w:pPr>
            <w:r>
              <w:rPr>
                <w:rFonts w:hint="eastAsia"/>
              </w:rPr>
              <w:t>你单位报送的《济南中仁谊科医学检验实验室环境影响报告表》已收悉。经审查，批复如下：</w:t>
            </w:r>
          </w:p>
          <w:p>
            <w:pPr>
              <w:widowControl/>
              <w:ind w:firstLine="480"/>
              <w:jc w:val="left"/>
            </w:pPr>
            <w:r>
              <w:rPr>
                <w:rFonts w:hint="eastAsia"/>
              </w:rPr>
              <w:t>一、济南中仁谊科医学检验实验室有限公司济南中仁谊科医学检验实验室位于济南高新区春兰路1177号银丰国际生物城A4-101-3。项目总投资1000万元，占地面积 452.77</w:t>
            </w:r>
            <w:r>
              <w:rPr>
                <w:rFonts w:hint="eastAsia"/>
                <w:lang w:eastAsia="zh-CN"/>
              </w:rPr>
              <w:t>m</w:t>
            </w:r>
            <w:r>
              <w:rPr>
                <w:rFonts w:hint="eastAsia"/>
                <w:vertAlign w:val="superscript"/>
                <w:lang w:eastAsia="zh-CN"/>
              </w:rPr>
              <w:t>2</w:t>
            </w:r>
            <w:r>
              <w:rPr>
                <w:rFonts w:hint="eastAsia"/>
              </w:rPr>
              <w:t>，项目主要对血样和细胞样本进行分子分型实验、病理TCT实验、免疫实验。我局受理本项目并在济南市生态环境局网站进行了公示，公示期间未收到公众反对意见，根据环境影响评价结论，在全面落实环境影响报告表提出的各项环境保护措施，满足达标排放等要求的前提下，本项目产生的不利环境影响可以得到减缓和控制，从环境保护角度分析，项目建设是可行的。你单位应全面落实报告表提出的各项环境保护对策措施和本批复要求。</w:t>
            </w:r>
          </w:p>
          <w:p>
            <w:pPr>
              <w:widowControl/>
              <w:ind w:firstLine="480"/>
              <w:jc w:val="left"/>
            </w:pPr>
            <w:r>
              <w:rPr>
                <w:rFonts w:hint="eastAsia"/>
              </w:rPr>
              <w:t>二、项目建设应重点做好以下工作：</w:t>
            </w:r>
          </w:p>
          <w:p>
            <w:pPr>
              <w:widowControl/>
              <w:ind w:firstLine="480"/>
              <w:jc w:val="left"/>
            </w:pPr>
            <w:r>
              <w:rPr>
                <w:rFonts w:hint="eastAsia"/>
              </w:rPr>
              <w:t>（一）严格落实废水污染防治措施。项目生活污水经化粪池处理后与地面清洁废水、实验人员洗手废水、实验器皿后两次清洗废水、纯水制备浓水经银丰国际生物城污水处理站处理，满足《污水排入城镇下水道水质标准》（GB/T31962-2015）标准要求和巨野河污水处理厂进水水质要求后，经市政污水管网排入巨野河污水处理厂进行集中处理。</w:t>
            </w:r>
          </w:p>
          <w:p>
            <w:pPr>
              <w:widowControl/>
              <w:ind w:firstLine="480"/>
              <w:jc w:val="left"/>
            </w:pPr>
            <w:r>
              <w:rPr>
                <w:rFonts w:hint="eastAsia"/>
              </w:rPr>
              <w:t>（二）严格落实大气污染防治措施。严格落实该项目废气处理措施及营运期环境管理要求，配套建设的废气处理设施的处理能力、处理效率应满足需要，排气筒高度须符合国家有关要求，确保大气污染物排放满足国家和地方有关标准。强化废气污染防治措施，有效控制废气排放。</w:t>
            </w:r>
          </w:p>
          <w:p>
            <w:pPr>
              <w:widowControl/>
              <w:ind w:firstLine="480"/>
              <w:jc w:val="left"/>
            </w:pPr>
            <w:r>
              <w:rPr>
                <w:rFonts w:hint="eastAsia"/>
              </w:rPr>
              <w:t>项目实验废气经二级活性炭（碘值≥800mg/g）吸附装置处理后通过一根 15m 高排气筒排放。</w:t>
            </w:r>
          </w:p>
          <w:p>
            <w:pPr>
              <w:widowControl/>
              <w:ind w:firstLine="480"/>
              <w:jc w:val="left"/>
            </w:pPr>
            <w:r>
              <w:rPr>
                <w:rFonts w:hint="eastAsia"/>
              </w:rPr>
              <w:t>有组织VOCs排放满足《挥发性有机物排放标准第 7 部分：其他行业》（DB37/2801.5-2019）表 1 非重点行业 II 时段标准限值要求。有组织氯化氢、二甲苯排放满足《大气污染物综合排放标准》（GB16297-1996）中表 2 二级排放要求。</w:t>
            </w:r>
          </w:p>
          <w:p>
            <w:pPr>
              <w:widowControl/>
              <w:ind w:firstLine="480"/>
              <w:jc w:val="left"/>
            </w:pPr>
            <w:r>
              <w:rPr>
                <w:rFonts w:hint="eastAsia"/>
              </w:rPr>
              <w:t>做好各环节废气无组织排放的污染控制工作。加强物料储存、周转及实验装置密闭等措施的日常管理，减少无组织排放量。加强涉VOCs物料储存及生产过程中无组织VOCs监控与管理。厂界VOCs满足《挥发性有机物排放标准第 7 部分：其他行业》（DB37/2801.7-2019）表2厂界监控点限值要求和《挥发性有机物无组织排放控制标准》（GB37822-2019）附录A厂区内VOCs无组织排放监控要求。厂界二甲苯满足《挥发性有机物排放标准第 7 部分：其他行业》（DB37/2801.7-2019）表2厂界监控点限值要求。厂界氯化氢满足《大气污染物综合排放标准》（GB16297-1996）表 2 无组织排放监控浓度限值要求。</w:t>
            </w:r>
          </w:p>
          <w:p>
            <w:pPr>
              <w:widowControl/>
              <w:ind w:firstLine="480"/>
              <w:jc w:val="both"/>
            </w:pPr>
            <w:r>
              <w:rPr>
                <w:rFonts w:hint="eastAsia"/>
              </w:rPr>
              <w:t>（三）强化噪声污染防治措施。采取合理布局、高噪声设备基础减振，建筑隔声、选用低噪声设备等措施，厂界噪声达到《工业企业厂界环境噪声排放标准》(GB12348-2008)2 类标准要求。</w:t>
            </w:r>
          </w:p>
          <w:p>
            <w:pPr>
              <w:widowControl/>
              <w:ind w:firstLine="480"/>
              <w:jc w:val="left"/>
            </w:pPr>
            <w:r>
              <w:rPr>
                <w:rFonts w:hint="eastAsia"/>
              </w:rPr>
              <w:t>（四）落实固体废物处理处置措施。按照固体废物“资源化、减量化、无害化”处置的原则，落实各类固体废物的收集、处置和综合利用措施。强化固体废物（含一般工业固体废物和危险废物）分类、全过程管理，按要求规范分类、建立专门的固体废物贮存场所，采取防扬散、防流失、防渗漏等环保措施，规范张贴标志标识，分类分区贮存；建立完善固体废物管理台账；将固体废物交由具备主体资格和技术能力的单位进行利用、处置，特别是危险废物必须交由具有危险废物经营许可证的单位进行收集、利用、处置；如实申报固体废物产生、贮存、转移、利用和处置情况，按时对固体废物污染防治信息进行公开。生活垃圾及时交由环卫部门或环卫部门委托指定单位进行清运处理。</w:t>
            </w:r>
          </w:p>
          <w:p>
            <w:pPr>
              <w:widowControl/>
              <w:ind w:firstLine="480"/>
              <w:jc w:val="left"/>
            </w:pPr>
            <w:r>
              <w:rPr>
                <w:rFonts w:hint="eastAsia"/>
              </w:rPr>
              <w:t>三、你单位应当对施工期、运营期的环保设施与生产设施一起开展安全风险辨识管理。该项目建设必须严格执行环境保护设施与主体工程同时设计、同时施工、同时投用的“三同时”制度。要按《建设项目竣工环境保护验收暂行办法》的规定程序、该项目环境影响评价文件内容以及本批复意见，进行自主建设项目竣工环境保护验收；严禁未经竣工环境保护验收擅自投产使用。</w:t>
            </w:r>
          </w:p>
          <w:p>
            <w:pPr>
              <w:widowControl/>
              <w:ind w:firstLine="480"/>
              <w:jc w:val="left"/>
            </w:pPr>
            <w:r>
              <w:rPr>
                <w:rFonts w:hint="eastAsia"/>
              </w:rPr>
              <w:t>四、在发生实际排污行为前，按照经批准的环境影响评价文件认真分析并确认各项环境保护措施落实后，依法申领排污许可证。建立与该项目环境保护工作需求相适应的环境管理团队，加强环境管理，做到依证排污。</w:t>
            </w:r>
          </w:p>
          <w:p>
            <w:pPr>
              <w:widowControl/>
              <w:ind w:firstLine="480"/>
              <w:jc w:val="left"/>
            </w:pPr>
            <w:r>
              <w:rPr>
                <w:rFonts w:hint="eastAsia"/>
              </w:rPr>
              <w:t>五、你单位应当按照环境保护设施的设计要求和排污许可证规定的排放要求，制定完善环境保护管理制度和操作规程，并保障环境保护设施正常运行。</w:t>
            </w:r>
          </w:p>
          <w:p>
            <w:pPr>
              <w:widowControl/>
              <w:ind w:firstLine="480"/>
              <w:jc w:val="left"/>
            </w:pPr>
            <w:r>
              <w:rPr>
                <w:rFonts w:hint="eastAsia"/>
              </w:rPr>
              <w:t>六、若该项目的性质、规模、地点、所采用的工艺或污染防治措施等发生重大变化，应当重新向我局报批环境影响评价文件。</w:t>
            </w:r>
          </w:p>
          <w:p>
            <w:pPr>
              <w:widowControl/>
              <w:numPr>
                <w:ilvl w:val="0"/>
                <w:numId w:val="8"/>
              </w:numPr>
              <w:ind w:firstLine="480"/>
              <w:jc w:val="left"/>
            </w:pPr>
            <w:r>
              <w:rPr>
                <w:rFonts w:hint="eastAsia"/>
              </w:rPr>
              <w:t>你单位应依法接受生态环境部门的监督检查。</w:t>
            </w:r>
          </w:p>
          <w:p>
            <w:pPr>
              <w:widowControl/>
              <w:ind w:firstLine="480"/>
              <w:jc w:val="left"/>
            </w:pPr>
          </w:p>
          <w:p>
            <w:pPr>
              <w:widowControl/>
              <w:ind w:firstLine="0" w:firstLineChars="0"/>
              <w:jc w:val="right"/>
            </w:pPr>
            <w:r>
              <w:rPr>
                <w:rFonts w:hint="eastAsia"/>
              </w:rPr>
              <w:t>2023年1月6日</w:t>
            </w:r>
          </w:p>
          <w:bookmarkEnd w:id="196"/>
          <w:bookmarkEnd w:id="197"/>
          <w:bookmarkEnd w:id="198"/>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p>
          <w:p>
            <w:pPr>
              <w:pStyle w:val="38"/>
              <w:adjustRightInd/>
              <w:ind w:firstLine="482"/>
              <w:rPr>
                <w:rFonts w:cs="Times New Roman"/>
                <w:b/>
                <w:bCs/>
              </w:rPr>
            </w:pPr>
            <w:r>
              <w:rPr>
                <w:rFonts w:cs="Times New Roman"/>
                <w:b/>
                <w:bCs/>
              </w:rPr>
              <w:t>三、环评批复落实情况</w:t>
            </w:r>
          </w:p>
          <w:tbl>
            <w:tblPr>
              <w:tblStyle w:val="28"/>
              <w:tblW w:w="4796" w:type="pct"/>
              <w:tblInd w:w="12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1"/>
              <w:gridCol w:w="2772"/>
              <w:gridCol w:w="3978"/>
              <w:gridCol w:w="116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69"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项目</w:t>
                  </w:r>
                </w:p>
              </w:tc>
              <w:tc>
                <w:tcPr>
                  <w:tcW w:w="1622"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环评批复要求</w:t>
                  </w:r>
                </w:p>
              </w:tc>
              <w:tc>
                <w:tcPr>
                  <w:tcW w:w="2328"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实际落实情况</w:t>
                  </w:r>
                </w:p>
              </w:tc>
              <w:tc>
                <w:tcPr>
                  <w:tcW w:w="679"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工程内容</w:t>
                  </w:r>
                </w:p>
              </w:tc>
              <w:tc>
                <w:tcPr>
                  <w:tcW w:w="162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济南中仁谊科医学检验实验室有限公司济南中仁谊科医学检验实验室位于济南高新区春兰路1177号银丰国际生物城A4-101-3。项目总投资1000万元，占地面积 452.77</w:t>
                  </w:r>
                  <w:r>
                    <w:rPr>
                      <w:rFonts w:hint="eastAsia"/>
                      <w:sz w:val="21"/>
                      <w:szCs w:val="21"/>
                      <w:lang w:eastAsia="zh-CN"/>
                    </w:rPr>
                    <w:t>m</w:t>
                  </w:r>
                  <w:r>
                    <w:rPr>
                      <w:rFonts w:hint="eastAsia"/>
                      <w:sz w:val="21"/>
                      <w:szCs w:val="21"/>
                      <w:vertAlign w:val="superscript"/>
                      <w:lang w:eastAsia="zh-CN"/>
                    </w:rPr>
                    <w:t>2</w:t>
                  </w:r>
                  <w:r>
                    <w:rPr>
                      <w:rFonts w:hint="eastAsia"/>
                      <w:sz w:val="21"/>
                      <w:szCs w:val="21"/>
                    </w:rPr>
                    <w:t>，项目主要对血样和细胞样本进行分子分型实验、病理TCT实验、免疫实验。</w:t>
                  </w:r>
                </w:p>
              </w:tc>
              <w:tc>
                <w:tcPr>
                  <w:tcW w:w="2328"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济南中仁谊科医学检验实验室有限公司济南中仁谊科医学检验实验室位于济南高新区春兰路1177号银丰国际生物城A4-101-3。项目总投资1000万元，占地面积 452.77</w:t>
                  </w:r>
                  <w:r>
                    <w:rPr>
                      <w:rFonts w:hint="eastAsia"/>
                      <w:sz w:val="21"/>
                      <w:szCs w:val="21"/>
                      <w:lang w:eastAsia="zh-CN"/>
                    </w:rPr>
                    <w:t>m</w:t>
                  </w:r>
                  <w:r>
                    <w:rPr>
                      <w:rFonts w:hint="eastAsia"/>
                      <w:sz w:val="21"/>
                      <w:szCs w:val="21"/>
                      <w:vertAlign w:val="superscript"/>
                      <w:lang w:eastAsia="zh-CN"/>
                    </w:rPr>
                    <w:t>2</w:t>
                  </w:r>
                  <w:r>
                    <w:rPr>
                      <w:rFonts w:hint="eastAsia"/>
                      <w:sz w:val="21"/>
                      <w:szCs w:val="21"/>
                    </w:rPr>
                    <w:t>，项目主要对血样和细胞样本进行分子分型实验、病理TCT实验、免疫实验。</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废气</w:t>
                  </w:r>
                </w:p>
              </w:tc>
              <w:tc>
                <w:tcPr>
                  <w:tcW w:w="162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严格落实大气污染防治措施。严格落实该项目废气处理措施及营运期环境管理要求，配套建设的废气处理设施的处理能力、处理效率应满足需要，排气筒高度须符合国家有关要求，确保大气污染物排放满足国家和地方有关标准。强化废气污染防治措施，有效控制废气排放。</w:t>
                  </w:r>
                </w:p>
                <w:p>
                  <w:pPr>
                    <w:spacing w:line="240" w:lineRule="auto"/>
                    <w:ind w:firstLine="420"/>
                    <w:rPr>
                      <w:sz w:val="21"/>
                      <w:szCs w:val="21"/>
                    </w:rPr>
                  </w:pPr>
                  <w:r>
                    <w:rPr>
                      <w:rFonts w:hint="eastAsia"/>
                      <w:sz w:val="21"/>
                      <w:szCs w:val="21"/>
                    </w:rPr>
                    <w:t>项目实验废气经二级活性炭吸附装置处理后通过一根 15m 高排气筒排放。</w:t>
                  </w:r>
                </w:p>
                <w:p>
                  <w:pPr>
                    <w:spacing w:line="240" w:lineRule="auto"/>
                    <w:ind w:firstLine="420"/>
                    <w:rPr>
                      <w:sz w:val="21"/>
                      <w:szCs w:val="21"/>
                    </w:rPr>
                  </w:pPr>
                  <w:r>
                    <w:rPr>
                      <w:rFonts w:hint="eastAsia"/>
                      <w:sz w:val="21"/>
                      <w:szCs w:val="21"/>
                    </w:rPr>
                    <w:t>有组织VOCs排放满足《挥发性有机物排放标准第 7 部分：其他行业》（DB37/2801.5-2019）表 1 非重点行业 II 时段标准限值要求。有组织氯化氢、二甲苯排放满足《大气污染物综合排放标准》（GB16297-1996）中表 2 二级排放要求。</w:t>
                  </w:r>
                </w:p>
                <w:p>
                  <w:pPr>
                    <w:spacing w:line="240" w:lineRule="auto"/>
                    <w:ind w:firstLine="420"/>
                    <w:rPr>
                      <w:sz w:val="21"/>
                      <w:szCs w:val="21"/>
                    </w:rPr>
                  </w:pPr>
                  <w:r>
                    <w:rPr>
                      <w:rFonts w:hint="eastAsia"/>
                      <w:sz w:val="21"/>
                      <w:szCs w:val="21"/>
                    </w:rPr>
                    <w:t>做好各环节废气无组织排放的污染控制工作。加强物料储存、周转及实验装置密闭等措施的日常管理，减少无组织排放量。加强涉VOCs物料储存及生产过程中无组织VOCs监控与管理。厂界VOCs满足《挥发性有机物排放标准第 7 部分：其他行业》（DB37/2801.7-2019）表2厂界监控点限值要求和《挥发性有机物无组织排放控制标准》（GB37822-2019）附录A厂区内VOCs无组织排放监控要求。厂界二甲苯满足《挥发性有机物排放标准第 7 部分：其他行业》（DB37/2801.7-2019）表2厂界监控点限值要求。厂界氯化氢满足《大气污染物综合排放标准》（GB16297-1996）表 2 无组织排放监控浓度限值要求。</w:t>
                  </w:r>
                </w:p>
              </w:tc>
              <w:tc>
                <w:tcPr>
                  <w:tcW w:w="2328" w:type="pct"/>
                  <w:tcBorders>
                    <w:tl2br w:val="nil"/>
                    <w:tr2bl w:val="nil"/>
                  </w:tcBorders>
                  <w:shd w:val="clear" w:color="auto" w:fill="auto"/>
                  <w:vAlign w:val="center"/>
                </w:tcPr>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项目废气主要是灭活样本检测实验过程中挥发的废气，主要为VOCs、二甲苯、氯化氢等。</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①有组织废气：</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项目试剂的取用以及检测时产生的废气操作均在通风橱内进行，废气经集气罩收集后，通过二级活性炭吸附装置处理后，由一根24m高排气筒DA001排放。</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②无组织废气：</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未被收集的实验废气等，车间通风后无组织排放。</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验收监测期间，实验废气排气筒DA001出口中主要污染物VOCs最高排放浓度为1.96mg/</w:t>
                  </w:r>
                  <w:r>
                    <w:rPr>
                      <w:rFonts w:hint="eastAsia" w:ascii="Times New Roman" w:hAnsi="Times New Roman"/>
                      <w:color w:val="auto"/>
                      <w:sz w:val="21"/>
                      <w:szCs w:val="21"/>
                      <w:lang w:eastAsia="zh-CN"/>
                    </w:rPr>
                    <w:t>m</w:t>
                  </w:r>
                  <w:r>
                    <w:rPr>
                      <w:rFonts w:hint="eastAsia" w:ascii="Times New Roman" w:hAnsi="Times New Roman"/>
                      <w:color w:val="auto"/>
                      <w:sz w:val="21"/>
                      <w:szCs w:val="21"/>
                      <w:vertAlign w:val="superscript"/>
                      <w:lang w:eastAsia="zh-CN"/>
                    </w:rPr>
                    <w:t>3</w:t>
                  </w:r>
                  <w:r>
                    <w:rPr>
                      <w:rFonts w:hint="eastAsia" w:ascii="Times New Roman" w:hAnsi="Times New Roman"/>
                      <w:color w:val="auto"/>
                      <w:sz w:val="21"/>
                      <w:szCs w:val="21"/>
                    </w:rPr>
                    <w:t>，最高排放速率为8.7×10</w:t>
                  </w:r>
                  <w:r>
                    <w:rPr>
                      <w:rFonts w:hint="eastAsia" w:ascii="Times New Roman" w:hAnsi="Times New Roman"/>
                      <w:color w:val="auto"/>
                      <w:sz w:val="21"/>
                      <w:szCs w:val="21"/>
                      <w:vertAlign w:val="superscript"/>
                    </w:rPr>
                    <w:t>-3</w:t>
                  </w:r>
                  <w:r>
                    <w:rPr>
                      <w:rFonts w:hint="eastAsia" w:ascii="Times New Roman" w:hAnsi="Times New Roman"/>
                      <w:color w:val="auto"/>
                      <w:sz w:val="21"/>
                      <w:szCs w:val="21"/>
                    </w:rPr>
                    <w:t>kg/h，排放浓度和排放速率均满足《挥发性有机物排放标准第7部分：其他行业》（DB37/2801.7-2019）表1中非重点行业II时段排放限值要求；二甲苯最高排放浓度为0.454mg/</w:t>
                  </w:r>
                  <w:r>
                    <w:rPr>
                      <w:rFonts w:hint="eastAsia" w:ascii="Times New Roman" w:hAnsi="Times New Roman"/>
                      <w:color w:val="auto"/>
                      <w:sz w:val="21"/>
                      <w:szCs w:val="21"/>
                      <w:lang w:eastAsia="zh-CN"/>
                    </w:rPr>
                    <w:t>m</w:t>
                  </w:r>
                  <w:r>
                    <w:rPr>
                      <w:rFonts w:hint="eastAsia" w:ascii="Times New Roman" w:hAnsi="Times New Roman"/>
                      <w:color w:val="auto"/>
                      <w:sz w:val="21"/>
                      <w:szCs w:val="21"/>
                      <w:vertAlign w:val="superscript"/>
                      <w:lang w:eastAsia="zh-CN"/>
                    </w:rPr>
                    <w:t>3</w:t>
                  </w:r>
                  <w:r>
                    <w:rPr>
                      <w:rFonts w:hint="eastAsia" w:ascii="Times New Roman" w:hAnsi="Times New Roman"/>
                      <w:color w:val="auto"/>
                      <w:sz w:val="21"/>
                      <w:szCs w:val="21"/>
                    </w:rPr>
                    <w:t>，最高排放速率为2.0×10</w:t>
                  </w:r>
                  <w:r>
                    <w:rPr>
                      <w:rFonts w:hint="eastAsia" w:ascii="Times New Roman" w:hAnsi="Times New Roman"/>
                      <w:color w:val="auto"/>
                      <w:sz w:val="21"/>
                      <w:szCs w:val="21"/>
                      <w:vertAlign w:val="superscript"/>
                    </w:rPr>
                    <w:t>-3</w:t>
                  </w:r>
                  <w:r>
                    <w:rPr>
                      <w:rFonts w:hint="eastAsia" w:ascii="Times New Roman" w:hAnsi="Times New Roman"/>
                      <w:color w:val="auto"/>
                      <w:sz w:val="21"/>
                      <w:szCs w:val="21"/>
                    </w:rPr>
                    <w:t>kg/h，氯化氢最高排放浓度为2.5mg/</w:t>
                  </w:r>
                  <w:r>
                    <w:rPr>
                      <w:rFonts w:hint="eastAsia" w:ascii="Times New Roman" w:hAnsi="Times New Roman"/>
                      <w:color w:val="auto"/>
                      <w:sz w:val="21"/>
                      <w:szCs w:val="21"/>
                      <w:lang w:eastAsia="zh-CN"/>
                    </w:rPr>
                    <w:t>m</w:t>
                  </w:r>
                  <w:r>
                    <w:rPr>
                      <w:rFonts w:hint="eastAsia" w:ascii="Times New Roman" w:hAnsi="Times New Roman"/>
                      <w:color w:val="auto"/>
                      <w:sz w:val="21"/>
                      <w:szCs w:val="21"/>
                      <w:vertAlign w:val="superscript"/>
                      <w:lang w:eastAsia="zh-CN"/>
                    </w:rPr>
                    <w:t>3</w:t>
                  </w:r>
                  <w:r>
                    <w:rPr>
                      <w:rFonts w:hint="eastAsia" w:ascii="Times New Roman" w:hAnsi="Times New Roman"/>
                      <w:color w:val="auto"/>
                      <w:sz w:val="21"/>
                      <w:szCs w:val="21"/>
                    </w:rPr>
                    <w:t>，最高排放速率为0.011kg/h，排放浓度和排放速率均满足《大气污染物综合排放标准》（GB16297-1996）表2二级限值要求。</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验收监测期间，厂界无组织排放的VOCs周界外浓度最高点浓度为1.22mg/</w:t>
                  </w:r>
                  <w:r>
                    <w:rPr>
                      <w:rFonts w:hint="eastAsia" w:ascii="Times New Roman" w:hAnsi="Times New Roman"/>
                      <w:color w:val="auto"/>
                      <w:sz w:val="21"/>
                      <w:szCs w:val="21"/>
                      <w:lang w:eastAsia="zh-CN"/>
                    </w:rPr>
                    <w:t>m</w:t>
                  </w:r>
                  <w:r>
                    <w:rPr>
                      <w:rFonts w:hint="eastAsia" w:ascii="Times New Roman" w:hAnsi="Times New Roman"/>
                      <w:color w:val="auto"/>
                      <w:sz w:val="21"/>
                      <w:szCs w:val="21"/>
                      <w:vertAlign w:val="superscript"/>
                      <w:lang w:eastAsia="zh-CN"/>
                    </w:rPr>
                    <w:t>3</w:t>
                  </w:r>
                  <w:r>
                    <w:rPr>
                      <w:rFonts w:hint="eastAsia" w:ascii="Times New Roman" w:hAnsi="Times New Roman"/>
                      <w:color w:val="auto"/>
                      <w:sz w:val="21"/>
                      <w:szCs w:val="21"/>
                    </w:rPr>
                    <w:t>，二甲苯周界外浓度最高点浓度为未检出，均满足山东省《挥发性有机物排放标准 第7部分：其他行业》（DB37/2801.7-2019）表2厂界监控点浓度限值要求；氯化氢周界外浓度最高点浓度为未检出，满足《大气污染物综合排放标准》（GB16297-1996）表2无组织排放监控浓度限值要求。</w:t>
                  </w:r>
                </w:p>
                <w:p>
                  <w:pPr>
                    <w:pStyle w:val="2"/>
                    <w:autoSpaceDE/>
                    <w:autoSpaceDN/>
                    <w:adjustRightInd/>
                    <w:ind w:firstLine="420" w:firstLineChars="200"/>
                    <w:jc w:val="both"/>
                    <w:rPr>
                      <w:rFonts w:ascii="Times New Roman" w:hAnsi="Times New Roman"/>
                      <w:color w:val="auto"/>
                      <w:sz w:val="21"/>
                      <w:szCs w:val="21"/>
                    </w:rPr>
                  </w:pPr>
                  <w:r>
                    <w:rPr>
                      <w:rFonts w:hint="eastAsia" w:ascii="Times New Roman" w:hAnsi="Times New Roman"/>
                      <w:color w:val="auto"/>
                      <w:sz w:val="21"/>
                      <w:szCs w:val="21"/>
                    </w:rPr>
                    <w:t>车间外通风口下风向1m处非甲烷总烃最大1h平均浓度值为1.23mg/</w:t>
                  </w:r>
                  <w:r>
                    <w:rPr>
                      <w:rFonts w:hint="eastAsia" w:ascii="Times New Roman" w:hAnsi="Times New Roman"/>
                      <w:color w:val="auto"/>
                      <w:sz w:val="21"/>
                      <w:szCs w:val="21"/>
                      <w:lang w:eastAsia="zh-CN"/>
                    </w:rPr>
                    <w:t>m</w:t>
                  </w:r>
                  <w:r>
                    <w:rPr>
                      <w:rFonts w:hint="eastAsia" w:ascii="Times New Roman" w:hAnsi="Times New Roman"/>
                      <w:color w:val="auto"/>
                      <w:sz w:val="21"/>
                      <w:szCs w:val="21"/>
                      <w:vertAlign w:val="superscript"/>
                      <w:lang w:eastAsia="zh-CN"/>
                    </w:rPr>
                    <w:t>3</w:t>
                  </w:r>
                  <w:r>
                    <w:rPr>
                      <w:rFonts w:hint="eastAsia" w:ascii="Times New Roman" w:hAnsi="Times New Roman"/>
                      <w:color w:val="auto"/>
                      <w:sz w:val="21"/>
                      <w:szCs w:val="21"/>
                    </w:rPr>
                    <w:t>，满足《挥发性有机物无组织排放控制标准》（GB37822-2019）的附录A中表A.1限值要求。</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废水</w:t>
                  </w:r>
                </w:p>
              </w:tc>
              <w:tc>
                <w:tcPr>
                  <w:tcW w:w="162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严格落实废水污染防治措施。项目生活污水经化粪池处理后与地面清洁废水、实验人员洗手废水、实验器皿后两次清洗废水、纯水制备浓水经银丰国际生物城污水处理站处理，满足《污水排入城镇下水道水质标准》（GB/T31962-2015）标准要求和巨野河污水处理厂进水水质要求后，经市政污水管网排入巨野河污水处理厂进行集中处理。</w:t>
                  </w:r>
                </w:p>
              </w:tc>
              <w:tc>
                <w:tcPr>
                  <w:tcW w:w="2328"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项目分子分型废水、病理TCT废水、实验器皿前两次清洗废水，统称为实验废液，作为医废，暂存于医疗+危废暂存间，医疗废物委托济南腾笙环保科技有限公司处理，不外排。项目生活污水排入化粪池预处理后与地面清洁废水、实验人员洗手废水、实验器皿后两次清洗废水和纯水制备废水，经园区污水管网进入银丰国际生物城污水处理站处理后，通过市政管污水管网排入巨野河污水处理厂，经巨野河污水处理厂深度处理，最终经西巨野河排入小清河。</w:t>
                  </w:r>
                </w:p>
                <w:p>
                  <w:pPr>
                    <w:spacing w:line="240" w:lineRule="auto"/>
                    <w:ind w:firstLine="420"/>
                    <w:rPr>
                      <w:sz w:val="21"/>
                      <w:szCs w:val="21"/>
                    </w:rPr>
                  </w:pPr>
                  <w:r>
                    <w:rPr>
                      <w:rFonts w:hint="eastAsia"/>
                      <w:sz w:val="21"/>
                      <w:szCs w:val="21"/>
                    </w:rPr>
                    <w:t>验收监测期间，企业污水总排口主要污染物氨氮、化学需氧量最大日均浓度分别为42.8mg/L、326mg/L，均满足银丰国际生物城污水处理站进水水质要求；银丰国际生物城污水处理站出口主要污染物pH值在7.4-7.6之间，氨氮、化学需氧量、总磷、悬浮物、溶解性总固体、五日生化需氧量最大日均浓度分别为13.4mg/L、156mg/L、1.91mg/L、14mg/L、434mg/L、43.3mg/L，均满足《污水排入城镇下水道水质标准》（GB/T 31962-2015）A 级标准要求。</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噪声</w:t>
                  </w:r>
                </w:p>
              </w:tc>
              <w:tc>
                <w:tcPr>
                  <w:tcW w:w="162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强化噪声污染防治措施。采取合理布局、高噪声设备基础减振，建筑隔声、选用低噪声设备等措施，厂界噪声达到《工业企业厂界环境噪声排放标准》(GB12348-2008)2 类标准要求。</w:t>
                  </w:r>
                </w:p>
              </w:tc>
              <w:tc>
                <w:tcPr>
                  <w:tcW w:w="2328" w:type="pct"/>
                  <w:tcBorders>
                    <w:tl2br w:val="nil"/>
                    <w:tr2bl w:val="nil"/>
                  </w:tcBorders>
                  <w:shd w:val="clear" w:color="auto" w:fill="auto"/>
                  <w:vAlign w:val="center"/>
                </w:tcPr>
                <w:p>
                  <w:pPr>
                    <w:numPr>
                      <w:ilvl w:val="255"/>
                      <w:numId w:val="0"/>
                    </w:numPr>
                    <w:spacing w:line="240" w:lineRule="auto"/>
                    <w:ind w:firstLine="420" w:firstLineChars="200"/>
                    <w:rPr>
                      <w:sz w:val="21"/>
                      <w:szCs w:val="21"/>
                    </w:rPr>
                  </w:pPr>
                  <w:r>
                    <w:rPr>
                      <w:rFonts w:hint="eastAsia"/>
                      <w:sz w:val="21"/>
                      <w:szCs w:val="21"/>
                    </w:rPr>
                    <w:t>项目产生的噪声主要是实验室设备等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sz w:val="21"/>
                      <w:szCs w:val="21"/>
                    </w:rPr>
                  </w:pPr>
                  <w:r>
                    <w:rPr>
                      <w:rFonts w:hint="eastAsia"/>
                      <w:sz w:val="21"/>
                      <w:szCs w:val="21"/>
                    </w:rPr>
                    <w:t>验收监测期间，项目1#东厂界、2#南厂界、3#北厂界，昼间厂界噪声最大值分别为53.3dB（A）、53.5dB（A）、53.6dB（A），均满足《工业企业厂界环境噪声排放标准》（GB12348-2008）2类昼间标准（项目西侧与其他企业相邻，共用一堵墙，无法进行监测）；项目东南侧100m的4#公寓A12楼，敏感点噪声最大值为53.7dB（A），满足《声环境质量标准》(GB3096-2008)2类昼间标准。项目夜间不运行。</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固废</w:t>
                  </w:r>
                </w:p>
              </w:tc>
              <w:tc>
                <w:tcPr>
                  <w:tcW w:w="162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落实固体废物处理处置措施。按照固体废物“资源化、减量化、无害化”处置的原则，落实各类固体废物的收集、处置和综合利用措施。强化固体废物（含一般工业固体废物和危险废物）分类、全过程管理，按要求规范分类、建立专门的固体废物贮存场所，采取防扬散、防流失、防渗漏等环保措施，规范张贴标志标识，分类分区贮存；建立完善固体废物管理台账；将固体废物交由具备主体资格和技术能力的单位进行利用、处置，特别是危险废物必须交由具有危险废物经营许可证的单位进行收集、利用、处置；如实申报固体废物产生、贮存、转移、利用和处置情况，按时对固体废物污染防治信息进行公开。生活垃圾及时交由环卫部门或环卫部门委托指定单位进行清运处理。</w:t>
                  </w:r>
                </w:p>
              </w:tc>
              <w:tc>
                <w:tcPr>
                  <w:tcW w:w="2328" w:type="pct"/>
                  <w:tcBorders>
                    <w:tl2br w:val="nil"/>
                    <w:tr2bl w:val="nil"/>
                  </w:tcBorders>
                  <w:shd w:val="clear" w:color="auto" w:fill="auto"/>
                  <w:vAlign w:val="center"/>
                </w:tcPr>
                <w:p>
                  <w:pPr>
                    <w:spacing w:line="240" w:lineRule="auto"/>
                    <w:ind w:firstLine="420"/>
                    <w:jc w:val="left"/>
                    <w:rPr>
                      <w:rFonts w:hint="eastAsia"/>
                      <w:sz w:val="21"/>
                      <w:szCs w:val="21"/>
                    </w:rPr>
                  </w:pPr>
                  <w:r>
                    <w:rPr>
                      <w:rFonts w:hint="eastAsia"/>
                      <w:sz w:val="21"/>
                      <w:szCs w:val="21"/>
                    </w:rPr>
                    <w:t>项目产生的固体废物主要是纯水机废滤芯、废RO膜、未沾染药品检测样品废包装物、废试剂瓶、实验废液、实验废物、废样本、废活性炭和生活垃圾。</w:t>
                  </w:r>
                </w:p>
                <w:p>
                  <w:pPr>
                    <w:spacing w:line="240" w:lineRule="auto"/>
                    <w:ind w:firstLine="420"/>
                    <w:jc w:val="left"/>
                    <w:rPr>
                      <w:sz w:val="21"/>
                      <w:szCs w:val="21"/>
                    </w:rPr>
                  </w:pPr>
                  <w:r>
                    <w:rPr>
                      <w:rFonts w:hint="eastAsia"/>
                      <w:sz w:val="21"/>
                      <w:szCs w:val="21"/>
                    </w:rPr>
                    <w:t>生活垃圾委托环卫部门定期清运；纯水机废滤芯、废RO膜由设备厂家回收处理；未沾染药品检测样品废包装物外售资源回收单位；废试剂瓶、废活性炭作为危废处理，实验废液、实验废物、废样本作为医废处理，暂存于医疗+危废暂存间，医疗废物委托济南腾笙环保科技有限公司处理；危险危废产生待转移时，委托有资质单位处置。</w:t>
                  </w:r>
                </w:p>
                <w:p>
                  <w:pPr>
                    <w:spacing w:line="240" w:lineRule="auto"/>
                    <w:ind w:firstLine="420"/>
                    <w:jc w:val="left"/>
                    <w:rPr>
                      <w:sz w:val="21"/>
                      <w:szCs w:val="21"/>
                    </w:rPr>
                  </w:pPr>
                  <w:r>
                    <w:rPr>
                      <w:rFonts w:hint="eastAsia"/>
                      <w:sz w:val="21"/>
                      <w:szCs w:val="21"/>
                    </w:rPr>
                    <w:t>一般固体废物处置满足《一般工业固体废物贮存和填埋污染控制标准》（GB18599-2020）要求；危险废物处置满足《危险废物贮存污染控制标准》（GB18597-2001）及修改单的规定；医疗废物处置满足《医疗废物管理条例》（国务院第380号令）、《医疗废物集中处置技术规范（试行）》、《山东省医疗机构污染物排放控制标准》（DB37/596-2020）。</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hint="eastAsia" w:ascii="Times New Roman" w:hAnsi="Times New Roman"/>
                      <w:b/>
                      <w:bCs/>
                      <w:color w:val="auto"/>
                      <w:sz w:val="21"/>
                      <w:szCs w:val="21"/>
                    </w:rPr>
                    <w:t>总量控制</w:t>
                  </w:r>
                </w:p>
              </w:tc>
              <w:tc>
                <w:tcPr>
                  <w:tcW w:w="162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污染物总量控制及排污许可要求。项目主要污染物排放总量应满足生态环境部门确认的总量控制指标要求。</w:t>
                  </w:r>
                </w:p>
              </w:tc>
              <w:tc>
                <w:tcPr>
                  <w:tcW w:w="2328"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项目实验室废气排气筒年排气时间约为600小时，根据验收监测结果核算，项目排放量VOCs：0.0052t/a，满足环评批复总量控制要求（VOCs：0.0094t/a）。</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满足要求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9" w:type="pct"/>
                  <w:tcBorders>
                    <w:tl2br w:val="nil"/>
                    <w:tr2bl w:val="nil"/>
                  </w:tcBorders>
                  <w:shd w:val="clear" w:color="auto" w:fill="auto"/>
                  <w:vAlign w:val="center"/>
                </w:tcPr>
                <w:p>
                  <w:pPr>
                    <w:pStyle w:val="2"/>
                    <w:jc w:val="center"/>
                    <w:rPr>
                      <w:rFonts w:ascii="Times New Roman" w:hAnsi="Times New Roman"/>
                      <w:b/>
                      <w:bCs/>
                      <w:color w:val="auto"/>
                      <w:sz w:val="21"/>
                      <w:szCs w:val="21"/>
                    </w:rPr>
                  </w:pPr>
                  <w:r>
                    <w:rPr>
                      <w:rFonts w:ascii="Times New Roman" w:hAnsi="Times New Roman"/>
                      <w:b/>
                      <w:bCs/>
                      <w:color w:val="auto"/>
                      <w:sz w:val="21"/>
                      <w:szCs w:val="21"/>
                    </w:rPr>
                    <w:t>排污许可</w:t>
                  </w:r>
                </w:p>
              </w:tc>
              <w:tc>
                <w:tcPr>
                  <w:tcW w:w="162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在发生实际排污行为前，按照经批准的环境影响评价文件认真分析并确认各项环境保护措施落实后，依法申领排污许可证。</w:t>
                  </w:r>
                </w:p>
              </w:tc>
              <w:tc>
                <w:tcPr>
                  <w:tcW w:w="2328" w:type="pct"/>
                  <w:tcBorders>
                    <w:tl2br w:val="nil"/>
                    <w:tr2bl w:val="nil"/>
                  </w:tcBorders>
                  <w:shd w:val="clear" w:color="auto" w:fill="auto"/>
                  <w:vAlign w:val="center"/>
                </w:tcPr>
                <w:p>
                  <w:pPr>
                    <w:spacing w:line="240" w:lineRule="auto"/>
                    <w:ind w:firstLine="420"/>
                    <w:jc w:val="center"/>
                    <w:rPr>
                      <w:sz w:val="21"/>
                      <w:szCs w:val="21"/>
                    </w:rPr>
                  </w:pPr>
                  <w:r>
                    <w:rPr>
                      <w:rFonts w:hint="eastAsia"/>
                      <w:sz w:val="21"/>
                      <w:szCs w:val="21"/>
                    </w:rPr>
                    <w:t>项目行业类别属于M7340医学研究和试验发展、M7451检验检疫服务，根据《固定污染源排污许可分类管理名录（2019 年版）》，项目不在固定污染源排污许可分类管理名录之内，可不需申请排污许可证。</w:t>
                  </w:r>
                </w:p>
              </w:tc>
              <w:tc>
                <w:tcPr>
                  <w:tcW w:w="679" w:type="pct"/>
                  <w:tcBorders>
                    <w:tl2br w:val="nil"/>
                    <w:tr2bl w:val="nil"/>
                  </w:tcBorders>
                  <w:shd w:val="clear" w:color="auto" w:fill="auto"/>
                  <w:vAlign w:val="center"/>
                </w:tcPr>
                <w:p>
                  <w:pPr>
                    <w:pStyle w:val="2"/>
                    <w:jc w:val="center"/>
                    <w:rPr>
                      <w:rFonts w:ascii="Times New Roman" w:hAnsi="Times New Roman"/>
                      <w:color w:val="auto"/>
                      <w:sz w:val="21"/>
                      <w:szCs w:val="21"/>
                    </w:rPr>
                  </w:pPr>
                  <w:r>
                    <w:rPr>
                      <w:rFonts w:ascii="Times New Roman" w:hAnsi="Times New Roman"/>
                      <w:color w:val="auto"/>
                      <w:sz w:val="21"/>
                      <w:szCs w:val="21"/>
                    </w:rPr>
                    <w:t>已落实，无变更</w:t>
                  </w:r>
                </w:p>
              </w:tc>
            </w:tr>
          </w:tbl>
          <w:p>
            <w:pPr>
              <w:pStyle w:val="38"/>
              <w:snapToGrid w:val="0"/>
              <w:ind w:firstLine="0" w:firstLineChars="0"/>
              <w:rPr>
                <w:rFonts w:cs="Times New Roman"/>
              </w:rPr>
            </w:pPr>
          </w:p>
        </w:tc>
      </w:tr>
    </w:tbl>
    <w:p>
      <w:pPr>
        <w:snapToGrid w:val="0"/>
        <w:spacing w:line="240" w:lineRule="auto"/>
        <w:ind w:firstLine="0" w:firstLineChars="0"/>
        <w:outlineLvl w:val="0"/>
        <w:rPr>
          <w:b/>
          <w:bCs/>
          <w:sz w:val="30"/>
          <w:szCs w:val="30"/>
        </w:rPr>
      </w:pPr>
      <w:bookmarkStart w:id="199" w:name="_Toc20923"/>
      <w:bookmarkStart w:id="200" w:name="_Toc32636"/>
      <w:bookmarkStart w:id="201" w:name="_Toc9381"/>
      <w:bookmarkStart w:id="202" w:name="_Toc22787"/>
      <w:bookmarkStart w:id="203" w:name="_Toc18624"/>
      <w:bookmarkStart w:id="204" w:name="_Toc8940"/>
      <w:bookmarkStart w:id="205" w:name="_Toc18894"/>
      <w:bookmarkStart w:id="206" w:name="_Toc24915"/>
      <w:bookmarkStart w:id="207" w:name="_Toc21732"/>
      <w:bookmarkStart w:id="208" w:name="_Toc32634"/>
      <w:bookmarkStart w:id="209" w:name="_Toc23110"/>
      <w:bookmarkStart w:id="210" w:name="_Toc32687"/>
      <w:bookmarkStart w:id="211" w:name="_Toc25742"/>
      <w:bookmarkStart w:id="212" w:name="_Toc16311"/>
      <w:r>
        <w:rPr>
          <w:b/>
          <w:bCs/>
          <w:sz w:val="30"/>
          <w:szCs w:val="30"/>
        </w:rPr>
        <w:br w:type="page"/>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Start w:id="213" w:name="_Toc3613"/>
      <w:bookmarkStart w:id="214" w:name="_Toc26788"/>
      <w:bookmarkStart w:id="215" w:name="_Toc23497"/>
      <w:bookmarkStart w:id="216" w:name="_Toc11806"/>
      <w:bookmarkStart w:id="217" w:name="_Toc21657"/>
      <w:bookmarkStart w:id="218" w:name="_Toc4110"/>
      <w:bookmarkStart w:id="219" w:name="_Toc16334"/>
      <w:bookmarkStart w:id="220" w:name="_Toc15276"/>
      <w:bookmarkStart w:id="221" w:name="_Toc22634"/>
      <w:bookmarkStart w:id="222" w:name="_Toc18700"/>
      <w:bookmarkStart w:id="223" w:name="_Toc13258"/>
      <w:bookmarkStart w:id="224" w:name="_Toc20442"/>
      <w:bookmarkStart w:id="225" w:name="_Toc6407"/>
      <w:bookmarkStart w:id="226" w:name="_Toc5662"/>
      <w:bookmarkStart w:id="227" w:name="_Toc11106"/>
      <w:bookmarkStart w:id="228" w:name="_Toc25702"/>
      <w:bookmarkStart w:id="229" w:name="_Toc30238"/>
      <w:bookmarkStart w:id="230" w:name="_Toc12263"/>
      <w:bookmarkStart w:id="231" w:name="_Toc24634"/>
      <w:bookmarkStart w:id="232" w:name="_Toc21259"/>
      <w:bookmarkStart w:id="233" w:name="_Toc1906"/>
      <w:bookmarkStart w:id="234" w:name="_Toc7291"/>
      <w:bookmarkStart w:id="235" w:name="_Toc28843"/>
      <w:bookmarkStart w:id="236" w:name="_Toc5609"/>
      <w:bookmarkStart w:id="237" w:name="_Toc32675"/>
      <w:bookmarkStart w:id="238" w:name="_Toc19481"/>
      <w:bookmarkStart w:id="239" w:name="_Toc29175"/>
      <w:bookmarkStart w:id="240" w:name="_Toc9124"/>
      <w:bookmarkStart w:id="241" w:name="_Toc22248"/>
      <w:bookmarkStart w:id="242" w:name="_Toc3734"/>
      <w:bookmarkStart w:id="243" w:name="_Toc15052"/>
      <w:bookmarkStart w:id="244" w:name="_Toc11054"/>
      <w:bookmarkStart w:id="245" w:name="_Toc13182"/>
      <w:bookmarkStart w:id="246" w:name="_Toc28437"/>
      <w:bookmarkStart w:id="247" w:name="_Toc13251"/>
      <w:bookmarkStart w:id="248" w:name="_Toc12503"/>
      <w:bookmarkStart w:id="249" w:name="_Toc15751"/>
      <w:bookmarkStart w:id="250" w:name="_Toc1251"/>
      <w:bookmarkStart w:id="251" w:name="_Toc13478"/>
      <w:bookmarkStart w:id="252" w:name="_Toc1575"/>
      <w:bookmarkStart w:id="253" w:name="_Toc23240"/>
      <w:bookmarkStart w:id="254" w:name="_Toc8531"/>
      <w:bookmarkStart w:id="255" w:name="_Toc3345"/>
      <w:bookmarkStart w:id="256" w:name="_Toc10302"/>
      <w:bookmarkStart w:id="257" w:name="_Toc22505"/>
      <w:bookmarkStart w:id="258" w:name="_Toc26466"/>
      <w:bookmarkStart w:id="259" w:name="_Toc27956"/>
      <w:r>
        <w:rPr>
          <w:b/>
          <w:bCs/>
          <w:sz w:val="30"/>
          <w:szCs w:val="30"/>
        </w:rPr>
        <w:t>表</w:t>
      </w:r>
      <w:r>
        <w:rPr>
          <w:rFonts w:hint="eastAsia"/>
          <w:b/>
          <w:bCs/>
          <w:sz w:val="30"/>
          <w:szCs w:val="30"/>
        </w:rPr>
        <w:t>5</w:t>
      </w:r>
      <w:r>
        <w:rPr>
          <w:b/>
          <w:bCs/>
          <w:sz w:val="30"/>
          <w:szCs w:val="30"/>
        </w:rPr>
        <w:t xml:space="preserve">  验收监测质量保证及质量控制</w:t>
      </w:r>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pPr>
            <w:r>
              <w:t>为保证验收监测数据的合理性、可靠性、准确性，对监测的全过程（布点、采样、样品贮存、实验室分析和数据处理等）进行了质量控制，具体要求如下：</w:t>
            </w:r>
          </w:p>
          <w:p>
            <w:pPr>
              <w:widowControl/>
              <w:numPr>
                <w:ilvl w:val="0"/>
                <w:numId w:val="9"/>
              </w:numPr>
              <w:ind w:firstLine="480"/>
              <w:jc w:val="left"/>
            </w:pPr>
            <w:r>
              <w:t>所有参加监测采样和分析人员必须持证上岗。</w:t>
            </w:r>
          </w:p>
          <w:p>
            <w:pPr>
              <w:widowControl/>
              <w:numPr>
                <w:ilvl w:val="0"/>
                <w:numId w:val="9"/>
              </w:numPr>
              <w:ind w:firstLine="480"/>
              <w:jc w:val="left"/>
            </w:pPr>
            <w:r>
              <w:t>由厂方提供验收监测期间的工况条件，验收监测工况负荷达到额定负荷。</w:t>
            </w:r>
          </w:p>
          <w:p>
            <w:pPr>
              <w:widowControl/>
              <w:numPr>
                <w:ilvl w:val="0"/>
                <w:numId w:val="9"/>
              </w:numPr>
              <w:ind w:firstLine="480"/>
              <w:jc w:val="left"/>
            </w:pPr>
            <w:r>
              <w:t>严格按照验收监测方案的要求开展监测工作。</w:t>
            </w:r>
          </w:p>
          <w:p>
            <w:pPr>
              <w:widowControl/>
              <w:numPr>
                <w:ilvl w:val="0"/>
                <w:numId w:val="9"/>
              </w:numPr>
              <w:ind w:firstLine="480"/>
              <w:jc w:val="left"/>
            </w:pPr>
            <w:r>
              <w:t>合理规范设施监测点位、确定监测因子与频次，保证验收监测数据的准确性和代表性。</w:t>
            </w:r>
          </w:p>
          <w:p>
            <w:pPr>
              <w:widowControl/>
              <w:numPr>
                <w:ilvl w:val="0"/>
                <w:numId w:val="9"/>
              </w:numPr>
              <w:ind w:firstLine="480"/>
              <w:jc w:val="left"/>
            </w:pPr>
            <w:r>
              <w:t>采样人员严格遵照采样技术规范进行采样工作，认真填写采样记录，按规定保存、运输样品。</w:t>
            </w:r>
          </w:p>
          <w:p>
            <w:pPr>
              <w:widowControl/>
              <w:numPr>
                <w:ilvl w:val="0"/>
                <w:numId w:val="9"/>
              </w:numPr>
              <w:ind w:firstLine="480"/>
              <w:jc w:val="left"/>
            </w:pPr>
            <w:r>
              <w:t>监测分析采用国家有关部门颁布的标准分析方法或推荐方法；监测人员经过考核合格并持有上岗证；所用监测仪器、量具均经计量部门检定合格并在有效期内使用。</w:t>
            </w:r>
          </w:p>
          <w:p>
            <w:pPr>
              <w:widowControl/>
              <w:numPr>
                <w:ilvl w:val="0"/>
                <w:numId w:val="9"/>
              </w:numPr>
              <w:ind w:firstLine="480"/>
              <w:jc w:val="left"/>
            </w:pPr>
            <w:r>
              <w:t>气样测定前校准仪器，在测试时保证其采样流量。</w:t>
            </w:r>
          </w:p>
          <w:p>
            <w:pPr>
              <w:widowControl/>
              <w:numPr>
                <w:ilvl w:val="0"/>
                <w:numId w:val="9"/>
              </w:numPr>
              <w:ind w:firstLine="480"/>
              <w:jc w:val="left"/>
            </w:pPr>
            <w:r>
              <w:t>采样分析及分析结果按国家标准和监测技术规范的相关要求进行数据处理和填报。</w:t>
            </w:r>
          </w:p>
          <w:p>
            <w:pPr>
              <w:widowControl/>
              <w:numPr>
                <w:ilvl w:val="0"/>
                <w:numId w:val="9"/>
              </w:numPr>
              <w:ind w:firstLine="480"/>
              <w:jc w:val="left"/>
            </w:pPr>
            <w:r>
              <w:t>监测数据和报告严格执行三级审核制度。</w:t>
            </w:r>
          </w:p>
          <w:p>
            <w:pPr>
              <w:ind w:firstLine="482"/>
              <w:rPr>
                <w:b/>
                <w:bCs/>
              </w:rPr>
            </w:pPr>
            <w:r>
              <w:rPr>
                <w:rFonts w:hint="eastAsia"/>
                <w:b/>
                <w:bCs/>
              </w:rPr>
              <w:t>1、气体监测分析过程中的质量保证和质量控制</w:t>
            </w:r>
          </w:p>
          <w:p>
            <w:pPr>
              <w:ind w:firstLine="480"/>
            </w:pPr>
            <w:r>
              <w:t>监测质量保证和质量控制按照《固定污染源监测质量保证与质量控制技术规范（试行）》（HJ/T373-2007）、《大气污染物无组织排放监测技术导则》（HJ/T 55-2000）的相关要求进行。</w:t>
            </w:r>
          </w:p>
          <w:p>
            <w:pPr>
              <w:ind w:firstLine="480"/>
            </w:pPr>
            <w: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pPr>
            <w:r>
              <w:t>（2）采样员在采样前认真检查并确认了废气采样管、滤料、吸收瓶的清洁度，确保采样设备及容器符合采样要求。</w:t>
            </w:r>
          </w:p>
          <w:p>
            <w:pPr>
              <w:ind w:firstLine="480"/>
            </w:pPr>
            <w:r>
              <w:t>（3）现场监测设备在投入使用前，采样员对仪器设备都进行了检查和校准，并保持检查和校准记录。</w:t>
            </w:r>
          </w:p>
          <w:p>
            <w:pPr>
              <w:ind w:firstLine="480"/>
            </w:pPr>
            <w:r>
              <w:t>（4）废气采样系统连接好后对其进行了气密性检查，确保整体系统不漏气。</w:t>
            </w:r>
          </w:p>
          <w:p>
            <w:pPr>
              <w:autoSpaceDE w:val="0"/>
              <w:autoSpaceDN w:val="0"/>
              <w:ind w:firstLine="480"/>
            </w:pPr>
            <w:r>
              <w:t>（5）监测数据和技术报告执行了三级审核制度。</w:t>
            </w:r>
          </w:p>
          <w:p>
            <w:pPr>
              <w:pStyle w:val="71"/>
              <w:ind w:firstLine="480"/>
              <w:jc w:val="left"/>
              <w:rPr>
                <w:sz w:val="24"/>
                <w:szCs w:val="24"/>
              </w:rPr>
            </w:pPr>
            <w:r>
              <w:rPr>
                <w:rFonts w:hint="eastAsia"/>
                <w:sz w:val="24"/>
                <w:szCs w:val="24"/>
              </w:rPr>
              <w:t>本项目废气质量保证和质量控制见下表。</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5-1</w:t>
            </w:r>
            <w:r>
              <w:rPr>
                <w:rFonts w:ascii="Times New Roman" w:hAnsi="Times New Roman" w:cs="Times New Roman"/>
                <w:b/>
                <w:bCs/>
              </w:rPr>
              <w:t xml:space="preserve"> </w:t>
            </w:r>
            <w:r>
              <w:rPr>
                <w:rFonts w:hint="eastAsia" w:ascii="Times New Roman" w:hAnsi="Times New Roman" w:cs="Times New Roman"/>
                <w:b/>
                <w:bCs/>
              </w:rPr>
              <w:t xml:space="preserve"> </w:t>
            </w:r>
            <w:r>
              <w:rPr>
                <w:rFonts w:ascii="Times New Roman" w:hAnsi="Times New Roman" w:cs="Times New Roman"/>
                <w:b/>
                <w:bCs/>
              </w:rPr>
              <w:t>废气监测分析质量控制表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1109"/>
              <w:gridCol w:w="1527"/>
              <w:gridCol w:w="1557"/>
              <w:gridCol w:w="1320"/>
              <w:gridCol w:w="1108"/>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22" w:type="pct"/>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1527" w:type="dxa"/>
                  <w:vAlign w:val="center"/>
                </w:tcPr>
                <w:p>
                  <w:pPr>
                    <w:pStyle w:val="38"/>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测量结果</w:t>
                  </w:r>
                </w:p>
                <w:p>
                  <w:pPr>
                    <w:pStyle w:val="38"/>
                    <w:snapToGrid w:val="0"/>
                    <w:spacing w:line="240" w:lineRule="auto"/>
                    <w:ind w:firstLine="0" w:firstLineChars="0"/>
                    <w:jc w:val="center"/>
                    <w:rPr>
                      <w:rFonts w:cs="Times New Roman"/>
                      <w:b/>
                      <w:bCs/>
                      <w:sz w:val="21"/>
                      <w:szCs w:val="21"/>
                    </w:rPr>
                  </w:pPr>
                  <w:r>
                    <w:rPr>
                      <w:rFonts w:hint="eastAsia" w:cs="Times New Roman"/>
                      <w:b/>
                      <w:bCs/>
                      <w:color w:val="auto"/>
                      <w:sz w:val="21"/>
                      <w:szCs w:val="21"/>
                      <w:highlight w:val="none"/>
                    </w:rPr>
                    <w:t>（</w:t>
                  </w:r>
                  <w:r>
                    <w:rPr>
                      <w:rFonts w:hint="eastAsia" w:cs="Times New Roman"/>
                      <w:b/>
                      <w:bCs/>
                      <w:color w:val="auto"/>
                      <w:sz w:val="21"/>
                      <w:szCs w:val="21"/>
                      <w:highlight w:val="none"/>
                      <w:lang w:val="en-US" w:eastAsia="zh-CN"/>
                    </w:rPr>
                    <w:t>umol/mol</w:t>
                  </w:r>
                  <w:r>
                    <w:rPr>
                      <w:rFonts w:hint="eastAsia" w:cs="Times New Roman"/>
                      <w:b/>
                      <w:bCs/>
                      <w:color w:val="auto"/>
                      <w:sz w:val="21"/>
                      <w:szCs w:val="21"/>
                      <w:highlight w:val="none"/>
                    </w:rPr>
                    <w:t>）</w:t>
                  </w:r>
                </w:p>
              </w:tc>
              <w:tc>
                <w:tcPr>
                  <w:tcW w:w="1557" w:type="dxa"/>
                  <w:vAlign w:val="center"/>
                </w:tcPr>
                <w:p>
                  <w:pPr>
                    <w:pStyle w:val="38"/>
                    <w:snapToGrid w:val="0"/>
                    <w:spacing w:line="240" w:lineRule="auto"/>
                    <w:ind w:firstLine="0" w:firstLineChars="0"/>
                    <w:jc w:val="center"/>
                    <w:rPr>
                      <w:rFonts w:cs="Times New Roman"/>
                      <w:b/>
                      <w:bCs/>
                      <w:sz w:val="21"/>
                      <w:szCs w:val="21"/>
                    </w:rPr>
                  </w:pPr>
                  <w:r>
                    <w:rPr>
                      <w:rFonts w:cs="Times New Roman"/>
                      <w:b/>
                      <w:bCs/>
                      <w:color w:val="auto"/>
                      <w:sz w:val="21"/>
                      <w:szCs w:val="21"/>
                      <w:highlight w:val="none"/>
                    </w:rPr>
                    <w:t>参考结果</w:t>
                  </w:r>
                  <w:r>
                    <w:rPr>
                      <w:rFonts w:hint="eastAsia" w:cs="Times New Roman"/>
                      <w:b/>
                      <w:bCs/>
                      <w:color w:val="auto"/>
                      <w:sz w:val="21"/>
                      <w:szCs w:val="21"/>
                      <w:highlight w:val="none"/>
                    </w:rPr>
                    <w:t>（</w:t>
                  </w:r>
                  <w:r>
                    <w:rPr>
                      <w:rFonts w:hint="eastAsia" w:cs="Times New Roman"/>
                      <w:b/>
                      <w:bCs/>
                      <w:color w:val="auto"/>
                      <w:sz w:val="21"/>
                      <w:szCs w:val="21"/>
                      <w:highlight w:val="none"/>
                      <w:lang w:val="en-US" w:eastAsia="zh-CN"/>
                    </w:rPr>
                    <w:t>umol/mol</w:t>
                  </w:r>
                  <w:r>
                    <w:rPr>
                      <w:rFonts w:hint="eastAsia" w:cs="Times New Roman"/>
                      <w:b/>
                      <w:bCs/>
                      <w:color w:val="auto"/>
                      <w:sz w:val="21"/>
                      <w:szCs w:val="21"/>
                      <w:highlight w:val="none"/>
                    </w:rPr>
                    <w:t>）</w:t>
                  </w:r>
                </w:p>
              </w:tc>
              <w:tc>
                <w:tcPr>
                  <w:tcW w:w="740" w:type="pct"/>
                  <w:tcBorders>
                    <w:bottom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621" w:type="pct"/>
                  <w:tcBorders>
                    <w:top w:val="single" w:color="auto" w:sz="6" w:space="0"/>
                    <w:bottom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结果分析（%）</w:t>
                  </w:r>
                </w:p>
              </w:tc>
              <w:tc>
                <w:tcPr>
                  <w:tcW w:w="626" w:type="pct"/>
                  <w:tcBorders>
                    <w:top w:val="single" w:color="auto" w:sz="6"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总烃</w:t>
                  </w:r>
                </w:p>
              </w:tc>
              <w:tc>
                <w:tcPr>
                  <w:tcW w:w="622"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8.04</w:t>
                  </w:r>
                </w:p>
              </w:tc>
              <w:tc>
                <w:tcPr>
                  <w:tcW w:w="873"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8.00</w:t>
                  </w:r>
                </w:p>
              </w:tc>
              <w:tc>
                <w:tcPr>
                  <w:tcW w:w="740"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相对误差</w:t>
                  </w:r>
                </w:p>
              </w:tc>
              <w:tc>
                <w:tcPr>
                  <w:tcW w:w="621"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0.50</w:t>
                  </w:r>
                </w:p>
              </w:tc>
              <w:tc>
                <w:tcPr>
                  <w:tcW w:w="626"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甲烷</w:t>
                  </w:r>
                </w:p>
              </w:tc>
              <w:tc>
                <w:tcPr>
                  <w:tcW w:w="622"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8.05</w:t>
                  </w:r>
                </w:p>
              </w:tc>
              <w:tc>
                <w:tcPr>
                  <w:tcW w:w="873"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8.00</w:t>
                  </w:r>
                </w:p>
              </w:tc>
              <w:tc>
                <w:tcPr>
                  <w:tcW w:w="740" w:type="pct"/>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相对误差</w:t>
                  </w:r>
                </w:p>
              </w:tc>
              <w:tc>
                <w:tcPr>
                  <w:tcW w:w="621"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0.62</w:t>
                  </w:r>
                </w:p>
              </w:tc>
              <w:tc>
                <w:tcPr>
                  <w:tcW w:w="626" w:type="pct"/>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符合要求</w:t>
                  </w:r>
                </w:p>
              </w:tc>
            </w:tr>
          </w:tbl>
          <w:p>
            <w:pPr>
              <w:ind w:firstLine="482"/>
              <w:rPr>
                <w:b/>
              </w:rPr>
            </w:pPr>
            <w:r>
              <w:rPr>
                <w:b/>
              </w:rPr>
              <w:t>2、水质监测分析过程中的质量保证和质量控制</w:t>
            </w:r>
          </w:p>
          <w:p>
            <w:pPr>
              <w:autoSpaceDE w:val="0"/>
              <w:autoSpaceDN w:val="0"/>
              <w:ind w:firstLine="480"/>
              <w:rPr>
                <w:rFonts w:hint="eastAsia"/>
              </w:rPr>
            </w:pPr>
            <w:r>
              <w:rPr>
                <w:rFonts w:hint="eastAsia"/>
              </w:rPr>
              <w:t>为保证监测分析结果准确可靠，在监测期间，样品采集、运输、保存按照原国家环境保护总局《污水监测技术规范》（HJ 91.1-2019）、《地表水环境质量监测技术规范》（HJ 91.2-2022）和《水质 样品的保存和管理技术规定》（HJ 493-2009）等的技术要求进行。</w:t>
            </w:r>
          </w:p>
          <w:p>
            <w:pPr>
              <w:autoSpaceDE w:val="0"/>
              <w:autoSpaceDN w:val="0"/>
              <w:ind w:firstLine="480"/>
            </w:pPr>
            <w:r>
              <w:t>（1）监测期间及时了解工况情况，确保监测过程中生产负荷满足要求。</w:t>
            </w:r>
          </w:p>
          <w:p>
            <w:pPr>
              <w:autoSpaceDE w:val="0"/>
              <w:autoSpaceDN w:val="0"/>
              <w:ind w:firstLine="480"/>
            </w:pPr>
            <w:r>
              <w:t>（2）监测点位、监测因子与频率及抽样率设置合理规范，保证监测数据具备科学性和代表性。</w:t>
            </w:r>
          </w:p>
          <w:p>
            <w:pPr>
              <w:autoSpaceDE w:val="0"/>
              <w:autoSpaceDN w:val="0"/>
              <w:ind w:firstLine="480"/>
            </w:pPr>
            <w:r>
              <w:t>（3）优先采用国标监测分析方法，监测采样与测试分析人员均经国家考核合格并持证上岗，监测仪器经计量部门检定并在有效使用期内。</w:t>
            </w:r>
          </w:p>
          <w:p>
            <w:pPr>
              <w:autoSpaceDE w:val="0"/>
              <w:autoSpaceDN w:val="0"/>
              <w:ind w:firstLine="480"/>
            </w:pPr>
            <w:r>
              <w:t>（4）按照规范对样品的采集、保存以及运输采取质量控制措施。选用合适的采样容器，并对容器进行洗涤；水样运输前将容器盖盖紧，确认所采水样全部装箱；运输时有专门押运人员；水样交</w:t>
            </w:r>
            <w:r>
              <w:rPr>
                <w:rFonts w:hint="eastAsia"/>
              </w:rPr>
              <w:t>检测部</w:t>
            </w:r>
            <w:r>
              <w:t>时，办理交接手续。</w:t>
            </w:r>
          </w:p>
          <w:p>
            <w:pPr>
              <w:autoSpaceDE w:val="0"/>
              <w:autoSpaceDN w:val="0"/>
              <w:ind w:firstLine="480"/>
            </w:pPr>
            <w:r>
              <w:t>（5）监测数据和技术报告执行三级审核制度。</w:t>
            </w:r>
          </w:p>
          <w:p>
            <w:pPr>
              <w:pStyle w:val="38"/>
              <w:numPr>
                <w:ilvl w:val="255"/>
                <w:numId w:val="0"/>
              </w:numPr>
              <w:ind w:firstLine="480" w:firstLineChars="200"/>
              <w:rPr>
                <w:szCs w:val="21"/>
              </w:rPr>
            </w:pPr>
            <w:r>
              <w:rPr>
                <w:szCs w:val="21"/>
              </w:rPr>
              <w:t>废水监测质量控制结果统计见</w:t>
            </w:r>
            <w:r>
              <w:rPr>
                <w:rFonts w:hint="eastAsia"/>
                <w:szCs w:val="21"/>
              </w:rPr>
              <w:t>下表。</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表5-</w:t>
            </w:r>
            <w:r>
              <w:rPr>
                <w:rFonts w:hint="eastAsia" w:ascii="Times New Roman" w:hAnsi="Times New Roman" w:cs="Times New Roman"/>
                <w:b/>
                <w:bCs/>
              </w:rPr>
              <w:t xml:space="preserve">2  </w:t>
            </w:r>
            <w:r>
              <w:rPr>
                <w:rFonts w:ascii="Times New Roman" w:hAnsi="Times New Roman" w:cs="Times New Roman"/>
                <w:b/>
                <w:bCs/>
              </w:rPr>
              <w:t>水质分析质量控制表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6"/>
              <w:gridCol w:w="879"/>
              <w:gridCol w:w="691"/>
              <w:gridCol w:w="1116"/>
              <w:gridCol w:w="1116"/>
              <w:gridCol w:w="1095"/>
              <w:gridCol w:w="960"/>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样品编号</w:t>
                  </w:r>
                </w:p>
              </w:tc>
              <w:tc>
                <w:tcPr>
                  <w:tcW w:w="879" w:type="dxa"/>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质控</w:t>
                  </w:r>
                </w:p>
                <w:p>
                  <w:pPr>
                    <w:pStyle w:val="38"/>
                    <w:snapToGrid w:val="0"/>
                    <w:spacing w:line="240" w:lineRule="auto"/>
                    <w:ind w:firstLine="0" w:firstLineChars="0"/>
                    <w:jc w:val="center"/>
                    <w:rPr>
                      <w:rFonts w:cs="Times New Roman"/>
                      <w:b/>
                      <w:bCs/>
                      <w:sz w:val="21"/>
                      <w:szCs w:val="21"/>
                    </w:rPr>
                  </w:pPr>
                  <w:r>
                    <w:rPr>
                      <w:rFonts w:cs="Times New Roman"/>
                      <w:b/>
                      <w:bCs/>
                      <w:sz w:val="21"/>
                      <w:szCs w:val="21"/>
                    </w:rPr>
                    <w:t>参数</w:t>
                  </w:r>
                </w:p>
              </w:tc>
              <w:tc>
                <w:tcPr>
                  <w:tcW w:w="691" w:type="dxa"/>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1116" w:type="dxa"/>
                  <w:vAlign w:val="center"/>
                </w:tcPr>
                <w:p>
                  <w:pPr>
                    <w:pStyle w:val="38"/>
                    <w:snapToGrid w:val="0"/>
                    <w:spacing w:line="240" w:lineRule="auto"/>
                    <w:ind w:firstLine="0" w:firstLineChars="0"/>
                    <w:jc w:val="center"/>
                    <w:rPr>
                      <w:rFonts w:cs="Times New Roman"/>
                      <w:b/>
                      <w:bCs/>
                      <w:sz w:val="21"/>
                      <w:szCs w:val="21"/>
                    </w:rPr>
                  </w:pPr>
                  <w:r>
                    <w:rPr>
                      <w:rFonts w:hint="eastAsia" w:cs="Times New Roman"/>
                      <w:b/>
                      <w:bCs/>
                      <w:sz w:val="21"/>
                      <w:szCs w:val="21"/>
                    </w:rPr>
                    <w:t>样品测定值</w:t>
                  </w:r>
                  <w:r>
                    <w:rPr>
                      <w:rFonts w:cs="Times New Roman"/>
                      <w:b/>
                      <w:bCs/>
                      <w:sz w:val="21"/>
                      <w:szCs w:val="21"/>
                    </w:rPr>
                    <w:t>（mg/L）</w:t>
                  </w:r>
                </w:p>
              </w:tc>
              <w:tc>
                <w:tcPr>
                  <w:tcW w:w="1116" w:type="dxa"/>
                  <w:vAlign w:val="center"/>
                </w:tcPr>
                <w:p>
                  <w:pPr>
                    <w:pStyle w:val="38"/>
                    <w:snapToGrid w:val="0"/>
                    <w:spacing w:line="240" w:lineRule="auto"/>
                    <w:ind w:firstLine="0" w:firstLineChars="0"/>
                    <w:jc w:val="center"/>
                    <w:rPr>
                      <w:rFonts w:cs="Times New Roman"/>
                      <w:b/>
                      <w:bCs/>
                      <w:sz w:val="21"/>
                      <w:szCs w:val="21"/>
                    </w:rPr>
                  </w:pPr>
                  <w:r>
                    <w:rPr>
                      <w:rFonts w:hint="eastAsia" w:cs="Times New Roman"/>
                      <w:b/>
                      <w:bCs/>
                      <w:sz w:val="21"/>
                      <w:szCs w:val="21"/>
                    </w:rPr>
                    <w:t>密码平行样测定值</w:t>
                  </w:r>
                  <w:r>
                    <w:rPr>
                      <w:rFonts w:cs="Times New Roman"/>
                      <w:b/>
                      <w:bCs/>
                      <w:sz w:val="21"/>
                      <w:szCs w:val="21"/>
                    </w:rPr>
                    <w:t>（mg/L）</w:t>
                  </w:r>
                </w:p>
              </w:tc>
              <w:tc>
                <w:tcPr>
                  <w:tcW w:w="1095" w:type="dxa"/>
                  <w:tcBorders>
                    <w:bottom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960" w:type="dxa"/>
                  <w:tcBorders>
                    <w:top w:val="single" w:color="auto" w:sz="6" w:space="0"/>
                    <w:bottom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hint="eastAsia" w:cs="Times New Roman"/>
                      <w:b/>
                      <w:bCs/>
                      <w:sz w:val="21"/>
                      <w:szCs w:val="21"/>
                    </w:rPr>
                    <w:t>相对偏差</w:t>
                  </w:r>
                  <w:r>
                    <w:rPr>
                      <w:rFonts w:cs="Times New Roman"/>
                      <w:b/>
                      <w:bCs/>
                      <w:sz w:val="21"/>
                      <w:szCs w:val="21"/>
                    </w:rPr>
                    <w:t>（%）</w:t>
                  </w:r>
                </w:p>
              </w:tc>
              <w:tc>
                <w:tcPr>
                  <w:tcW w:w="743" w:type="dxa"/>
                  <w:tcBorders>
                    <w:top w:val="single" w:color="auto" w:sz="6"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2302025PX1-1004</w:t>
                  </w:r>
                </w:p>
              </w:tc>
              <w:tc>
                <w:tcPr>
                  <w:tcW w:w="879"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氨氮</w:t>
                  </w:r>
                </w:p>
              </w:tc>
              <w:tc>
                <w:tcPr>
                  <w:tcW w:w="691"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9.73</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9.76</w:t>
                  </w:r>
                </w:p>
              </w:tc>
              <w:tc>
                <w:tcPr>
                  <w:tcW w:w="1095"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-0.15</w:t>
                  </w:r>
                </w:p>
              </w:tc>
              <w:tc>
                <w:tcPr>
                  <w:tcW w:w="743"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2302025PX1-1004</w:t>
                  </w:r>
                </w:p>
              </w:tc>
              <w:tc>
                <w:tcPr>
                  <w:tcW w:w="879"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化学需氧量</w:t>
                  </w:r>
                </w:p>
              </w:tc>
              <w:tc>
                <w:tcPr>
                  <w:tcW w:w="691"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127</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126</w:t>
                  </w:r>
                </w:p>
              </w:tc>
              <w:tc>
                <w:tcPr>
                  <w:tcW w:w="1095"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0.40</w:t>
                  </w:r>
                </w:p>
              </w:tc>
              <w:tc>
                <w:tcPr>
                  <w:tcW w:w="743"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2302025PX1-1004</w:t>
                  </w:r>
                </w:p>
              </w:tc>
              <w:tc>
                <w:tcPr>
                  <w:tcW w:w="879"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溶解性总固体</w:t>
                  </w:r>
                </w:p>
              </w:tc>
              <w:tc>
                <w:tcPr>
                  <w:tcW w:w="691"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403</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404</w:t>
                  </w:r>
                </w:p>
              </w:tc>
              <w:tc>
                <w:tcPr>
                  <w:tcW w:w="1095"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-0.12</w:t>
                  </w:r>
                </w:p>
              </w:tc>
              <w:tc>
                <w:tcPr>
                  <w:tcW w:w="743"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2302025PX1-1004</w:t>
                  </w:r>
                </w:p>
              </w:tc>
              <w:tc>
                <w:tcPr>
                  <w:tcW w:w="879"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悬浮物</w:t>
                  </w:r>
                </w:p>
              </w:tc>
              <w:tc>
                <w:tcPr>
                  <w:tcW w:w="691"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12</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11</w:t>
                  </w:r>
                </w:p>
              </w:tc>
              <w:tc>
                <w:tcPr>
                  <w:tcW w:w="1095"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4.35</w:t>
                  </w:r>
                </w:p>
              </w:tc>
              <w:tc>
                <w:tcPr>
                  <w:tcW w:w="743"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5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2302025PX1-1004</w:t>
                  </w:r>
                </w:p>
              </w:tc>
              <w:tc>
                <w:tcPr>
                  <w:tcW w:w="879"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总磷</w:t>
                  </w:r>
                </w:p>
              </w:tc>
              <w:tc>
                <w:tcPr>
                  <w:tcW w:w="691"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密码平行</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2.14</w:t>
                  </w:r>
                </w:p>
              </w:tc>
              <w:tc>
                <w:tcPr>
                  <w:tcW w:w="1116" w:type="dxa"/>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2.15</w:t>
                  </w:r>
                </w:p>
              </w:tc>
              <w:tc>
                <w:tcPr>
                  <w:tcW w:w="1095" w:type="dxa"/>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相对偏差</w:t>
                  </w:r>
                </w:p>
              </w:tc>
              <w:tc>
                <w:tcPr>
                  <w:tcW w:w="960"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-0.23</w:t>
                  </w:r>
                </w:p>
              </w:tc>
              <w:tc>
                <w:tcPr>
                  <w:tcW w:w="743" w:type="dxa"/>
                  <w:tcBorders>
                    <w:top w:val="single" w:color="auto" w:sz="6" w:space="0"/>
                    <w:bottom w:val="single" w:color="auto" w:sz="6"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合格</w:t>
                  </w:r>
                </w:p>
              </w:tc>
            </w:tr>
          </w:tbl>
          <w:p>
            <w:pPr>
              <w:ind w:firstLine="482"/>
              <w:rPr>
                <w:b/>
              </w:rPr>
            </w:pPr>
            <w:r>
              <w:rPr>
                <w:rFonts w:hint="eastAsia"/>
                <w:b/>
              </w:rPr>
              <w:t>3、</w:t>
            </w:r>
            <w:r>
              <w:rPr>
                <w:b/>
              </w:rPr>
              <w:t>噪声监测分析过程中的质量保证和质量控制</w:t>
            </w:r>
          </w:p>
          <w:p>
            <w:pPr>
              <w:autoSpaceDE w:val="0"/>
              <w:autoSpaceDN w:val="0"/>
              <w:ind w:firstLine="480"/>
            </w:pPr>
            <w:r>
              <w:t>噪声测量质量保证与质量控制按《环境噪声监测技术规范噪声测量值修正》</w:t>
            </w:r>
            <w:r>
              <w:rPr>
                <w:rFonts w:hint="eastAsia"/>
              </w:rPr>
              <w:t>（HJ 706-2014）</w:t>
            </w:r>
            <w:r>
              <w:t>和《工业企业厂界环境噪声排放标准》（GB12348-2008）中的有关规定进行。监测时使用经计量部门检定、并在有效试用期内的声级计；声级计在测时前后用标准发生源进行校准。</w:t>
            </w:r>
          </w:p>
          <w:p>
            <w:pPr>
              <w:autoSpaceDE w:val="0"/>
              <w:autoSpaceDN w:val="0"/>
              <w:ind w:firstLine="480"/>
            </w:pPr>
            <w:r>
              <w:t>（1）合理规范地设置监测点位、监测因子与频率，保证监测数据具备科学性和代表性。</w:t>
            </w:r>
          </w:p>
          <w:p>
            <w:pPr>
              <w:autoSpaceDE w:val="0"/>
              <w:autoSpaceDN w:val="0"/>
              <w:ind w:firstLine="480"/>
            </w:pPr>
            <w:r>
              <w:t>（2）优先采用国标监测分析方法，监测采样与测试分析人员均经国家考核合格并持证上岗，监测仪器经计量部门检定并在有效使用期内。</w:t>
            </w:r>
          </w:p>
          <w:p>
            <w:pPr>
              <w:autoSpaceDE w:val="0"/>
              <w:autoSpaceDN w:val="0"/>
              <w:ind w:firstLine="480"/>
            </w:pPr>
            <w:r>
              <w:t>（3）测量时传声器加设防风罩。</w:t>
            </w:r>
          </w:p>
          <w:p>
            <w:pPr>
              <w:autoSpaceDE w:val="0"/>
              <w:autoSpaceDN w:val="0"/>
              <w:ind w:firstLine="480"/>
            </w:pPr>
            <w:r>
              <w:t>（4）测量在无风雪、无雷电天气，风速</w:t>
            </w:r>
            <w:r>
              <w:rPr>
                <w:rFonts w:hint="eastAsia"/>
              </w:rPr>
              <w:t>均</w:t>
            </w:r>
            <w:r>
              <w:t>小于5m/s，满足要求。</w:t>
            </w:r>
          </w:p>
          <w:p>
            <w:pPr>
              <w:autoSpaceDE w:val="0"/>
              <w:autoSpaceDN w:val="0"/>
              <w:ind w:firstLine="480"/>
            </w:pPr>
            <w:r>
              <w:t xml:space="preserve">（5）监测数据和技术报告执行三级审核制度。 </w:t>
            </w:r>
          </w:p>
          <w:p>
            <w:pPr>
              <w:autoSpaceDE w:val="0"/>
              <w:autoSpaceDN w:val="0"/>
              <w:ind w:firstLine="480"/>
            </w:pPr>
            <w:r>
              <w:t>（6）声级计在测试前后用标准声源进行校准，测量前后仪器的灵敏度相差不大于0.5dB。</w:t>
            </w:r>
          </w:p>
          <w:p>
            <w:pPr>
              <w:autoSpaceDE w:val="0"/>
              <w:autoSpaceDN w:val="0"/>
              <w:ind w:firstLine="480"/>
              <w:rPr>
                <w:b/>
              </w:rPr>
            </w:pPr>
            <w:r>
              <w:rPr>
                <w:szCs w:val="20"/>
              </w:rPr>
              <w:t>噪声监测分析质量控制表见</w:t>
            </w:r>
            <w:r>
              <w:rPr>
                <w:rFonts w:hint="eastAsia"/>
                <w:szCs w:val="20"/>
              </w:rPr>
              <w:t>下</w:t>
            </w:r>
            <w:r>
              <w:rPr>
                <w:szCs w:val="20"/>
              </w:rPr>
              <w:t>表</w:t>
            </w:r>
            <w:r>
              <w:rPr>
                <w:rFonts w:hint="eastAsia"/>
                <w:szCs w:val="20"/>
              </w:rPr>
              <w:t>。</w:t>
            </w:r>
          </w:p>
          <w:p>
            <w:pPr>
              <w:pStyle w:val="72"/>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5-3</w:t>
            </w:r>
            <w:r>
              <w:rPr>
                <w:rFonts w:ascii="Times New Roman" w:hAnsi="Times New Roman" w:cs="Times New Roman"/>
                <w:b/>
                <w:bCs/>
              </w:rPr>
              <w:t xml:space="preserve">  噪声质量控制表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94"/>
              <w:gridCol w:w="1257"/>
              <w:gridCol w:w="1296"/>
              <w:gridCol w:w="1102"/>
              <w:gridCol w:w="849"/>
              <w:gridCol w:w="1063"/>
              <w:gridCol w:w="1047"/>
              <w:gridCol w:w="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383"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监测项目</w:t>
                  </w:r>
                </w:p>
              </w:tc>
              <w:tc>
                <w:tcPr>
                  <w:tcW w:w="502"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705"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hint="eastAsia"/>
                      <w:b/>
                      <w:bCs/>
                      <w:kern w:val="0"/>
                      <w:sz w:val="22"/>
                      <w:szCs w:val="22"/>
                    </w:rPr>
                    <w:t>仪器型号及编号</w:t>
                  </w:r>
                </w:p>
              </w:tc>
              <w:tc>
                <w:tcPr>
                  <w:tcW w:w="727"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hint="eastAsia" w:cs="Times New Roman"/>
                      <w:b/>
                      <w:bCs/>
                      <w:sz w:val="21"/>
                      <w:szCs w:val="21"/>
                    </w:rPr>
                    <w:t>声校准器</w:t>
                  </w:r>
                  <w:r>
                    <w:rPr>
                      <w:rFonts w:hint="eastAsia"/>
                      <w:b/>
                      <w:bCs/>
                      <w:kern w:val="0"/>
                      <w:sz w:val="22"/>
                      <w:szCs w:val="22"/>
                    </w:rPr>
                    <w:t>型号及编号</w:t>
                  </w:r>
                </w:p>
              </w:tc>
              <w:tc>
                <w:tcPr>
                  <w:tcW w:w="1094" w:type="pct"/>
                  <w:gridSpan w:val="2"/>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59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仪器显示dB</w:t>
                  </w:r>
                  <w:r>
                    <w:rPr>
                      <w:rFonts w:hint="eastAsia" w:cs="Times New Roman"/>
                      <w:b/>
                      <w:bCs/>
                      <w:sz w:val="21"/>
                      <w:szCs w:val="21"/>
                    </w:rPr>
                    <w:t>（</w:t>
                  </w:r>
                  <w:r>
                    <w:rPr>
                      <w:rFonts w:cs="Times New Roman"/>
                      <w:b/>
                      <w:bCs/>
                      <w:sz w:val="21"/>
                      <w:szCs w:val="21"/>
                    </w:rPr>
                    <w:t>A）</w:t>
                  </w:r>
                </w:p>
              </w:tc>
              <w:tc>
                <w:tcPr>
                  <w:tcW w:w="587"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示值偏差dB</w:t>
                  </w:r>
                  <w:r>
                    <w:rPr>
                      <w:rFonts w:hint="eastAsia" w:cs="Times New Roman"/>
                      <w:b/>
                      <w:bCs/>
                      <w:sz w:val="21"/>
                      <w:szCs w:val="21"/>
                    </w:rPr>
                    <w:t>（</w:t>
                  </w:r>
                  <w:r>
                    <w:rPr>
                      <w:rFonts w:cs="Times New Roman"/>
                      <w:b/>
                      <w:bCs/>
                      <w:sz w:val="21"/>
                      <w:szCs w:val="21"/>
                    </w:rPr>
                    <w:t>A）</w:t>
                  </w:r>
                </w:p>
              </w:tc>
              <w:tc>
                <w:tcPr>
                  <w:tcW w:w="402"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3" w:type="pct"/>
                  <w:vMerge w:val="restar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噪声</w:t>
                  </w:r>
                </w:p>
              </w:tc>
              <w:tc>
                <w:tcPr>
                  <w:tcW w:w="502" w:type="pct"/>
                  <w:vMerge w:val="restar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94.0</w:t>
                  </w:r>
                </w:p>
                <w:p>
                  <w:pPr>
                    <w:pStyle w:val="38"/>
                    <w:snapToGrid w:val="0"/>
                    <w:spacing w:line="240" w:lineRule="auto"/>
                    <w:ind w:firstLine="0" w:firstLineChars="0"/>
                    <w:jc w:val="center"/>
                    <w:rPr>
                      <w:rFonts w:cs="Times New Roman"/>
                      <w:sz w:val="21"/>
                      <w:szCs w:val="21"/>
                    </w:rPr>
                  </w:pPr>
                  <w:r>
                    <w:rPr>
                      <w:rFonts w:cs="Times New Roman"/>
                      <w:sz w:val="21"/>
                      <w:szCs w:val="21"/>
                    </w:rPr>
                    <w:t>（标准声源）</w:t>
                  </w:r>
                </w:p>
              </w:tc>
              <w:tc>
                <w:tcPr>
                  <w:tcW w:w="705" w:type="pct"/>
                  <w:vMerge w:val="restar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AWA6228+</w:t>
                  </w:r>
                </w:p>
                <w:p>
                  <w:pPr>
                    <w:pStyle w:val="38"/>
                    <w:snapToGrid w:val="0"/>
                    <w:spacing w:line="240" w:lineRule="auto"/>
                    <w:ind w:firstLine="0" w:firstLineChars="0"/>
                    <w:jc w:val="center"/>
                    <w:rPr>
                      <w:rFonts w:cs="Times New Roman"/>
                      <w:sz w:val="21"/>
                      <w:szCs w:val="21"/>
                    </w:rPr>
                  </w:pPr>
                  <w:r>
                    <w:rPr>
                      <w:rFonts w:hint="eastAsia" w:cs="Times New Roman"/>
                      <w:sz w:val="21"/>
                      <w:szCs w:val="21"/>
                    </w:rPr>
                    <w:t>SDKK/SB-039</w:t>
                  </w:r>
                </w:p>
              </w:tc>
              <w:tc>
                <w:tcPr>
                  <w:tcW w:w="727" w:type="pct"/>
                  <w:vMerge w:val="restar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sz w:val="21"/>
                      <w:szCs w:val="21"/>
                    </w:rPr>
                  </w:pPr>
                  <w:r>
                    <w:rPr>
                      <w:rFonts w:hint="eastAsia"/>
                      <w:sz w:val="21"/>
                      <w:szCs w:val="21"/>
                    </w:rPr>
                    <w:t>AWA6221A</w:t>
                  </w:r>
                </w:p>
                <w:p>
                  <w:pPr>
                    <w:pStyle w:val="38"/>
                    <w:snapToGrid w:val="0"/>
                    <w:spacing w:line="240" w:lineRule="auto"/>
                    <w:ind w:firstLine="0" w:firstLineChars="0"/>
                    <w:jc w:val="center"/>
                    <w:rPr>
                      <w:sz w:val="21"/>
                      <w:szCs w:val="21"/>
                    </w:rPr>
                  </w:pPr>
                  <w:r>
                    <w:rPr>
                      <w:rFonts w:hint="eastAsia"/>
                      <w:sz w:val="21"/>
                      <w:szCs w:val="21"/>
                    </w:rPr>
                    <w:t>SDKK/SB-040</w:t>
                  </w:r>
                </w:p>
              </w:tc>
              <w:tc>
                <w:tcPr>
                  <w:tcW w:w="618" w:type="pct"/>
                  <w:vMerge w:val="restar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2023.2.23</w:t>
                  </w:r>
                </w:p>
              </w:tc>
              <w:tc>
                <w:tcPr>
                  <w:tcW w:w="47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测量前</w:t>
                  </w:r>
                </w:p>
              </w:tc>
              <w:tc>
                <w:tcPr>
                  <w:tcW w:w="59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93.7</w:t>
                  </w:r>
                </w:p>
              </w:tc>
              <w:tc>
                <w:tcPr>
                  <w:tcW w:w="587" w:type="pc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-0.3</w:t>
                  </w:r>
                </w:p>
              </w:tc>
              <w:tc>
                <w:tcPr>
                  <w:tcW w:w="402" w:type="pct"/>
                  <w:vMerge w:val="restar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3"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502"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705"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727" w:type="pct"/>
                  <w:vMerge w:val="continue"/>
                  <w:tcBorders>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618" w:type="pct"/>
                  <w:vMerge w:val="continue"/>
                  <w:tcBorders>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47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测量后</w:t>
                  </w:r>
                </w:p>
              </w:tc>
              <w:tc>
                <w:tcPr>
                  <w:tcW w:w="59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93.7</w:t>
                  </w:r>
                </w:p>
              </w:tc>
              <w:tc>
                <w:tcPr>
                  <w:tcW w:w="587" w:type="pct"/>
                  <w:tcBorders>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-0.3</w:t>
                  </w:r>
                </w:p>
              </w:tc>
              <w:tc>
                <w:tcPr>
                  <w:tcW w:w="402" w:type="pct"/>
                  <w:vMerge w:val="continue"/>
                  <w:tcBorders>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3"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502"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1258" w:type="dxa"/>
                  <w:vMerge w:val="restar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AWA6228+</w:t>
                  </w:r>
                </w:p>
                <w:p>
                  <w:pPr>
                    <w:pStyle w:val="38"/>
                    <w:snapToGrid w:val="0"/>
                    <w:spacing w:line="240" w:lineRule="auto"/>
                    <w:ind w:firstLine="0" w:firstLineChars="0"/>
                    <w:jc w:val="center"/>
                    <w:rPr>
                      <w:rFonts w:cs="Times New Roman"/>
                      <w:sz w:val="21"/>
                      <w:szCs w:val="21"/>
                    </w:rPr>
                  </w:pPr>
                  <w:r>
                    <w:rPr>
                      <w:rFonts w:hint="eastAsia" w:cs="Times New Roman"/>
                      <w:sz w:val="21"/>
                      <w:szCs w:val="21"/>
                    </w:rPr>
                    <w:t>SDKK/SB-039</w:t>
                  </w:r>
                </w:p>
              </w:tc>
              <w:tc>
                <w:tcPr>
                  <w:tcW w:w="1297" w:type="dxa"/>
                  <w:vMerge w:val="restart"/>
                  <w:tcBorders>
                    <w:left w:val="single" w:color="auto" w:sz="4" w:space="0"/>
                    <w:right w:val="single" w:color="auto" w:sz="4" w:space="0"/>
                  </w:tcBorders>
                  <w:vAlign w:val="center"/>
                </w:tcPr>
                <w:p>
                  <w:pPr>
                    <w:pStyle w:val="38"/>
                    <w:snapToGrid w:val="0"/>
                    <w:spacing w:line="240" w:lineRule="auto"/>
                    <w:ind w:firstLine="0" w:firstLineChars="0"/>
                    <w:jc w:val="center"/>
                    <w:rPr>
                      <w:sz w:val="21"/>
                      <w:szCs w:val="21"/>
                    </w:rPr>
                  </w:pPr>
                  <w:r>
                    <w:rPr>
                      <w:rFonts w:hint="eastAsia"/>
                      <w:sz w:val="21"/>
                      <w:szCs w:val="21"/>
                    </w:rPr>
                    <w:t>AWA6221A</w:t>
                  </w:r>
                </w:p>
                <w:p>
                  <w:pPr>
                    <w:pStyle w:val="38"/>
                    <w:snapToGrid w:val="0"/>
                    <w:spacing w:line="240" w:lineRule="auto"/>
                    <w:ind w:firstLine="0" w:firstLineChars="0"/>
                    <w:jc w:val="center"/>
                    <w:rPr>
                      <w:rFonts w:cs="Times New Roman"/>
                      <w:sz w:val="21"/>
                      <w:szCs w:val="21"/>
                    </w:rPr>
                  </w:pPr>
                  <w:r>
                    <w:rPr>
                      <w:rFonts w:hint="eastAsia"/>
                      <w:sz w:val="21"/>
                      <w:szCs w:val="21"/>
                    </w:rPr>
                    <w:t>SDKK/SB-040</w:t>
                  </w:r>
                </w:p>
              </w:tc>
              <w:tc>
                <w:tcPr>
                  <w:tcW w:w="618" w:type="pct"/>
                  <w:vMerge w:val="restar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2023.2.24</w:t>
                  </w:r>
                </w:p>
              </w:tc>
              <w:tc>
                <w:tcPr>
                  <w:tcW w:w="47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测量前</w:t>
                  </w:r>
                </w:p>
              </w:tc>
              <w:tc>
                <w:tcPr>
                  <w:tcW w:w="59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93.9</w:t>
                  </w:r>
                </w:p>
              </w:tc>
              <w:tc>
                <w:tcPr>
                  <w:tcW w:w="587" w:type="pc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-0.1</w:t>
                  </w:r>
                </w:p>
              </w:tc>
              <w:tc>
                <w:tcPr>
                  <w:tcW w:w="402" w:type="pct"/>
                  <w:vMerge w:val="restart"/>
                  <w:tcBorders>
                    <w:top w:val="single" w:color="auto" w:sz="4" w:space="0"/>
                    <w:left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3"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502"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705" w:type="pct"/>
                  <w:vMerge w:val="continue"/>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727" w:type="pct"/>
                  <w:vMerge w:val="continue"/>
                  <w:tcBorders>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618" w:type="pct"/>
                  <w:vMerge w:val="continue"/>
                  <w:tcBorders>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p>
              </w:tc>
              <w:tc>
                <w:tcPr>
                  <w:tcW w:w="47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cs="Times New Roman"/>
                      <w:sz w:val="21"/>
                      <w:szCs w:val="21"/>
                    </w:rPr>
                    <w:t>测量后</w:t>
                  </w:r>
                </w:p>
              </w:tc>
              <w:tc>
                <w:tcPr>
                  <w:tcW w:w="596" w:type="pct"/>
                  <w:tcBorders>
                    <w:top w:val="single" w:color="auto" w:sz="4" w:space="0"/>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93.8</w:t>
                  </w:r>
                </w:p>
              </w:tc>
              <w:tc>
                <w:tcPr>
                  <w:tcW w:w="587" w:type="pct"/>
                  <w:tcBorders>
                    <w:left w:val="single" w:color="auto" w:sz="4" w:space="0"/>
                    <w:bottom w:val="single" w:color="auto" w:sz="4" w:space="0"/>
                    <w:right w:val="single" w:color="auto" w:sz="4" w:space="0"/>
                  </w:tcBorders>
                  <w:vAlign w:val="center"/>
                </w:tcPr>
                <w:p>
                  <w:pPr>
                    <w:pStyle w:val="38"/>
                    <w:snapToGrid w:val="0"/>
                    <w:spacing w:line="240" w:lineRule="auto"/>
                    <w:ind w:firstLine="0" w:firstLineChars="0"/>
                    <w:jc w:val="center"/>
                    <w:rPr>
                      <w:rFonts w:cs="Times New Roman"/>
                      <w:sz w:val="21"/>
                      <w:szCs w:val="21"/>
                    </w:rPr>
                  </w:pPr>
                  <w:r>
                    <w:rPr>
                      <w:rFonts w:hint="eastAsia" w:cs="Times New Roman"/>
                      <w:sz w:val="21"/>
                      <w:szCs w:val="21"/>
                    </w:rPr>
                    <w:t>-0.2</w:t>
                  </w:r>
                </w:p>
              </w:tc>
              <w:tc>
                <w:tcPr>
                  <w:tcW w:w="402"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sz w:val="21"/>
                      <w:szCs w:val="21"/>
                    </w:rPr>
                  </w:pPr>
                  <w:r>
                    <w:rPr>
                      <w:sz w:val="21"/>
                      <w:szCs w:val="21"/>
                    </w:rPr>
                    <w:t>备注：</w:t>
                  </w:r>
                  <w:r>
                    <w:rPr>
                      <w:rFonts w:hint="eastAsia"/>
                      <w:sz w:val="21"/>
                      <w:szCs w:val="21"/>
                    </w:rPr>
                    <w:t>仪器名称：</w:t>
                  </w:r>
                  <w:r>
                    <w:rPr>
                      <w:sz w:val="21"/>
                      <w:szCs w:val="21"/>
                    </w:rPr>
                    <w:t>多功能声级计；</w:t>
                  </w:r>
                </w:p>
                <w:p>
                  <w:pPr>
                    <w:spacing w:line="240" w:lineRule="auto"/>
                    <w:ind w:firstLine="0" w:firstLineChars="0"/>
                    <w:rPr>
                      <w:sz w:val="21"/>
                      <w:szCs w:val="21"/>
                    </w:rPr>
                  </w:pPr>
                  <w:r>
                    <w:rPr>
                      <w:sz w:val="21"/>
                      <w:szCs w:val="21"/>
                    </w:rPr>
                    <w:t>前、后校准示值偏差允许范围：</w:t>
                  </w:r>
                  <w:r>
                    <w:rPr>
                      <w:bCs/>
                      <w:sz w:val="21"/>
                      <w:szCs w:val="21"/>
                    </w:rPr>
                    <w:t>±0.5</w:t>
                  </w:r>
                  <w:r>
                    <w:rPr>
                      <w:sz w:val="21"/>
                      <w:szCs w:val="21"/>
                    </w:rPr>
                    <w:t xml:space="preserve"> dB</w:t>
                  </w:r>
                  <w:r>
                    <w:rPr>
                      <w:rFonts w:hint="eastAsia"/>
                      <w:sz w:val="21"/>
                      <w:szCs w:val="21"/>
                    </w:rPr>
                    <w:t>（</w:t>
                  </w:r>
                  <w:r>
                    <w:rPr>
                      <w:sz w:val="21"/>
                      <w:szCs w:val="21"/>
                    </w:rPr>
                    <w:t>A）。</w:t>
                  </w:r>
                </w:p>
              </w:tc>
            </w:tr>
          </w:tbl>
          <w:p>
            <w:pPr>
              <w:pStyle w:val="38"/>
              <w:snapToGrid w:val="0"/>
              <w:ind w:firstLine="0" w:firstLineChars="0"/>
              <w:rPr>
                <w:rFonts w:cs="Times New Roman"/>
              </w:rPr>
            </w:pPr>
          </w:p>
        </w:tc>
      </w:tr>
    </w:tbl>
    <w:p>
      <w:pPr>
        <w:snapToGrid w:val="0"/>
        <w:ind w:firstLine="0" w:firstLineChars="0"/>
        <w:outlineLvl w:val="0"/>
        <w:rPr>
          <w:b/>
          <w:bCs/>
          <w:sz w:val="30"/>
          <w:szCs w:val="30"/>
        </w:rPr>
      </w:pPr>
      <w:r>
        <w:rPr>
          <w:b/>
          <w:bCs/>
          <w:sz w:val="32"/>
          <w:szCs w:val="32"/>
        </w:rPr>
        <w:br w:type="page"/>
      </w:r>
      <w:bookmarkStart w:id="260" w:name="_Toc28701"/>
      <w:bookmarkStart w:id="261" w:name="_Toc23567"/>
      <w:bookmarkStart w:id="262" w:name="_Toc16642"/>
      <w:bookmarkStart w:id="263" w:name="_Toc8698"/>
      <w:bookmarkStart w:id="264" w:name="_Toc9442"/>
      <w:bookmarkStart w:id="265" w:name="_Toc19231"/>
      <w:bookmarkStart w:id="266" w:name="_Toc5525"/>
      <w:bookmarkStart w:id="267" w:name="_Toc7070"/>
      <w:bookmarkStart w:id="268" w:name="_Toc27905"/>
      <w:bookmarkStart w:id="269" w:name="_Toc7493"/>
      <w:bookmarkStart w:id="270" w:name="_Toc11622"/>
      <w:bookmarkStart w:id="271" w:name="_Toc4918"/>
      <w:bookmarkStart w:id="272" w:name="_Toc10908"/>
      <w:r>
        <w:rPr>
          <w:b/>
          <w:bCs/>
          <w:sz w:val="30"/>
          <w:szCs w:val="30"/>
        </w:rPr>
        <w:t>表</w:t>
      </w:r>
      <w:r>
        <w:rPr>
          <w:rFonts w:hint="eastAsia"/>
          <w:b/>
          <w:bCs/>
          <w:sz w:val="30"/>
          <w:szCs w:val="30"/>
        </w:rPr>
        <w:t>6</w:t>
      </w:r>
      <w:r>
        <w:rPr>
          <w:b/>
          <w:bCs/>
          <w:sz w:val="30"/>
          <w:szCs w:val="30"/>
        </w:rPr>
        <w:t xml:space="preserve">  验收监测内容</w:t>
      </w:r>
      <w:bookmarkEnd w:id="260"/>
      <w:bookmarkEnd w:id="261"/>
      <w:bookmarkEnd w:id="262"/>
      <w:bookmarkEnd w:id="263"/>
      <w:bookmarkEnd w:id="264"/>
      <w:bookmarkEnd w:id="265"/>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pPr>
            <w:r>
              <w:t>本项目验收监测的主要内容包括废气、废水和噪声。</w:t>
            </w:r>
          </w:p>
          <w:p>
            <w:pPr>
              <w:ind w:firstLine="482"/>
              <w:rPr>
                <w:b/>
                <w:bCs/>
              </w:rPr>
            </w:pPr>
            <w:r>
              <w:rPr>
                <w:b/>
                <w:bCs/>
              </w:rPr>
              <w:t>1、废气</w:t>
            </w:r>
            <w:r>
              <w:rPr>
                <w:rFonts w:hint="eastAsia"/>
                <w:b/>
                <w:bCs/>
              </w:rPr>
              <w:t>监测</w:t>
            </w:r>
          </w:p>
          <w:p>
            <w:pPr>
              <w:ind w:firstLine="480"/>
            </w:pPr>
            <w:r>
              <w:t>（1）有组织废气</w:t>
            </w:r>
          </w:p>
          <w:p>
            <w:pPr>
              <w:ind w:firstLine="480"/>
            </w:pPr>
            <w:r>
              <w:t>①</w:t>
            </w:r>
            <w:r>
              <w:rPr>
                <w:rFonts w:hint="eastAsia"/>
              </w:rPr>
              <w:t>监测</w:t>
            </w:r>
            <w:r>
              <w:t>因子、点位和频次</w:t>
            </w:r>
          </w:p>
          <w:p>
            <w:pPr>
              <w:ind w:firstLine="480"/>
            </w:pPr>
            <w:r>
              <w:t>本项目有组织废气监测内容、频次见</w:t>
            </w:r>
            <w:r>
              <w:rPr>
                <w:rFonts w:hint="eastAsia"/>
              </w:rPr>
              <w:t>下</w:t>
            </w:r>
            <w:r>
              <w:t>表。</w:t>
            </w:r>
          </w:p>
          <w:p>
            <w:pPr>
              <w:pStyle w:val="38"/>
              <w:ind w:firstLine="0" w:firstLineChars="0"/>
              <w:jc w:val="center"/>
              <w:rPr>
                <w:rFonts w:cs="Times New Roman"/>
              </w:rPr>
            </w:pPr>
            <w:r>
              <w:rPr>
                <w:rFonts w:cs="Times New Roman"/>
                <w:b/>
                <w:bCs/>
              </w:rPr>
              <w:t>表6-1  有组织废气监测内容、监测频次一览表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040"/>
              <w:gridCol w:w="2275"/>
              <w:gridCol w:w="1846"/>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5" w:type="pct"/>
                  <w:vAlign w:val="center"/>
                </w:tcPr>
                <w:p>
                  <w:pPr>
                    <w:pStyle w:val="53"/>
                    <w:adjustRightInd w:val="0"/>
                    <w:snapToGrid w:val="0"/>
                    <w:spacing w:line="240" w:lineRule="auto"/>
                    <w:ind w:firstLine="0" w:firstLineChars="0"/>
                    <w:rPr>
                      <w:b/>
                      <w:bCs/>
                      <w:sz w:val="21"/>
                      <w:szCs w:val="21"/>
                    </w:rPr>
                  </w:pPr>
                  <w:r>
                    <w:rPr>
                      <w:b/>
                      <w:bCs/>
                      <w:sz w:val="21"/>
                      <w:szCs w:val="21"/>
                    </w:rPr>
                    <w:t>编号</w:t>
                  </w:r>
                </w:p>
              </w:tc>
              <w:tc>
                <w:tcPr>
                  <w:tcW w:w="1145" w:type="pct"/>
                  <w:vAlign w:val="center"/>
                </w:tcPr>
                <w:p>
                  <w:pPr>
                    <w:pStyle w:val="53"/>
                    <w:adjustRightInd w:val="0"/>
                    <w:snapToGrid w:val="0"/>
                    <w:spacing w:line="240" w:lineRule="auto"/>
                    <w:ind w:firstLine="0" w:firstLineChars="0"/>
                    <w:rPr>
                      <w:b/>
                      <w:bCs/>
                      <w:sz w:val="21"/>
                      <w:szCs w:val="21"/>
                    </w:rPr>
                  </w:pPr>
                  <w:r>
                    <w:rPr>
                      <w:b/>
                      <w:bCs/>
                      <w:sz w:val="21"/>
                      <w:szCs w:val="21"/>
                    </w:rPr>
                    <w:t>点位名称</w:t>
                  </w:r>
                </w:p>
              </w:tc>
              <w:tc>
                <w:tcPr>
                  <w:tcW w:w="1277" w:type="pct"/>
                  <w:vAlign w:val="center"/>
                </w:tcPr>
                <w:p>
                  <w:pPr>
                    <w:pStyle w:val="53"/>
                    <w:adjustRightInd w:val="0"/>
                    <w:snapToGrid w:val="0"/>
                    <w:spacing w:line="240" w:lineRule="auto"/>
                    <w:ind w:firstLine="0" w:firstLineChars="0"/>
                    <w:rPr>
                      <w:b/>
                      <w:bCs/>
                      <w:sz w:val="21"/>
                      <w:szCs w:val="21"/>
                    </w:rPr>
                  </w:pPr>
                  <w:r>
                    <w:rPr>
                      <w:b/>
                      <w:bCs/>
                      <w:sz w:val="21"/>
                      <w:szCs w:val="21"/>
                    </w:rPr>
                    <w:t>处理措施</w:t>
                  </w:r>
                </w:p>
              </w:tc>
              <w:tc>
                <w:tcPr>
                  <w:tcW w:w="1036" w:type="pct"/>
                  <w:vAlign w:val="center"/>
                </w:tcPr>
                <w:p>
                  <w:pPr>
                    <w:pStyle w:val="53"/>
                    <w:adjustRightInd w:val="0"/>
                    <w:snapToGrid w:val="0"/>
                    <w:spacing w:line="240" w:lineRule="auto"/>
                    <w:ind w:firstLine="0" w:firstLineChars="0"/>
                    <w:rPr>
                      <w:b/>
                      <w:bCs/>
                      <w:sz w:val="21"/>
                      <w:szCs w:val="21"/>
                    </w:rPr>
                  </w:pPr>
                  <w:r>
                    <w:rPr>
                      <w:b/>
                      <w:bCs/>
                      <w:sz w:val="21"/>
                      <w:szCs w:val="21"/>
                    </w:rPr>
                    <w:t>监测项目</w:t>
                  </w:r>
                </w:p>
              </w:tc>
              <w:tc>
                <w:tcPr>
                  <w:tcW w:w="1064" w:type="pct"/>
                  <w:vAlign w:val="center"/>
                </w:tcPr>
                <w:p>
                  <w:pPr>
                    <w:pStyle w:val="53"/>
                    <w:adjustRightInd w:val="0"/>
                    <w:snapToGrid w:val="0"/>
                    <w:spacing w:line="240" w:lineRule="auto"/>
                    <w:ind w:firstLine="0" w:firstLineChars="0"/>
                    <w:rPr>
                      <w:b/>
                      <w:bCs/>
                      <w:sz w:val="21"/>
                      <w:szCs w:val="21"/>
                    </w:rPr>
                  </w:pPr>
                  <w:r>
                    <w:rPr>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5" w:type="pct"/>
                  <w:vAlign w:val="center"/>
                </w:tcPr>
                <w:p>
                  <w:pPr>
                    <w:pStyle w:val="38"/>
                    <w:widowControl/>
                    <w:adjustRightInd/>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1</w:t>
                  </w:r>
                </w:p>
              </w:tc>
              <w:tc>
                <w:tcPr>
                  <w:tcW w:w="1145" w:type="pct"/>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color w:val="000000"/>
                      <w:kern w:val="0"/>
                      <w:sz w:val="21"/>
                      <w:szCs w:val="21"/>
                      <w:shd w:val="clear" w:color="auto" w:fill="FFFFFF"/>
                      <w:lang w:bidi="ar"/>
                    </w:rPr>
                    <w:t>实验室废气排气筒DA001出口</w:t>
                  </w:r>
                </w:p>
              </w:tc>
              <w:tc>
                <w:tcPr>
                  <w:tcW w:w="1277" w:type="pct"/>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二级活性炭吸附装置</w:t>
                  </w:r>
                </w:p>
              </w:tc>
              <w:tc>
                <w:tcPr>
                  <w:tcW w:w="1036" w:type="pct"/>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VOCs、二甲苯、氯化氢</w:t>
                  </w:r>
                </w:p>
              </w:tc>
              <w:tc>
                <w:tcPr>
                  <w:tcW w:w="1064" w:type="pct"/>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pStyle w:val="38"/>
                    <w:spacing w:line="240" w:lineRule="auto"/>
                    <w:ind w:firstLine="0" w:firstLineChars="0"/>
                    <w:jc w:val="both"/>
                    <w:rPr>
                      <w:rFonts w:cs="Times New Roman"/>
                      <w:sz w:val="21"/>
                      <w:szCs w:val="21"/>
                      <w:shd w:val="clear" w:color="auto" w:fill="FFFFFF"/>
                    </w:rPr>
                  </w:pPr>
                  <w:r>
                    <w:rPr>
                      <w:rFonts w:hint="eastAsia" w:cs="Times New Roman"/>
                      <w:sz w:val="21"/>
                      <w:szCs w:val="21"/>
                      <w:shd w:val="clear" w:color="auto" w:fill="FFFFFF"/>
                    </w:rPr>
                    <w:t>备注：废气环保处理装置进口因管道距离过短不具备开口条件，未对进口进行监测；</w:t>
                  </w:r>
                </w:p>
              </w:tc>
            </w:tr>
          </w:tbl>
          <w:p>
            <w:pPr>
              <w:ind w:firstLine="480"/>
            </w:pPr>
            <w:r>
              <w:t>②监测分析方法</w:t>
            </w:r>
          </w:p>
          <w:p>
            <w:pPr>
              <w:ind w:firstLine="480"/>
              <w:jc w:val="left"/>
            </w:pPr>
            <w:r>
              <w:t>本项目有组织废气监测分析方法见</w:t>
            </w:r>
            <w:r>
              <w:rPr>
                <w:rFonts w:hint="eastAsia"/>
              </w:rPr>
              <w:t>下</w:t>
            </w:r>
            <w:r>
              <w:t>表。</w:t>
            </w:r>
          </w:p>
          <w:p>
            <w:pPr>
              <w:pStyle w:val="38"/>
              <w:ind w:firstLine="0" w:firstLineChars="0"/>
              <w:jc w:val="center"/>
              <w:rPr>
                <w:rFonts w:cs="Times New Roman"/>
                <w:b/>
                <w:bCs/>
              </w:rPr>
            </w:pPr>
            <w:r>
              <w:rPr>
                <w:rFonts w:cs="Times New Roman"/>
                <w:b/>
                <w:bCs/>
              </w:rPr>
              <w:t>表6-2 有组织废气监测因子分析方法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5"/>
              <w:gridCol w:w="3461"/>
              <w:gridCol w:w="1986"/>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39" w:type="dxa"/>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项目</w:t>
                  </w:r>
                </w:p>
              </w:tc>
              <w:tc>
                <w:tcPr>
                  <w:tcW w:w="3263"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063" w:type="dxa"/>
                  <w:vAlign w:val="center"/>
                </w:tcPr>
                <w:p>
                  <w:pPr>
                    <w:spacing w:line="240" w:lineRule="auto"/>
                    <w:ind w:firstLine="0" w:firstLineChars="0"/>
                    <w:jc w:val="center"/>
                    <w:rPr>
                      <w:b/>
                      <w:bCs/>
                      <w:sz w:val="21"/>
                      <w:szCs w:val="21"/>
                    </w:rPr>
                  </w:pPr>
                  <w:r>
                    <w:rPr>
                      <w:b/>
                      <w:bCs/>
                      <w:sz w:val="21"/>
                      <w:szCs w:val="21"/>
                    </w:rPr>
                    <w:t>方法来源</w:t>
                  </w:r>
                </w:p>
              </w:tc>
              <w:tc>
                <w:tcPr>
                  <w:tcW w:w="1849"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rFonts w:hint="eastAsia"/>
                      <w:b/>
                      <w:bCs/>
                      <w:sz w:val="21"/>
                      <w:szCs w:val="21"/>
                      <w:lang w:eastAsia="zh-CN"/>
                    </w:rPr>
                    <w:t>m</w:t>
                  </w:r>
                  <w:r>
                    <w:rPr>
                      <w:rFonts w:hint="eastAsia"/>
                      <w:b/>
                      <w:bCs/>
                      <w:sz w:val="21"/>
                      <w:szCs w:val="21"/>
                      <w:vertAlign w:val="superscript"/>
                      <w:lang w:eastAsia="zh-CN"/>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39"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VOCs</w:t>
                  </w:r>
                  <w:r>
                    <w:rPr>
                      <w:rFonts w:cs="Times New Roman"/>
                      <w:sz w:val="21"/>
                      <w:szCs w:val="21"/>
                      <w:shd w:val="clear" w:color="auto" w:fill="FFFFFF"/>
                    </w:rPr>
                    <w:t>（非甲烷总烃）</w:t>
                  </w:r>
                </w:p>
              </w:tc>
              <w:tc>
                <w:tcPr>
                  <w:tcW w:w="3263" w:type="dxa"/>
                  <w:vAlign w:val="center"/>
                </w:tcPr>
                <w:p>
                  <w:pPr>
                    <w:pStyle w:val="38"/>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气相色谱法</w:t>
                  </w:r>
                </w:p>
              </w:tc>
              <w:tc>
                <w:tcPr>
                  <w:tcW w:w="2063" w:type="dxa"/>
                  <w:vAlign w:val="center"/>
                </w:tcPr>
                <w:p>
                  <w:pPr>
                    <w:pStyle w:val="38"/>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HJ 38-2017</w:t>
                  </w:r>
                </w:p>
              </w:tc>
              <w:tc>
                <w:tcPr>
                  <w:tcW w:w="1849"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氯化氢</w:t>
                  </w:r>
                </w:p>
              </w:tc>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硝酸银容量法</w:t>
                  </w:r>
                </w:p>
              </w:tc>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HJ 548-2016</w:t>
                  </w:r>
                </w:p>
              </w:tc>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二甲苯</w:t>
                  </w:r>
                </w:p>
              </w:tc>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活性炭吸附/二硫化碳解吸-气相色谱法</w:t>
                  </w:r>
                </w:p>
              </w:tc>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HJ 584-2010</w:t>
                  </w:r>
                </w:p>
              </w:tc>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1.5×10</w:t>
                  </w:r>
                  <w:r>
                    <w:rPr>
                      <w:rFonts w:hint="eastAsia" w:cs="Times New Roman"/>
                      <w:sz w:val="21"/>
                      <w:szCs w:val="21"/>
                      <w:shd w:val="clear" w:color="auto" w:fill="FFFFFF"/>
                      <w:vertAlign w:val="superscript"/>
                    </w:rPr>
                    <w:t>-3</w:t>
                  </w:r>
                </w:p>
              </w:tc>
            </w:tr>
          </w:tbl>
          <w:p>
            <w:pPr>
              <w:ind w:firstLine="480"/>
            </w:pPr>
            <w:r>
              <w:t>（2）厂界无组织废气</w:t>
            </w:r>
            <w:r>
              <w:rPr>
                <w:rFonts w:hint="eastAsia"/>
              </w:rPr>
              <w:t>监测</w:t>
            </w:r>
          </w:p>
          <w:p>
            <w:pPr>
              <w:ind w:firstLine="480"/>
            </w:pPr>
            <w:r>
              <w:t>①</w:t>
            </w:r>
            <w:r>
              <w:rPr>
                <w:rFonts w:hint="eastAsia"/>
              </w:rPr>
              <w:t>监测</w:t>
            </w:r>
            <w:r>
              <w:t>因子、点位和频次</w:t>
            </w:r>
          </w:p>
          <w:p>
            <w:pPr>
              <w:ind w:firstLine="480"/>
              <w:jc w:val="left"/>
            </w:pPr>
            <w:r>
              <w:t>本项目考虑污染物产生源和平面布置图，本项目在上风向设置1个</w:t>
            </w:r>
            <w:r>
              <w:rPr>
                <w:rFonts w:hint="eastAsia"/>
              </w:rPr>
              <w:t>监测</w:t>
            </w:r>
            <w:r>
              <w:t>点位，下风向设置3个</w:t>
            </w:r>
            <w:r>
              <w:rPr>
                <w:rFonts w:hint="eastAsia"/>
              </w:rPr>
              <w:t>监测</w:t>
            </w:r>
            <w:r>
              <w:t>点位，厂房门窗或通风口外 1m设置1个</w:t>
            </w:r>
            <w:r>
              <w:rPr>
                <w:rFonts w:hint="eastAsia"/>
              </w:rPr>
              <w:t>监测</w:t>
            </w:r>
            <w:r>
              <w:t>点位</w:t>
            </w:r>
            <w:r>
              <w:rPr>
                <w:rFonts w:hint="eastAsia"/>
              </w:rPr>
              <w:t>，</w:t>
            </w:r>
            <w:r>
              <w:t>共</w:t>
            </w:r>
            <w:r>
              <w:rPr>
                <w:rFonts w:hint="eastAsia"/>
              </w:rPr>
              <w:t>5</w:t>
            </w:r>
            <w:r>
              <w:t>个</w:t>
            </w:r>
            <w:r>
              <w:rPr>
                <w:rFonts w:hint="eastAsia"/>
              </w:rPr>
              <w:t>监测</w:t>
            </w:r>
            <w:r>
              <w:t>点位。本项目无组织废气</w:t>
            </w:r>
            <w:r>
              <w:rPr>
                <w:rFonts w:hint="eastAsia"/>
              </w:rPr>
              <w:t>监测</w:t>
            </w:r>
            <w:r>
              <w:t>点位和频次见</w:t>
            </w:r>
            <w:r>
              <w:rPr>
                <w:rFonts w:hint="eastAsia"/>
              </w:rPr>
              <w:t>下</w:t>
            </w:r>
            <w:r>
              <w:t>表。无组织废气监测点位图见下图6-1。</w:t>
            </w:r>
          </w:p>
          <w:p>
            <w:pPr>
              <w:pStyle w:val="38"/>
              <w:ind w:firstLine="0" w:firstLineChars="0"/>
              <w:jc w:val="center"/>
              <w:rPr>
                <w:rFonts w:cs="Times New Roman"/>
                <w:b/>
                <w:bCs/>
              </w:rPr>
            </w:pPr>
            <w:r>
              <w:rPr>
                <w:rFonts w:cs="Times New Roman"/>
                <w:b/>
                <w:bCs/>
              </w:rPr>
              <w:t>表6-3  无组织废气</w:t>
            </w:r>
            <w:r>
              <w:rPr>
                <w:rFonts w:hint="eastAsia" w:cs="Times New Roman"/>
                <w:b/>
                <w:bCs/>
              </w:rPr>
              <w:t>监测</w:t>
            </w:r>
            <w:r>
              <w:rPr>
                <w:rFonts w:cs="Times New Roman"/>
                <w:b/>
                <w:bCs/>
              </w:rPr>
              <w:t>内容、频次一览表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3"/>
              <w:gridCol w:w="2579"/>
              <w:gridCol w:w="1539"/>
              <w:gridCol w:w="2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42" w:type="pct"/>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项目</w:t>
                  </w:r>
                </w:p>
              </w:tc>
              <w:tc>
                <w:tcPr>
                  <w:tcW w:w="1446" w:type="pct"/>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点位</w:t>
                  </w:r>
                </w:p>
              </w:tc>
              <w:tc>
                <w:tcPr>
                  <w:tcW w:w="863" w:type="pct"/>
                  <w:vAlign w:val="center"/>
                </w:tcPr>
                <w:p>
                  <w:pPr>
                    <w:spacing w:line="240" w:lineRule="auto"/>
                    <w:ind w:firstLine="0" w:firstLineChars="0"/>
                    <w:jc w:val="center"/>
                    <w:rPr>
                      <w:b/>
                      <w:bCs/>
                      <w:sz w:val="21"/>
                      <w:szCs w:val="21"/>
                    </w:rPr>
                  </w:pPr>
                  <w:r>
                    <w:rPr>
                      <w:b/>
                      <w:bCs/>
                      <w:sz w:val="21"/>
                      <w:szCs w:val="21"/>
                    </w:rPr>
                    <w:t>频次</w:t>
                  </w:r>
                </w:p>
              </w:tc>
              <w:tc>
                <w:tcPr>
                  <w:tcW w:w="1347" w:type="pct"/>
                  <w:vAlign w:val="center"/>
                </w:tcPr>
                <w:p>
                  <w:pPr>
                    <w:spacing w:line="240" w:lineRule="auto"/>
                    <w:ind w:firstLine="0" w:firstLineChars="0"/>
                    <w:jc w:val="center"/>
                    <w:rPr>
                      <w:b/>
                      <w:bCs/>
                      <w:sz w:val="21"/>
                      <w:szCs w:val="21"/>
                    </w:rPr>
                  </w:pPr>
                  <w:r>
                    <w:rPr>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42" w:type="pct"/>
                  <w:vAlign w:val="center"/>
                </w:tcPr>
                <w:p>
                  <w:pPr>
                    <w:pStyle w:val="38"/>
                    <w:spacing w:line="240" w:lineRule="auto"/>
                    <w:ind w:firstLine="0" w:firstLineChars="0"/>
                    <w:jc w:val="center"/>
                    <w:rPr>
                      <w:rFonts w:cs="Times New Roman"/>
                      <w:sz w:val="21"/>
                      <w:szCs w:val="21"/>
                    </w:rPr>
                  </w:pPr>
                  <w:r>
                    <w:rPr>
                      <w:rFonts w:hint="eastAsia" w:cs="Times New Roman"/>
                      <w:color w:val="000000"/>
                      <w:sz w:val="21"/>
                      <w:szCs w:val="21"/>
                      <w:shd w:val="clear" w:color="auto" w:fill="FFFFFF"/>
                    </w:rPr>
                    <w:t>VOCs、二甲苯、氯化氢</w:t>
                  </w:r>
                </w:p>
              </w:tc>
              <w:tc>
                <w:tcPr>
                  <w:tcW w:w="1446" w:type="pct"/>
                  <w:vAlign w:val="center"/>
                </w:tcPr>
                <w:p>
                  <w:pPr>
                    <w:pStyle w:val="38"/>
                    <w:spacing w:line="240" w:lineRule="auto"/>
                    <w:ind w:firstLine="0" w:firstLineChars="0"/>
                    <w:jc w:val="center"/>
                    <w:rPr>
                      <w:rFonts w:cs="Times New Roman"/>
                      <w:sz w:val="21"/>
                      <w:szCs w:val="21"/>
                    </w:rPr>
                  </w:pPr>
                  <w:r>
                    <w:rPr>
                      <w:rFonts w:cs="Times New Roman"/>
                      <w:sz w:val="21"/>
                      <w:szCs w:val="21"/>
                    </w:rPr>
                    <w:t>上风向设置1个</w:t>
                  </w:r>
                  <w:r>
                    <w:rPr>
                      <w:rFonts w:hint="eastAsia" w:cs="Times New Roman"/>
                      <w:sz w:val="21"/>
                      <w:szCs w:val="21"/>
                    </w:rPr>
                    <w:t>监测</w:t>
                  </w:r>
                  <w:r>
                    <w:rPr>
                      <w:rFonts w:cs="Times New Roman"/>
                      <w:sz w:val="21"/>
                      <w:szCs w:val="21"/>
                    </w:rPr>
                    <w:t>点，下风向设置3个</w:t>
                  </w:r>
                  <w:r>
                    <w:rPr>
                      <w:rFonts w:hint="eastAsia" w:cs="Times New Roman"/>
                      <w:sz w:val="21"/>
                      <w:szCs w:val="21"/>
                    </w:rPr>
                    <w:t>监测</w:t>
                  </w:r>
                  <w:r>
                    <w:rPr>
                      <w:rFonts w:cs="Times New Roman"/>
                      <w:sz w:val="21"/>
                      <w:szCs w:val="21"/>
                    </w:rPr>
                    <w:t>点</w:t>
                  </w:r>
                </w:p>
              </w:tc>
              <w:tc>
                <w:tcPr>
                  <w:tcW w:w="863" w:type="pct"/>
                  <w:vMerge w:val="restart"/>
                  <w:vAlign w:val="center"/>
                </w:tcPr>
                <w:p>
                  <w:pPr>
                    <w:spacing w:line="240" w:lineRule="auto"/>
                    <w:ind w:firstLine="0" w:firstLineChars="0"/>
                    <w:jc w:val="center"/>
                    <w:rPr>
                      <w:sz w:val="21"/>
                      <w:szCs w:val="21"/>
                    </w:rPr>
                  </w:pPr>
                  <w:r>
                    <w:rPr>
                      <w:rFonts w:hint="eastAsia"/>
                      <w:sz w:val="21"/>
                      <w:szCs w:val="21"/>
                    </w:rPr>
                    <w:t>3</w:t>
                  </w:r>
                  <w:r>
                    <w:rPr>
                      <w:sz w:val="21"/>
                      <w:szCs w:val="21"/>
                    </w:rPr>
                    <w:t>次/天，共2天</w:t>
                  </w:r>
                </w:p>
              </w:tc>
              <w:tc>
                <w:tcPr>
                  <w:tcW w:w="1347" w:type="pct"/>
                  <w:vMerge w:val="restart"/>
                  <w:vAlign w:val="center"/>
                </w:tcPr>
                <w:p>
                  <w:pPr>
                    <w:spacing w:line="240" w:lineRule="auto"/>
                    <w:ind w:firstLine="0" w:firstLineChars="0"/>
                    <w:jc w:val="center"/>
                    <w:rPr>
                      <w:sz w:val="21"/>
                      <w:szCs w:val="21"/>
                    </w:rPr>
                  </w:pPr>
                  <w:r>
                    <w:rPr>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42" w:type="pct"/>
                  <w:vAlign w:val="center"/>
                </w:tcPr>
                <w:p>
                  <w:pPr>
                    <w:pStyle w:val="38"/>
                    <w:spacing w:line="240" w:lineRule="auto"/>
                    <w:ind w:firstLine="0" w:firstLineChars="0"/>
                    <w:jc w:val="center"/>
                    <w:rPr>
                      <w:rFonts w:cs="Times New Roman"/>
                      <w:sz w:val="21"/>
                      <w:szCs w:val="21"/>
                    </w:rPr>
                  </w:pPr>
                  <w:r>
                    <w:rPr>
                      <w:rFonts w:cs="Times New Roman"/>
                      <w:sz w:val="21"/>
                      <w:szCs w:val="21"/>
                      <w:shd w:val="clear" w:color="auto" w:fill="FFFFFF"/>
                    </w:rPr>
                    <w:t>NMHC</w:t>
                  </w:r>
                </w:p>
              </w:tc>
              <w:tc>
                <w:tcPr>
                  <w:tcW w:w="1446" w:type="pct"/>
                  <w:vAlign w:val="center"/>
                </w:tcPr>
                <w:p>
                  <w:pPr>
                    <w:pStyle w:val="38"/>
                    <w:spacing w:line="240" w:lineRule="auto"/>
                    <w:ind w:firstLine="0" w:firstLineChars="0"/>
                    <w:jc w:val="center"/>
                    <w:rPr>
                      <w:rFonts w:cs="Times New Roman"/>
                      <w:sz w:val="21"/>
                      <w:szCs w:val="21"/>
                    </w:rPr>
                  </w:pPr>
                  <w:r>
                    <w:rPr>
                      <w:rFonts w:cs="Times New Roman"/>
                      <w:sz w:val="21"/>
                      <w:szCs w:val="21"/>
                      <w:shd w:val="clear" w:color="auto" w:fill="FFFFFF"/>
                    </w:rPr>
                    <w:t>厂房门窗或通风口外 1m</w:t>
                  </w:r>
                </w:p>
              </w:tc>
              <w:tc>
                <w:tcPr>
                  <w:tcW w:w="863" w:type="pct"/>
                  <w:vMerge w:val="continue"/>
                  <w:vAlign w:val="center"/>
                </w:tcPr>
                <w:p>
                  <w:pPr>
                    <w:spacing w:line="240" w:lineRule="auto"/>
                    <w:ind w:firstLine="0" w:firstLineChars="0"/>
                    <w:jc w:val="center"/>
                    <w:rPr>
                      <w:sz w:val="21"/>
                      <w:szCs w:val="21"/>
                    </w:rPr>
                  </w:pPr>
                </w:p>
              </w:tc>
              <w:tc>
                <w:tcPr>
                  <w:tcW w:w="1347" w:type="pct"/>
                  <w:vMerge w:val="continue"/>
                  <w:vAlign w:val="center"/>
                </w:tcPr>
                <w:p>
                  <w:pPr>
                    <w:spacing w:line="240" w:lineRule="auto"/>
                    <w:ind w:firstLine="0" w:firstLineChars="0"/>
                    <w:jc w:val="center"/>
                    <w:rPr>
                      <w:sz w:val="21"/>
                      <w:szCs w:val="21"/>
                    </w:rPr>
                  </w:pPr>
                </w:p>
              </w:tc>
            </w:tr>
          </w:tbl>
          <w:p>
            <w:pPr>
              <w:ind w:firstLine="480"/>
            </w:pPr>
            <w:r>
              <w:t>②</w:t>
            </w:r>
            <w:r>
              <w:rPr>
                <w:rFonts w:hint="eastAsia"/>
              </w:rPr>
              <w:t>监测</w:t>
            </w:r>
            <w:r>
              <w:t>分析方法</w:t>
            </w:r>
          </w:p>
          <w:p>
            <w:pPr>
              <w:pStyle w:val="38"/>
              <w:jc w:val="both"/>
              <w:rPr>
                <w:rFonts w:cs="Times New Roman"/>
                <w:szCs w:val="24"/>
              </w:rPr>
            </w:pPr>
            <w:r>
              <w:rPr>
                <w:rFonts w:cs="Times New Roman"/>
                <w:szCs w:val="24"/>
              </w:rPr>
              <w:t>本项目无组织废气</w:t>
            </w:r>
            <w:r>
              <w:rPr>
                <w:rFonts w:hint="eastAsia" w:cs="Times New Roman"/>
                <w:szCs w:val="24"/>
              </w:rPr>
              <w:t>监测</w:t>
            </w:r>
            <w:r>
              <w:rPr>
                <w:rFonts w:cs="Times New Roman"/>
                <w:szCs w:val="24"/>
              </w:rPr>
              <w:t>分析方法</w:t>
            </w:r>
            <w:r>
              <w:t>见</w:t>
            </w:r>
            <w:r>
              <w:rPr>
                <w:rFonts w:hint="eastAsia"/>
              </w:rPr>
              <w:t>下</w:t>
            </w:r>
            <w:r>
              <w:t>表</w:t>
            </w:r>
            <w:r>
              <w:rPr>
                <w:rFonts w:cs="Times New Roman"/>
                <w:szCs w:val="24"/>
              </w:rPr>
              <w:t>。</w:t>
            </w:r>
          </w:p>
          <w:p>
            <w:pPr>
              <w:pStyle w:val="38"/>
              <w:ind w:firstLine="0" w:firstLineChars="0"/>
              <w:jc w:val="center"/>
              <w:rPr>
                <w:rFonts w:cs="Times New Roman"/>
              </w:rPr>
            </w:pPr>
            <w:r>
              <w:rPr>
                <w:rFonts w:cs="Times New Roman"/>
                <w:b/>
                <w:bCs/>
              </w:rPr>
              <w:t>表6-4  无组织废气监测因子分析方法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1"/>
              <w:gridCol w:w="2755"/>
              <w:gridCol w:w="2506"/>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1" w:type="dxa"/>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项目</w:t>
                  </w:r>
                </w:p>
              </w:tc>
              <w:tc>
                <w:tcPr>
                  <w:tcW w:w="2755"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506" w:type="dxa"/>
                  <w:vAlign w:val="center"/>
                </w:tcPr>
                <w:p>
                  <w:pPr>
                    <w:spacing w:line="240" w:lineRule="auto"/>
                    <w:ind w:firstLine="0" w:firstLineChars="0"/>
                    <w:jc w:val="center"/>
                    <w:rPr>
                      <w:b/>
                      <w:bCs/>
                      <w:sz w:val="21"/>
                      <w:szCs w:val="21"/>
                    </w:rPr>
                  </w:pPr>
                  <w:r>
                    <w:rPr>
                      <w:b/>
                      <w:bCs/>
                      <w:sz w:val="21"/>
                      <w:szCs w:val="21"/>
                    </w:rPr>
                    <w:t>方法来源</w:t>
                  </w:r>
                </w:p>
              </w:tc>
              <w:tc>
                <w:tcPr>
                  <w:tcW w:w="1822"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rFonts w:hint="eastAsia"/>
                      <w:b/>
                      <w:bCs/>
                      <w:sz w:val="21"/>
                      <w:szCs w:val="21"/>
                      <w:lang w:eastAsia="zh-CN"/>
                    </w:rPr>
                    <w:t>m</w:t>
                  </w:r>
                  <w:r>
                    <w:rPr>
                      <w:rFonts w:hint="eastAsia"/>
                      <w:b/>
                      <w:bCs/>
                      <w:sz w:val="21"/>
                      <w:szCs w:val="21"/>
                      <w:vertAlign w:val="superscript"/>
                      <w:lang w:eastAsia="zh-CN"/>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1"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VOCs</w:t>
                  </w:r>
                  <w:r>
                    <w:rPr>
                      <w:rFonts w:cs="Times New Roman"/>
                      <w:sz w:val="21"/>
                      <w:szCs w:val="21"/>
                      <w:shd w:val="clear" w:color="auto" w:fill="FFFFFF"/>
                    </w:rPr>
                    <w:t>（非甲烷总烃）</w:t>
                  </w:r>
                </w:p>
              </w:tc>
              <w:tc>
                <w:tcPr>
                  <w:tcW w:w="2755" w:type="dxa"/>
                  <w:vAlign w:val="center"/>
                </w:tcPr>
                <w:p>
                  <w:pPr>
                    <w:pStyle w:val="38"/>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直接进样-气相色谱法</w:t>
                  </w:r>
                </w:p>
              </w:tc>
              <w:tc>
                <w:tcPr>
                  <w:tcW w:w="2506" w:type="dxa"/>
                  <w:vAlign w:val="center"/>
                </w:tcPr>
                <w:p>
                  <w:pPr>
                    <w:pStyle w:val="38"/>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HJ 604-2017</w:t>
                  </w:r>
                </w:p>
              </w:tc>
              <w:tc>
                <w:tcPr>
                  <w:tcW w:w="1822"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0.07</w:t>
                  </w:r>
                  <w:r>
                    <w:rPr>
                      <w:rFonts w:cs="Times New Roman"/>
                      <w:sz w:val="21"/>
                      <w:szCs w:val="21"/>
                      <w:shd w:val="clear" w:color="auto" w:fill="FFFFFF"/>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氯化氢</w:t>
                  </w:r>
                </w:p>
              </w:tc>
              <w:tc>
                <w:tcPr>
                  <w:tcW w:w="2755"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lang w:bidi="ar"/>
                    </w:rPr>
                    <w:t>硫氰酸汞分光光度法</w:t>
                  </w:r>
                </w:p>
              </w:tc>
              <w:tc>
                <w:tcPr>
                  <w:tcW w:w="2506"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lang w:bidi="ar"/>
                    </w:rPr>
                    <w:t>HJ/T27-1999</w:t>
                  </w:r>
                </w:p>
              </w:tc>
              <w:tc>
                <w:tcPr>
                  <w:tcW w:w="1822" w:type="dxa"/>
                  <w:vAlign w:val="center"/>
                </w:tcPr>
                <w:p>
                  <w:pPr>
                    <w:pStyle w:val="38"/>
                    <w:spacing w:line="240" w:lineRule="auto"/>
                    <w:ind w:firstLine="0" w:firstLineChars="0"/>
                    <w:jc w:val="center"/>
                    <w:rPr>
                      <w:rFonts w:cs="Times New Roman"/>
                      <w:sz w:val="21"/>
                      <w:szCs w:val="21"/>
                      <w:shd w:val="clear" w:color="auto" w:fill="FFFFFF"/>
                      <w:lang w:bidi="ar"/>
                    </w:rPr>
                  </w:pPr>
                  <w:r>
                    <w:rPr>
                      <w:rFonts w:hint="eastAsia" w:cs="Times New Roman"/>
                      <w:sz w:val="21"/>
                      <w:szCs w:val="21"/>
                      <w:shd w:val="clear" w:color="auto" w:fill="FFFFFF"/>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1"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二甲苯</w:t>
                  </w:r>
                </w:p>
              </w:tc>
              <w:tc>
                <w:tcPr>
                  <w:tcW w:w="2755"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活性炭吸附/二硫化碳解吸-气相色谱法</w:t>
                  </w:r>
                </w:p>
              </w:tc>
              <w:tc>
                <w:tcPr>
                  <w:tcW w:w="2506"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HJ 584-2010</w:t>
                  </w:r>
                </w:p>
              </w:tc>
              <w:tc>
                <w:tcPr>
                  <w:tcW w:w="1822" w:type="dxa"/>
                  <w:vAlign w:val="center"/>
                </w:tcPr>
                <w:p>
                  <w:pPr>
                    <w:pStyle w:val="38"/>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1.5×10</w:t>
                  </w:r>
                  <w:r>
                    <w:rPr>
                      <w:rFonts w:hint="eastAsia" w:cs="Times New Roman"/>
                      <w:sz w:val="21"/>
                      <w:szCs w:val="21"/>
                      <w:shd w:val="clear" w:color="auto" w:fill="FFFFFF"/>
                      <w:vertAlign w:val="superscript"/>
                    </w:rPr>
                    <w:t>-3</w:t>
                  </w:r>
                </w:p>
              </w:tc>
            </w:tr>
          </w:tbl>
          <w:p>
            <w:pPr>
              <w:pStyle w:val="38"/>
              <w:jc w:val="both"/>
              <w:rPr>
                <w:rFonts w:cs="Times New Roman"/>
                <w:szCs w:val="24"/>
              </w:rPr>
            </w:pPr>
            <w:r>
              <w:rPr>
                <w:rFonts w:cs="Times New Roman"/>
                <w:szCs w:val="24"/>
              </w:rPr>
              <w:t>无组织</w:t>
            </w:r>
            <w:r>
              <w:rPr>
                <w:rFonts w:hint="eastAsia" w:cs="Times New Roman"/>
                <w:szCs w:val="24"/>
              </w:rPr>
              <w:t>监测</w:t>
            </w:r>
            <w:r>
              <w:rPr>
                <w:rFonts w:cs="Times New Roman"/>
                <w:szCs w:val="24"/>
              </w:rPr>
              <w:t>点位布置图如下：</w:t>
            </w:r>
          </w:p>
          <w:p>
            <w:pPr>
              <w:tabs>
                <w:tab w:val="left" w:pos="2565"/>
                <w:tab w:val="center" w:pos="4812"/>
              </w:tabs>
              <w:ind w:firstLine="0" w:firstLineChars="0"/>
              <w:jc w:val="center"/>
            </w:pPr>
            <w:r>
              <w:pict>
                <v:shape id="_x0000_i1032" o:spt="75" type="#_x0000_t75" style="height:347.7pt;width:445.55pt;" filled="f" o:preferrelative="t" stroked="f" coordsize="21600,21600">
                  <v:path/>
                  <v:fill on="f" focussize="0,0"/>
                  <v:stroke on="f" joinstyle="miter"/>
                  <v:imagedata r:id="rId15" o:title=""/>
                  <o:lock v:ext="edit" aspectratio="t"/>
                  <w10:wrap type="none"/>
                  <w10:anchorlock/>
                </v:shape>
              </w:pict>
            </w:r>
          </w:p>
          <w:p>
            <w:pPr>
              <w:tabs>
                <w:tab w:val="left" w:pos="2565"/>
                <w:tab w:val="center" w:pos="4812"/>
              </w:tabs>
              <w:ind w:firstLine="482"/>
              <w:jc w:val="center"/>
            </w:pPr>
            <w:r>
              <w:rPr>
                <w:b/>
                <w:bCs/>
              </w:rPr>
              <w:t>图6-1 无组织</w:t>
            </w:r>
            <w:r>
              <w:rPr>
                <w:rFonts w:hint="eastAsia"/>
                <w:b/>
                <w:bCs/>
              </w:rPr>
              <w:t>监测</w:t>
            </w:r>
            <w:r>
              <w:rPr>
                <w:b/>
                <w:bCs/>
              </w:rPr>
              <w:t>点位</w:t>
            </w:r>
            <w:r>
              <w:rPr>
                <w:rFonts w:hint="eastAsia"/>
                <w:b/>
                <w:bCs/>
              </w:rPr>
              <w:t>（风向：北风）</w:t>
            </w:r>
          </w:p>
          <w:p>
            <w:pPr>
              <w:ind w:firstLine="482"/>
              <w:rPr>
                <w:b/>
                <w:bCs/>
              </w:rPr>
            </w:pPr>
            <w:r>
              <w:rPr>
                <w:b/>
                <w:bCs/>
              </w:rPr>
              <w:t>2、废水</w:t>
            </w:r>
            <w:r>
              <w:rPr>
                <w:rFonts w:hint="eastAsia"/>
                <w:b/>
                <w:bCs/>
              </w:rPr>
              <w:t>监测</w:t>
            </w:r>
          </w:p>
          <w:p>
            <w:pPr>
              <w:ind w:firstLine="480"/>
            </w:pPr>
            <w:r>
              <w:t>（1）废水</w:t>
            </w:r>
            <w:r>
              <w:rPr>
                <w:rFonts w:hint="eastAsia"/>
              </w:rPr>
              <w:t>监测</w:t>
            </w:r>
            <w:r>
              <w:t>点位和频次</w:t>
            </w:r>
          </w:p>
          <w:p>
            <w:pPr>
              <w:ind w:firstLine="480"/>
            </w:pPr>
            <w:r>
              <w:t>本次废水监测</w:t>
            </w:r>
            <w:r>
              <w:rPr>
                <w:rFonts w:hint="eastAsia"/>
              </w:rPr>
              <w:t>企业污水总排口</w:t>
            </w:r>
            <w:r>
              <w:rPr>
                <w:rFonts w:hint="eastAsia"/>
                <w:lang w:eastAsia="zh-CN"/>
              </w:rPr>
              <w:t>、银丰国际生物城污水处理站出口</w:t>
            </w:r>
            <w:r>
              <w:rPr>
                <w:rFonts w:hint="eastAsia"/>
              </w:rPr>
              <w:t>，</w:t>
            </w:r>
            <w:r>
              <w:t>监测内容、频次见</w:t>
            </w:r>
            <w:r>
              <w:rPr>
                <w:rFonts w:hint="eastAsia"/>
              </w:rPr>
              <w:t>下</w:t>
            </w:r>
            <w:r>
              <w:t>表。</w:t>
            </w:r>
          </w:p>
          <w:p>
            <w:pPr>
              <w:pStyle w:val="38"/>
              <w:ind w:firstLine="0" w:firstLineChars="0"/>
              <w:jc w:val="center"/>
              <w:rPr>
                <w:rFonts w:cs="Times New Roman"/>
                <w:b/>
                <w:bCs/>
              </w:rPr>
            </w:pPr>
            <w:r>
              <w:rPr>
                <w:rFonts w:cs="Times New Roman"/>
                <w:b/>
                <w:bCs/>
              </w:rPr>
              <w:t>表6-5  废水监测情况一览表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3212"/>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监测点位</w:t>
                  </w:r>
                </w:p>
              </w:tc>
              <w:tc>
                <w:tcPr>
                  <w:tcW w:w="1194"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rFonts w:hint="eastAsia"/>
                      <w:b/>
                      <w:bCs/>
                      <w:sz w:val="21"/>
                      <w:szCs w:val="21"/>
                    </w:rPr>
                    <w:t>废水类别</w:t>
                  </w:r>
                </w:p>
              </w:tc>
              <w:tc>
                <w:tcPr>
                  <w:tcW w:w="1802"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监测项目</w:t>
                  </w:r>
                </w:p>
              </w:tc>
              <w:tc>
                <w:tcPr>
                  <w:tcW w:w="1014"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26"/>
                    <w:adjustRightInd w:val="0"/>
                    <w:snapToGrid w:val="0"/>
                    <w:spacing w:after="0" w:line="240" w:lineRule="auto"/>
                    <w:ind w:firstLine="0" w:firstLineChars="0"/>
                    <w:jc w:val="center"/>
                    <w:rPr>
                      <w:rFonts w:hint="default" w:eastAsia="宋体"/>
                      <w:sz w:val="21"/>
                      <w:szCs w:val="21"/>
                    </w:rPr>
                  </w:pPr>
                  <w:r>
                    <w:rPr>
                      <w:rFonts w:eastAsia="宋体"/>
                      <w:color w:val="000000"/>
                      <w:sz w:val="21"/>
                      <w:szCs w:val="21"/>
                    </w:rPr>
                    <w:t>企业污水总排口</w:t>
                  </w:r>
                </w:p>
              </w:tc>
              <w:tc>
                <w:tcPr>
                  <w:tcW w:w="1194" w:type="pct"/>
                  <w:vMerge w:val="restar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生活污水</w:t>
                  </w:r>
                  <w:r>
                    <w:rPr>
                      <w:rFonts w:eastAsia="宋体"/>
                      <w:sz w:val="21"/>
                      <w:szCs w:val="21"/>
                    </w:rPr>
                    <w:t>、地面清洁废水、实验废水</w:t>
                  </w:r>
                </w:p>
              </w:tc>
              <w:tc>
                <w:tcPr>
                  <w:tcW w:w="1802" w:type="pct"/>
                  <w:vAlign w:val="center"/>
                </w:tcPr>
                <w:p>
                  <w:pPr>
                    <w:pStyle w:val="26"/>
                    <w:adjustRightInd w:val="0"/>
                    <w:snapToGrid w:val="0"/>
                    <w:spacing w:after="0" w:line="240" w:lineRule="auto"/>
                    <w:ind w:firstLine="0" w:firstLineChars="0"/>
                    <w:jc w:val="center"/>
                    <w:rPr>
                      <w:rFonts w:hint="default" w:eastAsia="宋体"/>
                      <w:sz w:val="21"/>
                      <w:szCs w:val="21"/>
                    </w:rPr>
                  </w:pPr>
                  <w:r>
                    <w:rPr>
                      <w:rFonts w:hint="default" w:eastAsia="宋体"/>
                      <w:sz w:val="21"/>
                      <w:szCs w:val="21"/>
                    </w:rPr>
                    <w:t>氨氮、化学需氧量</w:t>
                  </w:r>
                </w:p>
              </w:tc>
              <w:tc>
                <w:tcPr>
                  <w:tcW w:w="1014" w:type="pct"/>
                  <w:vMerge w:val="restart"/>
                  <w:vAlign w:val="center"/>
                </w:tcPr>
                <w:p>
                  <w:pPr>
                    <w:adjustRightInd w:val="0"/>
                    <w:snapToGrid w:val="0"/>
                    <w:spacing w:line="240" w:lineRule="auto"/>
                    <w:ind w:firstLine="0" w:firstLineChars="0"/>
                    <w:jc w:val="center"/>
                    <w:rPr>
                      <w:sz w:val="21"/>
                      <w:szCs w:val="21"/>
                    </w:rPr>
                  </w:pPr>
                  <w:r>
                    <w:rPr>
                      <w:sz w:val="21"/>
                      <w:szCs w:val="21"/>
                    </w:rPr>
                    <w:t>监测2天，每天采样4次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26"/>
                    <w:adjustRightInd w:val="0"/>
                    <w:snapToGrid w:val="0"/>
                    <w:spacing w:after="0" w:line="240" w:lineRule="auto"/>
                    <w:ind w:firstLine="0" w:firstLineChars="0"/>
                    <w:jc w:val="center"/>
                    <w:rPr>
                      <w:rFonts w:hint="default" w:eastAsia="宋体"/>
                      <w:sz w:val="21"/>
                      <w:szCs w:val="21"/>
                    </w:rPr>
                  </w:pPr>
                  <w:r>
                    <w:rPr>
                      <w:rFonts w:eastAsia="宋体"/>
                      <w:color w:val="000000"/>
                      <w:sz w:val="21"/>
                      <w:szCs w:val="21"/>
                    </w:rPr>
                    <w:t>银丰国际生物城污水处理站出口</w:t>
                  </w:r>
                </w:p>
              </w:tc>
              <w:tc>
                <w:tcPr>
                  <w:tcW w:w="1194" w:type="pct"/>
                  <w:vMerge w:val="continue"/>
                  <w:vAlign w:val="center"/>
                </w:tcPr>
                <w:p>
                  <w:pPr>
                    <w:pStyle w:val="26"/>
                    <w:spacing w:after="0" w:line="240" w:lineRule="auto"/>
                    <w:ind w:firstLine="0" w:firstLineChars="0"/>
                    <w:jc w:val="center"/>
                    <w:rPr>
                      <w:rFonts w:hint="default" w:eastAsia="宋体"/>
                      <w:sz w:val="21"/>
                      <w:szCs w:val="21"/>
                    </w:rPr>
                  </w:pPr>
                </w:p>
              </w:tc>
              <w:tc>
                <w:tcPr>
                  <w:tcW w:w="1802" w:type="pct"/>
                  <w:vAlign w:val="center"/>
                </w:tcPr>
                <w:p>
                  <w:pPr>
                    <w:pStyle w:val="26"/>
                    <w:adjustRightInd w:val="0"/>
                    <w:snapToGrid w:val="0"/>
                    <w:spacing w:after="0" w:line="240" w:lineRule="auto"/>
                    <w:ind w:firstLine="0" w:firstLineChars="0"/>
                    <w:jc w:val="center"/>
                    <w:rPr>
                      <w:rFonts w:hint="default" w:eastAsia="宋体"/>
                      <w:sz w:val="21"/>
                      <w:szCs w:val="21"/>
                    </w:rPr>
                  </w:pPr>
                  <w:r>
                    <w:rPr>
                      <w:rFonts w:eastAsia="宋体"/>
                      <w:sz w:val="21"/>
                      <w:szCs w:val="21"/>
                    </w:rPr>
                    <w:t>pH值、氨氮、悬浮物、总磷、化学需氧量、五日生化需氧量、溶解性总固体</w:t>
                  </w:r>
                </w:p>
              </w:tc>
              <w:tc>
                <w:tcPr>
                  <w:tcW w:w="1014" w:type="pct"/>
                  <w:vMerge w:val="continue"/>
                  <w:vAlign w:val="center"/>
                </w:tcPr>
                <w:p>
                  <w:pPr>
                    <w:adjustRightInd w:val="0"/>
                    <w:snapToGrid w:val="0"/>
                    <w:spacing w:line="240" w:lineRule="auto"/>
                    <w:ind w:firstLine="0" w:firstLineChars="0"/>
                    <w:jc w:val="center"/>
                    <w:rPr>
                      <w:sz w:val="21"/>
                      <w:szCs w:val="21"/>
                    </w:rPr>
                  </w:pPr>
                </w:p>
              </w:tc>
            </w:tr>
          </w:tbl>
          <w:p>
            <w:pPr>
              <w:ind w:firstLine="480"/>
            </w:pPr>
            <w:r>
              <w:t>（2）</w:t>
            </w:r>
            <w:r>
              <w:rPr>
                <w:rFonts w:hint="eastAsia"/>
              </w:rPr>
              <w:t>监测</w:t>
            </w:r>
            <w:r>
              <w:t>分析方法</w:t>
            </w:r>
          </w:p>
          <w:p>
            <w:pPr>
              <w:pStyle w:val="2"/>
              <w:ind w:left="480" w:leftChars="200"/>
              <w:jc w:val="center"/>
              <w:rPr>
                <w:rFonts w:ascii="Times New Roman" w:hAnsi="Times New Roman"/>
                <w:b/>
                <w:bCs/>
                <w:color w:val="auto"/>
              </w:rPr>
            </w:pPr>
            <w:r>
              <w:rPr>
                <w:rFonts w:ascii="Times New Roman" w:hAnsi="Times New Roman"/>
                <w:b/>
                <w:bCs/>
                <w:color w:val="auto"/>
              </w:rPr>
              <w:t>表6-6 废水监测分析方法</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54"/>
                    <w:rPr>
                      <w:b/>
                      <w:bCs/>
                    </w:rPr>
                  </w:pPr>
                  <w:r>
                    <w:rPr>
                      <w:b/>
                      <w:bCs/>
                    </w:rPr>
                    <w:t>监测项目</w:t>
                  </w:r>
                </w:p>
              </w:tc>
              <w:tc>
                <w:tcPr>
                  <w:tcW w:w="1592" w:type="pct"/>
                  <w:vAlign w:val="center"/>
                </w:tcPr>
                <w:p>
                  <w:pPr>
                    <w:pStyle w:val="54"/>
                    <w:rPr>
                      <w:b/>
                      <w:bCs/>
                    </w:rPr>
                  </w:pPr>
                  <w:r>
                    <w:rPr>
                      <w:rFonts w:hint="eastAsia"/>
                      <w:b/>
                      <w:bCs/>
                    </w:rPr>
                    <w:t>监测</w:t>
                  </w:r>
                  <w:r>
                    <w:rPr>
                      <w:b/>
                      <w:bCs/>
                    </w:rPr>
                    <w:t>方法</w:t>
                  </w:r>
                </w:p>
              </w:tc>
              <w:tc>
                <w:tcPr>
                  <w:tcW w:w="1158" w:type="pct"/>
                  <w:vAlign w:val="center"/>
                </w:tcPr>
                <w:p>
                  <w:pPr>
                    <w:pStyle w:val="54"/>
                    <w:rPr>
                      <w:b/>
                      <w:bCs/>
                    </w:rPr>
                  </w:pPr>
                  <w:r>
                    <w:rPr>
                      <w:b/>
                      <w:bCs/>
                    </w:rPr>
                    <w:t>方法依据</w:t>
                  </w:r>
                </w:p>
              </w:tc>
              <w:tc>
                <w:tcPr>
                  <w:tcW w:w="1052" w:type="pct"/>
                  <w:vAlign w:val="center"/>
                </w:tcPr>
                <w:p>
                  <w:pPr>
                    <w:pStyle w:val="54"/>
                    <w:rPr>
                      <w:b/>
                      <w:bCs/>
                    </w:rPr>
                  </w:pPr>
                  <w:r>
                    <w:rPr>
                      <w:b/>
                      <w:bCs/>
                    </w:rPr>
                    <w:t>检出限</w:t>
                  </w:r>
                  <w:r>
                    <w:rPr>
                      <w:rFonts w:hint="eastAsia"/>
                      <w:b/>
                      <w:bCs/>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pH值</w:t>
                  </w:r>
                </w:p>
              </w:tc>
              <w:tc>
                <w:tcPr>
                  <w:tcW w:w="1592"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电极法</w:t>
                  </w:r>
                </w:p>
              </w:tc>
              <w:tc>
                <w:tcPr>
                  <w:tcW w:w="1158"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HJ 1147-2020</w:t>
                  </w:r>
                </w:p>
              </w:tc>
              <w:tc>
                <w:tcPr>
                  <w:tcW w:w="1052" w:type="pct"/>
                  <w:vAlign w:val="center"/>
                </w:tcPr>
                <w:p>
                  <w:pPr>
                    <w:pStyle w:val="26"/>
                    <w:spacing w:after="0"/>
                    <w:ind w:firstLine="0" w:firstLineChars="0"/>
                    <w:jc w:val="center"/>
                    <w:rPr>
                      <w:rFonts w:hint="default" w:eastAsia="宋体"/>
                      <w:sz w:val="21"/>
                      <w:szCs w:val="21"/>
                    </w:rPr>
                  </w:pPr>
                  <w:r>
                    <w:rPr>
                      <w:rFonts w:hint="default"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悬浮物</w:t>
                  </w:r>
                </w:p>
              </w:tc>
              <w:tc>
                <w:tcPr>
                  <w:tcW w:w="1592"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重量法</w:t>
                  </w:r>
                </w:p>
              </w:tc>
              <w:tc>
                <w:tcPr>
                  <w:tcW w:w="1158"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GB/T 11901-1989</w:t>
                  </w:r>
                </w:p>
              </w:tc>
              <w:tc>
                <w:tcPr>
                  <w:tcW w:w="1052" w:type="pct"/>
                  <w:vAlign w:val="center"/>
                </w:tcPr>
                <w:p>
                  <w:pPr>
                    <w:pStyle w:val="26"/>
                    <w:spacing w:after="0" w:line="240" w:lineRule="auto"/>
                    <w:ind w:firstLine="0" w:firstLineChars="0"/>
                    <w:jc w:val="center"/>
                    <w:rPr>
                      <w:rFonts w:hint="default" w:eastAsia="宋体"/>
                      <w:sz w:val="21"/>
                      <w:szCs w:val="21"/>
                    </w:rPr>
                  </w:pPr>
                  <w:r>
                    <w:rPr>
                      <w:rFonts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氨氮</w:t>
                  </w:r>
                </w:p>
              </w:tc>
              <w:tc>
                <w:tcPr>
                  <w:tcW w:w="1592"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纳氏试剂分光光度法</w:t>
                  </w:r>
                </w:p>
              </w:tc>
              <w:tc>
                <w:tcPr>
                  <w:tcW w:w="1158"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HJ 535-2009</w:t>
                  </w:r>
                </w:p>
              </w:tc>
              <w:tc>
                <w:tcPr>
                  <w:tcW w:w="1052"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化学需氧量</w:t>
                  </w:r>
                </w:p>
              </w:tc>
              <w:tc>
                <w:tcPr>
                  <w:tcW w:w="1592"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重铬酸盐法</w:t>
                  </w:r>
                </w:p>
              </w:tc>
              <w:tc>
                <w:tcPr>
                  <w:tcW w:w="1158"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HJ 828-2017</w:t>
                  </w:r>
                </w:p>
              </w:tc>
              <w:tc>
                <w:tcPr>
                  <w:tcW w:w="1052" w:type="pct"/>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总磷</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钼酸铵分光光度法</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GB 11893-1989</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溶解性总固体</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重量法</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CJ/T 51-2018</w:t>
                  </w:r>
                </w:p>
              </w:tc>
              <w:tc>
                <w:tcPr>
                  <w:tcW w:w="0" w:type="auto"/>
                  <w:vAlign w:val="center"/>
                </w:tcPr>
                <w:p>
                  <w:pPr>
                    <w:pStyle w:val="26"/>
                    <w:spacing w:after="0" w:line="240" w:lineRule="auto"/>
                    <w:ind w:firstLine="0" w:firstLineChars="0"/>
                    <w:jc w:val="center"/>
                    <w:rPr>
                      <w:rFonts w:hint="default" w:eastAsia="宋体"/>
                      <w:sz w:val="21"/>
                      <w:szCs w:val="21"/>
                    </w:rPr>
                  </w:pPr>
                  <w:r>
                    <w:rPr>
                      <w:rFonts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6"/>
                    <w:spacing w:after="0" w:line="240" w:lineRule="auto"/>
                    <w:ind w:firstLine="0" w:firstLineChars="0"/>
                    <w:jc w:val="center"/>
                    <w:rPr>
                      <w:rFonts w:hint="default" w:eastAsia="宋体"/>
                      <w:sz w:val="21"/>
                      <w:szCs w:val="21"/>
                    </w:rPr>
                  </w:pPr>
                  <w:r>
                    <w:rPr>
                      <w:rFonts w:eastAsia="宋体"/>
                      <w:sz w:val="21"/>
                      <w:szCs w:val="21"/>
                    </w:rPr>
                    <w:t>五日生化需氧量</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稀释与接种法</w:t>
                  </w:r>
                </w:p>
              </w:tc>
              <w:tc>
                <w:tcPr>
                  <w:tcW w:w="0" w:type="auto"/>
                  <w:vAlign w:val="center"/>
                </w:tcPr>
                <w:p>
                  <w:pPr>
                    <w:pStyle w:val="26"/>
                    <w:spacing w:after="0" w:line="240" w:lineRule="auto"/>
                    <w:ind w:firstLine="0" w:firstLineChars="0"/>
                    <w:jc w:val="center"/>
                    <w:rPr>
                      <w:rFonts w:hint="default" w:eastAsia="宋体"/>
                      <w:sz w:val="21"/>
                      <w:szCs w:val="21"/>
                    </w:rPr>
                  </w:pPr>
                  <w:r>
                    <w:rPr>
                      <w:rFonts w:hint="default" w:eastAsia="宋体"/>
                      <w:sz w:val="21"/>
                      <w:szCs w:val="21"/>
                    </w:rPr>
                    <w:t>HJ 505-2009</w:t>
                  </w:r>
                </w:p>
              </w:tc>
              <w:tc>
                <w:tcPr>
                  <w:tcW w:w="0" w:type="auto"/>
                  <w:vAlign w:val="center"/>
                </w:tcPr>
                <w:p>
                  <w:pPr>
                    <w:pStyle w:val="26"/>
                    <w:spacing w:after="0" w:line="240" w:lineRule="auto"/>
                    <w:ind w:firstLine="0" w:firstLineChars="0"/>
                    <w:jc w:val="center"/>
                    <w:rPr>
                      <w:rFonts w:hint="default" w:eastAsia="宋体"/>
                      <w:sz w:val="21"/>
                      <w:szCs w:val="21"/>
                    </w:rPr>
                  </w:pPr>
                  <w:r>
                    <w:rPr>
                      <w:rFonts w:eastAsia="宋体"/>
                      <w:sz w:val="21"/>
                      <w:szCs w:val="21"/>
                    </w:rPr>
                    <w:t>0.5</w:t>
                  </w:r>
                </w:p>
              </w:tc>
            </w:tr>
          </w:tbl>
          <w:p>
            <w:pPr>
              <w:ind w:firstLine="482"/>
              <w:rPr>
                <w:b/>
                <w:bCs/>
              </w:rPr>
            </w:pPr>
            <w:r>
              <w:rPr>
                <w:b/>
                <w:bCs/>
              </w:rPr>
              <w:t>3、噪声</w:t>
            </w:r>
            <w:r>
              <w:rPr>
                <w:rFonts w:hint="eastAsia"/>
                <w:b/>
                <w:bCs/>
              </w:rPr>
              <w:t>监测</w:t>
            </w:r>
          </w:p>
          <w:p>
            <w:pPr>
              <w:ind w:firstLine="480"/>
            </w:pPr>
            <w:r>
              <w:t>（1）噪声</w:t>
            </w:r>
            <w:r>
              <w:rPr>
                <w:rFonts w:hint="eastAsia"/>
              </w:rPr>
              <w:t>监测</w:t>
            </w:r>
            <w:r>
              <w:t>点位和频次</w:t>
            </w:r>
          </w:p>
          <w:p>
            <w:pPr>
              <w:ind w:firstLine="480"/>
            </w:pPr>
            <w:r>
              <w:t>本项目厂界四周共布设</w:t>
            </w:r>
            <w:r>
              <w:rPr>
                <w:rFonts w:hint="eastAsia"/>
              </w:rPr>
              <w:t>3</w:t>
            </w:r>
            <w:r>
              <w:t>个监测点位</w:t>
            </w:r>
            <w:r>
              <w:rPr>
                <w:rFonts w:hint="eastAsia"/>
              </w:rPr>
              <w:t>（项目西侧与其他企业相邻，共用一堵墙，无法进行监测），敏感点共布置1个点位，为</w:t>
            </w:r>
            <w:r>
              <w:t>项目</w:t>
            </w:r>
            <w:r>
              <w:rPr>
                <w:rFonts w:hint="eastAsia"/>
              </w:rPr>
              <w:t>东南</w:t>
            </w:r>
            <w:r>
              <w:t>侧</w:t>
            </w:r>
            <w:r>
              <w:rPr>
                <w:rFonts w:hint="eastAsia"/>
              </w:rPr>
              <w:t>100m的公寓A12楼，项目共设置4个监测点位。</w:t>
            </w:r>
            <w:r>
              <w:t>每天昼间监测一次，监测两天</w:t>
            </w:r>
            <w:r>
              <w:rPr>
                <w:rFonts w:hint="eastAsia"/>
              </w:rPr>
              <w:t>（项目夜间不运行）</w:t>
            </w:r>
            <w:r>
              <w:t>。</w:t>
            </w:r>
          </w:p>
          <w:p>
            <w:pPr>
              <w:ind w:firstLine="480"/>
            </w:pPr>
            <w:r>
              <w:t>噪声</w:t>
            </w:r>
            <w:r>
              <w:rPr>
                <w:rFonts w:hint="eastAsia"/>
              </w:rPr>
              <w:t>监测</w:t>
            </w:r>
            <w:r>
              <w:t>点位见下图6-2所示。</w:t>
            </w:r>
          </w:p>
          <w:p>
            <w:pPr>
              <w:ind w:firstLine="480"/>
            </w:pPr>
            <w:r>
              <w:t>（2）</w:t>
            </w:r>
            <w:r>
              <w:rPr>
                <w:rFonts w:hint="eastAsia"/>
              </w:rPr>
              <w:t>监测</w:t>
            </w:r>
            <w:r>
              <w:t>分析方法</w:t>
            </w:r>
          </w:p>
          <w:p>
            <w:pPr>
              <w:ind w:firstLine="480"/>
            </w:pPr>
            <w:r>
              <w:t>本项目噪声</w:t>
            </w:r>
            <w:r>
              <w:rPr>
                <w:rFonts w:hint="eastAsia"/>
              </w:rPr>
              <w:t>监测</w:t>
            </w:r>
            <w:r>
              <w:t>分析方法见</w:t>
            </w:r>
            <w:r>
              <w:rPr>
                <w:rFonts w:hint="eastAsia"/>
              </w:rPr>
              <w:t>下</w:t>
            </w:r>
            <w:r>
              <w:t>表。</w:t>
            </w:r>
          </w:p>
          <w:p>
            <w:pPr>
              <w:ind w:firstLine="482"/>
              <w:jc w:val="center"/>
              <w:rPr>
                <w:b/>
                <w:bCs/>
              </w:rPr>
            </w:pPr>
            <w:r>
              <w:rPr>
                <w:b/>
                <w:bCs/>
              </w:rPr>
              <w:t>表6-7  噪声</w:t>
            </w:r>
            <w:r>
              <w:rPr>
                <w:rFonts w:hint="eastAsia"/>
                <w:b/>
                <w:bCs/>
              </w:rPr>
              <w:t>监测</w:t>
            </w:r>
            <w:r>
              <w:rPr>
                <w:b/>
                <w:bCs/>
              </w:rPr>
              <w:t>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sz w:val="21"/>
                      <w:szCs w:val="21"/>
                    </w:rPr>
                  </w:pPr>
                  <w:r>
                    <w:rPr>
                      <w:b/>
                      <w:bCs/>
                      <w:sz w:val="21"/>
                      <w:szCs w:val="21"/>
                    </w:rPr>
                    <w:t>项目名称</w:t>
                  </w:r>
                </w:p>
              </w:tc>
              <w:tc>
                <w:tcPr>
                  <w:tcW w:w="2072" w:type="dxa"/>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分析方法</w:t>
                  </w:r>
                </w:p>
              </w:tc>
              <w:tc>
                <w:tcPr>
                  <w:tcW w:w="2242" w:type="dxa"/>
                  <w:vAlign w:val="center"/>
                </w:tcPr>
                <w:p>
                  <w:pPr>
                    <w:spacing w:line="240" w:lineRule="auto"/>
                    <w:ind w:firstLine="0" w:firstLineChars="0"/>
                    <w:jc w:val="center"/>
                    <w:rPr>
                      <w:b/>
                      <w:bCs/>
                      <w:sz w:val="21"/>
                      <w:szCs w:val="21"/>
                    </w:rPr>
                  </w:pPr>
                  <w:r>
                    <w:rPr>
                      <w:b/>
                      <w:bCs/>
                      <w:sz w:val="21"/>
                      <w:szCs w:val="21"/>
                    </w:rPr>
                    <w:t>方法来源</w:t>
                  </w:r>
                </w:p>
              </w:tc>
              <w:tc>
                <w:tcPr>
                  <w:tcW w:w="2222" w:type="dxa"/>
                  <w:vAlign w:val="center"/>
                </w:tcPr>
                <w:p>
                  <w:pPr>
                    <w:spacing w:line="240" w:lineRule="auto"/>
                    <w:ind w:firstLine="0" w:firstLineChars="0"/>
                    <w:jc w:val="center"/>
                    <w:rPr>
                      <w:b/>
                      <w:bCs/>
                      <w:sz w:val="21"/>
                      <w:szCs w:val="21"/>
                    </w:rPr>
                  </w:pPr>
                  <w:r>
                    <w:rPr>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sz w:val="21"/>
                      <w:szCs w:val="21"/>
                    </w:rPr>
                  </w:pPr>
                  <w:r>
                    <w:rPr>
                      <w:sz w:val="21"/>
                      <w:szCs w:val="21"/>
                    </w:rPr>
                    <w:t>厂界噪声dB（A）</w:t>
                  </w:r>
                </w:p>
              </w:tc>
              <w:tc>
                <w:tcPr>
                  <w:tcW w:w="2072" w:type="dxa"/>
                  <w:vAlign w:val="center"/>
                </w:tcPr>
                <w:p>
                  <w:pPr>
                    <w:spacing w:line="240" w:lineRule="auto"/>
                    <w:ind w:firstLine="0" w:firstLineChars="0"/>
                    <w:jc w:val="center"/>
                    <w:rPr>
                      <w:sz w:val="21"/>
                      <w:szCs w:val="21"/>
                    </w:rPr>
                  </w:pPr>
                  <w:r>
                    <w:rPr>
                      <w:sz w:val="21"/>
                      <w:szCs w:val="21"/>
                    </w:rPr>
                    <w:t>声级计法</w:t>
                  </w:r>
                </w:p>
              </w:tc>
              <w:tc>
                <w:tcPr>
                  <w:tcW w:w="2242" w:type="dxa"/>
                  <w:vAlign w:val="center"/>
                </w:tcPr>
                <w:p>
                  <w:pPr>
                    <w:spacing w:line="240" w:lineRule="auto"/>
                    <w:ind w:firstLine="0" w:firstLineChars="0"/>
                    <w:jc w:val="center"/>
                    <w:rPr>
                      <w:sz w:val="21"/>
                      <w:szCs w:val="21"/>
                    </w:rPr>
                  </w:pPr>
                  <w:r>
                    <w:rPr>
                      <w:sz w:val="21"/>
                      <w:szCs w:val="21"/>
                    </w:rPr>
                    <w:t>GB12348-2008</w:t>
                  </w:r>
                </w:p>
              </w:tc>
              <w:tc>
                <w:tcPr>
                  <w:tcW w:w="2222" w:type="dxa"/>
                  <w:vAlign w:val="center"/>
                </w:tcPr>
                <w:p>
                  <w:pPr>
                    <w:spacing w:line="240" w:lineRule="auto"/>
                    <w:ind w:firstLine="0" w:firstLineChars="0"/>
                    <w:jc w:val="center"/>
                    <w:rPr>
                      <w:sz w:val="21"/>
                      <w:szCs w:val="21"/>
                    </w:rPr>
                  </w:pP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sz w:val="21"/>
                      <w:szCs w:val="21"/>
                    </w:rPr>
                  </w:pPr>
                  <w:r>
                    <w:rPr>
                      <w:rFonts w:hint="eastAsia"/>
                      <w:sz w:val="21"/>
                      <w:szCs w:val="21"/>
                    </w:rPr>
                    <w:t>敏感点噪声</w:t>
                  </w:r>
                  <w:r>
                    <w:rPr>
                      <w:sz w:val="21"/>
                      <w:szCs w:val="21"/>
                    </w:rPr>
                    <w:t>dB（A）</w:t>
                  </w:r>
                </w:p>
              </w:tc>
              <w:tc>
                <w:tcPr>
                  <w:tcW w:w="2072" w:type="dxa"/>
                  <w:vAlign w:val="center"/>
                </w:tcPr>
                <w:p>
                  <w:pPr>
                    <w:spacing w:line="240" w:lineRule="auto"/>
                    <w:ind w:firstLine="0" w:firstLineChars="0"/>
                    <w:jc w:val="center"/>
                    <w:rPr>
                      <w:sz w:val="21"/>
                      <w:szCs w:val="21"/>
                    </w:rPr>
                  </w:pPr>
                  <w:r>
                    <w:rPr>
                      <w:sz w:val="21"/>
                      <w:szCs w:val="21"/>
                    </w:rPr>
                    <w:t>声级计法</w:t>
                  </w:r>
                </w:p>
              </w:tc>
              <w:tc>
                <w:tcPr>
                  <w:tcW w:w="2242" w:type="dxa"/>
                  <w:vAlign w:val="center"/>
                </w:tcPr>
                <w:p>
                  <w:pPr>
                    <w:spacing w:line="240" w:lineRule="auto"/>
                    <w:ind w:firstLine="0" w:firstLineChars="0"/>
                    <w:jc w:val="center"/>
                    <w:rPr>
                      <w:sz w:val="21"/>
                      <w:szCs w:val="21"/>
                    </w:rPr>
                  </w:pPr>
                  <w:r>
                    <w:rPr>
                      <w:sz w:val="21"/>
                      <w:szCs w:val="21"/>
                    </w:rPr>
                    <w:t>GB3096-2008</w:t>
                  </w:r>
                </w:p>
              </w:tc>
              <w:tc>
                <w:tcPr>
                  <w:tcW w:w="2222" w:type="dxa"/>
                  <w:vAlign w:val="center"/>
                </w:tcPr>
                <w:p>
                  <w:pPr>
                    <w:spacing w:line="240" w:lineRule="auto"/>
                    <w:ind w:firstLine="0" w:firstLineChars="0"/>
                    <w:jc w:val="center"/>
                    <w:rPr>
                      <w:sz w:val="21"/>
                      <w:szCs w:val="21"/>
                    </w:rPr>
                  </w:pPr>
                  <w:r>
                    <w:rPr>
                      <w:rFonts w:hint="eastAsia"/>
                      <w:sz w:val="21"/>
                      <w:szCs w:val="21"/>
                    </w:rPr>
                    <w:t>/</w:t>
                  </w:r>
                </w:p>
              </w:tc>
            </w:tr>
          </w:tbl>
          <w:p>
            <w:pPr>
              <w:widowControl/>
              <w:ind w:firstLine="480"/>
              <w:jc w:val="left"/>
            </w:pPr>
            <w:r>
              <w:t>噪声点位布置图如下：</w:t>
            </w:r>
          </w:p>
          <w:p>
            <w:pPr>
              <w:pStyle w:val="27"/>
              <w:ind w:firstLine="0" w:firstLineChars="0"/>
              <w:jc w:val="center"/>
              <w:rPr>
                <w:color w:val="auto"/>
              </w:rPr>
            </w:pPr>
            <w:r>
              <w:pict>
                <v:shape id="_x0000_i1033" o:spt="75" type="#_x0000_t75" style="height:361.85pt;width:441.25pt;" filled="f" o:preferrelative="t" stroked="f" coordsize="21600,21600">
                  <v:path/>
                  <v:fill on="f" focussize="0,0"/>
                  <v:stroke on="f" joinstyle="miter"/>
                  <v:imagedata r:id="rId16" o:title=""/>
                  <o:lock v:ext="edit" aspectratio="t"/>
                  <w10:wrap type="none"/>
                  <w10:anchorlock/>
                </v:shape>
              </w:pict>
            </w:r>
          </w:p>
          <w:p>
            <w:pPr>
              <w:ind w:firstLine="482"/>
              <w:jc w:val="center"/>
              <w:rPr>
                <w:b/>
                <w:bCs/>
              </w:rPr>
            </w:pPr>
            <w:r>
              <w:rPr>
                <w:b/>
                <w:bCs/>
              </w:rPr>
              <w:t>图6-2  噪声</w:t>
            </w:r>
            <w:r>
              <w:rPr>
                <w:rFonts w:hint="eastAsia"/>
                <w:b/>
                <w:bCs/>
              </w:rPr>
              <w:t>监测</w:t>
            </w:r>
            <w:r>
              <w:rPr>
                <w:b/>
                <w:bCs/>
              </w:rPr>
              <w:t>点位</w:t>
            </w:r>
          </w:p>
          <w:p>
            <w:pPr>
              <w:pStyle w:val="2"/>
              <w:rPr>
                <w:rFonts w:ascii="Times New Roman" w:hAnsi="Times New Roman"/>
                <w:color w:val="auto"/>
              </w:rPr>
            </w:pPr>
          </w:p>
        </w:tc>
      </w:tr>
    </w:tbl>
    <w:p>
      <w:pPr>
        <w:adjustRightInd w:val="0"/>
        <w:snapToGrid w:val="0"/>
        <w:ind w:firstLine="0" w:firstLineChars="0"/>
        <w:outlineLvl w:val="0"/>
      </w:pPr>
      <w:r>
        <w:rPr>
          <w:b/>
          <w:bCs/>
          <w:sz w:val="32"/>
          <w:szCs w:val="32"/>
        </w:rPr>
        <w:br w:type="page"/>
      </w:r>
      <w:bookmarkStart w:id="273" w:name="_Toc18437"/>
      <w:bookmarkStart w:id="274" w:name="_Toc22473"/>
      <w:bookmarkStart w:id="275" w:name="_Toc22361"/>
      <w:bookmarkStart w:id="276" w:name="_Toc10766"/>
      <w:bookmarkStart w:id="277" w:name="_Toc1863"/>
      <w:bookmarkStart w:id="278" w:name="_Toc21743"/>
      <w:r>
        <w:rPr>
          <w:b/>
          <w:bCs/>
          <w:sz w:val="32"/>
          <w:szCs w:val="32"/>
        </w:rPr>
        <w:t>表7  验收监测期间工况记录及验收监测结果</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6"/>
      <w:bookmarkEnd w:id="267"/>
      <w:bookmarkEnd w:id="268"/>
      <w:bookmarkEnd w:id="269"/>
      <w:bookmarkEnd w:id="270"/>
      <w:bookmarkEnd w:id="271"/>
      <w:bookmarkEnd w:id="272"/>
      <w:bookmarkEnd w:id="273"/>
      <w:bookmarkEnd w:id="274"/>
      <w:bookmarkEnd w:id="275"/>
      <w:bookmarkEnd w:id="276"/>
      <w:bookmarkEnd w:id="277"/>
      <w:bookmarkEnd w:id="278"/>
    </w:p>
    <w:tbl>
      <w:tblPr>
        <w:tblStyle w:val="28"/>
        <w:tblpPr w:leftFromText="180" w:rightFromText="180" w:vertAnchor="text" w:horzAnchor="margin" w:tblpXSpec="center" w:tblpY="158"/>
        <w:tblW w:w="500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rPr>
            </w:pPr>
            <w:r>
              <w:rPr>
                <w:b/>
                <w:bCs/>
              </w:rPr>
              <w:t>一、验收监测期间工况记录</w:t>
            </w:r>
          </w:p>
          <w:p>
            <w:pPr>
              <w:ind w:firstLine="480"/>
              <w:rPr>
                <w:color w:val="auto"/>
                <w:highlight w:val="none"/>
              </w:rPr>
            </w:pPr>
            <w:r>
              <w:rPr>
                <w:rFonts w:hint="eastAsia"/>
                <w:color w:val="auto"/>
                <w:highlight w:val="none"/>
              </w:rPr>
              <w:t>监测</w:t>
            </w:r>
            <w:r>
              <w:rPr>
                <w:color w:val="auto"/>
                <w:highlight w:val="none"/>
              </w:rPr>
              <w:t>期间本项目运行正常。</w:t>
            </w:r>
            <w:r>
              <w:rPr>
                <w:rFonts w:hint="eastAsia"/>
                <w:color w:val="auto"/>
                <w:highlight w:val="none"/>
              </w:rPr>
              <w:t>检测</w:t>
            </w:r>
            <w:r>
              <w:rPr>
                <w:color w:val="auto"/>
                <w:highlight w:val="none"/>
              </w:rPr>
              <w:t>期间运营工况见</w:t>
            </w:r>
            <w:r>
              <w:rPr>
                <w:rFonts w:hint="eastAsia"/>
                <w:color w:val="auto"/>
                <w:highlight w:val="none"/>
                <w:lang w:eastAsia="zh-CN"/>
              </w:rPr>
              <w:t>下</w:t>
            </w:r>
            <w:r>
              <w:rPr>
                <w:color w:val="auto"/>
                <w:highlight w:val="none"/>
              </w:rPr>
              <w:t>表。</w:t>
            </w:r>
          </w:p>
          <w:p>
            <w:pPr>
              <w:ind w:firstLine="482"/>
              <w:jc w:val="center"/>
              <w:rPr>
                <w:b/>
                <w:bCs/>
                <w:color w:val="auto"/>
                <w:highlight w:val="none"/>
              </w:rPr>
            </w:pPr>
            <w:r>
              <w:rPr>
                <w:b/>
                <w:bCs/>
                <w:color w:val="auto"/>
                <w:highlight w:val="none"/>
              </w:rPr>
              <w:t>表</w:t>
            </w:r>
            <w:r>
              <w:rPr>
                <w:rFonts w:hint="eastAsia"/>
                <w:b/>
                <w:bCs/>
                <w:color w:val="auto"/>
                <w:highlight w:val="none"/>
              </w:rPr>
              <w:t>7</w:t>
            </w:r>
            <w:r>
              <w:rPr>
                <w:b/>
                <w:bCs/>
                <w:color w:val="auto"/>
                <w:highlight w:val="none"/>
              </w:rPr>
              <w:t>-1  本项目监测期间项目运营工况一览表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4"/>
              <w:gridCol w:w="2235"/>
              <w:gridCol w:w="879"/>
              <w:gridCol w:w="1557"/>
              <w:gridCol w:w="1577"/>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Align w:val="center"/>
                </w:tcPr>
                <w:p>
                  <w:pPr>
                    <w:pStyle w:val="46"/>
                    <w:ind w:firstLine="0" w:firstLineChars="0"/>
                    <w:rPr>
                      <w:rFonts w:hint="eastAsia" w:ascii="Times New Roman" w:hAnsi="Times New Roman" w:eastAsia="宋体"/>
                      <w:b/>
                      <w:bCs/>
                      <w:color w:val="auto"/>
                      <w:kern w:val="0"/>
                      <w:szCs w:val="21"/>
                      <w:highlight w:val="none"/>
                    </w:rPr>
                  </w:pPr>
                  <w:r>
                    <w:rPr>
                      <w:rFonts w:hint="eastAsia" w:ascii="Times New Roman" w:hAnsi="Times New Roman" w:eastAsia="宋体"/>
                      <w:b/>
                      <w:bCs/>
                      <w:color w:val="auto"/>
                      <w:kern w:val="0"/>
                      <w:szCs w:val="21"/>
                      <w:highlight w:val="none"/>
                    </w:rPr>
                    <w:t>日期</w:t>
                  </w:r>
                </w:p>
              </w:tc>
              <w:tc>
                <w:tcPr>
                  <w:tcW w:w="1253" w:type="pct"/>
                  <w:vAlign w:val="center"/>
                </w:tcPr>
                <w:p>
                  <w:pPr>
                    <w:pStyle w:val="46"/>
                    <w:ind w:firstLine="0" w:firstLineChars="0"/>
                    <w:rPr>
                      <w:rFonts w:hint="eastAsia" w:ascii="Times New Roman" w:hAnsi="Times New Roman" w:eastAsia="宋体"/>
                      <w:b/>
                      <w:bCs/>
                      <w:color w:val="auto"/>
                      <w:kern w:val="0"/>
                      <w:szCs w:val="21"/>
                      <w:highlight w:val="none"/>
                    </w:rPr>
                  </w:pPr>
                  <w:r>
                    <w:rPr>
                      <w:rFonts w:hint="eastAsia" w:ascii="Times New Roman" w:hAnsi="Times New Roman" w:eastAsia="宋体"/>
                      <w:b/>
                      <w:bCs/>
                      <w:color w:val="auto"/>
                      <w:kern w:val="0"/>
                      <w:szCs w:val="21"/>
                      <w:highlight w:val="none"/>
                      <w:lang w:eastAsia="zh-CN"/>
                    </w:rPr>
                    <w:t>原料</w:t>
                  </w:r>
                  <w:r>
                    <w:rPr>
                      <w:rFonts w:hint="eastAsia" w:ascii="Times New Roman" w:hAnsi="Times New Roman" w:eastAsia="宋体"/>
                      <w:b/>
                      <w:bCs/>
                      <w:color w:val="auto"/>
                      <w:kern w:val="0"/>
                      <w:szCs w:val="21"/>
                      <w:highlight w:val="none"/>
                    </w:rPr>
                    <w:t>名称</w:t>
                  </w:r>
                </w:p>
              </w:tc>
              <w:tc>
                <w:tcPr>
                  <w:tcW w:w="493" w:type="pct"/>
                  <w:vAlign w:val="center"/>
                </w:tcPr>
                <w:p>
                  <w:pPr>
                    <w:pStyle w:val="46"/>
                    <w:ind w:firstLine="0" w:firstLineChars="0"/>
                    <w:rPr>
                      <w:rFonts w:hint="eastAsia" w:ascii="Times New Roman" w:hAnsi="Times New Roman" w:eastAsia="宋体"/>
                      <w:b/>
                      <w:bCs/>
                      <w:color w:val="auto"/>
                      <w:kern w:val="0"/>
                      <w:szCs w:val="21"/>
                      <w:highlight w:val="none"/>
                      <w:lang w:eastAsia="zh-CN"/>
                    </w:rPr>
                  </w:pPr>
                  <w:r>
                    <w:rPr>
                      <w:rFonts w:hint="eastAsia" w:ascii="Times New Roman" w:hAnsi="Times New Roman" w:eastAsia="宋体"/>
                      <w:b/>
                      <w:bCs/>
                      <w:color w:val="auto"/>
                      <w:kern w:val="0"/>
                      <w:szCs w:val="21"/>
                      <w:highlight w:val="none"/>
                      <w:lang w:eastAsia="zh-CN"/>
                    </w:rPr>
                    <w:t>单位</w:t>
                  </w:r>
                </w:p>
              </w:tc>
              <w:tc>
                <w:tcPr>
                  <w:tcW w:w="873" w:type="pct"/>
                  <w:vAlign w:val="center"/>
                </w:tcPr>
                <w:p>
                  <w:pPr>
                    <w:pStyle w:val="46"/>
                    <w:ind w:firstLine="0" w:firstLineChars="0"/>
                    <w:rPr>
                      <w:rFonts w:hint="eastAsia" w:ascii="Times New Roman" w:hAnsi="Times New Roman" w:eastAsia="宋体" w:cstheme="minorBidi"/>
                      <w:b/>
                      <w:bCs/>
                      <w:color w:val="auto"/>
                      <w:kern w:val="0"/>
                      <w:sz w:val="21"/>
                      <w:szCs w:val="21"/>
                      <w:highlight w:val="none"/>
                      <w:lang w:val="en-US" w:eastAsia="zh-CN" w:bidi="ar-SA"/>
                    </w:rPr>
                  </w:pPr>
                  <w:r>
                    <w:rPr>
                      <w:rFonts w:hint="eastAsia" w:ascii="Times New Roman" w:hAnsi="Times New Roman" w:eastAsia="宋体"/>
                      <w:b/>
                      <w:bCs/>
                      <w:color w:val="auto"/>
                      <w:kern w:val="0"/>
                      <w:szCs w:val="21"/>
                      <w:highlight w:val="none"/>
                    </w:rPr>
                    <w:t>设计日</w:t>
                  </w:r>
                  <w:r>
                    <w:rPr>
                      <w:rFonts w:hint="eastAsia" w:ascii="Times New Roman" w:hAnsi="Times New Roman" w:eastAsia="宋体"/>
                      <w:b/>
                      <w:bCs/>
                      <w:color w:val="auto"/>
                      <w:kern w:val="0"/>
                      <w:szCs w:val="21"/>
                      <w:highlight w:val="none"/>
                      <w:lang w:eastAsia="zh-CN"/>
                    </w:rPr>
                    <w:t>消耗量</w:t>
                  </w:r>
                </w:p>
              </w:tc>
              <w:tc>
                <w:tcPr>
                  <w:tcW w:w="884" w:type="pct"/>
                  <w:vAlign w:val="center"/>
                </w:tcPr>
                <w:p>
                  <w:pPr>
                    <w:pStyle w:val="46"/>
                    <w:ind w:firstLine="0" w:firstLineChars="0"/>
                    <w:rPr>
                      <w:rFonts w:hint="eastAsia" w:ascii="Times New Roman" w:hAnsi="Times New Roman" w:eastAsia="宋体" w:cstheme="minorBidi"/>
                      <w:b/>
                      <w:bCs/>
                      <w:color w:val="auto"/>
                      <w:kern w:val="0"/>
                      <w:sz w:val="21"/>
                      <w:szCs w:val="21"/>
                      <w:highlight w:val="none"/>
                      <w:lang w:val="en-US" w:eastAsia="zh-CN" w:bidi="ar-SA"/>
                    </w:rPr>
                  </w:pPr>
                  <w:r>
                    <w:rPr>
                      <w:rFonts w:hint="eastAsia" w:ascii="Times New Roman" w:hAnsi="Times New Roman" w:eastAsia="宋体"/>
                      <w:b/>
                      <w:bCs/>
                      <w:color w:val="auto"/>
                      <w:kern w:val="0"/>
                      <w:szCs w:val="21"/>
                      <w:highlight w:val="none"/>
                    </w:rPr>
                    <w:t>实际日</w:t>
                  </w:r>
                  <w:r>
                    <w:rPr>
                      <w:rFonts w:hint="eastAsia" w:ascii="Times New Roman" w:hAnsi="Times New Roman" w:eastAsia="宋体"/>
                      <w:b/>
                      <w:bCs/>
                      <w:color w:val="auto"/>
                      <w:kern w:val="0"/>
                      <w:szCs w:val="21"/>
                      <w:highlight w:val="none"/>
                      <w:lang w:eastAsia="zh-CN"/>
                    </w:rPr>
                    <w:t>消耗量</w:t>
                  </w:r>
                </w:p>
              </w:tc>
              <w:tc>
                <w:tcPr>
                  <w:tcW w:w="774" w:type="pct"/>
                  <w:vAlign w:val="center"/>
                </w:tcPr>
                <w:p>
                  <w:pPr>
                    <w:pStyle w:val="46"/>
                    <w:ind w:firstLine="0" w:firstLineChars="0"/>
                    <w:jc w:val="center"/>
                    <w:rPr>
                      <w:rFonts w:hint="eastAsia" w:ascii="Times New Roman" w:hAnsi="Times New Roman" w:eastAsia="宋体" w:cstheme="minorBidi"/>
                      <w:b/>
                      <w:bCs/>
                      <w:color w:val="auto"/>
                      <w:kern w:val="0"/>
                      <w:sz w:val="21"/>
                      <w:szCs w:val="21"/>
                      <w:highlight w:val="none"/>
                      <w:lang w:val="en-US" w:eastAsia="zh-CN" w:bidi="ar-SA"/>
                    </w:rPr>
                  </w:pPr>
                  <w:r>
                    <w:rPr>
                      <w:rFonts w:hint="eastAsia" w:ascii="Times New Roman" w:hAnsi="Times New Roman" w:eastAsia="宋体"/>
                      <w:b/>
                      <w:bCs/>
                      <w:color w:val="auto"/>
                      <w:kern w:val="0"/>
                      <w:szCs w:val="21"/>
                      <w:highlight w:val="none"/>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restart"/>
                  <w:vAlign w:val="center"/>
                </w:tcPr>
                <w:p>
                  <w:pPr>
                    <w:pStyle w:val="46"/>
                    <w:ind w:firstLine="0" w:firstLineChars="0"/>
                    <w:rPr>
                      <w:rFonts w:hint="eastAsia" w:ascii="Times New Roman" w:hAnsi="Times New Roman" w:eastAsia="宋体"/>
                      <w:b w:val="0"/>
                      <w:bCs w:val="0"/>
                      <w:color w:val="auto"/>
                      <w:kern w:val="0"/>
                      <w:szCs w:val="21"/>
                      <w:highlight w:val="none"/>
                      <w:lang w:val="en-US" w:eastAsia="zh-CN"/>
                    </w:rPr>
                  </w:pPr>
                  <w:r>
                    <w:rPr>
                      <w:rFonts w:hint="eastAsia" w:ascii="Times New Roman" w:hAnsi="Times New Roman" w:eastAsia="宋体"/>
                      <w:b w:val="0"/>
                      <w:bCs w:val="0"/>
                      <w:color w:val="auto"/>
                      <w:kern w:val="0"/>
                      <w:szCs w:val="21"/>
                      <w:highlight w:val="none"/>
                      <w:lang w:val="en-US" w:eastAsia="zh-CN"/>
                    </w:rPr>
                    <w:t>2023.2.23</w:t>
                  </w: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离心管</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只</w:t>
                  </w:r>
                </w:p>
              </w:tc>
              <w:tc>
                <w:tcPr>
                  <w:tcW w:w="873" w:type="pct"/>
                  <w:vAlign w:val="center"/>
                </w:tcPr>
                <w:p>
                  <w:pPr>
                    <w:pStyle w:val="46"/>
                    <w:ind w:firstLine="0" w:firstLineChars="0"/>
                    <w:rPr>
                      <w:rFonts w:hint="default"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微升滤芯枪头</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微升滤芯枪头</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散装微升滤芯枪头</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扩增试剂</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杂交液Ⅰ浓缩液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瓶</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杂交液Ⅱ浓缩液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瓶</w:t>
                  </w:r>
                </w:p>
              </w:tc>
              <w:tc>
                <w:tcPr>
                  <w:tcW w:w="0" w:type="auto"/>
                  <w:vAlign w:val="center"/>
                </w:tcPr>
                <w:p>
                  <w:pPr>
                    <w:pStyle w:val="46"/>
                    <w:ind w:firstLine="0" w:firstLineChars="0"/>
                    <w:rPr>
                      <w:rFonts w:hint="default"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58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48</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溶液Ⅱ浓缩液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瓶</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溶液Ⅳ浓缩液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管</w:t>
                  </w:r>
                </w:p>
              </w:tc>
              <w:tc>
                <w:tcPr>
                  <w:tcW w:w="873" w:type="pc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95%酒精</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0.68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0.5576</w:t>
                  </w:r>
                </w:p>
              </w:tc>
              <w:tc>
                <w:tcPr>
                  <w:tcW w:w="774" w:type="pct"/>
                  <w:vAlign w:val="center"/>
                </w:tcPr>
                <w:p>
                  <w:pPr>
                    <w:pStyle w:val="46"/>
                    <w:rPr>
                      <w:rFonts w:hint="default"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无水乙醇</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0.52</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0.4264</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二甲苯</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0.44</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0.3608</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苏木素</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0.06232</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橘黄G</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0.06232</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巴氏染色液EA50</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0.06232</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1%盐酸酒精</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0.06232</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中性树胶</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0.008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0.00656</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清洗液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0.04</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0.0328</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反应杯</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个</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4</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3</w:t>
                  </w:r>
                </w:p>
              </w:tc>
              <w:tc>
                <w:tcPr>
                  <w:tcW w:w="774" w:type="pct"/>
                  <w:vAlign w:val="center"/>
                </w:tcPr>
                <w:p>
                  <w:pPr>
                    <w:pStyle w:val="46"/>
                    <w:rPr>
                      <w:rFonts w:hint="default"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预激发液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mL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6.56</w:t>
                  </w:r>
                </w:p>
              </w:tc>
              <w:tc>
                <w:tcPr>
                  <w:tcW w:w="774" w:type="pct"/>
                  <w:vAlign w:val="center"/>
                </w:tcPr>
                <w:p>
                  <w:pPr>
                    <w:pStyle w:val="46"/>
                    <w:rPr>
                      <w:rFonts w:hint="default"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激发液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mL</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6.56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乙型肝炎病毒e抗体检测试剂盒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0.656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乙型肝炎病毒e抗原检测试剂盒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0.656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乙型肝炎病毒核心抗体检测试剂盒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0.656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乙型肝炎病毒表面抗体测定试剂盒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0.656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乙型肝炎病毒表面抗原测定试剂盒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873" w:type="pct"/>
                  <w:vAlign w:val="center"/>
                </w:tcPr>
                <w:p>
                  <w:pPr>
                    <w:pStyle w:val="46"/>
                    <w:rPr>
                      <w:rFonts w:hint="eastAsia" w:ascii="Times New Roman" w:hAnsi="Times New Roman" w:eastAsia="宋体"/>
                      <w:color w:val="auto"/>
                      <w:kern w:val="0"/>
                      <w:szCs w:val="21"/>
                      <w:highlight w:val="none"/>
                      <w:lang w:val="en-US" w:eastAsia="zh-CN"/>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0.656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restart"/>
                  <w:vAlign w:val="center"/>
                </w:tcPr>
                <w:p>
                  <w:pPr>
                    <w:pStyle w:val="46"/>
                    <w:ind w:firstLine="0" w:firstLineChars="0"/>
                    <w:rPr>
                      <w:rFonts w:hint="eastAsia" w:ascii="Times New Roman" w:hAnsi="Times New Roman" w:eastAsia="宋体"/>
                      <w:color w:val="auto"/>
                      <w:kern w:val="0"/>
                      <w:szCs w:val="21"/>
                      <w:highlight w:val="none"/>
                      <w:lang w:val="en-US" w:eastAsia="zh-CN"/>
                    </w:rPr>
                  </w:pPr>
                  <w:r>
                    <w:rPr>
                      <w:rFonts w:hint="eastAsia" w:cs="Times New Roman"/>
                      <w:kern w:val="0"/>
                    </w:rPr>
                    <w:t>2023</w:t>
                  </w:r>
                  <w:r>
                    <w:rPr>
                      <w:rFonts w:hint="eastAsia" w:cs="Times New Roman"/>
                      <w:kern w:val="0"/>
                      <w:lang w:val="en-US" w:eastAsia="zh-CN"/>
                    </w:rPr>
                    <w:t>.</w:t>
                  </w:r>
                  <w:r>
                    <w:rPr>
                      <w:rFonts w:hint="eastAsia" w:cs="Times New Roman"/>
                      <w:kern w:val="0"/>
                    </w:rPr>
                    <w:t>2</w:t>
                  </w:r>
                  <w:r>
                    <w:rPr>
                      <w:rFonts w:hint="eastAsia" w:cs="Times New Roman"/>
                      <w:kern w:val="0"/>
                      <w:lang w:val="en-US" w:eastAsia="zh-CN"/>
                    </w:rPr>
                    <w:t>.</w:t>
                  </w:r>
                  <w:r>
                    <w:rPr>
                      <w:rFonts w:hint="eastAsia" w:cs="Times New Roman"/>
                      <w:kern w:val="0"/>
                    </w:rPr>
                    <w:t>24</w:t>
                  </w: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离心管</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只</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77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微升滤芯枪头</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微升滤芯枪头</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散装微升滤芯枪头</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扩增试剂</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支</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杂交液Ⅰ浓缩液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瓶</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杂交液Ⅱ浓缩液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瓶</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58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50</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溶液Ⅱ浓缩液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瓶</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溶液Ⅳ浓缩液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管</w:t>
                  </w:r>
                </w:p>
              </w:tc>
              <w:tc>
                <w:tcPr>
                  <w:tcW w:w="0" w:type="auto"/>
                  <w:vAlign w:val="center"/>
                </w:tcPr>
                <w:p>
                  <w:pPr>
                    <w:pStyle w:val="46"/>
                    <w:ind w:firstLine="0" w:firstLineChars="0"/>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olor w:val="auto"/>
                      <w:kern w:val="0"/>
                      <w:szCs w:val="21"/>
                      <w:highlight w:val="none"/>
                      <w:lang w:val="en-US" w:eastAsia="zh-CN"/>
                    </w:rPr>
                    <w:t>29</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25</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95%酒精</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0.68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0.5848</w:t>
                  </w:r>
                </w:p>
              </w:tc>
              <w:tc>
                <w:tcPr>
                  <w:tcW w:w="774" w:type="pct"/>
                  <w:vAlign w:val="center"/>
                </w:tcPr>
                <w:p>
                  <w:pPr>
                    <w:pStyle w:val="46"/>
                    <w:rPr>
                      <w:rFonts w:hint="default"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无水乙醇</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0.52</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0.4472</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二甲苯</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0.44</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0.3784</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苏木素</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0.06536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橘黄G</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0.06536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巴氏染色液EA50</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0.06536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1%盐酸酒精</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0.076</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0.06536</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中性树胶</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0.008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0.00688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清洗液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0.04</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0.0344</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反应杯</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个</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4</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3</w:t>
                  </w:r>
                </w:p>
              </w:tc>
              <w:tc>
                <w:tcPr>
                  <w:tcW w:w="774" w:type="pct"/>
                  <w:vAlign w:val="center"/>
                </w:tcPr>
                <w:p>
                  <w:pPr>
                    <w:pStyle w:val="46"/>
                    <w:rPr>
                      <w:rFonts w:hint="default"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预激发液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mL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6.88</w:t>
                  </w:r>
                </w:p>
              </w:tc>
              <w:tc>
                <w:tcPr>
                  <w:tcW w:w="774" w:type="pct"/>
                  <w:vAlign w:val="center"/>
                </w:tcPr>
                <w:p>
                  <w:pPr>
                    <w:pStyle w:val="46"/>
                    <w:rPr>
                      <w:rFonts w:hint="default"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激发液</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mL</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乙型肝炎病毒e抗体检测试剂盒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乙型肝炎病毒e抗原检测试剂盒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乙型肝炎病毒核心抗体检测试剂盒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乙型肝炎病毒表面抗体测定试剂盒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0" w:type="pct"/>
                  <w:vMerge w:val="continue"/>
                  <w:vAlign w:val="center"/>
                </w:tcPr>
                <w:p>
                  <w:pPr>
                    <w:pStyle w:val="46"/>
                    <w:ind w:firstLine="0" w:firstLineChars="0"/>
                    <w:rPr>
                      <w:rFonts w:hint="eastAsia" w:ascii="Times New Roman" w:hAnsi="Times New Roman" w:eastAsia="宋体"/>
                      <w:color w:val="auto"/>
                      <w:kern w:val="0"/>
                      <w:szCs w:val="21"/>
                      <w:highlight w:val="none"/>
                      <w:lang w:val="en-US" w:eastAsia="zh-CN"/>
                    </w:rPr>
                  </w:pPr>
                </w:p>
              </w:tc>
              <w:tc>
                <w:tcPr>
                  <w:tcW w:w="1253" w:type="pct"/>
                  <w:vAlign w:val="center"/>
                </w:tcPr>
                <w:p>
                  <w:pPr>
                    <w:pStyle w:val="46"/>
                    <w:rPr>
                      <w:rFonts w:ascii="Times New Roman" w:hAnsi="Times New Roman" w:eastAsiaTheme="minorEastAsia" w:cstheme="minorBidi"/>
                      <w:kern w:val="2"/>
                      <w:sz w:val="21"/>
                      <w:szCs w:val="21"/>
                      <w:lang w:val="en-US" w:eastAsia="zh-CN" w:bidi="ar"/>
                    </w:rPr>
                  </w:pPr>
                  <w:r>
                    <w:rPr>
                      <w:szCs w:val="21"/>
                      <w:lang w:bidi="ar"/>
                    </w:rPr>
                    <w:t>乙型肝炎病毒表面抗原测定试剂盒</w:t>
                  </w:r>
                </w:p>
              </w:tc>
              <w:tc>
                <w:tcPr>
                  <w:tcW w:w="493" w:type="pct"/>
                  <w:vAlign w:val="center"/>
                </w:tcPr>
                <w:p>
                  <w:pPr>
                    <w:pStyle w:val="46"/>
                    <w:rPr>
                      <w:rFonts w:hint="eastAsia" w:ascii="Times New Roman" w:hAnsi="Times New Roman" w:eastAsiaTheme="minorEastAsia" w:cstheme="minorBidi"/>
                      <w:kern w:val="2"/>
                      <w:sz w:val="21"/>
                      <w:szCs w:val="21"/>
                      <w:lang w:val="en-US" w:eastAsia="zh-CN" w:bidi="ar"/>
                    </w:rPr>
                  </w:pPr>
                  <w:r>
                    <w:rPr>
                      <w:szCs w:val="21"/>
                      <w:lang w:bidi="ar"/>
                    </w:rPr>
                    <w:t>g</w:t>
                  </w:r>
                </w:p>
              </w:tc>
              <w:tc>
                <w:tcPr>
                  <w:tcW w:w="0" w:type="auto"/>
                  <w:vAlign w:val="center"/>
                </w:tcPr>
                <w:p>
                  <w:pPr>
                    <w:pStyle w:val="46"/>
                    <w:rPr>
                      <w:rFonts w:hint="eastAsia" w:ascii="Times New Roman" w:hAnsi="Times New Roman" w:eastAsia="宋体" w:cstheme="minorBidi"/>
                      <w:color w:val="auto"/>
                      <w:kern w:val="0"/>
                      <w:sz w:val="21"/>
                      <w:szCs w:val="21"/>
                      <w:highlight w:val="none"/>
                      <w:lang w:val="en-US" w:eastAsia="zh-CN" w:bidi="ar-SA"/>
                    </w:rPr>
                  </w:pPr>
                  <w:r>
                    <w:rPr>
                      <w:rFonts w:hint="eastAsia" w:ascii="Times New Roman" w:hAnsi="Times New Roman" w:eastAsia="宋体" w:cstheme="minorBidi"/>
                      <w:i w:val="0"/>
                      <w:iCs w:val="0"/>
                      <w:color w:val="auto"/>
                      <w:kern w:val="0"/>
                      <w:sz w:val="21"/>
                      <w:szCs w:val="21"/>
                      <w:highlight w:val="none"/>
                      <w:u w:val="none"/>
                      <w:lang w:val="en-US" w:eastAsia="zh-CN" w:bidi="ar"/>
                    </w:rPr>
                    <w:t>0.8</w:t>
                  </w:r>
                </w:p>
              </w:tc>
              <w:tc>
                <w:tcPr>
                  <w:tcW w:w="884" w:type="pct"/>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0.688</w:t>
                  </w:r>
                </w:p>
              </w:tc>
              <w:tc>
                <w:tcPr>
                  <w:tcW w:w="1321" w:type="dxa"/>
                  <w:vAlign w:val="center"/>
                </w:tcPr>
                <w:p>
                  <w:pPr>
                    <w:pStyle w:val="46"/>
                    <w:rPr>
                      <w:rFonts w:hint="eastAsia" w:ascii="Times New Roman" w:hAnsi="Times New Roman" w:eastAsia="宋体"/>
                      <w:color w:val="auto"/>
                      <w:kern w:val="0"/>
                      <w:szCs w:val="21"/>
                      <w:highlight w:val="none"/>
                      <w:u w:val="none"/>
                      <w:lang w:val="en-US" w:eastAsia="zh-CN" w:bidi="ar"/>
                    </w:rPr>
                  </w:pPr>
                  <w:r>
                    <w:rPr>
                      <w:rFonts w:hint="eastAsia" w:ascii="Times New Roman" w:hAnsi="Times New Roman" w:eastAsia="宋体" w:cstheme="minorBidi"/>
                      <w:i w:val="0"/>
                      <w:iCs w:val="0"/>
                      <w:color w:val="auto"/>
                      <w:kern w:val="0"/>
                      <w:sz w:val="21"/>
                      <w:szCs w:val="21"/>
                      <w:highlight w:val="none"/>
                      <w:u w:val="none"/>
                      <w:lang w:val="en-US" w:eastAsia="zh-CN" w:bidi="ar"/>
                    </w:rPr>
                    <w:t>86.0</w:t>
                  </w:r>
                </w:p>
              </w:tc>
            </w:tr>
          </w:tbl>
          <w:p>
            <w:pPr>
              <w:pStyle w:val="38"/>
              <w:numPr>
                <w:ilvl w:val="0"/>
                <w:numId w:val="10"/>
              </w:numPr>
              <w:ind w:firstLine="482"/>
              <w:rPr>
                <w:rFonts w:cs="Times New Roman"/>
                <w:b/>
                <w:bCs/>
                <w:szCs w:val="24"/>
              </w:rPr>
            </w:pPr>
            <w:r>
              <w:rPr>
                <w:rFonts w:cs="Times New Roman"/>
                <w:b/>
                <w:bCs/>
                <w:szCs w:val="24"/>
              </w:rPr>
              <w:t>验收监测结果</w:t>
            </w:r>
          </w:p>
          <w:p>
            <w:pPr>
              <w:numPr>
                <w:ilvl w:val="255"/>
                <w:numId w:val="0"/>
              </w:numPr>
              <w:ind w:firstLine="482"/>
              <w:rPr>
                <w:b/>
                <w:bCs/>
              </w:rPr>
            </w:pPr>
            <w:r>
              <w:rPr>
                <w:rFonts w:hint="eastAsia"/>
                <w:b/>
                <w:bCs/>
              </w:rPr>
              <w:t>1、气象参数</w:t>
            </w:r>
          </w:p>
          <w:p>
            <w:pPr>
              <w:ind w:firstLine="480"/>
            </w:pPr>
            <w:r>
              <w:t>监测期间气象情况见</w:t>
            </w:r>
            <w:r>
              <w:rPr>
                <w:rFonts w:hint="eastAsia"/>
              </w:rPr>
              <w:t>下</w:t>
            </w:r>
            <w:r>
              <w:t>表。</w:t>
            </w:r>
          </w:p>
          <w:p>
            <w:pPr>
              <w:ind w:firstLine="482"/>
              <w:jc w:val="center"/>
              <w:rPr>
                <w:b/>
                <w:bCs/>
              </w:rPr>
            </w:pPr>
            <w:r>
              <w:rPr>
                <w:b/>
                <w:bCs/>
              </w:rPr>
              <w:t>表7-</w:t>
            </w:r>
            <w:r>
              <w:rPr>
                <w:rFonts w:hint="eastAsia"/>
                <w:b/>
                <w:bCs/>
                <w:lang w:val="en-US" w:eastAsia="zh-CN"/>
              </w:rPr>
              <w:t>2</w:t>
            </w:r>
            <w:r>
              <w:rPr>
                <w:b/>
                <w:bCs/>
              </w:rPr>
              <w:t xml:space="preserve">  监测期间气象表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1"/>
              <w:gridCol w:w="1211"/>
              <w:gridCol w:w="1101"/>
              <w:gridCol w:w="990"/>
              <w:gridCol w:w="987"/>
              <w:gridCol w:w="876"/>
              <w:gridCol w:w="1215"/>
              <w:gridCol w:w="1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58" w:type="pct"/>
                  <w:gridSpan w:val="2"/>
                  <w:vAlign w:val="center"/>
                </w:tcPr>
                <w:p>
                  <w:pPr>
                    <w:pStyle w:val="54"/>
                    <w:rPr>
                      <w:b/>
                      <w:bCs/>
                      <w:szCs w:val="21"/>
                      <w:lang w:val="de-DE"/>
                    </w:rPr>
                  </w:pPr>
                  <w:r>
                    <w:rPr>
                      <w:b/>
                      <w:bCs/>
                      <w:szCs w:val="21"/>
                      <w:lang w:val="de-DE"/>
                    </w:rPr>
                    <w:t>日期</w:t>
                  </w:r>
                </w:p>
              </w:tc>
              <w:tc>
                <w:tcPr>
                  <w:tcW w:w="617" w:type="pct"/>
                  <w:vAlign w:val="center"/>
                </w:tcPr>
                <w:p>
                  <w:pPr>
                    <w:pStyle w:val="54"/>
                    <w:rPr>
                      <w:b/>
                      <w:bCs/>
                      <w:szCs w:val="21"/>
                      <w:lang w:val="de-DE"/>
                    </w:rPr>
                  </w:pPr>
                  <w:r>
                    <w:rPr>
                      <w:b/>
                      <w:bCs/>
                      <w:szCs w:val="21"/>
                      <w:lang w:val="de-DE"/>
                    </w:rPr>
                    <w:t>温度</w:t>
                  </w:r>
                </w:p>
                <w:p>
                  <w:pPr>
                    <w:pStyle w:val="54"/>
                    <w:rPr>
                      <w:b/>
                      <w:bCs/>
                      <w:szCs w:val="21"/>
                      <w:lang w:val="de-DE"/>
                    </w:rPr>
                  </w:pPr>
                  <w:r>
                    <w:rPr>
                      <w:b/>
                      <w:bCs/>
                      <w:szCs w:val="21"/>
                      <w:lang w:val="de-DE"/>
                    </w:rPr>
                    <w:t>(℃)</w:t>
                  </w:r>
                </w:p>
              </w:tc>
              <w:tc>
                <w:tcPr>
                  <w:tcW w:w="555" w:type="pct"/>
                  <w:vAlign w:val="center"/>
                </w:tcPr>
                <w:p>
                  <w:pPr>
                    <w:pStyle w:val="54"/>
                    <w:rPr>
                      <w:b/>
                      <w:bCs/>
                      <w:szCs w:val="21"/>
                      <w:lang w:val="de-DE"/>
                    </w:rPr>
                  </w:pPr>
                  <w:r>
                    <w:rPr>
                      <w:b/>
                      <w:bCs/>
                      <w:szCs w:val="21"/>
                      <w:lang w:val="de-DE"/>
                    </w:rPr>
                    <w:t>湿度</w:t>
                  </w:r>
                </w:p>
                <w:p>
                  <w:pPr>
                    <w:pStyle w:val="54"/>
                    <w:rPr>
                      <w:b/>
                      <w:bCs/>
                      <w:szCs w:val="21"/>
                      <w:lang w:val="de-DE"/>
                    </w:rPr>
                  </w:pPr>
                  <w:r>
                    <w:rPr>
                      <w:b/>
                      <w:bCs/>
                      <w:szCs w:val="21"/>
                      <w:lang w:val="de-DE"/>
                    </w:rPr>
                    <w:t>(</w:t>
                  </w:r>
                  <w:r>
                    <w:rPr>
                      <w:b/>
                      <w:bCs/>
                      <w:szCs w:val="21"/>
                    </w:rPr>
                    <w:t>%</w:t>
                  </w:r>
                  <w:r>
                    <w:rPr>
                      <w:b/>
                      <w:bCs/>
                      <w:szCs w:val="21"/>
                      <w:lang w:val="de-DE"/>
                    </w:rPr>
                    <w:t>)</w:t>
                  </w:r>
                </w:p>
              </w:tc>
              <w:tc>
                <w:tcPr>
                  <w:tcW w:w="553" w:type="pct"/>
                  <w:vAlign w:val="center"/>
                </w:tcPr>
                <w:p>
                  <w:pPr>
                    <w:pStyle w:val="54"/>
                    <w:rPr>
                      <w:b/>
                      <w:bCs/>
                      <w:szCs w:val="21"/>
                      <w:lang w:val="de-DE"/>
                    </w:rPr>
                  </w:pPr>
                  <w:r>
                    <w:rPr>
                      <w:b/>
                      <w:bCs/>
                      <w:szCs w:val="21"/>
                      <w:lang w:val="de-DE"/>
                    </w:rPr>
                    <w:t>总云</w:t>
                  </w:r>
                  <w:r>
                    <w:rPr>
                      <w:b/>
                      <w:bCs/>
                      <w:szCs w:val="21"/>
                    </w:rPr>
                    <w:t>/低云</w:t>
                  </w:r>
                </w:p>
              </w:tc>
              <w:tc>
                <w:tcPr>
                  <w:tcW w:w="491" w:type="pct"/>
                  <w:vAlign w:val="center"/>
                </w:tcPr>
                <w:p>
                  <w:pPr>
                    <w:pStyle w:val="54"/>
                    <w:rPr>
                      <w:b/>
                      <w:bCs/>
                      <w:szCs w:val="21"/>
                      <w:lang w:val="de-DE"/>
                    </w:rPr>
                  </w:pPr>
                  <w:r>
                    <w:rPr>
                      <w:b/>
                      <w:bCs/>
                      <w:szCs w:val="21"/>
                      <w:lang w:val="de-DE"/>
                    </w:rPr>
                    <w:t>风向</w:t>
                  </w:r>
                </w:p>
              </w:tc>
              <w:tc>
                <w:tcPr>
                  <w:tcW w:w="681" w:type="pct"/>
                  <w:vAlign w:val="center"/>
                </w:tcPr>
                <w:p>
                  <w:pPr>
                    <w:pStyle w:val="54"/>
                    <w:rPr>
                      <w:b/>
                      <w:bCs/>
                      <w:szCs w:val="21"/>
                      <w:lang w:val="de-DE"/>
                    </w:rPr>
                  </w:pPr>
                  <w:r>
                    <w:rPr>
                      <w:b/>
                      <w:bCs/>
                      <w:szCs w:val="21"/>
                      <w:lang w:val="de-DE"/>
                    </w:rPr>
                    <w:t>风速</w:t>
                  </w:r>
                </w:p>
                <w:p>
                  <w:pPr>
                    <w:pStyle w:val="54"/>
                    <w:rPr>
                      <w:b/>
                      <w:bCs/>
                      <w:szCs w:val="21"/>
                      <w:lang w:val="de-DE"/>
                    </w:rPr>
                  </w:pPr>
                  <w:r>
                    <w:rPr>
                      <w:b/>
                      <w:bCs/>
                      <w:szCs w:val="21"/>
                      <w:lang w:val="de-DE"/>
                    </w:rPr>
                    <w:t>(m/s)</w:t>
                  </w:r>
                </w:p>
              </w:tc>
              <w:tc>
                <w:tcPr>
                  <w:tcW w:w="742" w:type="pct"/>
                  <w:vAlign w:val="center"/>
                </w:tcPr>
                <w:p>
                  <w:pPr>
                    <w:pStyle w:val="54"/>
                    <w:rPr>
                      <w:b/>
                      <w:bCs/>
                      <w:szCs w:val="21"/>
                      <w:lang w:val="de-DE"/>
                    </w:rPr>
                  </w:pPr>
                  <w:r>
                    <w:rPr>
                      <w:b/>
                      <w:bCs/>
                      <w:szCs w:val="21"/>
                      <w:lang w:val="de-DE"/>
                    </w:rPr>
                    <w:t>大气压(</w:t>
                  </w:r>
                  <w:r>
                    <w:rPr>
                      <w:b/>
                      <w:bCs/>
                      <w:szCs w:val="21"/>
                    </w:rPr>
                    <w:t>k</w:t>
                  </w:r>
                  <w:r>
                    <w:rPr>
                      <w:b/>
                      <w:bCs/>
                      <w:szCs w:val="21"/>
                      <w:lang w:val="de-DE"/>
                    </w:rPr>
                    <w:t>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9" w:type="pct"/>
                  <w:vMerge w:val="restart"/>
                  <w:vAlign w:val="center"/>
                </w:tcPr>
                <w:p>
                  <w:pPr>
                    <w:pStyle w:val="54"/>
                    <w:rPr>
                      <w:szCs w:val="21"/>
                    </w:rPr>
                  </w:pPr>
                  <w:r>
                    <w:rPr>
                      <w:szCs w:val="21"/>
                    </w:rPr>
                    <w:t>2023.</w:t>
                  </w:r>
                </w:p>
                <w:p>
                  <w:pPr>
                    <w:pStyle w:val="54"/>
                    <w:rPr>
                      <w:szCs w:val="21"/>
                    </w:rPr>
                  </w:pPr>
                  <w:r>
                    <w:rPr>
                      <w:szCs w:val="21"/>
                    </w:rPr>
                    <w:t>02.23</w:t>
                  </w:r>
                </w:p>
              </w:tc>
              <w:tc>
                <w:tcPr>
                  <w:tcW w:w="679" w:type="pct"/>
                  <w:vAlign w:val="center"/>
                </w:tcPr>
                <w:p>
                  <w:pPr>
                    <w:pStyle w:val="54"/>
                    <w:rPr>
                      <w:szCs w:val="21"/>
                    </w:rPr>
                  </w:pPr>
                  <w:r>
                    <w:rPr>
                      <w:szCs w:val="21"/>
                    </w:rPr>
                    <w:t>09:05</w:t>
                  </w:r>
                </w:p>
              </w:tc>
              <w:tc>
                <w:tcPr>
                  <w:tcW w:w="617" w:type="pct"/>
                  <w:vAlign w:val="center"/>
                </w:tcPr>
                <w:p>
                  <w:pPr>
                    <w:pStyle w:val="54"/>
                    <w:rPr>
                      <w:szCs w:val="21"/>
                    </w:rPr>
                  </w:pPr>
                  <w:r>
                    <w:rPr>
                      <w:szCs w:val="21"/>
                    </w:rPr>
                    <w:t>5.4</w:t>
                  </w:r>
                </w:p>
              </w:tc>
              <w:tc>
                <w:tcPr>
                  <w:tcW w:w="555" w:type="pct"/>
                  <w:vAlign w:val="center"/>
                </w:tcPr>
                <w:p>
                  <w:pPr>
                    <w:pStyle w:val="54"/>
                    <w:rPr>
                      <w:szCs w:val="21"/>
                    </w:rPr>
                  </w:pPr>
                  <w:r>
                    <w:rPr>
                      <w:szCs w:val="21"/>
                    </w:rPr>
                    <w:t>40</w:t>
                  </w:r>
                </w:p>
              </w:tc>
              <w:tc>
                <w:tcPr>
                  <w:tcW w:w="553" w:type="pct"/>
                  <w:vAlign w:val="center"/>
                </w:tcPr>
                <w:p>
                  <w:pPr>
                    <w:pStyle w:val="54"/>
                    <w:rPr>
                      <w:szCs w:val="21"/>
                    </w:rPr>
                  </w:pPr>
                  <w:r>
                    <w:rPr>
                      <w:szCs w:val="21"/>
                    </w:rPr>
                    <w:t>3/1</w:t>
                  </w:r>
                </w:p>
              </w:tc>
              <w:tc>
                <w:tcPr>
                  <w:tcW w:w="491" w:type="pct"/>
                  <w:vAlign w:val="center"/>
                </w:tcPr>
                <w:p>
                  <w:pPr>
                    <w:pStyle w:val="54"/>
                    <w:rPr>
                      <w:szCs w:val="21"/>
                    </w:rPr>
                  </w:pPr>
                  <w:r>
                    <w:rPr>
                      <w:szCs w:val="21"/>
                    </w:rPr>
                    <w:t>N</w:t>
                  </w:r>
                </w:p>
              </w:tc>
              <w:tc>
                <w:tcPr>
                  <w:tcW w:w="681" w:type="pct"/>
                  <w:vAlign w:val="center"/>
                </w:tcPr>
                <w:p>
                  <w:pPr>
                    <w:pStyle w:val="54"/>
                    <w:rPr>
                      <w:szCs w:val="21"/>
                    </w:rPr>
                  </w:pPr>
                  <w:r>
                    <w:rPr>
                      <w:szCs w:val="21"/>
                    </w:rPr>
                    <w:t>1.5</w:t>
                  </w:r>
                </w:p>
              </w:tc>
              <w:tc>
                <w:tcPr>
                  <w:tcW w:w="742" w:type="pct"/>
                  <w:vAlign w:val="center"/>
                </w:tcPr>
                <w:p>
                  <w:pPr>
                    <w:pStyle w:val="54"/>
                    <w:rPr>
                      <w:szCs w:val="21"/>
                    </w:rPr>
                  </w:pPr>
                  <w:r>
                    <w:rPr>
                      <w:szCs w:val="21"/>
                    </w:rPr>
                    <w:t>102.13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9" w:type="pct"/>
                  <w:vMerge w:val="continue"/>
                  <w:vAlign w:val="center"/>
                </w:tcPr>
                <w:p>
                  <w:pPr>
                    <w:pStyle w:val="54"/>
                    <w:rPr>
                      <w:szCs w:val="21"/>
                    </w:rPr>
                  </w:pPr>
                </w:p>
              </w:tc>
              <w:tc>
                <w:tcPr>
                  <w:tcW w:w="679" w:type="pct"/>
                  <w:vAlign w:val="center"/>
                </w:tcPr>
                <w:p>
                  <w:pPr>
                    <w:pStyle w:val="54"/>
                    <w:rPr>
                      <w:szCs w:val="21"/>
                    </w:rPr>
                  </w:pPr>
                  <w:r>
                    <w:rPr>
                      <w:szCs w:val="21"/>
                    </w:rPr>
                    <w:t>10:18</w:t>
                  </w:r>
                </w:p>
              </w:tc>
              <w:tc>
                <w:tcPr>
                  <w:tcW w:w="617" w:type="pct"/>
                  <w:vAlign w:val="center"/>
                </w:tcPr>
                <w:p>
                  <w:pPr>
                    <w:pStyle w:val="54"/>
                    <w:rPr>
                      <w:szCs w:val="21"/>
                    </w:rPr>
                  </w:pPr>
                  <w:r>
                    <w:rPr>
                      <w:szCs w:val="21"/>
                    </w:rPr>
                    <w:t>6.7</w:t>
                  </w:r>
                </w:p>
              </w:tc>
              <w:tc>
                <w:tcPr>
                  <w:tcW w:w="555" w:type="pct"/>
                  <w:vAlign w:val="center"/>
                </w:tcPr>
                <w:p>
                  <w:pPr>
                    <w:pStyle w:val="54"/>
                    <w:rPr>
                      <w:szCs w:val="21"/>
                    </w:rPr>
                  </w:pPr>
                  <w:r>
                    <w:rPr>
                      <w:szCs w:val="21"/>
                    </w:rPr>
                    <w:t>39</w:t>
                  </w:r>
                </w:p>
              </w:tc>
              <w:tc>
                <w:tcPr>
                  <w:tcW w:w="553" w:type="pct"/>
                  <w:vAlign w:val="center"/>
                </w:tcPr>
                <w:p>
                  <w:pPr>
                    <w:pStyle w:val="54"/>
                    <w:rPr>
                      <w:szCs w:val="21"/>
                    </w:rPr>
                  </w:pPr>
                  <w:r>
                    <w:rPr>
                      <w:szCs w:val="21"/>
                    </w:rPr>
                    <w:t>3/1</w:t>
                  </w:r>
                </w:p>
              </w:tc>
              <w:tc>
                <w:tcPr>
                  <w:tcW w:w="491" w:type="pct"/>
                  <w:vAlign w:val="center"/>
                </w:tcPr>
                <w:p>
                  <w:pPr>
                    <w:pStyle w:val="54"/>
                    <w:rPr>
                      <w:szCs w:val="21"/>
                    </w:rPr>
                  </w:pPr>
                  <w:r>
                    <w:rPr>
                      <w:szCs w:val="21"/>
                    </w:rPr>
                    <w:t>N</w:t>
                  </w:r>
                </w:p>
              </w:tc>
              <w:tc>
                <w:tcPr>
                  <w:tcW w:w="681" w:type="pct"/>
                  <w:vAlign w:val="center"/>
                </w:tcPr>
                <w:p>
                  <w:pPr>
                    <w:pStyle w:val="54"/>
                    <w:rPr>
                      <w:szCs w:val="21"/>
                    </w:rPr>
                  </w:pPr>
                  <w:r>
                    <w:rPr>
                      <w:szCs w:val="21"/>
                    </w:rPr>
                    <w:t>1.4</w:t>
                  </w:r>
                </w:p>
              </w:tc>
              <w:tc>
                <w:tcPr>
                  <w:tcW w:w="742" w:type="pct"/>
                  <w:vAlign w:val="center"/>
                </w:tcPr>
                <w:p>
                  <w:pPr>
                    <w:pStyle w:val="54"/>
                    <w:rPr>
                      <w:szCs w:val="21"/>
                    </w:rPr>
                  </w:pPr>
                  <w:r>
                    <w:rPr>
                      <w:szCs w:val="21"/>
                    </w:rPr>
                    <w:t>102.09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9" w:type="pct"/>
                  <w:vMerge w:val="continue"/>
                  <w:vAlign w:val="center"/>
                </w:tcPr>
                <w:p>
                  <w:pPr>
                    <w:pStyle w:val="54"/>
                    <w:rPr>
                      <w:szCs w:val="21"/>
                    </w:rPr>
                  </w:pPr>
                </w:p>
              </w:tc>
              <w:tc>
                <w:tcPr>
                  <w:tcW w:w="679" w:type="pct"/>
                  <w:vAlign w:val="center"/>
                </w:tcPr>
                <w:p>
                  <w:pPr>
                    <w:pStyle w:val="54"/>
                    <w:rPr>
                      <w:szCs w:val="21"/>
                    </w:rPr>
                  </w:pPr>
                  <w:r>
                    <w:rPr>
                      <w:szCs w:val="21"/>
                    </w:rPr>
                    <w:t>14:00</w:t>
                  </w:r>
                </w:p>
              </w:tc>
              <w:tc>
                <w:tcPr>
                  <w:tcW w:w="617" w:type="pct"/>
                  <w:vAlign w:val="center"/>
                </w:tcPr>
                <w:p>
                  <w:pPr>
                    <w:pStyle w:val="54"/>
                    <w:rPr>
                      <w:szCs w:val="21"/>
                    </w:rPr>
                  </w:pPr>
                  <w:r>
                    <w:rPr>
                      <w:szCs w:val="21"/>
                    </w:rPr>
                    <w:t>8.1</w:t>
                  </w:r>
                </w:p>
              </w:tc>
              <w:tc>
                <w:tcPr>
                  <w:tcW w:w="555" w:type="pct"/>
                  <w:vAlign w:val="center"/>
                </w:tcPr>
                <w:p>
                  <w:pPr>
                    <w:pStyle w:val="54"/>
                    <w:rPr>
                      <w:szCs w:val="21"/>
                    </w:rPr>
                  </w:pPr>
                  <w:r>
                    <w:rPr>
                      <w:szCs w:val="21"/>
                    </w:rPr>
                    <w:t>37</w:t>
                  </w:r>
                </w:p>
              </w:tc>
              <w:tc>
                <w:tcPr>
                  <w:tcW w:w="553" w:type="pct"/>
                  <w:vAlign w:val="center"/>
                </w:tcPr>
                <w:p>
                  <w:pPr>
                    <w:pStyle w:val="54"/>
                    <w:rPr>
                      <w:szCs w:val="21"/>
                    </w:rPr>
                  </w:pPr>
                  <w:r>
                    <w:rPr>
                      <w:szCs w:val="21"/>
                    </w:rPr>
                    <w:t>3/1</w:t>
                  </w:r>
                </w:p>
              </w:tc>
              <w:tc>
                <w:tcPr>
                  <w:tcW w:w="491" w:type="pct"/>
                  <w:vAlign w:val="center"/>
                </w:tcPr>
                <w:p>
                  <w:pPr>
                    <w:pStyle w:val="54"/>
                    <w:rPr>
                      <w:szCs w:val="21"/>
                    </w:rPr>
                  </w:pPr>
                  <w:r>
                    <w:rPr>
                      <w:szCs w:val="21"/>
                    </w:rPr>
                    <w:t>N</w:t>
                  </w:r>
                </w:p>
              </w:tc>
              <w:tc>
                <w:tcPr>
                  <w:tcW w:w="681" w:type="pct"/>
                  <w:vAlign w:val="center"/>
                </w:tcPr>
                <w:p>
                  <w:pPr>
                    <w:pStyle w:val="54"/>
                    <w:rPr>
                      <w:szCs w:val="21"/>
                    </w:rPr>
                  </w:pPr>
                  <w:r>
                    <w:rPr>
                      <w:szCs w:val="21"/>
                    </w:rPr>
                    <w:t>1.3</w:t>
                  </w:r>
                </w:p>
              </w:tc>
              <w:tc>
                <w:tcPr>
                  <w:tcW w:w="742" w:type="pct"/>
                  <w:vAlign w:val="center"/>
                </w:tcPr>
                <w:p>
                  <w:pPr>
                    <w:pStyle w:val="54"/>
                    <w:rPr>
                      <w:szCs w:val="21"/>
                    </w:rPr>
                  </w:pPr>
                  <w:r>
                    <w:rPr>
                      <w:szCs w:val="21"/>
                    </w:rPr>
                    <w:t>101.88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9" w:type="pct"/>
                  <w:vMerge w:val="restart"/>
                  <w:vAlign w:val="center"/>
                </w:tcPr>
                <w:p>
                  <w:pPr>
                    <w:pStyle w:val="54"/>
                    <w:rPr>
                      <w:szCs w:val="21"/>
                    </w:rPr>
                  </w:pPr>
                  <w:r>
                    <w:rPr>
                      <w:szCs w:val="21"/>
                    </w:rPr>
                    <w:t>2023.</w:t>
                  </w:r>
                </w:p>
                <w:p>
                  <w:pPr>
                    <w:pStyle w:val="54"/>
                    <w:rPr>
                      <w:szCs w:val="21"/>
                    </w:rPr>
                  </w:pPr>
                  <w:r>
                    <w:rPr>
                      <w:szCs w:val="21"/>
                    </w:rPr>
                    <w:t>02.24</w:t>
                  </w:r>
                </w:p>
              </w:tc>
              <w:tc>
                <w:tcPr>
                  <w:tcW w:w="679" w:type="pct"/>
                  <w:vAlign w:val="center"/>
                </w:tcPr>
                <w:p>
                  <w:pPr>
                    <w:pStyle w:val="54"/>
                    <w:rPr>
                      <w:szCs w:val="21"/>
                    </w:rPr>
                  </w:pPr>
                  <w:r>
                    <w:rPr>
                      <w:szCs w:val="21"/>
                    </w:rPr>
                    <w:t>09:02</w:t>
                  </w:r>
                </w:p>
              </w:tc>
              <w:tc>
                <w:tcPr>
                  <w:tcW w:w="617" w:type="pct"/>
                  <w:vAlign w:val="center"/>
                </w:tcPr>
                <w:p>
                  <w:pPr>
                    <w:pStyle w:val="54"/>
                    <w:rPr>
                      <w:szCs w:val="21"/>
                    </w:rPr>
                  </w:pPr>
                  <w:r>
                    <w:rPr>
                      <w:szCs w:val="21"/>
                    </w:rPr>
                    <w:t>5.1</w:t>
                  </w:r>
                </w:p>
              </w:tc>
              <w:tc>
                <w:tcPr>
                  <w:tcW w:w="555" w:type="pct"/>
                  <w:vAlign w:val="center"/>
                </w:tcPr>
                <w:p>
                  <w:pPr>
                    <w:pStyle w:val="54"/>
                    <w:rPr>
                      <w:szCs w:val="21"/>
                    </w:rPr>
                  </w:pPr>
                  <w:r>
                    <w:rPr>
                      <w:szCs w:val="21"/>
                    </w:rPr>
                    <w:t>41</w:t>
                  </w:r>
                </w:p>
              </w:tc>
              <w:tc>
                <w:tcPr>
                  <w:tcW w:w="553" w:type="pct"/>
                  <w:vAlign w:val="center"/>
                </w:tcPr>
                <w:p>
                  <w:pPr>
                    <w:pStyle w:val="54"/>
                    <w:rPr>
                      <w:szCs w:val="21"/>
                    </w:rPr>
                  </w:pPr>
                  <w:r>
                    <w:rPr>
                      <w:szCs w:val="21"/>
                    </w:rPr>
                    <w:t>3/1</w:t>
                  </w:r>
                </w:p>
              </w:tc>
              <w:tc>
                <w:tcPr>
                  <w:tcW w:w="491" w:type="pct"/>
                  <w:vAlign w:val="center"/>
                </w:tcPr>
                <w:p>
                  <w:pPr>
                    <w:pStyle w:val="54"/>
                    <w:rPr>
                      <w:szCs w:val="21"/>
                    </w:rPr>
                  </w:pPr>
                  <w:r>
                    <w:rPr>
                      <w:szCs w:val="21"/>
                    </w:rPr>
                    <w:t>N</w:t>
                  </w:r>
                </w:p>
              </w:tc>
              <w:tc>
                <w:tcPr>
                  <w:tcW w:w="681" w:type="pct"/>
                  <w:vAlign w:val="center"/>
                </w:tcPr>
                <w:p>
                  <w:pPr>
                    <w:pStyle w:val="54"/>
                    <w:rPr>
                      <w:szCs w:val="21"/>
                    </w:rPr>
                  </w:pPr>
                  <w:r>
                    <w:rPr>
                      <w:szCs w:val="21"/>
                    </w:rPr>
                    <w:t>1.6</w:t>
                  </w:r>
                </w:p>
              </w:tc>
              <w:tc>
                <w:tcPr>
                  <w:tcW w:w="742" w:type="pct"/>
                  <w:vAlign w:val="center"/>
                </w:tcPr>
                <w:p>
                  <w:pPr>
                    <w:pStyle w:val="54"/>
                    <w:rPr>
                      <w:szCs w:val="21"/>
                    </w:rPr>
                  </w:pPr>
                  <w:r>
                    <w:rPr>
                      <w:szCs w:val="21"/>
                    </w:rPr>
                    <w:t>101.34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9" w:type="pct"/>
                  <w:vMerge w:val="continue"/>
                  <w:vAlign w:val="center"/>
                </w:tcPr>
                <w:p>
                  <w:pPr>
                    <w:pStyle w:val="54"/>
                    <w:rPr>
                      <w:szCs w:val="21"/>
                    </w:rPr>
                  </w:pPr>
                </w:p>
              </w:tc>
              <w:tc>
                <w:tcPr>
                  <w:tcW w:w="679" w:type="pct"/>
                  <w:vAlign w:val="center"/>
                </w:tcPr>
                <w:p>
                  <w:pPr>
                    <w:pStyle w:val="54"/>
                    <w:rPr>
                      <w:szCs w:val="21"/>
                    </w:rPr>
                  </w:pPr>
                  <w:r>
                    <w:rPr>
                      <w:szCs w:val="21"/>
                    </w:rPr>
                    <w:t>10:11</w:t>
                  </w:r>
                </w:p>
              </w:tc>
              <w:tc>
                <w:tcPr>
                  <w:tcW w:w="617" w:type="pct"/>
                  <w:vAlign w:val="center"/>
                </w:tcPr>
                <w:p>
                  <w:pPr>
                    <w:pStyle w:val="54"/>
                    <w:rPr>
                      <w:szCs w:val="21"/>
                    </w:rPr>
                  </w:pPr>
                  <w:r>
                    <w:rPr>
                      <w:szCs w:val="21"/>
                    </w:rPr>
                    <w:t>6.4</w:t>
                  </w:r>
                </w:p>
              </w:tc>
              <w:tc>
                <w:tcPr>
                  <w:tcW w:w="555" w:type="pct"/>
                  <w:vAlign w:val="center"/>
                </w:tcPr>
                <w:p>
                  <w:pPr>
                    <w:pStyle w:val="54"/>
                    <w:rPr>
                      <w:szCs w:val="21"/>
                    </w:rPr>
                  </w:pPr>
                  <w:r>
                    <w:rPr>
                      <w:szCs w:val="21"/>
                    </w:rPr>
                    <w:t>40</w:t>
                  </w:r>
                </w:p>
              </w:tc>
              <w:tc>
                <w:tcPr>
                  <w:tcW w:w="553" w:type="pct"/>
                  <w:vAlign w:val="center"/>
                </w:tcPr>
                <w:p>
                  <w:pPr>
                    <w:pStyle w:val="54"/>
                    <w:rPr>
                      <w:szCs w:val="21"/>
                    </w:rPr>
                  </w:pPr>
                  <w:r>
                    <w:rPr>
                      <w:szCs w:val="21"/>
                    </w:rPr>
                    <w:t>3/1</w:t>
                  </w:r>
                </w:p>
              </w:tc>
              <w:tc>
                <w:tcPr>
                  <w:tcW w:w="491" w:type="pct"/>
                  <w:vAlign w:val="center"/>
                </w:tcPr>
                <w:p>
                  <w:pPr>
                    <w:pStyle w:val="54"/>
                    <w:rPr>
                      <w:szCs w:val="21"/>
                    </w:rPr>
                  </w:pPr>
                  <w:r>
                    <w:rPr>
                      <w:szCs w:val="21"/>
                    </w:rPr>
                    <w:t>N</w:t>
                  </w:r>
                </w:p>
              </w:tc>
              <w:tc>
                <w:tcPr>
                  <w:tcW w:w="681" w:type="pct"/>
                  <w:vAlign w:val="center"/>
                </w:tcPr>
                <w:p>
                  <w:pPr>
                    <w:pStyle w:val="54"/>
                    <w:rPr>
                      <w:szCs w:val="21"/>
                    </w:rPr>
                  </w:pPr>
                  <w:r>
                    <w:rPr>
                      <w:szCs w:val="21"/>
                    </w:rPr>
                    <w:t>1.4</w:t>
                  </w:r>
                </w:p>
              </w:tc>
              <w:tc>
                <w:tcPr>
                  <w:tcW w:w="742" w:type="pct"/>
                  <w:vAlign w:val="center"/>
                </w:tcPr>
                <w:p>
                  <w:pPr>
                    <w:pStyle w:val="54"/>
                    <w:rPr>
                      <w:szCs w:val="21"/>
                    </w:rPr>
                  </w:pPr>
                  <w:r>
                    <w:rPr>
                      <w:szCs w:val="21"/>
                    </w:rPr>
                    <w:t>101.30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9" w:type="pct"/>
                  <w:vMerge w:val="continue"/>
                  <w:vAlign w:val="center"/>
                </w:tcPr>
                <w:p>
                  <w:pPr>
                    <w:pStyle w:val="54"/>
                    <w:rPr>
                      <w:szCs w:val="21"/>
                    </w:rPr>
                  </w:pPr>
                </w:p>
              </w:tc>
              <w:tc>
                <w:tcPr>
                  <w:tcW w:w="679" w:type="pct"/>
                  <w:vAlign w:val="center"/>
                </w:tcPr>
                <w:p>
                  <w:pPr>
                    <w:pStyle w:val="54"/>
                    <w:rPr>
                      <w:szCs w:val="21"/>
                    </w:rPr>
                  </w:pPr>
                  <w:r>
                    <w:rPr>
                      <w:szCs w:val="21"/>
                    </w:rPr>
                    <w:t>13:47</w:t>
                  </w:r>
                </w:p>
              </w:tc>
              <w:tc>
                <w:tcPr>
                  <w:tcW w:w="617" w:type="pct"/>
                  <w:vAlign w:val="center"/>
                </w:tcPr>
                <w:p>
                  <w:pPr>
                    <w:pStyle w:val="54"/>
                    <w:rPr>
                      <w:szCs w:val="21"/>
                    </w:rPr>
                  </w:pPr>
                  <w:r>
                    <w:rPr>
                      <w:szCs w:val="21"/>
                    </w:rPr>
                    <w:t>7.5</w:t>
                  </w:r>
                </w:p>
              </w:tc>
              <w:tc>
                <w:tcPr>
                  <w:tcW w:w="555" w:type="pct"/>
                  <w:vAlign w:val="center"/>
                </w:tcPr>
                <w:p>
                  <w:pPr>
                    <w:pStyle w:val="54"/>
                    <w:rPr>
                      <w:szCs w:val="21"/>
                    </w:rPr>
                  </w:pPr>
                  <w:r>
                    <w:rPr>
                      <w:szCs w:val="21"/>
                    </w:rPr>
                    <w:t>38</w:t>
                  </w:r>
                </w:p>
              </w:tc>
              <w:tc>
                <w:tcPr>
                  <w:tcW w:w="553" w:type="pct"/>
                  <w:vAlign w:val="center"/>
                </w:tcPr>
                <w:p>
                  <w:pPr>
                    <w:pStyle w:val="54"/>
                    <w:rPr>
                      <w:szCs w:val="21"/>
                    </w:rPr>
                  </w:pPr>
                  <w:r>
                    <w:rPr>
                      <w:szCs w:val="21"/>
                    </w:rPr>
                    <w:t>3/1</w:t>
                  </w:r>
                </w:p>
              </w:tc>
              <w:tc>
                <w:tcPr>
                  <w:tcW w:w="491" w:type="pct"/>
                  <w:vAlign w:val="center"/>
                </w:tcPr>
                <w:p>
                  <w:pPr>
                    <w:pStyle w:val="54"/>
                    <w:rPr>
                      <w:szCs w:val="21"/>
                    </w:rPr>
                  </w:pPr>
                  <w:r>
                    <w:rPr>
                      <w:szCs w:val="21"/>
                    </w:rPr>
                    <w:t>N</w:t>
                  </w:r>
                </w:p>
              </w:tc>
              <w:tc>
                <w:tcPr>
                  <w:tcW w:w="681" w:type="pct"/>
                  <w:vAlign w:val="center"/>
                </w:tcPr>
                <w:p>
                  <w:pPr>
                    <w:pStyle w:val="54"/>
                    <w:rPr>
                      <w:szCs w:val="21"/>
                    </w:rPr>
                  </w:pPr>
                  <w:r>
                    <w:rPr>
                      <w:szCs w:val="21"/>
                    </w:rPr>
                    <w:t>1.2</w:t>
                  </w:r>
                </w:p>
              </w:tc>
              <w:tc>
                <w:tcPr>
                  <w:tcW w:w="742" w:type="pct"/>
                  <w:vAlign w:val="center"/>
                </w:tcPr>
                <w:p>
                  <w:pPr>
                    <w:pStyle w:val="54"/>
                    <w:rPr>
                      <w:szCs w:val="21"/>
                    </w:rPr>
                  </w:pPr>
                  <w:r>
                    <w:rPr>
                      <w:szCs w:val="21"/>
                    </w:rPr>
                    <w:t>101.23</w:t>
                  </w:r>
                </w:p>
              </w:tc>
            </w:tr>
          </w:tbl>
          <w:p>
            <w:pPr>
              <w:numPr>
                <w:ilvl w:val="255"/>
                <w:numId w:val="0"/>
              </w:numPr>
              <w:ind w:firstLine="482"/>
              <w:rPr>
                <w:b/>
                <w:bCs/>
              </w:rPr>
            </w:pPr>
            <w:r>
              <w:rPr>
                <w:rFonts w:hint="eastAsia"/>
                <w:b/>
                <w:bCs/>
              </w:rPr>
              <w:t>2、</w:t>
            </w:r>
            <w:r>
              <w:rPr>
                <w:b/>
                <w:bCs/>
              </w:rPr>
              <w:t>废气</w:t>
            </w:r>
          </w:p>
          <w:p>
            <w:pPr>
              <w:pStyle w:val="38"/>
              <w:rPr>
                <w:rFonts w:cs="Times New Roman"/>
                <w:szCs w:val="24"/>
              </w:rPr>
            </w:pPr>
            <w:r>
              <w:rPr>
                <w:rFonts w:hint="eastAsia" w:cs="Times New Roman"/>
                <w:szCs w:val="24"/>
              </w:rPr>
              <w:t>项目废气主要是灭活样本检测实验过程中挥发的废气，主要为VOCs、二甲苯、氯化氢等。</w:t>
            </w:r>
          </w:p>
          <w:p>
            <w:pPr>
              <w:pStyle w:val="38"/>
              <w:rPr>
                <w:rFonts w:cs="Times New Roman"/>
                <w:szCs w:val="24"/>
              </w:rPr>
            </w:pPr>
            <w:r>
              <w:rPr>
                <w:rFonts w:hint="eastAsia" w:cs="Times New Roman"/>
                <w:szCs w:val="24"/>
              </w:rPr>
              <w:t>①有组织废气：</w:t>
            </w:r>
          </w:p>
          <w:p>
            <w:pPr>
              <w:pStyle w:val="38"/>
              <w:rPr>
                <w:rFonts w:cs="Times New Roman"/>
                <w:szCs w:val="24"/>
              </w:rPr>
            </w:pPr>
            <w:r>
              <w:rPr>
                <w:rFonts w:hint="eastAsia" w:cs="Times New Roman"/>
                <w:szCs w:val="24"/>
              </w:rPr>
              <w:t>项目试剂的取用以及检测时产生的废气操作均在通风橱内进行，废气经集气罩收集后，通过二级活性炭吸附装置处理后，由一根24m高排气筒DA001排放。</w:t>
            </w:r>
          </w:p>
          <w:p>
            <w:pPr>
              <w:pStyle w:val="38"/>
              <w:rPr>
                <w:rFonts w:cs="Times New Roman"/>
                <w:szCs w:val="24"/>
              </w:rPr>
            </w:pPr>
            <w:r>
              <w:rPr>
                <w:rFonts w:hint="eastAsia" w:cs="Times New Roman"/>
                <w:szCs w:val="24"/>
              </w:rPr>
              <w:t>②无组织废气：</w:t>
            </w:r>
          </w:p>
          <w:p>
            <w:pPr>
              <w:pStyle w:val="38"/>
              <w:rPr>
                <w:rFonts w:cs="Times New Roman"/>
                <w:szCs w:val="24"/>
              </w:rPr>
            </w:pPr>
            <w:r>
              <w:rPr>
                <w:rFonts w:hint="eastAsia" w:cs="Times New Roman"/>
                <w:szCs w:val="24"/>
              </w:rPr>
              <w:t>未被收集的实验废气等，车间通风后无组织排放。</w:t>
            </w:r>
          </w:p>
          <w:p>
            <w:pPr>
              <w:pStyle w:val="38"/>
              <w:snapToGrid w:val="0"/>
              <w:rPr>
                <w:rFonts w:cs="Times New Roman"/>
                <w:szCs w:val="24"/>
              </w:rPr>
            </w:pPr>
            <w:r>
              <w:rPr>
                <w:rFonts w:cs="Times New Roman"/>
                <w:szCs w:val="24"/>
              </w:rPr>
              <w:t>监测结果见下表：</w:t>
            </w:r>
          </w:p>
          <w:p>
            <w:pPr>
              <w:adjustRightInd w:val="0"/>
              <w:snapToGrid w:val="0"/>
              <w:ind w:firstLine="482"/>
              <w:jc w:val="center"/>
              <w:rPr>
                <w:b/>
                <w:bCs/>
              </w:rPr>
            </w:pPr>
            <w:r>
              <w:rPr>
                <w:b/>
                <w:bCs/>
              </w:rPr>
              <w:t>表7-</w:t>
            </w:r>
            <w:r>
              <w:rPr>
                <w:rFonts w:hint="eastAsia"/>
                <w:b/>
                <w:bCs/>
                <w:lang w:val="en-US" w:eastAsia="zh-CN"/>
              </w:rPr>
              <w:t>3</w:t>
            </w:r>
            <w:r>
              <w:rPr>
                <w:b/>
                <w:bCs/>
              </w:rPr>
              <w:t xml:space="preserve">  有组织废气监测结果表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593"/>
              <w:gridCol w:w="1451"/>
              <w:gridCol w:w="1176"/>
              <w:gridCol w:w="1285"/>
              <w:gridCol w:w="1208"/>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Align w:val="center"/>
                </w:tcPr>
                <w:p>
                  <w:pPr>
                    <w:pStyle w:val="54"/>
                    <w:rPr>
                      <w:b/>
                      <w:bCs/>
                      <w:szCs w:val="21"/>
                      <w:lang w:bidi="ar"/>
                    </w:rPr>
                  </w:pPr>
                  <w:r>
                    <w:rPr>
                      <w:b/>
                      <w:bCs/>
                      <w:szCs w:val="21"/>
                      <w:lang w:bidi="ar"/>
                    </w:rPr>
                    <w:t>采样</w:t>
                  </w:r>
                </w:p>
                <w:p>
                  <w:pPr>
                    <w:pStyle w:val="54"/>
                    <w:rPr>
                      <w:b/>
                      <w:bCs/>
                      <w:szCs w:val="21"/>
                      <w:lang w:bidi="ar"/>
                    </w:rPr>
                  </w:pPr>
                  <w:r>
                    <w:rPr>
                      <w:b/>
                      <w:bCs/>
                      <w:szCs w:val="21"/>
                      <w:lang w:bidi="ar"/>
                    </w:rPr>
                    <w:t>时间</w:t>
                  </w:r>
                </w:p>
              </w:tc>
              <w:tc>
                <w:tcPr>
                  <w:tcW w:w="894" w:type="pct"/>
                  <w:vAlign w:val="center"/>
                </w:tcPr>
                <w:p>
                  <w:pPr>
                    <w:pStyle w:val="54"/>
                    <w:rPr>
                      <w:b/>
                      <w:bCs/>
                      <w:szCs w:val="21"/>
                      <w:lang w:bidi="ar"/>
                    </w:rPr>
                  </w:pPr>
                  <w:r>
                    <w:rPr>
                      <w:b/>
                      <w:bCs/>
                      <w:szCs w:val="21"/>
                      <w:lang w:bidi="ar"/>
                    </w:rPr>
                    <w:t>采样</w:t>
                  </w:r>
                </w:p>
                <w:p>
                  <w:pPr>
                    <w:pStyle w:val="54"/>
                    <w:rPr>
                      <w:b/>
                      <w:bCs/>
                      <w:szCs w:val="21"/>
                      <w:lang w:bidi="ar"/>
                    </w:rPr>
                  </w:pPr>
                  <w:r>
                    <w:rPr>
                      <w:b/>
                      <w:bCs/>
                      <w:szCs w:val="21"/>
                      <w:lang w:bidi="ar"/>
                    </w:rPr>
                    <w:t>点位</w:t>
                  </w:r>
                </w:p>
              </w:tc>
              <w:tc>
                <w:tcPr>
                  <w:tcW w:w="814" w:type="pct"/>
                  <w:vAlign w:val="center"/>
                </w:tcPr>
                <w:p>
                  <w:pPr>
                    <w:pStyle w:val="54"/>
                    <w:rPr>
                      <w:b/>
                      <w:bCs/>
                      <w:szCs w:val="21"/>
                      <w:lang w:bidi="ar"/>
                    </w:rPr>
                  </w:pPr>
                  <w:r>
                    <w:rPr>
                      <w:b/>
                      <w:bCs/>
                      <w:szCs w:val="21"/>
                      <w:lang w:bidi="ar"/>
                    </w:rPr>
                    <w:t>检测</w:t>
                  </w:r>
                </w:p>
                <w:p>
                  <w:pPr>
                    <w:pStyle w:val="54"/>
                    <w:rPr>
                      <w:b/>
                      <w:bCs/>
                      <w:szCs w:val="21"/>
                      <w:lang w:bidi="ar"/>
                    </w:rPr>
                  </w:pPr>
                  <w:r>
                    <w:rPr>
                      <w:b/>
                      <w:bCs/>
                      <w:szCs w:val="21"/>
                      <w:lang w:bidi="ar"/>
                    </w:rPr>
                    <w:t>项目</w:t>
                  </w:r>
                </w:p>
              </w:tc>
              <w:tc>
                <w:tcPr>
                  <w:tcW w:w="660" w:type="pct"/>
                  <w:vAlign w:val="center"/>
                </w:tcPr>
                <w:p>
                  <w:pPr>
                    <w:pStyle w:val="54"/>
                    <w:rPr>
                      <w:b/>
                      <w:bCs/>
                      <w:szCs w:val="21"/>
                      <w:lang w:bidi="ar"/>
                    </w:rPr>
                  </w:pPr>
                  <w:r>
                    <w:rPr>
                      <w:b/>
                      <w:bCs/>
                      <w:szCs w:val="21"/>
                      <w:lang w:bidi="ar"/>
                    </w:rPr>
                    <w:t>采样</w:t>
                  </w:r>
                </w:p>
                <w:p>
                  <w:pPr>
                    <w:pStyle w:val="54"/>
                    <w:rPr>
                      <w:b/>
                      <w:bCs/>
                      <w:szCs w:val="21"/>
                      <w:lang w:bidi="ar"/>
                    </w:rPr>
                  </w:pPr>
                  <w:r>
                    <w:rPr>
                      <w:b/>
                      <w:bCs/>
                      <w:szCs w:val="21"/>
                      <w:lang w:bidi="ar"/>
                    </w:rPr>
                    <w:t>频次</w:t>
                  </w:r>
                </w:p>
              </w:tc>
              <w:tc>
                <w:tcPr>
                  <w:tcW w:w="721" w:type="pct"/>
                  <w:vAlign w:val="center"/>
                </w:tcPr>
                <w:p>
                  <w:pPr>
                    <w:pStyle w:val="54"/>
                    <w:rPr>
                      <w:b/>
                      <w:bCs/>
                      <w:szCs w:val="21"/>
                      <w:lang w:bidi="ar"/>
                    </w:rPr>
                  </w:pPr>
                  <w:r>
                    <w:rPr>
                      <w:b/>
                      <w:bCs/>
                      <w:szCs w:val="21"/>
                      <w:lang w:bidi="ar"/>
                    </w:rPr>
                    <w:t>检测结果</w:t>
                  </w:r>
                </w:p>
                <w:p>
                  <w:pPr>
                    <w:pStyle w:val="54"/>
                    <w:rPr>
                      <w:b/>
                      <w:bCs/>
                      <w:szCs w:val="21"/>
                      <w:lang w:bidi="ar"/>
                    </w:rPr>
                  </w:pPr>
                  <w:r>
                    <w:rPr>
                      <w:b/>
                      <w:bCs/>
                      <w:szCs w:val="21"/>
                      <w:lang w:bidi="ar"/>
                    </w:rPr>
                    <w:t>（mg/</w:t>
                  </w:r>
                  <w:r>
                    <w:rPr>
                      <w:rFonts w:hint="eastAsia"/>
                      <w:b/>
                      <w:bCs/>
                      <w:szCs w:val="21"/>
                      <w:lang w:eastAsia="zh-CN" w:bidi="ar"/>
                    </w:rPr>
                    <w:t>m</w:t>
                  </w:r>
                  <w:r>
                    <w:rPr>
                      <w:rFonts w:hint="eastAsia"/>
                      <w:b/>
                      <w:bCs/>
                      <w:szCs w:val="21"/>
                      <w:vertAlign w:val="superscript"/>
                      <w:lang w:eastAsia="zh-CN" w:bidi="ar"/>
                    </w:rPr>
                    <w:t>3</w:t>
                  </w:r>
                  <w:r>
                    <w:rPr>
                      <w:b/>
                      <w:bCs/>
                      <w:szCs w:val="21"/>
                      <w:lang w:bidi="ar"/>
                    </w:rPr>
                    <w:t>）</w:t>
                  </w:r>
                </w:p>
              </w:tc>
              <w:tc>
                <w:tcPr>
                  <w:tcW w:w="675" w:type="pct"/>
                  <w:vAlign w:val="center"/>
                </w:tcPr>
                <w:p>
                  <w:pPr>
                    <w:pStyle w:val="54"/>
                    <w:rPr>
                      <w:b/>
                      <w:bCs/>
                      <w:szCs w:val="21"/>
                      <w:lang w:bidi="ar"/>
                    </w:rPr>
                  </w:pPr>
                  <w:r>
                    <w:rPr>
                      <w:b/>
                      <w:bCs/>
                      <w:szCs w:val="21"/>
                      <w:lang w:bidi="ar"/>
                    </w:rPr>
                    <w:t>标干流量</w:t>
                  </w:r>
                </w:p>
                <w:p>
                  <w:pPr>
                    <w:pStyle w:val="54"/>
                    <w:rPr>
                      <w:b/>
                      <w:bCs/>
                      <w:szCs w:val="21"/>
                      <w:lang w:bidi="ar"/>
                    </w:rPr>
                  </w:pPr>
                  <w:r>
                    <w:rPr>
                      <w:b/>
                      <w:bCs/>
                      <w:szCs w:val="21"/>
                      <w:lang w:bidi="ar"/>
                    </w:rPr>
                    <w:t>（N</w:t>
                  </w:r>
                  <w:r>
                    <w:rPr>
                      <w:rFonts w:hint="eastAsia"/>
                      <w:b/>
                      <w:bCs/>
                      <w:szCs w:val="21"/>
                      <w:lang w:eastAsia="zh-CN" w:bidi="ar"/>
                    </w:rPr>
                    <w:t>m</w:t>
                  </w:r>
                  <w:r>
                    <w:rPr>
                      <w:rFonts w:hint="eastAsia"/>
                      <w:b/>
                      <w:bCs/>
                      <w:szCs w:val="21"/>
                      <w:vertAlign w:val="superscript"/>
                      <w:lang w:eastAsia="zh-CN" w:bidi="ar"/>
                    </w:rPr>
                    <w:t>3</w:t>
                  </w:r>
                  <w:r>
                    <w:rPr>
                      <w:b/>
                      <w:bCs/>
                      <w:szCs w:val="21"/>
                      <w:lang w:bidi="ar"/>
                    </w:rPr>
                    <w:t>/h）</w:t>
                  </w:r>
                </w:p>
              </w:tc>
              <w:tc>
                <w:tcPr>
                  <w:tcW w:w="714" w:type="pct"/>
                  <w:vAlign w:val="center"/>
                </w:tcPr>
                <w:p>
                  <w:pPr>
                    <w:pStyle w:val="54"/>
                    <w:rPr>
                      <w:b/>
                      <w:bCs/>
                      <w:szCs w:val="21"/>
                      <w:lang w:bidi="ar"/>
                    </w:rPr>
                  </w:pPr>
                  <w:r>
                    <w:rPr>
                      <w:b/>
                      <w:bCs/>
                      <w:szCs w:val="21"/>
                      <w:lang w:bidi="ar"/>
                    </w:rPr>
                    <w:t>排放速率</w:t>
                  </w:r>
                </w:p>
                <w:p>
                  <w:pPr>
                    <w:pStyle w:val="54"/>
                    <w:rPr>
                      <w:b/>
                      <w:bCs/>
                      <w:szCs w:val="21"/>
                      <w:lang w:bidi="ar"/>
                    </w:rPr>
                  </w:pPr>
                  <w:r>
                    <w:rPr>
                      <w:b/>
                      <w:bCs/>
                      <w:szCs w:val="21"/>
                      <w:lang w:bidi="ar"/>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restart"/>
                  <w:vAlign w:val="center"/>
                </w:tcPr>
                <w:p>
                  <w:pPr>
                    <w:pStyle w:val="54"/>
                    <w:rPr>
                      <w:szCs w:val="21"/>
                      <w:lang w:bidi="ar"/>
                    </w:rPr>
                  </w:pPr>
                  <w:r>
                    <w:rPr>
                      <w:szCs w:val="21"/>
                      <w:lang w:bidi="ar"/>
                    </w:rPr>
                    <w:t>2023.</w:t>
                  </w:r>
                </w:p>
                <w:p>
                  <w:pPr>
                    <w:pStyle w:val="54"/>
                    <w:rPr>
                      <w:szCs w:val="21"/>
                      <w:lang w:bidi="ar"/>
                    </w:rPr>
                  </w:pPr>
                  <w:r>
                    <w:rPr>
                      <w:szCs w:val="21"/>
                      <w:lang w:bidi="ar"/>
                    </w:rPr>
                    <w:t>02.23</w:t>
                  </w:r>
                </w:p>
              </w:tc>
              <w:tc>
                <w:tcPr>
                  <w:tcW w:w="894" w:type="pct"/>
                  <w:vMerge w:val="restart"/>
                  <w:vAlign w:val="center"/>
                </w:tcPr>
                <w:p>
                  <w:pPr>
                    <w:pStyle w:val="54"/>
                    <w:rPr>
                      <w:szCs w:val="21"/>
                      <w:lang w:bidi="ar"/>
                    </w:rPr>
                  </w:pPr>
                  <w:r>
                    <w:rPr>
                      <w:szCs w:val="21"/>
                      <w:lang w:bidi="ar"/>
                    </w:rPr>
                    <w:t>实验室废气排气筒</w:t>
                  </w:r>
                  <w:r>
                    <w:rPr>
                      <w:rFonts w:hint="eastAsia"/>
                      <w:szCs w:val="21"/>
                      <w:lang w:bidi="ar"/>
                    </w:rPr>
                    <w:t>DA001</w:t>
                  </w:r>
                  <w:r>
                    <w:rPr>
                      <w:szCs w:val="21"/>
                      <w:lang w:bidi="ar"/>
                    </w:rPr>
                    <w:t>出口</w:t>
                  </w:r>
                </w:p>
              </w:tc>
              <w:tc>
                <w:tcPr>
                  <w:tcW w:w="814" w:type="pct"/>
                  <w:vAlign w:val="center"/>
                </w:tcPr>
                <w:p>
                  <w:pPr>
                    <w:pStyle w:val="54"/>
                    <w:rPr>
                      <w:szCs w:val="21"/>
                      <w:lang w:bidi="ar"/>
                    </w:rPr>
                  </w:pPr>
                  <w:r>
                    <w:rPr>
                      <w:szCs w:val="21"/>
                      <w:lang w:bidi="ar"/>
                    </w:rPr>
                    <w:t>VOCs（非甲烷总烃）</w:t>
                  </w:r>
                </w:p>
              </w:tc>
              <w:tc>
                <w:tcPr>
                  <w:tcW w:w="660" w:type="pct"/>
                  <w:vMerge w:val="restart"/>
                  <w:vAlign w:val="center"/>
                </w:tcPr>
                <w:p>
                  <w:pPr>
                    <w:pStyle w:val="54"/>
                    <w:rPr>
                      <w:szCs w:val="21"/>
                      <w:lang w:bidi="ar"/>
                    </w:rPr>
                  </w:pPr>
                  <w:r>
                    <w:rPr>
                      <w:szCs w:val="21"/>
                      <w:lang w:bidi="ar"/>
                    </w:rPr>
                    <w:t>第一次</w:t>
                  </w:r>
                </w:p>
              </w:tc>
              <w:tc>
                <w:tcPr>
                  <w:tcW w:w="721" w:type="pct"/>
                  <w:vAlign w:val="center"/>
                </w:tcPr>
                <w:p>
                  <w:pPr>
                    <w:pStyle w:val="54"/>
                    <w:rPr>
                      <w:szCs w:val="21"/>
                      <w:lang w:bidi="ar"/>
                    </w:rPr>
                  </w:pPr>
                  <w:r>
                    <w:rPr>
                      <w:szCs w:val="21"/>
                      <w:lang w:bidi="ar"/>
                    </w:rPr>
                    <w:t>1.83</w:t>
                  </w:r>
                </w:p>
              </w:tc>
              <w:tc>
                <w:tcPr>
                  <w:tcW w:w="675" w:type="pct"/>
                  <w:vMerge w:val="restart"/>
                  <w:vAlign w:val="center"/>
                </w:tcPr>
                <w:p>
                  <w:pPr>
                    <w:pStyle w:val="54"/>
                    <w:rPr>
                      <w:szCs w:val="21"/>
                      <w:lang w:bidi="ar"/>
                    </w:rPr>
                  </w:pPr>
                  <w:r>
                    <w:rPr>
                      <w:szCs w:val="21"/>
                      <w:lang w:bidi="ar"/>
                    </w:rPr>
                    <w:t>4349</w:t>
                  </w:r>
                </w:p>
              </w:tc>
              <w:tc>
                <w:tcPr>
                  <w:tcW w:w="714" w:type="pct"/>
                  <w:vAlign w:val="center"/>
                </w:tcPr>
                <w:p>
                  <w:pPr>
                    <w:pStyle w:val="54"/>
                    <w:rPr>
                      <w:szCs w:val="21"/>
                      <w:lang w:bidi="ar"/>
                    </w:rPr>
                  </w:pPr>
                  <w:r>
                    <w:rPr>
                      <w:szCs w:val="21"/>
                      <w:lang w:bidi="ar"/>
                    </w:rPr>
                    <w:t>8.0</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二甲苯</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0.450</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2.0</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氯化氢</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2.1</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9.1</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VOCs（非甲烷总烃）</w:t>
                  </w:r>
                </w:p>
              </w:tc>
              <w:tc>
                <w:tcPr>
                  <w:tcW w:w="660" w:type="pct"/>
                  <w:vMerge w:val="restart"/>
                  <w:vAlign w:val="center"/>
                </w:tcPr>
                <w:p>
                  <w:pPr>
                    <w:pStyle w:val="54"/>
                    <w:rPr>
                      <w:szCs w:val="21"/>
                      <w:lang w:bidi="ar"/>
                    </w:rPr>
                  </w:pPr>
                  <w:r>
                    <w:rPr>
                      <w:szCs w:val="21"/>
                      <w:lang w:bidi="ar"/>
                    </w:rPr>
                    <w:t>第二次</w:t>
                  </w:r>
                </w:p>
              </w:tc>
              <w:tc>
                <w:tcPr>
                  <w:tcW w:w="721" w:type="pct"/>
                  <w:vAlign w:val="center"/>
                </w:tcPr>
                <w:p>
                  <w:pPr>
                    <w:pStyle w:val="54"/>
                    <w:rPr>
                      <w:szCs w:val="21"/>
                      <w:lang w:bidi="ar"/>
                    </w:rPr>
                  </w:pPr>
                  <w:r>
                    <w:rPr>
                      <w:szCs w:val="21"/>
                      <w:lang w:bidi="ar"/>
                    </w:rPr>
                    <w:t>1.89</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8.2</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二甲苯</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0.361</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1.6</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氯化氢</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未检出</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VOCs（非甲烷总烃）</w:t>
                  </w:r>
                </w:p>
              </w:tc>
              <w:tc>
                <w:tcPr>
                  <w:tcW w:w="660" w:type="pct"/>
                  <w:vMerge w:val="restart"/>
                  <w:vAlign w:val="center"/>
                </w:tcPr>
                <w:p>
                  <w:pPr>
                    <w:pStyle w:val="54"/>
                    <w:rPr>
                      <w:szCs w:val="21"/>
                      <w:lang w:bidi="ar"/>
                    </w:rPr>
                  </w:pPr>
                  <w:r>
                    <w:rPr>
                      <w:szCs w:val="21"/>
                      <w:lang w:bidi="ar"/>
                    </w:rPr>
                    <w:t>第三次</w:t>
                  </w:r>
                </w:p>
              </w:tc>
              <w:tc>
                <w:tcPr>
                  <w:tcW w:w="721" w:type="pct"/>
                  <w:vAlign w:val="center"/>
                </w:tcPr>
                <w:p>
                  <w:pPr>
                    <w:pStyle w:val="54"/>
                    <w:rPr>
                      <w:szCs w:val="21"/>
                      <w:lang w:bidi="ar"/>
                    </w:rPr>
                  </w:pPr>
                  <w:r>
                    <w:rPr>
                      <w:szCs w:val="21"/>
                      <w:lang w:bidi="ar"/>
                    </w:rPr>
                    <w:t>1.96</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8.5</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二甲苯</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b/>
                      <w:bCs/>
                      <w:szCs w:val="21"/>
                      <w:lang w:bidi="ar"/>
                    </w:rPr>
                    <w:t>0.454</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b/>
                      <w:bCs/>
                      <w:szCs w:val="21"/>
                      <w:lang w:bidi="ar"/>
                    </w:rPr>
                    <w:t>2.0</w:t>
                  </w:r>
                  <w:r>
                    <w:rPr>
                      <w:b/>
                      <w:bCs/>
                      <w:szCs w:val="21"/>
                      <w:lang w:bidi="ar"/>
                    </w:rPr>
                    <w:sym w:font="Symbol" w:char="F0B4"/>
                  </w:r>
                  <w:r>
                    <w:rPr>
                      <w:b/>
                      <w:bCs/>
                      <w:szCs w:val="21"/>
                      <w:lang w:bidi="ar"/>
                    </w:rPr>
                    <w:t>10</w:t>
                  </w:r>
                  <w:r>
                    <w:rPr>
                      <w:b/>
                      <w:bCs/>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氯化氢</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未检出</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restart"/>
                  <w:vAlign w:val="center"/>
                </w:tcPr>
                <w:p>
                  <w:pPr>
                    <w:pStyle w:val="54"/>
                    <w:rPr>
                      <w:szCs w:val="21"/>
                      <w:lang w:bidi="ar"/>
                    </w:rPr>
                  </w:pPr>
                  <w:r>
                    <w:rPr>
                      <w:szCs w:val="21"/>
                      <w:lang w:bidi="ar"/>
                    </w:rPr>
                    <w:t>2023.</w:t>
                  </w:r>
                </w:p>
                <w:p>
                  <w:pPr>
                    <w:pStyle w:val="54"/>
                    <w:rPr>
                      <w:szCs w:val="21"/>
                      <w:lang w:bidi="ar"/>
                    </w:rPr>
                  </w:pPr>
                  <w:r>
                    <w:rPr>
                      <w:szCs w:val="21"/>
                      <w:lang w:bidi="ar"/>
                    </w:rPr>
                    <w:t>02.24</w:t>
                  </w:r>
                </w:p>
              </w:tc>
              <w:tc>
                <w:tcPr>
                  <w:tcW w:w="894" w:type="pct"/>
                  <w:vMerge w:val="restart"/>
                  <w:vAlign w:val="center"/>
                </w:tcPr>
                <w:p>
                  <w:pPr>
                    <w:pStyle w:val="54"/>
                    <w:rPr>
                      <w:szCs w:val="21"/>
                      <w:lang w:bidi="ar"/>
                    </w:rPr>
                  </w:pPr>
                  <w:r>
                    <w:rPr>
                      <w:szCs w:val="21"/>
                      <w:lang w:bidi="ar"/>
                    </w:rPr>
                    <w:t>实验室废气排气筒</w:t>
                  </w:r>
                  <w:r>
                    <w:rPr>
                      <w:rFonts w:hint="eastAsia"/>
                      <w:szCs w:val="21"/>
                      <w:lang w:bidi="ar"/>
                    </w:rPr>
                    <w:t>DA001</w:t>
                  </w:r>
                  <w:r>
                    <w:rPr>
                      <w:szCs w:val="21"/>
                      <w:lang w:bidi="ar"/>
                    </w:rPr>
                    <w:t>出口</w:t>
                  </w:r>
                </w:p>
              </w:tc>
              <w:tc>
                <w:tcPr>
                  <w:tcW w:w="814" w:type="pct"/>
                  <w:vAlign w:val="center"/>
                </w:tcPr>
                <w:p>
                  <w:pPr>
                    <w:pStyle w:val="54"/>
                    <w:rPr>
                      <w:szCs w:val="21"/>
                      <w:lang w:bidi="ar"/>
                    </w:rPr>
                  </w:pPr>
                  <w:r>
                    <w:rPr>
                      <w:szCs w:val="21"/>
                      <w:lang w:bidi="ar"/>
                    </w:rPr>
                    <w:t>VOCs（非甲烷总烃）</w:t>
                  </w:r>
                </w:p>
              </w:tc>
              <w:tc>
                <w:tcPr>
                  <w:tcW w:w="660" w:type="pct"/>
                  <w:vMerge w:val="restart"/>
                  <w:vAlign w:val="center"/>
                </w:tcPr>
                <w:p>
                  <w:pPr>
                    <w:pStyle w:val="54"/>
                    <w:rPr>
                      <w:szCs w:val="21"/>
                      <w:lang w:bidi="ar"/>
                    </w:rPr>
                  </w:pPr>
                  <w:r>
                    <w:rPr>
                      <w:szCs w:val="21"/>
                      <w:lang w:bidi="ar"/>
                    </w:rPr>
                    <w:t>第一次</w:t>
                  </w:r>
                </w:p>
              </w:tc>
              <w:tc>
                <w:tcPr>
                  <w:tcW w:w="721" w:type="pct"/>
                  <w:vAlign w:val="center"/>
                </w:tcPr>
                <w:p>
                  <w:pPr>
                    <w:pStyle w:val="54"/>
                    <w:rPr>
                      <w:szCs w:val="21"/>
                      <w:lang w:bidi="ar"/>
                    </w:rPr>
                  </w:pPr>
                  <w:r>
                    <w:rPr>
                      <w:szCs w:val="21"/>
                      <w:lang w:bidi="ar"/>
                    </w:rPr>
                    <w:t>1.84</w:t>
                  </w:r>
                </w:p>
              </w:tc>
              <w:tc>
                <w:tcPr>
                  <w:tcW w:w="675" w:type="pct"/>
                  <w:vMerge w:val="restart"/>
                  <w:vAlign w:val="center"/>
                </w:tcPr>
                <w:p>
                  <w:pPr>
                    <w:pStyle w:val="54"/>
                    <w:rPr>
                      <w:szCs w:val="21"/>
                      <w:lang w:bidi="ar"/>
                    </w:rPr>
                  </w:pPr>
                  <w:r>
                    <w:rPr>
                      <w:szCs w:val="21"/>
                      <w:lang w:bidi="ar"/>
                    </w:rPr>
                    <w:t>4422</w:t>
                  </w:r>
                </w:p>
              </w:tc>
              <w:tc>
                <w:tcPr>
                  <w:tcW w:w="714" w:type="pct"/>
                  <w:vAlign w:val="center"/>
                </w:tcPr>
                <w:p>
                  <w:pPr>
                    <w:pStyle w:val="54"/>
                    <w:rPr>
                      <w:szCs w:val="21"/>
                      <w:lang w:bidi="ar"/>
                    </w:rPr>
                  </w:pPr>
                  <w:r>
                    <w:rPr>
                      <w:szCs w:val="21"/>
                      <w:lang w:bidi="ar"/>
                    </w:rPr>
                    <w:t>8.1</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二甲苯</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0.324</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1.4</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氯化氢</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未检出</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VOCs（非甲烷总烃）</w:t>
                  </w:r>
                </w:p>
              </w:tc>
              <w:tc>
                <w:tcPr>
                  <w:tcW w:w="660" w:type="pct"/>
                  <w:vMerge w:val="restart"/>
                  <w:vAlign w:val="center"/>
                </w:tcPr>
                <w:p>
                  <w:pPr>
                    <w:pStyle w:val="54"/>
                    <w:rPr>
                      <w:szCs w:val="21"/>
                      <w:lang w:bidi="ar"/>
                    </w:rPr>
                  </w:pPr>
                  <w:r>
                    <w:rPr>
                      <w:szCs w:val="21"/>
                      <w:lang w:bidi="ar"/>
                    </w:rPr>
                    <w:t>第二次</w:t>
                  </w:r>
                </w:p>
              </w:tc>
              <w:tc>
                <w:tcPr>
                  <w:tcW w:w="721" w:type="pct"/>
                  <w:vAlign w:val="center"/>
                </w:tcPr>
                <w:p>
                  <w:pPr>
                    <w:pStyle w:val="54"/>
                    <w:rPr>
                      <w:szCs w:val="21"/>
                      <w:lang w:bidi="ar"/>
                    </w:rPr>
                  </w:pPr>
                  <w:r>
                    <w:rPr>
                      <w:szCs w:val="21"/>
                      <w:lang w:bidi="ar"/>
                    </w:rPr>
                    <w:t>1.90</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8.4</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二甲苯</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0.332</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1.5</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氯化氢</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b/>
                      <w:bCs/>
                      <w:szCs w:val="21"/>
                      <w:lang w:bidi="ar"/>
                    </w:rPr>
                    <w:t>2.5</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b/>
                      <w:bCs/>
                      <w:szCs w:val="21"/>
                      <w:lang w:bidi="ar"/>
                    </w:rPr>
                    <w:t>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VOCs（非甲烷总烃）</w:t>
                  </w:r>
                </w:p>
              </w:tc>
              <w:tc>
                <w:tcPr>
                  <w:tcW w:w="660" w:type="pct"/>
                  <w:vMerge w:val="restart"/>
                  <w:vAlign w:val="center"/>
                </w:tcPr>
                <w:p>
                  <w:pPr>
                    <w:pStyle w:val="54"/>
                    <w:rPr>
                      <w:szCs w:val="21"/>
                      <w:lang w:bidi="ar"/>
                    </w:rPr>
                  </w:pPr>
                  <w:r>
                    <w:rPr>
                      <w:szCs w:val="21"/>
                      <w:lang w:bidi="ar"/>
                    </w:rPr>
                    <w:t>第三次</w:t>
                  </w:r>
                </w:p>
              </w:tc>
              <w:tc>
                <w:tcPr>
                  <w:tcW w:w="721" w:type="pct"/>
                  <w:vAlign w:val="center"/>
                </w:tcPr>
                <w:p>
                  <w:pPr>
                    <w:pStyle w:val="54"/>
                    <w:rPr>
                      <w:szCs w:val="21"/>
                      <w:lang w:bidi="ar"/>
                    </w:rPr>
                  </w:pPr>
                  <w:r>
                    <w:rPr>
                      <w:b/>
                      <w:bCs/>
                      <w:szCs w:val="21"/>
                      <w:lang w:bidi="ar"/>
                    </w:rPr>
                    <w:t>1.96</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b/>
                      <w:bCs/>
                      <w:szCs w:val="21"/>
                      <w:lang w:bidi="ar"/>
                    </w:rPr>
                    <w:t>8.7</w:t>
                  </w:r>
                  <w:r>
                    <w:rPr>
                      <w:b/>
                      <w:bCs/>
                      <w:szCs w:val="21"/>
                      <w:lang w:bidi="ar"/>
                    </w:rPr>
                    <w:sym w:font="Symbol" w:char="F0B4"/>
                  </w:r>
                  <w:r>
                    <w:rPr>
                      <w:b/>
                      <w:bCs/>
                      <w:szCs w:val="21"/>
                      <w:lang w:bidi="ar"/>
                    </w:rPr>
                    <w:t>10</w:t>
                  </w:r>
                  <w:r>
                    <w:rPr>
                      <w:b/>
                      <w:bCs/>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二甲苯</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0.450</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2.0</w:t>
                  </w:r>
                  <w:r>
                    <w:rPr>
                      <w:szCs w:val="21"/>
                      <w:lang w:bidi="ar"/>
                    </w:rPr>
                    <w:sym w:font="Symbol" w:char="F0B4"/>
                  </w:r>
                  <w:r>
                    <w:rPr>
                      <w:szCs w:val="21"/>
                      <w:lang w:bidi="ar"/>
                    </w:rPr>
                    <w:t>10</w:t>
                  </w:r>
                  <w:r>
                    <w:rPr>
                      <w:szCs w:val="21"/>
                      <w:vertAlign w:val="superscript"/>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9" w:type="pct"/>
                  <w:vMerge w:val="continue"/>
                  <w:vAlign w:val="center"/>
                </w:tcPr>
                <w:p>
                  <w:pPr>
                    <w:pStyle w:val="54"/>
                    <w:rPr>
                      <w:szCs w:val="21"/>
                      <w:lang w:bidi="ar"/>
                    </w:rPr>
                  </w:pPr>
                </w:p>
              </w:tc>
              <w:tc>
                <w:tcPr>
                  <w:tcW w:w="894" w:type="pct"/>
                  <w:vMerge w:val="continue"/>
                  <w:vAlign w:val="center"/>
                </w:tcPr>
                <w:p>
                  <w:pPr>
                    <w:pStyle w:val="54"/>
                    <w:rPr>
                      <w:szCs w:val="21"/>
                      <w:lang w:bidi="ar"/>
                    </w:rPr>
                  </w:pPr>
                </w:p>
              </w:tc>
              <w:tc>
                <w:tcPr>
                  <w:tcW w:w="814" w:type="pct"/>
                  <w:vAlign w:val="center"/>
                </w:tcPr>
                <w:p>
                  <w:pPr>
                    <w:pStyle w:val="54"/>
                    <w:rPr>
                      <w:szCs w:val="21"/>
                      <w:lang w:bidi="ar"/>
                    </w:rPr>
                  </w:pPr>
                  <w:r>
                    <w:rPr>
                      <w:szCs w:val="21"/>
                      <w:lang w:bidi="ar"/>
                    </w:rPr>
                    <w:t>氯化氢</w:t>
                  </w:r>
                </w:p>
              </w:tc>
              <w:tc>
                <w:tcPr>
                  <w:tcW w:w="660" w:type="pct"/>
                  <w:vMerge w:val="continue"/>
                  <w:vAlign w:val="center"/>
                </w:tcPr>
                <w:p>
                  <w:pPr>
                    <w:pStyle w:val="54"/>
                    <w:rPr>
                      <w:szCs w:val="21"/>
                      <w:lang w:bidi="ar"/>
                    </w:rPr>
                  </w:pPr>
                </w:p>
              </w:tc>
              <w:tc>
                <w:tcPr>
                  <w:tcW w:w="721" w:type="pct"/>
                  <w:vAlign w:val="center"/>
                </w:tcPr>
                <w:p>
                  <w:pPr>
                    <w:pStyle w:val="54"/>
                    <w:rPr>
                      <w:szCs w:val="21"/>
                      <w:lang w:bidi="ar"/>
                    </w:rPr>
                  </w:pPr>
                  <w:r>
                    <w:rPr>
                      <w:szCs w:val="21"/>
                      <w:lang w:bidi="ar"/>
                    </w:rPr>
                    <w:t>未检出</w:t>
                  </w:r>
                </w:p>
              </w:tc>
              <w:tc>
                <w:tcPr>
                  <w:tcW w:w="675" w:type="pct"/>
                  <w:vMerge w:val="continue"/>
                  <w:vAlign w:val="center"/>
                </w:tcPr>
                <w:p>
                  <w:pPr>
                    <w:pStyle w:val="54"/>
                    <w:rPr>
                      <w:szCs w:val="21"/>
                      <w:lang w:bidi="ar"/>
                    </w:rPr>
                  </w:pPr>
                </w:p>
              </w:tc>
              <w:tc>
                <w:tcPr>
                  <w:tcW w:w="714" w:type="pct"/>
                  <w:vAlign w:val="center"/>
                </w:tcPr>
                <w:p>
                  <w:pPr>
                    <w:pStyle w:val="54"/>
                    <w:rPr>
                      <w:szCs w:val="21"/>
                      <w:lang w:bidi="ar"/>
                    </w:rPr>
                  </w:pPr>
                  <w:r>
                    <w:rPr>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pStyle w:val="54"/>
                    <w:jc w:val="left"/>
                    <w:rPr>
                      <w:szCs w:val="21"/>
                      <w:lang w:bidi="ar"/>
                    </w:rPr>
                  </w:pPr>
                  <w:r>
                    <w:rPr>
                      <w:szCs w:val="21"/>
                      <w:lang w:bidi="ar"/>
                    </w:rPr>
                    <w:t>备注：</w:t>
                  </w:r>
                  <w:r>
                    <w:rPr>
                      <w:rFonts w:hint="eastAsia"/>
                      <w:szCs w:val="21"/>
                      <w:lang w:bidi="ar"/>
                    </w:rPr>
                    <w:t>DA001</w:t>
                  </w:r>
                  <w:r>
                    <w:rPr>
                      <w:szCs w:val="21"/>
                      <w:lang w:bidi="ar"/>
                    </w:rPr>
                    <w:t>排气筒高度为24m,出口内径:0.60m</w:t>
                  </w:r>
                  <w:r>
                    <w:rPr>
                      <w:szCs w:val="21"/>
                      <w:lang w:bidi="ar"/>
                    </w:rPr>
                    <w:sym w:font="Symbol" w:char="F0B4"/>
                  </w:r>
                  <w:r>
                    <w:rPr>
                      <w:szCs w:val="21"/>
                      <w:lang w:bidi="ar"/>
                    </w:rPr>
                    <w:t>0.40m，处理措施：</w:t>
                  </w:r>
                  <w:r>
                    <w:rPr>
                      <w:rFonts w:hint="eastAsia"/>
                      <w:szCs w:val="21"/>
                      <w:lang w:bidi="ar"/>
                    </w:rPr>
                    <w:t>二级</w:t>
                  </w:r>
                  <w:r>
                    <w:rPr>
                      <w:szCs w:val="21"/>
                      <w:lang w:bidi="ar"/>
                    </w:rPr>
                    <w:t>活性炭吸附；</w:t>
                  </w:r>
                </w:p>
                <w:p>
                  <w:pPr>
                    <w:pStyle w:val="54"/>
                    <w:jc w:val="left"/>
                    <w:rPr>
                      <w:szCs w:val="21"/>
                      <w:lang w:bidi="ar"/>
                    </w:rPr>
                  </w:pPr>
                  <w:r>
                    <w:rPr>
                      <w:szCs w:val="21"/>
                      <w:lang w:bidi="ar"/>
                    </w:rPr>
                    <w:t>未检出表示检测值小于检出限；标干流量为三次采样标干流量平均值。</w:t>
                  </w:r>
                </w:p>
              </w:tc>
            </w:tr>
          </w:tbl>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lang w:val="en-US" w:eastAsia="zh-CN"/>
              </w:rPr>
              <w:t>4</w:t>
            </w:r>
            <w:r>
              <w:rPr>
                <w:rFonts w:ascii="Times New Roman" w:hAnsi="Times New Roman"/>
                <w:b/>
                <w:bCs/>
                <w:color w:val="auto"/>
                <w:sz w:val="24"/>
              </w:rPr>
              <w:t xml:space="preserve">  </w:t>
            </w:r>
            <w:r>
              <w:rPr>
                <w:rFonts w:hint="eastAsia" w:ascii="Times New Roman" w:hAnsi="Times New Roman"/>
                <w:b/>
                <w:bCs/>
                <w:color w:val="auto"/>
                <w:sz w:val="24"/>
              </w:rPr>
              <w:t>有组织废气达标</w:t>
            </w:r>
            <w:r>
              <w:rPr>
                <w:rFonts w:ascii="Times New Roman" w:hAnsi="Times New Roman"/>
                <w:b/>
                <w:bCs/>
                <w:color w:val="auto"/>
                <w:sz w:val="24"/>
              </w:rPr>
              <w:t>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2"/>
              <w:gridCol w:w="1541"/>
              <w:gridCol w:w="1583"/>
              <w:gridCol w:w="1542"/>
              <w:gridCol w:w="1492"/>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2" w:type="pct"/>
                  <w:shd w:val="clear" w:color="auto" w:fill="auto"/>
                  <w:vAlign w:val="center"/>
                </w:tcPr>
                <w:p>
                  <w:pPr>
                    <w:spacing w:line="240" w:lineRule="auto"/>
                    <w:ind w:firstLine="0" w:firstLineChars="0"/>
                    <w:jc w:val="center"/>
                    <w:rPr>
                      <w:b/>
                      <w:bCs/>
                      <w:sz w:val="21"/>
                      <w:szCs w:val="21"/>
                    </w:rPr>
                  </w:pPr>
                  <w:r>
                    <w:rPr>
                      <w:rFonts w:hint="eastAsia"/>
                      <w:b/>
                      <w:bCs/>
                      <w:sz w:val="21"/>
                      <w:szCs w:val="21"/>
                    </w:rPr>
                    <w:t>污染物</w:t>
                  </w:r>
                </w:p>
              </w:tc>
              <w:tc>
                <w:tcPr>
                  <w:tcW w:w="864"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最高排放浓度（mg/</w:t>
                  </w:r>
                  <w:r>
                    <w:rPr>
                      <w:rFonts w:hint="eastAsia"/>
                      <w:b/>
                      <w:bCs/>
                      <w:sz w:val="21"/>
                      <w:szCs w:val="21"/>
                      <w:lang w:eastAsia="zh-CN"/>
                    </w:rPr>
                    <w:t>m</w:t>
                  </w:r>
                  <w:r>
                    <w:rPr>
                      <w:rFonts w:hint="eastAsia"/>
                      <w:b/>
                      <w:bCs/>
                      <w:sz w:val="21"/>
                      <w:szCs w:val="21"/>
                      <w:vertAlign w:val="superscript"/>
                      <w:lang w:eastAsia="zh-CN"/>
                    </w:rPr>
                    <w:t>3</w:t>
                  </w:r>
                  <w:r>
                    <w:rPr>
                      <w:rFonts w:hint="eastAsia"/>
                      <w:b/>
                      <w:bCs/>
                      <w:sz w:val="21"/>
                      <w:szCs w:val="21"/>
                    </w:rPr>
                    <w:t>）</w:t>
                  </w:r>
                </w:p>
              </w:tc>
              <w:tc>
                <w:tcPr>
                  <w:tcW w:w="888"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最高允许排放浓度（mg/</w:t>
                  </w:r>
                  <w:r>
                    <w:rPr>
                      <w:rFonts w:hint="eastAsia"/>
                      <w:b/>
                      <w:bCs/>
                      <w:sz w:val="21"/>
                      <w:szCs w:val="21"/>
                      <w:lang w:eastAsia="zh-CN"/>
                    </w:rPr>
                    <w:t>m</w:t>
                  </w:r>
                  <w:r>
                    <w:rPr>
                      <w:rFonts w:hint="eastAsia"/>
                      <w:b/>
                      <w:bCs/>
                      <w:sz w:val="21"/>
                      <w:szCs w:val="21"/>
                      <w:vertAlign w:val="superscript"/>
                      <w:lang w:eastAsia="zh-CN"/>
                    </w:rPr>
                    <w:t>3</w:t>
                  </w:r>
                  <w:r>
                    <w:rPr>
                      <w:rFonts w:hint="eastAsia"/>
                      <w:b/>
                      <w:bCs/>
                      <w:sz w:val="21"/>
                      <w:szCs w:val="21"/>
                    </w:rPr>
                    <w:t>）</w:t>
                  </w:r>
                </w:p>
              </w:tc>
              <w:tc>
                <w:tcPr>
                  <w:tcW w:w="865"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最高排放速率（kg/h）</w:t>
                  </w:r>
                </w:p>
              </w:tc>
              <w:tc>
                <w:tcPr>
                  <w:tcW w:w="837"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最高允许排放速率（kg/h）</w:t>
                  </w:r>
                </w:p>
              </w:tc>
              <w:tc>
                <w:tcPr>
                  <w:tcW w:w="612"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2" w:type="pct"/>
                  <w:shd w:val="clear" w:color="auto" w:fill="auto"/>
                  <w:vAlign w:val="center"/>
                </w:tcPr>
                <w:p>
                  <w:pPr>
                    <w:pStyle w:val="54"/>
                    <w:rPr>
                      <w:szCs w:val="21"/>
                    </w:rPr>
                  </w:pPr>
                  <w:r>
                    <w:rPr>
                      <w:szCs w:val="21"/>
                      <w:lang w:bidi="ar"/>
                    </w:rPr>
                    <w:t>VOCs（非甲烷总烃）</w:t>
                  </w:r>
                </w:p>
              </w:tc>
              <w:tc>
                <w:tcPr>
                  <w:tcW w:w="864" w:type="pct"/>
                  <w:shd w:val="clear" w:color="auto" w:fill="auto"/>
                  <w:vAlign w:val="center"/>
                </w:tcPr>
                <w:p>
                  <w:pPr>
                    <w:spacing w:line="240" w:lineRule="auto"/>
                    <w:ind w:firstLine="0" w:firstLineChars="0"/>
                    <w:jc w:val="center"/>
                    <w:rPr>
                      <w:sz w:val="21"/>
                      <w:szCs w:val="21"/>
                    </w:rPr>
                  </w:pPr>
                  <w:r>
                    <w:rPr>
                      <w:rFonts w:hint="eastAsia"/>
                      <w:sz w:val="21"/>
                      <w:szCs w:val="21"/>
                    </w:rPr>
                    <w:t>1.96</w:t>
                  </w:r>
                </w:p>
              </w:tc>
              <w:tc>
                <w:tcPr>
                  <w:tcW w:w="888" w:type="pct"/>
                  <w:shd w:val="clear" w:color="auto" w:fill="auto"/>
                  <w:vAlign w:val="center"/>
                </w:tcPr>
                <w:p>
                  <w:pPr>
                    <w:spacing w:line="240" w:lineRule="auto"/>
                    <w:ind w:firstLine="0" w:firstLineChars="0"/>
                    <w:jc w:val="center"/>
                    <w:rPr>
                      <w:sz w:val="21"/>
                      <w:szCs w:val="21"/>
                    </w:rPr>
                  </w:pPr>
                  <w:r>
                    <w:rPr>
                      <w:rFonts w:hint="eastAsia"/>
                      <w:sz w:val="21"/>
                      <w:szCs w:val="21"/>
                    </w:rPr>
                    <w:t>60</w:t>
                  </w:r>
                </w:p>
              </w:tc>
              <w:tc>
                <w:tcPr>
                  <w:tcW w:w="865" w:type="pct"/>
                  <w:shd w:val="clear" w:color="auto" w:fill="auto"/>
                  <w:vAlign w:val="center"/>
                </w:tcPr>
                <w:p>
                  <w:pPr>
                    <w:spacing w:line="240" w:lineRule="auto"/>
                    <w:ind w:firstLine="0" w:firstLineChars="0"/>
                    <w:jc w:val="center"/>
                    <w:rPr>
                      <w:sz w:val="21"/>
                      <w:szCs w:val="21"/>
                    </w:rPr>
                  </w:pPr>
                  <w:r>
                    <w:rPr>
                      <w:rFonts w:hint="eastAsia"/>
                      <w:sz w:val="21"/>
                      <w:szCs w:val="21"/>
                      <w:lang w:bidi="ar"/>
                    </w:rPr>
                    <w:t>8.7</w:t>
                  </w:r>
                  <w:r>
                    <w:rPr>
                      <w:rFonts w:hint="eastAsia"/>
                      <w:sz w:val="21"/>
                      <w:szCs w:val="21"/>
                      <w:lang w:bidi="ar"/>
                    </w:rPr>
                    <w:sym w:font="Symbol" w:char="F0B4"/>
                  </w:r>
                  <w:r>
                    <w:rPr>
                      <w:rFonts w:hint="eastAsia"/>
                      <w:sz w:val="21"/>
                      <w:szCs w:val="21"/>
                      <w:lang w:bidi="ar"/>
                    </w:rPr>
                    <w:t>10</w:t>
                  </w:r>
                  <w:r>
                    <w:rPr>
                      <w:rFonts w:hint="eastAsia"/>
                      <w:sz w:val="21"/>
                      <w:szCs w:val="21"/>
                      <w:vertAlign w:val="superscript"/>
                      <w:lang w:bidi="ar"/>
                    </w:rPr>
                    <w:t>-3</w:t>
                  </w:r>
                </w:p>
              </w:tc>
              <w:tc>
                <w:tcPr>
                  <w:tcW w:w="837" w:type="pct"/>
                  <w:shd w:val="clear" w:color="auto" w:fill="auto"/>
                  <w:vAlign w:val="center"/>
                </w:tcPr>
                <w:p>
                  <w:pPr>
                    <w:spacing w:line="240" w:lineRule="auto"/>
                    <w:ind w:firstLine="0" w:firstLineChars="0"/>
                    <w:jc w:val="center"/>
                    <w:rPr>
                      <w:rFonts w:ascii="Times New Roman" w:hAnsi="Times New Roman" w:eastAsia="宋体" w:cs="Times New Roman"/>
                      <w:kern w:val="2"/>
                      <w:sz w:val="21"/>
                      <w:szCs w:val="21"/>
                      <w:lang w:val="en-US" w:eastAsia="zh-CN" w:bidi="ar-SA"/>
                    </w:rPr>
                  </w:pPr>
                  <w:r>
                    <w:rPr>
                      <w:rFonts w:hint="eastAsia"/>
                      <w:sz w:val="21"/>
                      <w:szCs w:val="21"/>
                      <w:lang w:val="en-US" w:eastAsia="zh-CN"/>
                    </w:rPr>
                    <w:t>6</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2" w:type="pct"/>
                  <w:shd w:val="clear" w:color="auto" w:fill="auto"/>
                  <w:vAlign w:val="center"/>
                </w:tcPr>
                <w:p>
                  <w:pPr>
                    <w:pStyle w:val="54"/>
                    <w:rPr>
                      <w:szCs w:val="21"/>
                    </w:rPr>
                  </w:pPr>
                  <w:r>
                    <w:rPr>
                      <w:szCs w:val="21"/>
                      <w:lang w:bidi="ar"/>
                    </w:rPr>
                    <w:t>二甲苯</w:t>
                  </w:r>
                </w:p>
              </w:tc>
              <w:tc>
                <w:tcPr>
                  <w:tcW w:w="864" w:type="pct"/>
                  <w:shd w:val="clear" w:color="auto" w:fill="auto"/>
                  <w:vAlign w:val="center"/>
                </w:tcPr>
                <w:p>
                  <w:pPr>
                    <w:spacing w:line="240" w:lineRule="auto"/>
                    <w:ind w:firstLine="0" w:firstLineChars="0"/>
                    <w:jc w:val="center"/>
                    <w:rPr>
                      <w:sz w:val="21"/>
                      <w:szCs w:val="21"/>
                    </w:rPr>
                  </w:pPr>
                  <w:r>
                    <w:rPr>
                      <w:rFonts w:hint="eastAsia"/>
                      <w:sz w:val="21"/>
                      <w:szCs w:val="21"/>
                    </w:rPr>
                    <w:t>0.454</w:t>
                  </w:r>
                </w:p>
              </w:tc>
              <w:tc>
                <w:tcPr>
                  <w:tcW w:w="888" w:type="pct"/>
                  <w:shd w:val="clear" w:color="auto" w:fill="auto"/>
                  <w:vAlign w:val="center"/>
                </w:tcPr>
                <w:p>
                  <w:pPr>
                    <w:spacing w:line="240" w:lineRule="auto"/>
                    <w:ind w:firstLine="0" w:firstLineChars="0"/>
                    <w:jc w:val="center"/>
                    <w:rPr>
                      <w:sz w:val="21"/>
                      <w:szCs w:val="21"/>
                    </w:rPr>
                  </w:pPr>
                  <w:r>
                    <w:rPr>
                      <w:rFonts w:hint="eastAsia"/>
                      <w:sz w:val="21"/>
                      <w:szCs w:val="21"/>
                    </w:rPr>
                    <w:t>70</w:t>
                  </w:r>
                </w:p>
              </w:tc>
              <w:tc>
                <w:tcPr>
                  <w:tcW w:w="865" w:type="pct"/>
                  <w:shd w:val="clear" w:color="auto" w:fill="auto"/>
                  <w:vAlign w:val="center"/>
                </w:tcPr>
                <w:p>
                  <w:pPr>
                    <w:spacing w:line="240" w:lineRule="auto"/>
                    <w:ind w:firstLine="0" w:firstLineChars="0"/>
                    <w:jc w:val="center"/>
                    <w:rPr>
                      <w:sz w:val="21"/>
                      <w:szCs w:val="21"/>
                    </w:rPr>
                  </w:pPr>
                  <w:r>
                    <w:rPr>
                      <w:rFonts w:hint="eastAsia"/>
                      <w:sz w:val="21"/>
                      <w:szCs w:val="21"/>
                      <w:lang w:bidi="ar"/>
                    </w:rPr>
                    <w:t>2.0</w:t>
                  </w:r>
                  <w:r>
                    <w:rPr>
                      <w:rFonts w:hint="eastAsia"/>
                      <w:sz w:val="21"/>
                      <w:szCs w:val="21"/>
                      <w:lang w:bidi="ar"/>
                    </w:rPr>
                    <w:sym w:font="Symbol" w:char="F0B4"/>
                  </w:r>
                  <w:r>
                    <w:rPr>
                      <w:rFonts w:hint="eastAsia"/>
                      <w:sz w:val="21"/>
                      <w:szCs w:val="21"/>
                      <w:lang w:bidi="ar"/>
                    </w:rPr>
                    <w:t>10</w:t>
                  </w:r>
                  <w:r>
                    <w:rPr>
                      <w:rFonts w:hint="eastAsia"/>
                      <w:sz w:val="21"/>
                      <w:szCs w:val="21"/>
                      <w:vertAlign w:val="superscript"/>
                      <w:lang w:bidi="ar"/>
                    </w:rPr>
                    <w:t>-3</w:t>
                  </w:r>
                </w:p>
              </w:tc>
              <w:tc>
                <w:tcPr>
                  <w:tcW w:w="837" w:type="pct"/>
                  <w:shd w:val="clear" w:color="auto" w:fill="auto"/>
                  <w:vAlign w:val="center"/>
                </w:tcPr>
                <w:p>
                  <w:pPr>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3.38</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2" w:type="pct"/>
                  <w:shd w:val="clear" w:color="auto" w:fill="auto"/>
                  <w:vAlign w:val="center"/>
                </w:tcPr>
                <w:p>
                  <w:pPr>
                    <w:pStyle w:val="54"/>
                    <w:rPr>
                      <w:szCs w:val="21"/>
                    </w:rPr>
                  </w:pPr>
                  <w:r>
                    <w:rPr>
                      <w:szCs w:val="21"/>
                      <w:lang w:bidi="ar"/>
                    </w:rPr>
                    <w:t>氯化氢</w:t>
                  </w:r>
                </w:p>
              </w:tc>
              <w:tc>
                <w:tcPr>
                  <w:tcW w:w="864" w:type="pct"/>
                  <w:shd w:val="clear" w:color="auto" w:fill="auto"/>
                  <w:vAlign w:val="center"/>
                </w:tcPr>
                <w:p>
                  <w:pPr>
                    <w:spacing w:line="240" w:lineRule="auto"/>
                    <w:ind w:firstLine="0" w:firstLineChars="0"/>
                    <w:jc w:val="center"/>
                    <w:rPr>
                      <w:sz w:val="21"/>
                      <w:szCs w:val="21"/>
                    </w:rPr>
                  </w:pPr>
                  <w:r>
                    <w:rPr>
                      <w:rFonts w:hint="eastAsia"/>
                      <w:sz w:val="21"/>
                      <w:szCs w:val="21"/>
                    </w:rPr>
                    <w:t>2.5</w:t>
                  </w:r>
                </w:p>
              </w:tc>
              <w:tc>
                <w:tcPr>
                  <w:tcW w:w="888" w:type="pct"/>
                  <w:shd w:val="clear" w:color="auto" w:fill="auto"/>
                  <w:vAlign w:val="center"/>
                </w:tcPr>
                <w:p>
                  <w:pPr>
                    <w:spacing w:line="240" w:lineRule="auto"/>
                    <w:ind w:firstLine="0" w:firstLineChars="0"/>
                    <w:jc w:val="center"/>
                    <w:rPr>
                      <w:sz w:val="21"/>
                      <w:szCs w:val="21"/>
                    </w:rPr>
                  </w:pPr>
                  <w:r>
                    <w:rPr>
                      <w:rFonts w:hint="eastAsia"/>
                      <w:sz w:val="21"/>
                      <w:szCs w:val="21"/>
                    </w:rPr>
                    <w:t>100</w:t>
                  </w:r>
                </w:p>
              </w:tc>
              <w:tc>
                <w:tcPr>
                  <w:tcW w:w="865" w:type="pct"/>
                  <w:shd w:val="clear" w:color="auto" w:fill="auto"/>
                  <w:vAlign w:val="center"/>
                </w:tcPr>
                <w:p>
                  <w:pPr>
                    <w:spacing w:line="240" w:lineRule="auto"/>
                    <w:ind w:firstLine="0" w:firstLineChars="0"/>
                    <w:jc w:val="center"/>
                    <w:rPr>
                      <w:sz w:val="21"/>
                      <w:szCs w:val="21"/>
                    </w:rPr>
                  </w:pPr>
                  <w:r>
                    <w:rPr>
                      <w:rFonts w:hint="eastAsia"/>
                      <w:sz w:val="21"/>
                      <w:szCs w:val="21"/>
                    </w:rPr>
                    <w:t>0.011</w:t>
                  </w:r>
                </w:p>
              </w:tc>
              <w:tc>
                <w:tcPr>
                  <w:tcW w:w="837" w:type="pct"/>
                  <w:shd w:val="clear" w:color="auto" w:fill="auto"/>
                  <w:vAlign w:val="center"/>
                </w:tcPr>
                <w:p>
                  <w:pPr>
                    <w:spacing w:line="240" w:lineRule="auto"/>
                    <w:ind w:firstLine="0" w:firstLineChars="0"/>
                    <w:jc w:val="center"/>
                    <w:rPr>
                      <w:rFonts w:hint="eastAsia" w:eastAsia="宋体"/>
                      <w:sz w:val="21"/>
                      <w:szCs w:val="21"/>
                      <w:lang w:eastAsia="zh-CN"/>
                    </w:rPr>
                  </w:pPr>
                  <w:r>
                    <w:rPr>
                      <w:rFonts w:hint="eastAsia"/>
                      <w:sz w:val="21"/>
                      <w:szCs w:val="21"/>
                      <w:lang w:eastAsia="zh-CN"/>
                    </w:rPr>
                    <w:t>0.818</w:t>
                  </w:r>
                </w:p>
              </w:tc>
              <w:tc>
                <w:tcPr>
                  <w:tcW w:w="612"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adjustRightInd w:val="0"/>
              <w:ind w:firstLine="480"/>
            </w:pPr>
            <w:r>
              <w:t>验收</w:t>
            </w:r>
            <w:r>
              <w:rPr>
                <w:rFonts w:hint="eastAsia"/>
              </w:rPr>
              <w:t>监测</w:t>
            </w:r>
            <w:r>
              <w:t>期间，</w:t>
            </w:r>
            <w:r>
              <w:rPr>
                <w:rFonts w:hint="eastAsia"/>
              </w:rPr>
              <w:t>实验废气排气筒DA001出口中主要污染物VOCs最高排放浓度为1.96</w:t>
            </w:r>
            <w:r>
              <w:t>mg/</w:t>
            </w:r>
            <w:r>
              <w:rPr>
                <w:rFonts w:hint="eastAsia"/>
                <w:lang w:eastAsia="zh-CN"/>
              </w:rPr>
              <w:t>m</w:t>
            </w:r>
            <w:r>
              <w:rPr>
                <w:rFonts w:hint="eastAsia"/>
                <w:vertAlign w:val="superscript"/>
                <w:lang w:eastAsia="zh-CN"/>
              </w:rPr>
              <w:t>3</w:t>
            </w:r>
            <w:r>
              <w:rPr>
                <w:rFonts w:hint="eastAsia"/>
              </w:rPr>
              <w:t>，最高排放速率为</w:t>
            </w:r>
            <w:r>
              <w:rPr>
                <w:color w:val="000000"/>
                <w:lang w:bidi="ar"/>
              </w:rPr>
              <w:t>8.7</w:t>
            </w:r>
            <w:r>
              <w:rPr>
                <w:rFonts w:ascii="Arial" w:hAnsi="Arial" w:cs="Arial"/>
                <w:color w:val="000000"/>
                <w:lang w:bidi="ar"/>
              </w:rPr>
              <w:t>×</w:t>
            </w:r>
            <w:r>
              <w:rPr>
                <w:color w:val="000000"/>
                <w:lang w:bidi="ar"/>
              </w:rPr>
              <w:t>10</w:t>
            </w:r>
            <w:r>
              <w:rPr>
                <w:color w:val="000000"/>
                <w:vertAlign w:val="superscript"/>
                <w:lang w:bidi="ar"/>
              </w:rPr>
              <w:t>-3</w:t>
            </w:r>
            <w:r>
              <w:rPr>
                <w:color w:val="000000"/>
              </w:rPr>
              <w:t>kg/</w:t>
            </w:r>
            <w:r>
              <w:t>h</w:t>
            </w:r>
            <w:r>
              <w:rPr>
                <w:rFonts w:hint="eastAsia"/>
              </w:rPr>
              <w:t>，排放浓度和排放速率均满足《挥发性有机物排放标准第7部分：其他行业》（DB37/2801.7-2019）表1中非重点行业II时段排放限值要求；二甲苯最高排放浓度为0.454</w:t>
            </w:r>
            <w:r>
              <w:t>mg/</w:t>
            </w:r>
            <w:r>
              <w:rPr>
                <w:rFonts w:hint="eastAsia"/>
                <w:lang w:eastAsia="zh-CN"/>
              </w:rPr>
              <w:t>m</w:t>
            </w:r>
            <w:r>
              <w:rPr>
                <w:rFonts w:hint="eastAsia"/>
                <w:vertAlign w:val="superscript"/>
                <w:lang w:eastAsia="zh-CN"/>
              </w:rPr>
              <w:t>3</w:t>
            </w:r>
            <w:r>
              <w:rPr>
                <w:rFonts w:hint="eastAsia"/>
              </w:rPr>
              <w:t>，最高排放速率为</w:t>
            </w:r>
            <w:r>
              <w:rPr>
                <w:rFonts w:hint="eastAsia"/>
                <w:color w:val="000000"/>
                <w:lang w:bidi="ar"/>
              </w:rPr>
              <w:t>2.0</w:t>
            </w:r>
            <w:r>
              <w:rPr>
                <w:rFonts w:ascii="Arial" w:hAnsi="Arial" w:cs="Arial"/>
                <w:color w:val="000000"/>
                <w:lang w:bidi="ar"/>
              </w:rPr>
              <w:t>×</w:t>
            </w:r>
            <w:r>
              <w:rPr>
                <w:color w:val="000000"/>
                <w:lang w:bidi="ar"/>
              </w:rPr>
              <w:t>10</w:t>
            </w:r>
            <w:r>
              <w:rPr>
                <w:color w:val="000000"/>
                <w:vertAlign w:val="superscript"/>
                <w:lang w:bidi="ar"/>
              </w:rPr>
              <w:t>-3</w:t>
            </w:r>
            <w:r>
              <w:rPr>
                <w:color w:val="000000"/>
              </w:rPr>
              <w:t>kg/</w:t>
            </w:r>
            <w:r>
              <w:t>h</w:t>
            </w:r>
            <w:r>
              <w:rPr>
                <w:rFonts w:hint="eastAsia"/>
              </w:rPr>
              <w:t>，氯化氢最高排放浓度为2.5</w:t>
            </w:r>
            <w:r>
              <w:t>mg/</w:t>
            </w:r>
            <w:r>
              <w:rPr>
                <w:rFonts w:hint="eastAsia"/>
                <w:lang w:eastAsia="zh-CN"/>
              </w:rPr>
              <w:t>m</w:t>
            </w:r>
            <w:r>
              <w:rPr>
                <w:rFonts w:hint="eastAsia"/>
                <w:vertAlign w:val="superscript"/>
                <w:lang w:eastAsia="zh-CN"/>
              </w:rPr>
              <w:t>3</w:t>
            </w:r>
            <w:r>
              <w:rPr>
                <w:rFonts w:hint="eastAsia"/>
              </w:rPr>
              <w:t>，最高排放速率为0.011</w:t>
            </w:r>
            <w:r>
              <w:rPr>
                <w:color w:val="000000"/>
              </w:rPr>
              <w:t>kg/</w:t>
            </w:r>
            <w:r>
              <w:t>h</w:t>
            </w:r>
            <w:r>
              <w:rPr>
                <w:rFonts w:hint="eastAsia"/>
              </w:rPr>
              <w:t>，排放浓度和排放速率均满足《大气污染物综合排放标准》（GB16297-1996）表2二级限值要求。</w:t>
            </w:r>
          </w:p>
          <w:p>
            <w:pPr>
              <w:adjustRightInd w:val="0"/>
              <w:snapToGrid w:val="0"/>
              <w:ind w:firstLine="482"/>
              <w:jc w:val="center"/>
              <w:rPr>
                <w:b/>
                <w:bCs/>
              </w:rPr>
            </w:pPr>
            <w:r>
              <w:rPr>
                <w:b/>
                <w:bCs/>
              </w:rPr>
              <w:t>表7-</w:t>
            </w:r>
            <w:r>
              <w:rPr>
                <w:rFonts w:hint="eastAsia"/>
                <w:b/>
                <w:bCs/>
                <w:lang w:val="en-US" w:eastAsia="zh-CN"/>
              </w:rPr>
              <w:t>5</w:t>
            </w:r>
            <w:r>
              <w:rPr>
                <w:b/>
                <w:bCs/>
              </w:rPr>
              <w:t xml:space="preserve">  无组织废气监测结果表</w:t>
            </w:r>
          </w:p>
          <w:tbl>
            <w:tblPr>
              <w:tblStyle w:val="28"/>
              <w:tblpPr w:leftFromText="180" w:rightFromText="180" w:vertAnchor="text" w:tblpXSpec="center" w:tblpY="1"/>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9"/>
              <w:gridCol w:w="1218"/>
              <w:gridCol w:w="1272"/>
              <w:gridCol w:w="1254"/>
              <w:gridCol w:w="1254"/>
              <w:gridCol w:w="1254"/>
              <w:gridCol w:w="1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b/>
                      <w:bCs/>
                      <w:sz w:val="21"/>
                      <w:szCs w:val="21"/>
                    </w:rPr>
                  </w:pPr>
                  <w:r>
                    <w:rPr>
                      <w:rFonts w:hint="eastAsia"/>
                      <w:b/>
                      <w:bCs/>
                      <w:sz w:val="21"/>
                      <w:szCs w:val="21"/>
                    </w:rPr>
                    <w:t>检测</w:t>
                  </w:r>
                </w:p>
                <w:p>
                  <w:pPr>
                    <w:widowControl/>
                    <w:spacing w:line="240" w:lineRule="auto"/>
                    <w:ind w:firstLine="0" w:firstLineChars="0"/>
                    <w:jc w:val="center"/>
                    <w:rPr>
                      <w:b/>
                      <w:bCs/>
                      <w:sz w:val="21"/>
                      <w:szCs w:val="21"/>
                    </w:rPr>
                  </w:pPr>
                  <w:r>
                    <w:rPr>
                      <w:rFonts w:hint="eastAsia"/>
                      <w:b/>
                      <w:bCs/>
                      <w:sz w:val="21"/>
                      <w:szCs w:val="21"/>
                    </w:rPr>
                    <w:t>项目</w:t>
                  </w:r>
                </w:p>
              </w:tc>
              <w:tc>
                <w:tcPr>
                  <w:tcW w:w="683" w:type="pct"/>
                  <w:vMerge w:val="restart"/>
                  <w:vAlign w:val="center"/>
                </w:tcPr>
                <w:p>
                  <w:pPr>
                    <w:widowControl/>
                    <w:spacing w:line="240" w:lineRule="auto"/>
                    <w:ind w:firstLine="0" w:firstLineChars="0"/>
                    <w:jc w:val="center"/>
                    <w:rPr>
                      <w:b/>
                      <w:bCs/>
                      <w:sz w:val="21"/>
                      <w:szCs w:val="21"/>
                    </w:rPr>
                  </w:pPr>
                  <w:r>
                    <w:rPr>
                      <w:rFonts w:hint="eastAsia"/>
                      <w:b/>
                      <w:bCs/>
                      <w:sz w:val="21"/>
                      <w:szCs w:val="21"/>
                    </w:rPr>
                    <w:t>采样</w:t>
                  </w:r>
                </w:p>
                <w:p>
                  <w:pPr>
                    <w:widowControl/>
                    <w:spacing w:line="240" w:lineRule="auto"/>
                    <w:ind w:firstLine="0" w:firstLineChars="0"/>
                    <w:jc w:val="center"/>
                    <w:rPr>
                      <w:b/>
                      <w:bCs/>
                      <w:sz w:val="21"/>
                      <w:szCs w:val="21"/>
                    </w:rPr>
                  </w:pPr>
                  <w:r>
                    <w:rPr>
                      <w:rFonts w:hint="eastAsia"/>
                      <w:b/>
                      <w:bCs/>
                      <w:sz w:val="21"/>
                      <w:szCs w:val="21"/>
                    </w:rPr>
                    <w:t>日期</w:t>
                  </w:r>
                </w:p>
              </w:tc>
              <w:tc>
                <w:tcPr>
                  <w:tcW w:w="713" w:type="pct"/>
                  <w:vMerge w:val="restart"/>
                  <w:vAlign w:val="center"/>
                </w:tcPr>
                <w:p>
                  <w:pPr>
                    <w:widowControl/>
                    <w:spacing w:line="240" w:lineRule="auto"/>
                    <w:ind w:firstLine="0" w:firstLineChars="0"/>
                    <w:jc w:val="center"/>
                    <w:rPr>
                      <w:b/>
                      <w:bCs/>
                      <w:sz w:val="21"/>
                      <w:szCs w:val="21"/>
                    </w:rPr>
                  </w:pPr>
                  <w:r>
                    <w:rPr>
                      <w:rFonts w:hint="eastAsia"/>
                      <w:b/>
                      <w:bCs/>
                      <w:sz w:val="21"/>
                      <w:szCs w:val="21"/>
                    </w:rPr>
                    <w:t>检测</w:t>
                  </w:r>
                </w:p>
                <w:p>
                  <w:pPr>
                    <w:widowControl/>
                    <w:spacing w:line="240" w:lineRule="auto"/>
                    <w:ind w:firstLine="0" w:firstLineChars="0"/>
                    <w:jc w:val="center"/>
                    <w:rPr>
                      <w:b/>
                      <w:bCs/>
                      <w:sz w:val="21"/>
                      <w:szCs w:val="21"/>
                    </w:rPr>
                  </w:pPr>
                  <w:r>
                    <w:rPr>
                      <w:rFonts w:hint="eastAsia"/>
                      <w:b/>
                      <w:bCs/>
                      <w:sz w:val="21"/>
                      <w:szCs w:val="21"/>
                    </w:rPr>
                    <w:t>频次</w:t>
                  </w:r>
                </w:p>
              </w:tc>
              <w:tc>
                <w:tcPr>
                  <w:tcW w:w="2818" w:type="pct"/>
                  <w:gridSpan w:val="4"/>
                  <w:vAlign w:val="center"/>
                </w:tcPr>
                <w:p>
                  <w:pPr>
                    <w:widowControl/>
                    <w:spacing w:line="240" w:lineRule="auto"/>
                    <w:ind w:firstLine="0" w:firstLineChars="0"/>
                    <w:jc w:val="center"/>
                    <w:rPr>
                      <w:b/>
                      <w:bCs/>
                      <w:sz w:val="21"/>
                      <w:szCs w:val="21"/>
                    </w:rPr>
                  </w:pPr>
                  <w:r>
                    <w:rPr>
                      <w:rFonts w:hint="eastAsia"/>
                      <w:b/>
                      <w:bCs/>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b/>
                      <w:bCs/>
                      <w:sz w:val="21"/>
                      <w:szCs w:val="21"/>
                    </w:rPr>
                  </w:pPr>
                </w:p>
              </w:tc>
              <w:tc>
                <w:tcPr>
                  <w:tcW w:w="683" w:type="pct"/>
                  <w:vMerge w:val="continue"/>
                  <w:vAlign w:val="center"/>
                </w:tcPr>
                <w:p>
                  <w:pPr>
                    <w:widowControl/>
                    <w:spacing w:line="240" w:lineRule="auto"/>
                    <w:ind w:firstLine="0" w:firstLineChars="0"/>
                    <w:jc w:val="center"/>
                    <w:rPr>
                      <w:b/>
                      <w:bCs/>
                      <w:sz w:val="21"/>
                      <w:szCs w:val="21"/>
                    </w:rPr>
                  </w:pPr>
                </w:p>
              </w:tc>
              <w:tc>
                <w:tcPr>
                  <w:tcW w:w="713" w:type="pct"/>
                  <w:vMerge w:val="continue"/>
                  <w:vAlign w:val="center"/>
                </w:tcPr>
                <w:p>
                  <w:pPr>
                    <w:widowControl/>
                    <w:spacing w:line="240" w:lineRule="auto"/>
                    <w:ind w:firstLine="0" w:firstLineChars="0"/>
                    <w:jc w:val="center"/>
                    <w:rPr>
                      <w:b/>
                      <w:bCs/>
                      <w:sz w:val="21"/>
                      <w:szCs w:val="21"/>
                    </w:rPr>
                  </w:pPr>
                </w:p>
              </w:tc>
              <w:tc>
                <w:tcPr>
                  <w:tcW w:w="703" w:type="pct"/>
                  <w:vAlign w:val="center"/>
                </w:tcPr>
                <w:p>
                  <w:pPr>
                    <w:widowControl/>
                    <w:spacing w:line="240" w:lineRule="auto"/>
                    <w:ind w:firstLine="0" w:firstLineChars="0"/>
                    <w:jc w:val="center"/>
                    <w:rPr>
                      <w:b/>
                      <w:bCs/>
                      <w:sz w:val="21"/>
                      <w:szCs w:val="21"/>
                    </w:rPr>
                  </w:pPr>
                  <w:r>
                    <w:rPr>
                      <w:rFonts w:hint="eastAsia"/>
                      <w:b/>
                      <w:bCs/>
                      <w:sz w:val="21"/>
                      <w:szCs w:val="21"/>
                    </w:rPr>
                    <w:t>上风向1#</w:t>
                  </w:r>
                </w:p>
              </w:tc>
              <w:tc>
                <w:tcPr>
                  <w:tcW w:w="703" w:type="pct"/>
                  <w:vAlign w:val="center"/>
                </w:tcPr>
                <w:p>
                  <w:pPr>
                    <w:widowControl/>
                    <w:spacing w:line="240" w:lineRule="auto"/>
                    <w:ind w:firstLine="0" w:firstLineChars="0"/>
                    <w:jc w:val="center"/>
                    <w:rPr>
                      <w:b/>
                      <w:bCs/>
                      <w:sz w:val="21"/>
                      <w:szCs w:val="21"/>
                    </w:rPr>
                  </w:pPr>
                  <w:r>
                    <w:rPr>
                      <w:rFonts w:hint="eastAsia"/>
                      <w:b/>
                      <w:bCs/>
                      <w:sz w:val="21"/>
                      <w:szCs w:val="21"/>
                    </w:rPr>
                    <w:t>下风向2#</w:t>
                  </w:r>
                </w:p>
              </w:tc>
              <w:tc>
                <w:tcPr>
                  <w:tcW w:w="703" w:type="pct"/>
                  <w:vAlign w:val="center"/>
                </w:tcPr>
                <w:p>
                  <w:pPr>
                    <w:widowControl/>
                    <w:spacing w:line="240" w:lineRule="auto"/>
                    <w:ind w:firstLine="0" w:firstLineChars="0"/>
                    <w:jc w:val="center"/>
                    <w:rPr>
                      <w:b/>
                      <w:bCs/>
                      <w:sz w:val="21"/>
                      <w:szCs w:val="21"/>
                    </w:rPr>
                  </w:pPr>
                  <w:r>
                    <w:rPr>
                      <w:rFonts w:hint="eastAsia"/>
                      <w:b/>
                      <w:bCs/>
                      <w:sz w:val="21"/>
                      <w:szCs w:val="21"/>
                    </w:rPr>
                    <w:t>下风向3#</w:t>
                  </w:r>
                </w:p>
              </w:tc>
              <w:tc>
                <w:tcPr>
                  <w:tcW w:w="709" w:type="pct"/>
                  <w:vAlign w:val="center"/>
                </w:tcPr>
                <w:p>
                  <w:pPr>
                    <w:widowControl/>
                    <w:spacing w:line="240" w:lineRule="auto"/>
                    <w:ind w:firstLine="0" w:firstLineChars="0"/>
                    <w:jc w:val="center"/>
                    <w:rPr>
                      <w:b/>
                      <w:bCs/>
                      <w:sz w:val="21"/>
                      <w:szCs w:val="21"/>
                    </w:rPr>
                  </w:pPr>
                  <w:r>
                    <w:rPr>
                      <w:rFonts w:hint="eastAsia"/>
                      <w:b/>
                      <w:bCs/>
                      <w:sz w:val="21"/>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sz w:val="21"/>
                      <w:szCs w:val="21"/>
                    </w:rPr>
                  </w:pPr>
                  <w:r>
                    <w:rPr>
                      <w:rFonts w:hint="eastAsia"/>
                      <w:sz w:val="21"/>
                      <w:szCs w:val="21"/>
                    </w:rPr>
                    <w:t>VOCs（非甲烷总烃）（mg/</w:t>
                  </w:r>
                  <w:r>
                    <w:rPr>
                      <w:rFonts w:hint="eastAsia"/>
                      <w:sz w:val="21"/>
                      <w:szCs w:val="21"/>
                      <w:lang w:eastAsia="zh-CN"/>
                    </w:rPr>
                    <w:t>m</w:t>
                  </w:r>
                  <w:r>
                    <w:rPr>
                      <w:rFonts w:hint="eastAsia"/>
                      <w:sz w:val="21"/>
                      <w:szCs w:val="21"/>
                      <w:vertAlign w:val="superscript"/>
                      <w:lang w:eastAsia="zh-CN"/>
                    </w:rPr>
                    <w:t>3</w:t>
                  </w:r>
                  <w:r>
                    <w:rPr>
                      <w:rFonts w:hint="eastAsia"/>
                      <w:sz w:val="21"/>
                      <w:szCs w:val="21"/>
                    </w:rPr>
                    <w:t>）</w:t>
                  </w: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02.23</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703" w:type="pct"/>
                  <w:vAlign w:val="center"/>
                </w:tcPr>
                <w:p>
                  <w:pPr>
                    <w:widowControl/>
                    <w:spacing w:line="240" w:lineRule="auto"/>
                    <w:ind w:firstLine="0" w:firstLineChars="0"/>
                    <w:jc w:val="center"/>
                    <w:rPr>
                      <w:rFonts w:hint="default" w:eastAsia="宋体"/>
                      <w:sz w:val="21"/>
                      <w:szCs w:val="21"/>
                      <w:lang w:val="en-US" w:eastAsia="zh-CN"/>
                    </w:rPr>
                  </w:pPr>
                  <w:r>
                    <w:rPr>
                      <w:rFonts w:hint="eastAsia"/>
                      <w:sz w:val="21"/>
                      <w:szCs w:val="21"/>
                      <w:lang w:val="en-US" w:eastAsia="zh-CN"/>
                    </w:rPr>
                    <w:t>0.82</w:t>
                  </w:r>
                </w:p>
              </w:tc>
              <w:tc>
                <w:tcPr>
                  <w:tcW w:w="703" w:type="pct"/>
                  <w:vAlign w:val="center"/>
                </w:tcPr>
                <w:p>
                  <w:pPr>
                    <w:widowControl/>
                    <w:spacing w:line="240" w:lineRule="auto"/>
                    <w:ind w:firstLine="0" w:firstLineChars="0"/>
                    <w:jc w:val="center"/>
                    <w:rPr>
                      <w:sz w:val="21"/>
                      <w:szCs w:val="21"/>
                    </w:rPr>
                  </w:pPr>
                  <w:r>
                    <w:rPr>
                      <w:rFonts w:hint="eastAsia"/>
                      <w:sz w:val="21"/>
                      <w:szCs w:val="21"/>
                    </w:rPr>
                    <w:t>1.06</w:t>
                  </w:r>
                </w:p>
              </w:tc>
              <w:tc>
                <w:tcPr>
                  <w:tcW w:w="703" w:type="pct"/>
                  <w:vAlign w:val="center"/>
                </w:tcPr>
                <w:p>
                  <w:pPr>
                    <w:widowControl/>
                    <w:spacing w:line="240" w:lineRule="auto"/>
                    <w:ind w:firstLine="0" w:firstLineChars="0"/>
                    <w:jc w:val="center"/>
                    <w:rPr>
                      <w:sz w:val="21"/>
                      <w:szCs w:val="21"/>
                    </w:rPr>
                  </w:pPr>
                  <w:r>
                    <w:rPr>
                      <w:rFonts w:hint="eastAsia"/>
                      <w:sz w:val="21"/>
                      <w:szCs w:val="21"/>
                    </w:rPr>
                    <w:t>1.08</w:t>
                  </w:r>
                </w:p>
              </w:tc>
              <w:tc>
                <w:tcPr>
                  <w:tcW w:w="709" w:type="pct"/>
                  <w:vAlign w:val="center"/>
                </w:tcPr>
                <w:p>
                  <w:pPr>
                    <w:widowControl/>
                    <w:spacing w:line="240" w:lineRule="auto"/>
                    <w:ind w:firstLine="0" w:firstLineChars="0"/>
                    <w:jc w:val="center"/>
                    <w:rPr>
                      <w:sz w:val="21"/>
                      <w:szCs w:val="21"/>
                    </w:rPr>
                  </w:pPr>
                  <w:r>
                    <w:rPr>
                      <w:rFonts w:hint="eastAsia"/>
                      <w:sz w:val="21"/>
                      <w:szCs w:val="21"/>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703" w:type="pct"/>
                  <w:vAlign w:val="center"/>
                </w:tcPr>
                <w:p>
                  <w:pPr>
                    <w:widowControl/>
                    <w:spacing w:line="240" w:lineRule="auto"/>
                    <w:ind w:firstLine="0" w:firstLineChars="0"/>
                    <w:jc w:val="center"/>
                    <w:rPr>
                      <w:sz w:val="21"/>
                      <w:szCs w:val="21"/>
                    </w:rPr>
                  </w:pPr>
                  <w:r>
                    <w:rPr>
                      <w:rFonts w:hint="eastAsia"/>
                      <w:sz w:val="21"/>
                      <w:szCs w:val="21"/>
                    </w:rPr>
                    <w:t>0.76</w:t>
                  </w:r>
                </w:p>
              </w:tc>
              <w:tc>
                <w:tcPr>
                  <w:tcW w:w="703" w:type="pct"/>
                  <w:vAlign w:val="center"/>
                </w:tcPr>
                <w:p>
                  <w:pPr>
                    <w:widowControl/>
                    <w:spacing w:line="240" w:lineRule="auto"/>
                    <w:ind w:firstLine="0" w:firstLineChars="0"/>
                    <w:jc w:val="center"/>
                    <w:rPr>
                      <w:sz w:val="21"/>
                      <w:szCs w:val="21"/>
                    </w:rPr>
                  </w:pPr>
                  <w:r>
                    <w:rPr>
                      <w:rFonts w:hint="eastAsia"/>
                      <w:sz w:val="21"/>
                      <w:szCs w:val="21"/>
                    </w:rPr>
                    <w:t>1.10</w:t>
                  </w:r>
                </w:p>
              </w:tc>
              <w:tc>
                <w:tcPr>
                  <w:tcW w:w="703" w:type="pct"/>
                  <w:vAlign w:val="center"/>
                </w:tcPr>
                <w:p>
                  <w:pPr>
                    <w:widowControl/>
                    <w:spacing w:line="240" w:lineRule="auto"/>
                    <w:ind w:firstLine="0" w:firstLineChars="0"/>
                    <w:jc w:val="center"/>
                    <w:rPr>
                      <w:sz w:val="21"/>
                      <w:szCs w:val="21"/>
                    </w:rPr>
                  </w:pPr>
                  <w:r>
                    <w:rPr>
                      <w:rFonts w:hint="eastAsia"/>
                      <w:sz w:val="21"/>
                      <w:szCs w:val="21"/>
                    </w:rPr>
                    <w:t>1.15</w:t>
                  </w:r>
                </w:p>
              </w:tc>
              <w:tc>
                <w:tcPr>
                  <w:tcW w:w="709" w:type="pct"/>
                  <w:vAlign w:val="center"/>
                </w:tcPr>
                <w:p>
                  <w:pPr>
                    <w:widowControl/>
                    <w:spacing w:line="240" w:lineRule="auto"/>
                    <w:ind w:firstLine="0" w:firstLineChars="0"/>
                    <w:jc w:val="center"/>
                    <w:rPr>
                      <w:sz w:val="21"/>
                      <w:szCs w:val="21"/>
                    </w:rPr>
                  </w:pPr>
                  <w:r>
                    <w:rPr>
                      <w:rFonts w:hint="eastAsia"/>
                      <w:sz w:val="21"/>
                      <w:szCs w:val="21"/>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703" w:type="pct"/>
                  <w:vAlign w:val="center"/>
                </w:tcPr>
                <w:p>
                  <w:pPr>
                    <w:widowControl/>
                    <w:spacing w:line="240" w:lineRule="auto"/>
                    <w:ind w:firstLine="0" w:firstLineChars="0"/>
                    <w:jc w:val="center"/>
                    <w:rPr>
                      <w:sz w:val="21"/>
                      <w:szCs w:val="21"/>
                    </w:rPr>
                  </w:pPr>
                  <w:r>
                    <w:rPr>
                      <w:rFonts w:hint="eastAsia"/>
                      <w:sz w:val="21"/>
                      <w:szCs w:val="21"/>
                    </w:rPr>
                    <w:t>0.93</w:t>
                  </w:r>
                </w:p>
              </w:tc>
              <w:tc>
                <w:tcPr>
                  <w:tcW w:w="703" w:type="pct"/>
                  <w:vAlign w:val="center"/>
                </w:tcPr>
                <w:p>
                  <w:pPr>
                    <w:widowControl/>
                    <w:spacing w:line="240" w:lineRule="auto"/>
                    <w:ind w:firstLine="0" w:firstLineChars="0"/>
                    <w:jc w:val="center"/>
                    <w:rPr>
                      <w:sz w:val="21"/>
                      <w:szCs w:val="21"/>
                    </w:rPr>
                  </w:pPr>
                  <w:r>
                    <w:rPr>
                      <w:rFonts w:hint="eastAsia"/>
                      <w:sz w:val="21"/>
                      <w:szCs w:val="21"/>
                    </w:rPr>
                    <w:t>1.04</w:t>
                  </w:r>
                </w:p>
              </w:tc>
              <w:tc>
                <w:tcPr>
                  <w:tcW w:w="703" w:type="pct"/>
                  <w:vAlign w:val="center"/>
                </w:tcPr>
                <w:p>
                  <w:pPr>
                    <w:widowControl/>
                    <w:spacing w:line="240" w:lineRule="auto"/>
                    <w:ind w:firstLine="0" w:firstLineChars="0"/>
                    <w:jc w:val="center"/>
                    <w:rPr>
                      <w:sz w:val="21"/>
                      <w:szCs w:val="21"/>
                    </w:rPr>
                  </w:pPr>
                  <w:r>
                    <w:rPr>
                      <w:rFonts w:hint="eastAsia"/>
                      <w:sz w:val="21"/>
                      <w:szCs w:val="21"/>
                    </w:rPr>
                    <w:t>1.12</w:t>
                  </w:r>
                </w:p>
              </w:tc>
              <w:tc>
                <w:tcPr>
                  <w:tcW w:w="709" w:type="pct"/>
                  <w:vAlign w:val="center"/>
                </w:tcPr>
                <w:p>
                  <w:pPr>
                    <w:widowControl/>
                    <w:spacing w:line="240" w:lineRule="auto"/>
                    <w:ind w:firstLine="0" w:firstLineChars="0"/>
                    <w:jc w:val="center"/>
                    <w:rPr>
                      <w:sz w:val="21"/>
                      <w:szCs w:val="21"/>
                    </w:rPr>
                  </w:pPr>
                  <w:r>
                    <w:rPr>
                      <w:rFonts w:hint="eastAsia"/>
                      <w:sz w:val="21"/>
                      <w:szCs w:val="21"/>
                    </w:rPr>
                    <w:t>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02.24</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703" w:type="pct"/>
                  <w:vAlign w:val="center"/>
                </w:tcPr>
                <w:p>
                  <w:pPr>
                    <w:widowControl/>
                    <w:spacing w:line="240" w:lineRule="auto"/>
                    <w:ind w:firstLine="0" w:firstLineChars="0"/>
                    <w:jc w:val="center"/>
                    <w:rPr>
                      <w:sz w:val="21"/>
                      <w:szCs w:val="21"/>
                    </w:rPr>
                  </w:pPr>
                  <w:r>
                    <w:rPr>
                      <w:rFonts w:hint="eastAsia"/>
                      <w:sz w:val="21"/>
                      <w:szCs w:val="21"/>
                    </w:rPr>
                    <w:t>0.70</w:t>
                  </w:r>
                </w:p>
              </w:tc>
              <w:tc>
                <w:tcPr>
                  <w:tcW w:w="703" w:type="pct"/>
                  <w:vAlign w:val="center"/>
                </w:tcPr>
                <w:p>
                  <w:pPr>
                    <w:widowControl/>
                    <w:spacing w:line="240" w:lineRule="auto"/>
                    <w:ind w:firstLine="0" w:firstLineChars="0"/>
                    <w:jc w:val="center"/>
                    <w:rPr>
                      <w:sz w:val="21"/>
                      <w:szCs w:val="21"/>
                    </w:rPr>
                  </w:pPr>
                  <w:r>
                    <w:rPr>
                      <w:rFonts w:hint="eastAsia"/>
                      <w:sz w:val="21"/>
                      <w:szCs w:val="21"/>
                    </w:rPr>
                    <w:t>1.15</w:t>
                  </w:r>
                </w:p>
              </w:tc>
              <w:tc>
                <w:tcPr>
                  <w:tcW w:w="703" w:type="pct"/>
                  <w:vAlign w:val="center"/>
                </w:tcPr>
                <w:p>
                  <w:pPr>
                    <w:widowControl/>
                    <w:spacing w:line="240" w:lineRule="auto"/>
                    <w:ind w:firstLine="0" w:firstLineChars="0"/>
                    <w:jc w:val="center"/>
                    <w:rPr>
                      <w:sz w:val="21"/>
                      <w:szCs w:val="21"/>
                    </w:rPr>
                  </w:pPr>
                  <w:r>
                    <w:rPr>
                      <w:rFonts w:hint="eastAsia"/>
                      <w:b/>
                      <w:bCs/>
                      <w:sz w:val="21"/>
                      <w:szCs w:val="21"/>
                    </w:rPr>
                    <w:t>1.22</w:t>
                  </w:r>
                </w:p>
              </w:tc>
              <w:tc>
                <w:tcPr>
                  <w:tcW w:w="709" w:type="pct"/>
                  <w:vAlign w:val="center"/>
                </w:tcPr>
                <w:p>
                  <w:pPr>
                    <w:widowControl/>
                    <w:spacing w:line="240" w:lineRule="auto"/>
                    <w:ind w:firstLine="0" w:firstLineChars="0"/>
                    <w:jc w:val="center"/>
                    <w:rPr>
                      <w:sz w:val="21"/>
                      <w:szCs w:val="21"/>
                    </w:rPr>
                  </w:pPr>
                  <w:r>
                    <w:rPr>
                      <w:rFonts w:hint="eastAsia"/>
                      <w:sz w:val="21"/>
                      <w:szCs w:val="21"/>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703" w:type="pct"/>
                  <w:vAlign w:val="center"/>
                </w:tcPr>
                <w:p>
                  <w:pPr>
                    <w:widowControl/>
                    <w:spacing w:line="240" w:lineRule="auto"/>
                    <w:ind w:firstLine="0" w:firstLineChars="0"/>
                    <w:jc w:val="center"/>
                    <w:rPr>
                      <w:sz w:val="21"/>
                      <w:szCs w:val="21"/>
                    </w:rPr>
                  </w:pPr>
                  <w:r>
                    <w:rPr>
                      <w:rFonts w:hint="eastAsia"/>
                      <w:sz w:val="21"/>
                      <w:szCs w:val="21"/>
                    </w:rPr>
                    <w:t>0.91</w:t>
                  </w:r>
                </w:p>
              </w:tc>
              <w:tc>
                <w:tcPr>
                  <w:tcW w:w="703" w:type="pct"/>
                  <w:vAlign w:val="center"/>
                </w:tcPr>
                <w:p>
                  <w:pPr>
                    <w:widowControl/>
                    <w:spacing w:line="240" w:lineRule="auto"/>
                    <w:ind w:firstLine="0" w:firstLineChars="0"/>
                    <w:jc w:val="center"/>
                    <w:rPr>
                      <w:sz w:val="21"/>
                      <w:szCs w:val="21"/>
                    </w:rPr>
                  </w:pPr>
                  <w:r>
                    <w:rPr>
                      <w:rFonts w:hint="eastAsia"/>
                      <w:sz w:val="21"/>
                      <w:szCs w:val="21"/>
                    </w:rPr>
                    <w:t>1.07</w:t>
                  </w:r>
                </w:p>
              </w:tc>
              <w:tc>
                <w:tcPr>
                  <w:tcW w:w="703" w:type="pct"/>
                  <w:vAlign w:val="center"/>
                </w:tcPr>
                <w:p>
                  <w:pPr>
                    <w:widowControl/>
                    <w:spacing w:line="240" w:lineRule="auto"/>
                    <w:ind w:firstLine="0" w:firstLineChars="0"/>
                    <w:jc w:val="center"/>
                    <w:rPr>
                      <w:sz w:val="21"/>
                      <w:szCs w:val="21"/>
                    </w:rPr>
                  </w:pPr>
                  <w:r>
                    <w:rPr>
                      <w:rFonts w:hint="eastAsia"/>
                      <w:sz w:val="21"/>
                      <w:szCs w:val="21"/>
                    </w:rPr>
                    <w:t>1.11</w:t>
                  </w:r>
                </w:p>
              </w:tc>
              <w:tc>
                <w:tcPr>
                  <w:tcW w:w="709" w:type="pct"/>
                  <w:vAlign w:val="center"/>
                </w:tcPr>
                <w:p>
                  <w:pPr>
                    <w:widowControl/>
                    <w:spacing w:line="240" w:lineRule="auto"/>
                    <w:ind w:firstLine="0" w:firstLineChars="0"/>
                    <w:jc w:val="center"/>
                    <w:rPr>
                      <w:sz w:val="21"/>
                      <w:szCs w:val="21"/>
                    </w:rPr>
                  </w:pPr>
                  <w:r>
                    <w:rPr>
                      <w:rFonts w:hint="eastAsia"/>
                      <w:sz w:val="21"/>
                      <w:szCs w:val="21"/>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703" w:type="pct"/>
                  <w:vAlign w:val="center"/>
                </w:tcPr>
                <w:p>
                  <w:pPr>
                    <w:widowControl/>
                    <w:spacing w:line="240" w:lineRule="auto"/>
                    <w:ind w:firstLine="0" w:firstLineChars="0"/>
                    <w:jc w:val="center"/>
                    <w:rPr>
                      <w:sz w:val="21"/>
                      <w:szCs w:val="21"/>
                    </w:rPr>
                  </w:pPr>
                  <w:r>
                    <w:rPr>
                      <w:rFonts w:hint="eastAsia"/>
                      <w:sz w:val="21"/>
                      <w:szCs w:val="21"/>
                    </w:rPr>
                    <w:t>0.76</w:t>
                  </w:r>
                </w:p>
              </w:tc>
              <w:tc>
                <w:tcPr>
                  <w:tcW w:w="703" w:type="pct"/>
                  <w:vAlign w:val="center"/>
                </w:tcPr>
                <w:p>
                  <w:pPr>
                    <w:widowControl/>
                    <w:spacing w:line="240" w:lineRule="auto"/>
                    <w:ind w:firstLine="0" w:firstLineChars="0"/>
                    <w:jc w:val="center"/>
                    <w:rPr>
                      <w:sz w:val="21"/>
                      <w:szCs w:val="21"/>
                    </w:rPr>
                  </w:pPr>
                  <w:r>
                    <w:rPr>
                      <w:rFonts w:hint="eastAsia"/>
                      <w:sz w:val="21"/>
                      <w:szCs w:val="21"/>
                    </w:rPr>
                    <w:t>1.13</w:t>
                  </w:r>
                </w:p>
              </w:tc>
              <w:tc>
                <w:tcPr>
                  <w:tcW w:w="703" w:type="pct"/>
                  <w:vAlign w:val="center"/>
                </w:tcPr>
                <w:p>
                  <w:pPr>
                    <w:widowControl/>
                    <w:spacing w:line="240" w:lineRule="auto"/>
                    <w:ind w:firstLine="0" w:firstLineChars="0"/>
                    <w:jc w:val="center"/>
                    <w:rPr>
                      <w:sz w:val="21"/>
                      <w:szCs w:val="21"/>
                    </w:rPr>
                  </w:pPr>
                  <w:r>
                    <w:rPr>
                      <w:rFonts w:hint="eastAsia"/>
                      <w:sz w:val="21"/>
                      <w:szCs w:val="21"/>
                    </w:rPr>
                    <w:t>1.17</w:t>
                  </w:r>
                </w:p>
              </w:tc>
              <w:tc>
                <w:tcPr>
                  <w:tcW w:w="709" w:type="pct"/>
                  <w:vAlign w:val="center"/>
                </w:tcPr>
                <w:p>
                  <w:pPr>
                    <w:widowControl/>
                    <w:spacing w:line="240" w:lineRule="auto"/>
                    <w:ind w:firstLine="0" w:firstLineChars="0"/>
                    <w:jc w:val="center"/>
                    <w:rPr>
                      <w:sz w:val="21"/>
                      <w:szCs w:val="21"/>
                    </w:rPr>
                  </w:pPr>
                  <w:r>
                    <w:rPr>
                      <w:rFonts w:hint="eastAsia"/>
                      <w:sz w:val="21"/>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sz w:val="21"/>
                      <w:szCs w:val="21"/>
                    </w:rPr>
                  </w:pPr>
                  <w:r>
                    <w:rPr>
                      <w:rFonts w:hint="eastAsia"/>
                      <w:sz w:val="21"/>
                      <w:szCs w:val="21"/>
                    </w:rPr>
                    <w:t>二甲苯（mg/</w:t>
                  </w:r>
                  <w:r>
                    <w:rPr>
                      <w:rFonts w:hint="eastAsia"/>
                      <w:sz w:val="21"/>
                      <w:szCs w:val="21"/>
                      <w:lang w:eastAsia="zh-CN"/>
                    </w:rPr>
                    <w:t>m</w:t>
                  </w:r>
                  <w:r>
                    <w:rPr>
                      <w:rFonts w:hint="eastAsia"/>
                      <w:sz w:val="21"/>
                      <w:szCs w:val="21"/>
                      <w:vertAlign w:val="superscript"/>
                      <w:lang w:eastAsia="zh-CN"/>
                    </w:rPr>
                    <w:t>3</w:t>
                  </w:r>
                  <w:r>
                    <w:rPr>
                      <w:rFonts w:hint="eastAsia"/>
                      <w:sz w:val="21"/>
                      <w:szCs w:val="21"/>
                    </w:rPr>
                    <w:t>）</w:t>
                  </w: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02.23</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02.24</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sz w:val="21"/>
                      <w:szCs w:val="21"/>
                    </w:rPr>
                  </w:pPr>
                  <w:r>
                    <w:rPr>
                      <w:rFonts w:hint="eastAsia"/>
                      <w:sz w:val="21"/>
                      <w:szCs w:val="21"/>
                    </w:rPr>
                    <w:t>氯化氢（mg/</w:t>
                  </w:r>
                  <w:r>
                    <w:rPr>
                      <w:rFonts w:hint="eastAsia"/>
                      <w:sz w:val="21"/>
                      <w:szCs w:val="21"/>
                      <w:lang w:eastAsia="zh-CN"/>
                    </w:rPr>
                    <w:t>m</w:t>
                  </w:r>
                  <w:r>
                    <w:rPr>
                      <w:rFonts w:hint="eastAsia"/>
                      <w:sz w:val="21"/>
                      <w:szCs w:val="21"/>
                      <w:vertAlign w:val="superscript"/>
                      <w:lang w:eastAsia="zh-CN"/>
                    </w:rPr>
                    <w:t>3</w:t>
                  </w:r>
                  <w:r>
                    <w:rPr>
                      <w:rFonts w:hint="eastAsia"/>
                      <w:sz w:val="21"/>
                      <w:szCs w:val="21"/>
                    </w:rPr>
                    <w:t>）</w:t>
                  </w: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02.23</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02.24</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3" w:type="pct"/>
                  <w:vAlign w:val="center"/>
                </w:tcPr>
                <w:p>
                  <w:pPr>
                    <w:widowControl/>
                    <w:spacing w:line="240" w:lineRule="auto"/>
                    <w:ind w:firstLine="0" w:firstLineChars="0"/>
                    <w:jc w:val="center"/>
                    <w:rPr>
                      <w:sz w:val="21"/>
                      <w:szCs w:val="21"/>
                    </w:rPr>
                  </w:pPr>
                  <w:r>
                    <w:rPr>
                      <w:rFonts w:hint="eastAsia"/>
                      <w:sz w:val="21"/>
                      <w:szCs w:val="21"/>
                    </w:rPr>
                    <w:t>未检出</w:t>
                  </w:r>
                </w:p>
              </w:tc>
              <w:tc>
                <w:tcPr>
                  <w:tcW w:w="709" w:type="pct"/>
                  <w:vAlign w:val="center"/>
                </w:tcPr>
                <w:p>
                  <w:pPr>
                    <w:widowControl/>
                    <w:spacing w:line="240" w:lineRule="auto"/>
                    <w:ind w:firstLine="0" w:firstLineChars="0"/>
                    <w:jc w:val="center"/>
                    <w:rPr>
                      <w:sz w:val="21"/>
                      <w:szCs w:val="21"/>
                    </w:rPr>
                  </w:pPr>
                  <w:r>
                    <w:rPr>
                      <w:rFonts w:hint="eastAsia"/>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b/>
                      <w:bCs/>
                      <w:sz w:val="21"/>
                      <w:szCs w:val="21"/>
                    </w:rPr>
                  </w:pPr>
                  <w:r>
                    <w:rPr>
                      <w:rFonts w:hint="eastAsia"/>
                      <w:b/>
                      <w:bCs/>
                      <w:sz w:val="21"/>
                      <w:szCs w:val="21"/>
                    </w:rPr>
                    <w:t>检测</w:t>
                  </w:r>
                </w:p>
                <w:p>
                  <w:pPr>
                    <w:widowControl/>
                    <w:spacing w:line="240" w:lineRule="auto"/>
                    <w:ind w:firstLine="0" w:firstLineChars="0"/>
                    <w:jc w:val="center"/>
                    <w:rPr>
                      <w:b/>
                      <w:bCs/>
                      <w:sz w:val="21"/>
                      <w:szCs w:val="21"/>
                    </w:rPr>
                  </w:pPr>
                  <w:r>
                    <w:rPr>
                      <w:rFonts w:hint="eastAsia"/>
                      <w:b/>
                      <w:bCs/>
                      <w:sz w:val="21"/>
                      <w:szCs w:val="21"/>
                    </w:rPr>
                    <w:t>项目</w:t>
                  </w:r>
                </w:p>
              </w:tc>
              <w:tc>
                <w:tcPr>
                  <w:tcW w:w="683" w:type="pct"/>
                  <w:vMerge w:val="restart"/>
                  <w:vAlign w:val="center"/>
                </w:tcPr>
                <w:p>
                  <w:pPr>
                    <w:widowControl/>
                    <w:spacing w:line="240" w:lineRule="auto"/>
                    <w:ind w:firstLine="0" w:firstLineChars="0"/>
                    <w:jc w:val="center"/>
                    <w:rPr>
                      <w:b/>
                      <w:bCs/>
                      <w:sz w:val="21"/>
                      <w:szCs w:val="21"/>
                    </w:rPr>
                  </w:pPr>
                  <w:r>
                    <w:rPr>
                      <w:rFonts w:hint="eastAsia"/>
                      <w:b/>
                      <w:bCs/>
                      <w:sz w:val="21"/>
                      <w:szCs w:val="21"/>
                    </w:rPr>
                    <w:t>采样</w:t>
                  </w:r>
                </w:p>
                <w:p>
                  <w:pPr>
                    <w:widowControl/>
                    <w:spacing w:line="240" w:lineRule="auto"/>
                    <w:ind w:firstLine="0" w:firstLineChars="0"/>
                    <w:jc w:val="center"/>
                    <w:rPr>
                      <w:b/>
                      <w:bCs/>
                      <w:sz w:val="21"/>
                      <w:szCs w:val="21"/>
                    </w:rPr>
                  </w:pPr>
                  <w:r>
                    <w:rPr>
                      <w:rFonts w:hint="eastAsia"/>
                      <w:b/>
                      <w:bCs/>
                      <w:sz w:val="21"/>
                      <w:szCs w:val="21"/>
                    </w:rPr>
                    <w:t>日期</w:t>
                  </w:r>
                </w:p>
              </w:tc>
              <w:tc>
                <w:tcPr>
                  <w:tcW w:w="713" w:type="pct"/>
                  <w:vMerge w:val="restart"/>
                  <w:vAlign w:val="center"/>
                </w:tcPr>
                <w:p>
                  <w:pPr>
                    <w:widowControl/>
                    <w:spacing w:line="240" w:lineRule="auto"/>
                    <w:ind w:firstLine="0" w:firstLineChars="0"/>
                    <w:jc w:val="center"/>
                    <w:rPr>
                      <w:b/>
                      <w:bCs/>
                      <w:sz w:val="21"/>
                      <w:szCs w:val="21"/>
                    </w:rPr>
                  </w:pPr>
                  <w:r>
                    <w:rPr>
                      <w:rFonts w:hint="eastAsia"/>
                      <w:b/>
                      <w:bCs/>
                      <w:sz w:val="21"/>
                      <w:szCs w:val="21"/>
                    </w:rPr>
                    <w:t>检测</w:t>
                  </w:r>
                </w:p>
                <w:p>
                  <w:pPr>
                    <w:widowControl/>
                    <w:spacing w:line="240" w:lineRule="auto"/>
                    <w:ind w:firstLine="0" w:firstLineChars="0"/>
                    <w:jc w:val="center"/>
                    <w:rPr>
                      <w:b/>
                      <w:bCs/>
                      <w:sz w:val="21"/>
                      <w:szCs w:val="21"/>
                    </w:rPr>
                  </w:pPr>
                  <w:r>
                    <w:rPr>
                      <w:rFonts w:hint="eastAsia"/>
                      <w:b/>
                      <w:bCs/>
                      <w:sz w:val="21"/>
                      <w:szCs w:val="21"/>
                    </w:rPr>
                    <w:t>频次</w:t>
                  </w:r>
                </w:p>
              </w:tc>
              <w:tc>
                <w:tcPr>
                  <w:tcW w:w="2818" w:type="pct"/>
                  <w:gridSpan w:val="4"/>
                  <w:vAlign w:val="center"/>
                </w:tcPr>
                <w:p>
                  <w:pPr>
                    <w:widowControl/>
                    <w:spacing w:line="240" w:lineRule="auto"/>
                    <w:ind w:firstLine="0" w:firstLineChars="0"/>
                    <w:jc w:val="center"/>
                    <w:rPr>
                      <w:b/>
                      <w:bCs/>
                      <w:sz w:val="21"/>
                      <w:szCs w:val="21"/>
                    </w:rPr>
                  </w:pPr>
                  <w:r>
                    <w:rPr>
                      <w:rFonts w:hint="eastAsia"/>
                      <w:b/>
                      <w:bCs/>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b/>
                      <w:bCs/>
                      <w:sz w:val="21"/>
                      <w:szCs w:val="21"/>
                    </w:rPr>
                  </w:pPr>
                </w:p>
              </w:tc>
              <w:tc>
                <w:tcPr>
                  <w:tcW w:w="683" w:type="pct"/>
                  <w:vMerge w:val="continue"/>
                  <w:vAlign w:val="center"/>
                </w:tcPr>
                <w:p>
                  <w:pPr>
                    <w:widowControl/>
                    <w:spacing w:line="240" w:lineRule="auto"/>
                    <w:ind w:firstLine="0" w:firstLineChars="0"/>
                    <w:jc w:val="center"/>
                    <w:rPr>
                      <w:b/>
                      <w:bCs/>
                      <w:sz w:val="21"/>
                      <w:szCs w:val="21"/>
                    </w:rPr>
                  </w:pPr>
                </w:p>
              </w:tc>
              <w:tc>
                <w:tcPr>
                  <w:tcW w:w="713" w:type="pct"/>
                  <w:vMerge w:val="continue"/>
                  <w:vAlign w:val="center"/>
                </w:tcPr>
                <w:p>
                  <w:pPr>
                    <w:widowControl/>
                    <w:spacing w:line="240" w:lineRule="auto"/>
                    <w:ind w:firstLine="0" w:firstLineChars="0"/>
                    <w:jc w:val="center"/>
                    <w:rPr>
                      <w:b/>
                      <w:bCs/>
                      <w:sz w:val="21"/>
                      <w:szCs w:val="21"/>
                    </w:rPr>
                  </w:pPr>
                </w:p>
              </w:tc>
              <w:tc>
                <w:tcPr>
                  <w:tcW w:w="2818" w:type="pct"/>
                  <w:gridSpan w:val="4"/>
                  <w:vAlign w:val="center"/>
                </w:tcPr>
                <w:p>
                  <w:pPr>
                    <w:widowControl/>
                    <w:spacing w:line="240" w:lineRule="auto"/>
                    <w:ind w:firstLine="0" w:firstLineChars="0"/>
                    <w:jc w:val="center"/>
                    <w:rPr>
                      <w:b/>
                      <w:bCs/>
                      <w:sz w:val="21"/>
                      <w:szCs w:val="21"/>
                    </w:rPr>
                  </w:pPr>
                  <w:r>
                    <w:rPr>
                      <w:rFonts w:hint="eastAsia"/>
                      <w:b/>
                      <w:bCs/>
                      <w:sz w:val="21"/>
                      <w:szCs w:val="21"/>
                    </w:rPr>
                    <w:t>车间外下风向1m处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sz w:val="21"/>
                      <w:szCs w:val="21"/>
                    </w:rPr>
                  </w:pPr>
                  <w:r>
                    <w:rPr>
                      <w:rFonts w:hint="eastAsia"/>
                      <w:sz w:val="21"/>
                      <w:szCs w:val="21"/>
                    </w:rPr>
                    <w:t>VOCs（非甲烷总烃）（mg/</w:t>
                  </w:r>
                  <w:r>
                    <w:rPr>
                      <w:rFonts w:hint="eastAsia"/>
                      <w:sz w:val="21"/>
                      <w:szCs w:val="21"/>
                      <w:lang w:eastAsia="zh-CN"/>
                    </w:rPr>
                    <w:t>m</w:t>
                  </w:r>
                  <w:r>
                    <w:rPr>
                      <w:rFonts w:hint="eastAsia"/>
                      <w:sz w:val="21"/>
                      <w:szCs w:val="21"/>
                      <w:vertAlign w:val="superscript"/>
                      <w:lang w:eastAsia="zh-CN"/>
                    </w:rPr>
                    <w:t>3</w:t>
                  </w:r>
                  <w:r>
                    <w:rPr>
                      <w:rFonts w:hint="eastAsia"/>
                      <w:sz w:val="21"/>
                      <w:szCs w:val="21"/>
                    </w:rPr>
                    <w:t>）</w:t>
                  </w: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02.23</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2818" w:type="pct"/>
                  <w:gridSpan w:val="4"/>
                  <w:vAlign w:val="center"/>
                </w:tcPr>
                <w:p>
                  <w:pPr>
                    <w:widowControl/>
                    <w:spacing w:line="240" w:lineRule="auto"/>
                    <w:ind w:firstLine="0" w:firstLineChars="0"/>
                    <w:jc w:val="center"/>
                    <w:rPr>
                      <w:sz w:val="21"/>
                      <w:szCs w:val="21"/>
                    </w:rPr>
                  </w:pPr>
                  <w:r>
                    <w:rPr>
                      <w:rFonts w:hint="eastAsia"/>
                      <w:sz w:val="21"/>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2818" w:type="pct"/>
                  <w:gridSpan w:val="4"/>
                  <w:vAlign w:val="center"/>
                </w:tcPr>
                <w:p>
                  <w:pPr>
                    <w:widowControl/>
                    <w:spacing w:line="240" w:lineRule="auto"/>
                    <w:ind w:firstLine="0" w:firstLineChars="0"/>
                    <w:jc w:val="center"/>
                    <w:rPr>
                      <w:sz w:val="21"/>
                      <w:szCs w:val="21"/>
                    </w:rPr>
                  </w:pPr>
                  <w:r>
                    <w:rPr>
                      <w:rFonts w:hint="eastAsia"/>
                      <w:b/>
                      <w:bCs/>
                      <w:sz w:val="21"/>
                      <w:szCs w:val="21"/>
                    </w:rPr>
                    <w:t>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2818" w:type="pct"/>
                  <w:gridSpan w:val="4"/>
                  <w:vAlign w:val="center"/>
                </w:tcPr>
                <w:p>
                  <w:pPr>
                    <w:widowControl/>
                    <w:spacing w:line="240" w:lineRule="auto"/>
                    <w:ind w:firstLine="0" w:firstLineChars="0"/>
                    <w:jc w:val="center"/>
                    <w:rPr>
                      <w:sz w:val="21"/>
                      <w:szCs w:val="21"/>
                    </w:rPr>
                  </w:pPr>
                  <w:r>
                    <w:rPr>
                      <w:rFonts w:hint="eastAsia"/>
                      <w:sz w:val="21"/>
                      <w:szCs w:val="21"/>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b/>
                      <w:bCs/>
                      <w:sz w:val="21"/>
                      <w:szCs w:val="21"/>
                    </w:rPr>
                  </w:pPr>
                  <w:r>
                    <w:rPr>
                      <w:rFonts w:hint="eastAsia"/>
                      <w:b/>
                      <w:bCs/>
                      <w:sz w:val="21"/>
                      <w:szCs w:val="21"/>
                    </w:rPr>
                    <w:t>检测</w:t>
                  </w:r>
                </w:p>
                <w:p>
                  <w:pPr>
                    <w:widowControl/>
                    <w:spacing w:line="240" w:lineRule="auto"/>
                    <w:ind w:firstLine="0" w:firstLineChars="0"/>
                    <w:jc w:val="center"/>
                    <w:rPr>
                      <w:b/>
                      <w:bCs/>
                      <w:sz w:val="21"/>
                      <w:szCs w:val="21"/>
                    </w:rPr>
                  </w:pPr>
                  <w:r>
                    <w:rPr>
                      <w:rFonts w:hint="eastAsia"/>
                      <w:b/>
                      <w:bCs/>
                      <w:sz w:val="21"/>
                      <w:szCs w:val="21"/>
                    </w:rPr>
                    <w:t>项目</w:t>
                  </w:r>
                </w:p>
              </w:tc>
              <w:tc>
                <w:tcPr>
                  <w:tcW w:w="683" w:type="pct"/>
                  <w:vMerge w:val="restart"/>
                  <w:vAlign w:val="center"/>
                </w:tcPr>
                <w:p>
                  <w:pPr>
                    <w:widowControl/>
                    <w:spacing w:line="240" w:lineRule="auto"/>
                    <w:ind w:firstLine="0" w:firstLineChars="0"/>
                    <w:jc w:val="center"/>
                    <w:rPr>
                      <w:b/>
                      <w:bCs/>
                      <w:sz w:val="21"/>
                      <w:szCs w:val="21"/>
                    </w:rPr>
                  </w:pPr>
                  <w:r>
                    <w:rPr>
                      <w:rFonts w:hint="eastAsia"/>
                      <w:b/>
                      <w:bCs/>
                      <w:sz w:val="21"/>
                      <w:szCs w:val="21"/>
                    </w:rPr>
                    <w:t>采样</w:t>
                  </w:r>
                </w:p>
                <w:p>
                  <w:pPr>
                    <w:widowControl/>
                    <w:spacing w:line="240" w:lineRule="auto"/>
                    <w:ind w:firstLine="0" w:firstLineChars="0"/>
                    <w:jc w:val="center"/>
                    <w:rPr>
                      <w:b/>
                      <w:bCs/>
                      <w:sz w:val="21"/>
                      <w:szCs w:val="21"/>
                    </w:rPr>
                  </w:pPr>
                  <w:r>
                    <w:rPr>
                      <w:rFonts w:hint="eastAsia"/>
                      <w:b/>
                      <w:bCs/>
                      <w:sz w:val="21"/>
                      <w:szCs w:val="21"/>
                    </w:rPr>
                    <w:t>日期</w:t>
                  </w:r>
                </w:p>
              </w:tc>
              <w:tc>
                <w:tcPr>
                  <w:tcW w:w="713" w:type="pct"/>
                  <w:vMerge w:val="restart"/>
                  <w:vAlign w:val="center"/>
                </w:tcPr>
                <w:p>
                  <w:pPr>
                    <w:widowControl/>
                    <w:spacing w:line="240" w:lineRule="auto"/>
                    <w:ind w:firstLine="0" w:firstLineChars="0"/>
                    <w:jc w:val="center"/>
                    <w:rPr>
                      <w:b/>
                      <w:bCs/>
                      <w:sz w:val="21"/>
                      <w:szCs w:val="21"/>
                    </w:rPr>
                  </w:pPr>
                  <w:r>
                    <w:rPr>
                      <w:rFonts w:hint="eastAsia"/>
                      <w:b/>
                      <w:bCs/>
                      <w:sz w:val="21"/>
                      <w:szCs w:val="21"/>
                    </w:rPr>
                    <w:t>检测</w:t>
                  </w:r>
                </w:p>
                <w:p>
                  <w:pPr>
                    <w:widowControl/>
                    <w:spacing w:line="240" w:lineRule="auto"/>
                    <w:ind w:firstLine="0" w:firstLineChars="0"/>
                    <w:jc w:val="center"/>
                    <w:rPr>
                      <w:b/>
                      <w:bCs/>
                      <w:sz w:val="21"/>
                      <w:szCs w:val="21"/>
                    </w:rPr>
                  </w:pPr>
                  <w:r>
                    <w:rPr>
                      <w:rFonts w:hint="eastAsia"/>
                      <w:b/>
                      <w:bCs/>
                      <w:sz w:val="21"/>
                      <w:szCs w:val="21"/>
                    </w:rPr>
                    <w:t>频次</w:t>
                  </w:r>
                </w:p>
              </w:tc>
              <w:tc>
                <w:tcPr>
                  <w:tcW w:w="2818" w:type="pct"/>
                  <w:gridSpan w:val="4"/>
                  <w:vAlign w:val="center"/>
                </w:tcPr>
                <w:p>
                  <w:pPr>
                    <w:widowControl/>
                    <w:spacing w:line="240" w:lineRule="auto"/>
                    <w:ind w:firstLine="0" w:firstLineChars="0"/>
                    <w:jc w:val="center"/>
                    <w:rPr>
                      <w:b/>
                      <w:bCs/>
                      <w:sz w:val="21"/>
                      <w:szCs w:val="21"/>
                    </w:rPr>
                  </w:pPr>
                  <w:r>
                    <w:rPr>
                      <w:rFonts w:hint="eastAsia"/>
                      <w:b/>
                      <w:bCs/>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b/>
                      <w:bCs/>
                      <w:sz w:val="21"/>
                      <w:szCs w:val="21"/>
                    </w:rPr>
                  </w:pPr>
                </w:p>
              </w:tc>
              <w:tc>
                <w:tcPr>
                  <w:tcW w:w="683" w:type="pct"/>
                  <w:vMerge w:val="continue"/>
                  <w:vAlign w:val="center"/>
                </w:tcPr>
                <w:p>
                  <w:pPr>
                    <w:widowControl/>
                    <w:spacing w:line="240" w:lineRule="auto"/>
                    <w:ind w:firstLine="0" w:firstLineChars="0"/>
                    <w:jc w:val="center"/>
                    <w:rPr>
                      <w:b/>
                      <w:bCs/>
                      <w:sz w:val="21"/>
                      <w:szCs w:val="21"/>
                    </w:rPr>
                  </w:pPr>
                </w:p>
              </w:tc>
              <w:tc>
                <w:tcPr>
                  <w:tcW w:w="713" w:type="pct"/>
                  <w:vMerge w:val="continue"/>
                  <w:vAlign w:val="center"/>
                </w:tcPr>
                <w:p>
                  <w:pPr>
                    <w:widowControl/>
                    <w:spacing w:line="240" w:lineRule="auto"/>
                    <w:ind w:firstLine="0" w:firstLineChars="0"/>
                    <w:jc w:val="center"/>
                    <w:rPr>
                      <w:b/>
                      <w:bCs/>
                      <w:sz w:val="21"/>
                      <w:szCs w:val="21"/>
                    </w:rPr>
                  </w:pPr>
                </w:p>
              </w:tc>
              <w:tc>
                <w:tcPr>
                  <w:tcW w:w="2818" w:type="pct"/>
                  <w:gridSpan w:val="4"/>
                  <w:vAlign w:val="center"/>
                </w:tcPr>
                <w:p>
                  <w:pPr>
                    <w:widowControl/>
                    <w:spacing w:line="240" w:lineRule="auto"/>
                    <w:ind w:firstLine="0" w:firstLineChars="0"/>
                    <w:jc w:val="center"/>
                    <w:rPr>
                      <w:b/>
                      <w:bCs/>
                      <w:sz w:val="21"/>
                      <w:szCs w:val="21"/>
                    </w:rPr>
                  </w:pPr>
                  <w:r>
                    <w:rPr>
                      <w:rFonts w:hint="eastAsia"/>
                      <w:b/>
                      <w:bCs/>
                      <w:sz w:val="21"/>
                      <w:szCs w:val="21"/>
                    </w:rPr>
                    <w:t>车间外下风向1m处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restart"/>
                  <w:vAlign w:val="center"/>
                </w:tcPr>
                <w:p>
                  <w:pPr>
                    <w:widowControl/>
                    <w:spacing w:line="240" w:lineRule="auto"/>
                    <w:ind w:firstLine="0" w:firstLineChars="0"/>
                    <w:jc w:val="center"/>
                    <w:rPr>
                      <w:sz w:val="21"/>
                      <w:szCs w:val="21"/>
                    </w:rPr>
                  </w:pPr>
                  <w:r>
                    <w:rPr>
                      <w:rFonts w:hint="eastAsia"/>
                      <w:sz w:val="21"/>
                      <w:szCs w:val="21"/>
                    </w:rPr>
                    <w:t>VOCs（非甲烷总烃）（mg/</w:t>
                  </w:r>
                  <w:r>
                    <w:rPr>
                      <w:rFonts w:hint="eastAsia"/>
                      <w:sz w:val="21"/>
                      <w:szCs w:val="21"/>
                      <w:lang w:eastAsia="zh-CN"/>
                    </w:rPr>
                    <w:t>m</w:t>
                  </w:r>
                  <w:r>
                    <w:rPr>
                      <w:rFonts w:hint="eastAsia"/>
                      <w:sz w:val="21"/>
                      <w:szCs w:val="21"/>
                      <w:vertAlign w:val="superscript"/>
                      <w:lang w:eastAsia="zh-CN"/>
                    </w:rPr>
                    <w:t>3</w:t>
                  </w:r>
                  <w:r>
                    <w:rPr>
                      <w:rFonts w:hint="eastAsia"/>
                      <w:sz w:val="21"/>
                      <w:szCs w:val="21"/>
                    </w:rPr>
                    <w:t>）</w:t>
                  </w:r>
                </w:p>
              </w:tc>
              <w:tc>
                <w:tcPr>
                  <w:tcW w:w="683" w:type="pct"/>
                  <w:vMerge w:val="restart"/>
                  <w:vAlign w:val="center"/>
                </w:tcPr>
                <w:p>
                  <w:pPr>
                    <w:widowControl/>
                    <w:spacing w:line="240" w:lineRule="auto"/>
                    <w:ind w:firstLine="0" w:firstLineChars="0"/>
                    <w:jc w:val="center"/>
                    <w:rPr>
                      <w:sz w:val="21"/>
                      <w:szCs w:val="21"/>
                    </w:rPr>
                  </w:pPr>
                  <w:r>
                    <w:rPr>
                      <w:rFonts w:hint="eastAsia"/>
                      <w:sz w:val="21"/>
                      <w:szCs w:val="21"/>
                    </w:rPr>
                    <w:t>2023.</w:t>
                  </w:r>
                </w:p>
                <w:p>
                  <w:pPr>
                    <w:widowControl/>
                    <w:spacing w:line="240" w:lineRule="auto"/>
                    <w:ind w:firstLine="0" w:firstLineChars="0"/>
                    <w:jc w:val="center"/>
                    <w:rPr>
                      <w:sz w:val="21"/>
                      <w:szCs w:val="21"/>
                    </w:rPr>
                  </w:pPr>
                  <w:r>
                    <w:rPr>
                      <w:rFonts w:hint="eastAsia"/>
                      <w:sz w:val="21"/>
                      <w:szCs w:val="21"/>
                    </w:rPr>
                    <w:t>02.24</w:t>
                  </w:r>
                </w:p>
              </w:tc>
              <w:tc>
                <w:tcPr>
                  <w:tcW w:w="713" w:type="pct"/>
                  <w:vAlign w:val="center"/>
                </w:tcPr>
                <w:p>
                  <w:pPr>
                    <w:widowControl/>
                    <w:spacing w:line="240" w:lineRule="auto"/>
                    <w:ind w:firstLine="0" w:firstLineChars="0"/>
                    <w:jc w:val="center"/>
                    <w:rPr>
                      <w:sz w:val="21"/>
                      <w:szCs w:val="21"/>
                    </w:rPr>
                  </w:pPr>
                  <w:r>
                    <w:rPr>
                      <w:rFonts w:hint="eastAsia"/>
                      <w:sz w:val="21"/>
                      <w:szCs w:val="21"/>
                    </w:rPr>
                    <w:t>第一次</w:t>
                  </w:r>
                </w:p>
              </w:tc>
              <w:tc>
                <w:tcPr>
                  <w:tcW w:w="2818" w:type="pct"/>
                  <w:gridSpan w:val="4"/>
                  <w:vAlign w:val="center"/>
                </w:tcPr>
                <w:p>
                  <w:pPr>
                    <w:widowControl/>
                    <w:spacing w:line="240" w:lineRule="auto"/>
                    <w:ind w:firstLine="0" w:firstLineChars="0"/>
                    <w:jc w:val="center"/>
                    <w:rPr>
                      <w:sz w:val="21"/>
                      <w:szCs w:val="21"/>
                    </w:rPr>
                  </w:pPr>
                  <w:r>
                    <w:rPr>
                      <w:rFonts w:hint="eastAsia"/>
                      <w:sz w:val="21"/>
                      <w:szCs w:val="21"/>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第二次</w:t>
                  </w:r>
                </w:p>
              </w:tc>
              <w:tc>
                <w:tcPr>
                  <w:tcW w:w="2818" w:type="pct"/>
                  <w:gridSpan w:val="4"/>
                  <w:vAlign w:val="center"/>
                </w:tcPr>
                <w:p>
                  <w:pPr>
                    <w:widowControl/>
                    <w:spacing w:line="240" w:lineRule="auto"/>
                    <w:ind w:firstLine="0" w:firstLineChars="0"/>
                    <w:jc w:val="center"/>
                    <w:rPr>
                      <w:sz w:val="21"/>
                      <w:szCs w:val="21"/>
                    </w:rPr>
                  </w:pPr>
                  <w:r>
                    <w:rPr>
                      <w:rFonts w:hint="eastAsia"/>
                      <w:sz w:val="21"/>
                      <w:szCs w:val="21"/>
                    </w:rPr>
                    <w:t>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vMerge w:val="continue"/>
                  <w:vAlign w:val="center"/>
                </w:tcPr>
                <w:p>
                  <w:pPr>
                    <w:widowControl/>
                    <w:spacing w:line="240" w:lineRule="auto"/>
                    <w:ind w:firstLine="0" w:firstLineChars="0"/>
                    <w:jc w:val="center"/>
                    <w:rPr>
                      <w:sz w:val="21"/>
                      <w:szCs w:val="21"/>
                    </w:rPr>
                  </w:pPr>
                </w:p>
              </w:tc>
              <w:tc>
                <w:tcPr>
                  <w:tcW w:w="683" w:type="pct"/>
                  <w:vMerge w:val="continue"/>
                  <w:vAlign w:val="center"/>
                </w:tcPr>
                <w:p>
                  <w:pPr>
                    <w:widowControl/>
                    <w:spacing w:line="240" w:lineRule="auto"/>
                    <w:ind w:firstLine="0" w:firstLineChars="0"/>
                    <w:jc w:val="center"/>
                    <w:rPr>
                      <w:sz w:val="21"/>
                      <w:szCs w:val="21"/>
                    </w:rPr>
                  </w:pPr>
                </w:p>
              </w:tc>
              <w:tc>
                <w:tcPr>
                  <w:tcW w:w="713" w:type="pct"/>
                  <w:vAlign w:val="center"/>
                </w:tcPr>
                <w:p>
                  <w:pPr>
                    <w:widowControl/>
                    <w:spacing w:line="240" w:lineRule="auto"/>
                    <w:ind w:firstLine="0" w:firstLineChars="0"/>
                    <w:jc w:val="center"/>
                    <w:rPr>
                      <w:sz w:val="21"/>
                      <w:szCs w:val="21"/>
                    </w:rPr>
                  </w:pPr>
                  <w:r>
                    <w:rPr>
                      <w:rFonts w:hint="eastAsia"/>
                      <w:sz w:val="21"/>
                      <w:szCs w:val="21"/>
                    </w:rPr>
                    <w:t>第三次</w:t>
                  </w:r>
                </w:p>
              </w:tc>
              <w:tc>
                <w:tcPr>
                  <w:tcW w:w="2818" w:type="pct"/>
                  <w:gridSpan w:val="4"/>
                  <w:vAlign w:val="center"/>
                </w:tcPr>
                <w:p>
                  <w:pPr>
                    <w:widowControl/>
                    <w:spacing w:line="240" w:lineRule="auto"/>
                    <w:ind w:firstLine="0" w:firstLineChars="0"/>
                    <w:jc w:val="center"/>
                    <w:rPr>
                      <w:sz w:val="21"/>
                      <w:szCs w:val="21"/>
                    </w:rPr>
                  </w:pPr>
                  <w:r>
                    <w:rPr>
                      <w:rFonts w:hint="eastAsia"/>
                      <w:sz w:val="21"/>
                      <w:szCs w:val="21"/>
                    </w:rPr>
                    <w:t>1.20</w:t>
                  </w:r>
                </w:p>
              </w:tc>
            </w:tr>
          </w:tbl>
          <w:p>
            <w:pPr>
              <w:pStyle w:val="12"/>
              <w:ind w:firstLine="0" w:firstLineChars="0"/>
              <w:jc w:val="center"/>
              <w:rPr>
                <w:rFonts w:ascii="Times New Roman" w:hAnsi="Times New Roman"/>
                <w:b/>
                <w:bCs/>
                <w:color w:val="auto"/>
                <w:sz w:val="24"/>
              </w:rPr>
            </w:pPr>
            <w:r>
              <w:rPr>
                <w:rFonts w:ascii="Times New Roman" w:hAnsi="Times New Roman"/>
                <w:b/>
                <w:bCs/>
                <w:color w:val="auto"/>
                <w:sz w:val="24"/>
              </w:rPr>
              <w:t xml:space="preserve"> </w:t>
            </w:r>
            <w:r>
              <w:rPr>
                <w:rFonts w:hint="eastAsia" w:ascii="Times New Roman" w:hAnsi="Times New Roman"/>
                <w:b/>
                <w:bCs/>
                <w:color w:val="auto"/>
                <w:sz w:val="24"/>
              </w:rPr>
              <w:t>表7-</w:t>
            </w:r>
            <w:r>
              <w:rPr>
                <w:rFonts w:hint="eastAsia" w:ascii="Times New Roman" w:hAnsi="Times New Roman"/>
                <w:b/>
                <w:bCs/>
                <w:color w:val="auto"/>
                <w:sz w:val="24"/>
                <w:lang w:val="en-US" w:eastAsia="zh-CN"/>
              </w:rPr>
              <w:t>6</w:t>
            </w:r>
            <w:r>
              <w:rPr>
                <w:rFonts w:hint="eastAsia" w:ascii="Times New Roman" w:hAnsi="Times New Roman"/>
                <w:b/>
                <w:bCs/>
                <w:color w:val="auto"/>
                <w:sz w:val="24"/>
              </w:rPr>
              <w:t xml:space="preserve">  无组织废气达标判定结果表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2475"/>
              <w:gridCol w:w="246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b/>
                      <w:bCs/>
                      <w:sz w:val="21"/>
                      <w:szCs w:val="21"/>
                    </w:rPr>
                  </w:pPr>
                  <w:r>
                    <w:rPr>
                      <w:rFonts w:hint="eastAsia"/>
                      <w:b/>
                      <w:bCs/>
                      <w:sz w:val="21"/>
                      <w:szCs w:val="21"/>
                    </w:rPr>
                    <w:t>污染物</w:t>
                  </w:r>
                </w:p>
              </w:tc>
              <w:tc>
                <w:tcPr>
                  <w:tcW w:w="2475"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周界外浓度最高点浓度（mg/</w:t>
                  </w:r>
                  <w:r>
                    <w:rPr>
                      <w:rFonts w:hint="eastAsia"/>
                      <w:b/>
                      <w:bCs/>
                      <w:sz w:val="21"/>
                      <w:szCs w:val="21"/>
                      <w:lang w:eastAsia="zh-CN"/>
                    </w:rPr>
                    <w:t>m</w:t>
                  </w:r>
                  <w:r>
                    <w:rPr>
                      <w:rFonts w:hint="eastAsia"/>
                      <w:b/>
                      <w:bCs/>
                      <w:sz w:val="21"/>
                      <w:szCs w:val="21"/>
                      <w:vertAlign w:val="superscript"/>
                      <w:lang w:eastAsia="zh-CN"/>
                    </w:rPr>
                    <w:t>3</w:t>
                  </w:r>
                  <w:r>
                    <w:rPr>
                      <w:rFonts w:hint="eastAsia"/>
                      <w:b/>
                      <w:bCs/>
                      <w:sz w:val="21"/>
                      <w:szCs w:val="21"/>
                    </w:rPr>
                    <w:t>）</w:t>
                  </w:r>
                </w:p>
              </w:tc>
              <w:tc>
                <w:tcPr>
                  <w:tcW w:w="2467"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周界外浓度最高点限值（mg/</w:t>
                  </w:r>
                  <w:r>
                    <w:rPr>
                      <w:rFonts w:hint="eastAsia"/>
                      <w:b/>
                      <w:bCs/>
                      <w:sz w:val="21"/>
                      <w:szCs w:val="21"/>
                      <w:lang w:eastAsia="zh-CN"/>
                    </w:rPr>
                    <w:t>m</w:t>
                  </w:r>
                  <w:r>
                    <w:rPr>
                      <w:rFonts w:hint="eastAsia"/>
                      <w:b/>
                      <w:bCs/>
                      <w:sz w:val="21"/>
                      <w:szCs w:val="21"/>
                      <w:vertAlign w:val="superscript"/>
                      <w:lang w:eastAsia="zh-CN"/>
                    </w:rPr>
                    <w:t>3</w:t>
                  </w:r>
                  <w:r>
                    <w:rPr>
                      <w:rFonts w:hint="eastAsia"/>
                      <w:b/>
                      <w:bCs/>
                      <w:sz w:val="21"/>
                      <w:szCs w:val="21"/>
                    </w:rPr>
                    <w:t>）</w:t>
                  </w:r>
                </w:p>
              </w:tc>
              <w:tc>
                <w:tcPr>
                  <w:tcW w:w="1822" w:type="dxa"/>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54"/>
                    <w:rPr>
                      <w:szCs w:val="21"/>
                    </w:rPr>
                  </w:pPr>
                  <w:r>
                    <w:rPr>
                      <w:szCs w:val="21"/>
                      <w:lang w:bidi="ar"/>
                    </w:rPr>
                    <w:t>VOCs（非甲烷总烃）</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rPr>
                    <w:t>1.22</w:t>
                  </w:r>
                </w:p>
              </w:tc>
              <w:tc>
                <w:tcPr>
                  <w:tcW w:w="2467" w:type="dxa"/>
                  <w:shd w:val="clear" w:color="auto" w:fill="auto"/>
                  <w:vAlign w:val="center"/>
                </w:tcPr>
                <w:p>
                  <w:pPr>
                    <w:spacing w:line="240" w:lineRule="auto"/>
                    <w:ind w:firstLine="0" w:firstLineChars="0"/>
                    <w:jc w:val="center"/>
                    <w:rPr>
                      <w:sz w:val="21"/>
                      <w:szCs w:val="21"/>
                    </w:rPr>
                  </w:pPr>
                  <w:r>
                    <w:rPr>
                      <w:rFonts w:hint="eastAsia"/>
                      <w:sz w:val="21"/>
                      <w:szCs w:val="21"/>
                    </w:rPr>
                    <w:t>2.0</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54"/>
                    <w:rPr>
                      <w:szCs w:val="21"/>
                    </w:rPr>
                  </w:pPr>
                  <w:r>
                    <w:rPr>
                      <w:szCs w:val="21"/>
                      <w:lang w:bidi="ar"/>
                    </w:rPr>
                    <w:t>二甲苯</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rPr>
                    <w:t>未检出</w:t>
                  </w:r>
                </w:p>
              </w:tc>
              <w:tc>
                <w:tcPr>
                  <w:tcW w:w="2467" w:type="dxa"/>
                  <w:shd w:val="clear" w:color="auto" w:fill="auto"/>
                  <w:vAlign w:val="center"/>
                </w:tcPr>
                <w:p>
                  <w:pPr>
                    <w:spacing w:line="240" w:lineRule="auto"/>
                    <w:ind w:firstLine="0" w:firstLineChars="0"/>
                    <w:jc w:val="center"/>
                    <w:rPr>
                      <w:sz w:val="21"/>
                      <w:szCs w:val="21"/>
                    </w:rPr>
                  </w:pPr>
                  <w:r>
                    <w:rPr>
                      <w:rFonts w:hint="eastAsia"/>
                      <w:sz w:val="21"/>
                      <w:szCs w:val="21"/>
                    </w:rPr>
                    <w:t>1.2</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54"/>
                    <w:rPr>
                      <w:szCs w:val="21"/>
                    </w:rPr>
                  </w:pPr>
                  <w:r>
                    <w:rPr>
                      <w:szCs w:val="21"/>
                      <w:lang w:bidi="ar"/>
                    </w:rPr>
                    <w:t>氯化氢</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rPr>
                    <w:t>未检出</w:t>
                  </w:r>
                </w:p>
              </w:tc>
              <w:tc>
                <w:tcPr>
                  <w:tcW w:w="2467" w:type="dxa"/>
                  <w:shd w:val="clear" w:color="auto" w:fill="auto"/>
                  <w:vAlign w:val="center"/>
                </w:tcPr>
                <w:p>
                  <w:pPr>
                    <w:spacing w:line="240" w:lineRule="auto"/>
                    <w:ind w:firstLine="0" w:firstLineChars="0"/>
                    <w:jc w:val="center"/>
                    <w:rPr>
                      <w:sz w:val="21"/>
                      <w:szCs w:val="21"/>
                    </w:rPr>
                  </w:pPr>
                  <w:r>
                    <w:rPr>
                      <w:rFonts w:hint="eastAsia"/>
                      <w:sz w:val="21"/>
                      <w:szCs w:val="21"/>
                    </w:rPr>
                    <w:t>0.20</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sz w:val="21"/>
                      <w:szCs w:val="21"/>
                    </w:rPr>
                  </w:pPr>
                  <w:r>
                    <w:rPr>
                      <w:rFonts w:hint="eastAsia"/>
                      <w:sz w:val="21"/>
                      <w:szCs w:val="21"/>
                    </w:rPr>
                    <w:t>VOCs（非甲烷总烃）</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rPr>
                    <w:t>车间外通风口下风向1m处：1.23</w:t>
                  </w:r>
                </w:p>
              </w:tc>
              <w:tc>
                <w:tcPr>
                  <w:tcW w:w="2467" w:type="dxa"/>
                  <w:shd w:val="clear" w:color="auto" w:fill="auto"/>
                  <w:vAlign w:val="center"/>
                </w:tcPr>
                <w:p>
                  <w:pPr>
                    <w:spacing w:line="240" w:lineRule="auto"/>
                    <w:ind w:firstLine="0" w:firstLineChars="0"/>
                    <w:jc w:val="center"/>
                    <w:rPr>
                      <w:sz w:val="21"/>
                      <w:szCs w:val="21"/>
                    </w:rPr>
                  </w:pPr>
                  <w:r>
                    <w:rPr>
                      <w:rFonts w:hint="eastAsia"/>
                      <w:sz w:val="21"/>
                      <w:szCs w:val="21"/>
                    </w:rPr>
                    <w:t>6</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06" w:type="dxa"/>
                  <w:gridSpan w:val="4"/>
                  <w:shd w:val="clear" w:color="auto" w:fill="auto"/>
                  <w:vAlign w:val="center"/>
                </w:tcPr>
                <w:p>
                  <w:pPr>
                    <w:spacing w:line="240" w:lineRule="auto"/>
                    <w:ind w:firstLine="0" w:firstLineChars="0"/>
                    <w:rPr>
                      <w:sz w:val="21"/>
                      <w:szCs w:val="21"/>
                    </w:rPr>
                  </w:pPr>
                  <w:r>
                    <w:rPr>
                      <w:rFonts w:hint="eastAsia"/>
                      <w:sz w:val="21"/>
                      <w:szCs w:val="21"/>
                    </w:rPr>
                    <w:t>备注：未检出表示检测值小于检出限。</w:t>
                  </w:r>
                </w:p>
              </w:tc>
            </w:tr>
          </w:tbl>
          <w:p>
            <w:pPr>
              <w:adjustRightInd w:val="0"/>
              <w:ind w:firstLine="480"/>
              <w:jc w:val="left"/>
              <w:rPr>
                <w:rFonts w:hAnsi="宋体"/>
                <w:bCs/>
              </w:rPr>
            </w:pPr>
            <w:r>
              <w:rPr>
                <w:rFonts w:hint="eastAsia" w:hAnsi="宋体"/>
                <w:bCs/>
              </w:rPr>
              <w:t>验收监测期间，厂界无组织排放的VOCs周界外浓度最高点浓度为1.22mg/</w:t>
            </w:r>
            <w:r>
              <w:rPr>
                <w:rFonts w:hint="eastAsia" w:hAnsi="宋体"/>
                <w:bCs/>
                <w:lang w:eastAsia="zh-CN"/>
              </w:rPr>
              <w:t>m</w:t>
            </w:r>
            <w:r>
              <w:rPr>
                <w:rFonts w:hint="eastAsia" w:hAnsi="宋体"/>
                <w:bCs/>
                <w:vertAlign w:val="superscript"/>
                <w:lang w:eastAsia="zh-CN"/>
              </w:rPr>
              <w:t>3</w:t>
            </w:r>
            <w:r>
              <w:rPr>
                <w:rFonts w:hint="eastAsia" w:hAnsi="宋体"/>
                <w:bCs/>
              </w:rPr>
              <w:t>，二甲苯周界外浓度最高点浓度为未检出，均满足</w:t>
            </w:r>
            <w:r>
              <w:rPr>
                <w:color w:val="000000"/>
              </w:rPr>
              <w:t>山东省《挥发性有机物排放标准 第7部分：其他行业》（DB37/2801.7-2019）表2厂界监控点浓度限值</w:t>
            </w:r>
            <w:r>
              <w:rPr>
                <w:rFonts w:hint="eastAsia"/>
                <w:color w:val="000000"/>
              </w:rPr>
              <w:t>要求；</w:t>
            </w:r>
            <w:r>
              <w:rPr>
                <w:rFonts w:hint="eastAsia" w:hAnsi="宋体"/>
                <w:bCs/>
              </w:rPr>
              <w:t>氯化氢周界外浓度最高点浓度为未检出，满足《大气污染物综合排放标准》（GB16297-1996）表2无组织排放监控浓度限值要求。</w:t>
            </w:r>
          </w:p>
          <w:p>
            <w:pPr>
              <w:pStyle w:val="38"/>
            </w:pPr>
            <w:r>
              <w:rPr>
                <w:rFonts w:hint="eastAsia" w:hAnsi="宋体"/>
                <w:bCs/>
              </w:rPr>
              <w:t>车间外通风口下风向1m处非甲烷总烃最大1h平均浓度值为1.23mg/</w:t>
            </w:r>
            <w:r>
              <w:rPr>
                <w:rFonts w:hint="eastAsia" w:hAnsi="宋体"/>
                <w:bCs/>
                <w:lang w:eastAsia="zh-CN"/>
              </w:rPr>
              <w:t>m</w:t>
            </w:r>
            <w:r>
              <w:rPr>
                <w:rFonts w:hint="eastAsia" w:hAnsi="宋体"/>
                <w:bCs/>
                <w:vertAlign w:val="superscript"/>
                <w:lang w:eastAsia="zh-CN"/>
              </w:rPr>
              <w:t>3</w:t>
            </w:r>
            <w:r>
              <w:rPr>
                <w:rFonts w:hint="eastAsia" w:hAnsi="宋体"/>
                <w:bCs/>
              </w:rPr>
              <w:t>，满足《挥发性有机物无组织排放控制标准》（GB37822-2019）的附录A中表A.1限值要求。</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cs="宋体"/>
                      <w:color w:val="auto"/>
                    </w:rPr>
                    <w:pict>
                      <v:shape id="_x0000_i1034" o:spt="75" alt="68b252c924071104ad9dacc25d8e7dd" type="#_x0000_t75" style="height:293.7pt;width:187.5pt;" filled="f" o:preferrelative="t" stroked="f" coordsize="21600,21600">
                        <v:path/>
                        <v:fill on="f" focussize="0,0"/>
                        <v:stroke on="f"/>
                        <v:imagedata r:id="rId17" croptop="7825f" o:title="68b252c924071104ad9dacc25d8e7dd"/>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1</w:t>
                  </w:r>
                  <w:r>
                    <w:rPr>
                      <w:rFonts w:ascii="Times New Roman" w:hAnsi="Times New Roman"/>
                      <w:b/>
                      <w:bCs/>
                      <w:color w:val="auto"/>
                      <w:sz w:val="21"/>
                      <w:szCs w:val="21"/>
                    </w:rPr>
                    <w:t xml:space="preserve">  废气</w:t>
                  </w:r>
                  <w:r>
                    <w:rPr>
                      <w:rFonts w:hint="eastAsia" w:ascii="Times New Roman" w:hAnsi="Times New Roman"/>
                      <w:b/>
                      <w:bCs/>
                      <w:color w:val="auto"/>
                      <w:sz w:val="21"/>
                      <w:szCs w:val="21"/>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pPr>
                  <w:r>
                    <w:rPr>
                      <w:rFonts w:ascii="宋体" w:hAnsi="宋体" w:cs="宋体"/>
                    </w:rPr>
                    <w:fldChar w:fldCharType="begin"/>
                  </w:r>
                  <w:r>
                    <w:rPr>
                      <w:rFonts w:ascii="宋体" w:hAnsi="宋体" w:cs="宋体"/>
                    </w:rPr>
                    <w:instrText xml:space="preserve">INCLUDEPICTURE \d "http://117.73.252.128:9025/company/20230223/7bd9b204-54b0-4134-a39d-d10b87cb0703/1677133552666_1677133557324.jpg" \* MERGEFORMATINET </w:instrText>
                  </w:r>
                  <w:r>
                    <w:rPr>
                      <w:rFonts w:ascii="宋体" w:hAnsi="宋体" w:cs="宋体"/>
                    </w:rPr>
                    <w:fldChar w:fldCharType="separate"/>
                  </w:r>
                  <w:r>
                    <w:rPr>
                      <w:rFonts w:ascii="宋体" w:hAnsi="宋体" w:cs="宋体"/>
                    </w:rPr>
                    <w:fldChar w:fldCharType="begin"/>
                  </w:r>
                  <w:r>
                    <w:rPr>
                      <w:rFonts w:ascii="宋体" w:hAnsi="宋体" w:cs="宋体"/>
                    </w:rPr>
                    <w:instrText xml:space="preserve"> INCLUDEPICTURE  "http://117.73.252.128:9025/company/20230223/7bd9b204-54b0-4134-a39d-d10b87cb0703/1677133552666_1677133557324.jpg" \* MERGEFORMATINET </w:instrText>
                  </w:r>
                  <w:r>
                    <w:rPr>
                      <w:rFonts w:ascii="宋体" w:hAnsi="宋体" w:cs="宋体"/>
                    </w:rPr>
                    <w:fldChar w:fldCharType="separate"/>
                  </w:r>
                  <w:r>
                    <w:rPr>
                      <w:rFonts w:ascii="宋体" w:hAnsi="宋体" w:cs="宋体"/>
                    </w:rPr>
                    <w:fldChar w:fldCharType="begin"/>
                  </w:r>
                  <w:r>
                    <w:rPr>
                      <w:rFonts w:ascii="宋体" w:hAnsi="宋体" w:cs="宋体"/>
                    </w:rPr>
                    <w:instrText xml:space="preserve"> INCLUDEPICTURE  "http://117.73.252.128:9025/company/20230223/7bd9b204-54b0-4134-a39d-d10b87cb0703/1677133552666_1677133557324.jpg" \* MERGEFORMATINET </w:instrText>
                  </w:r>
                  <w:r>
                    <w:rPr>
                      <w:rFonts w:ascii="宋体" w:hAnsi="宋体" w:cs="宋体"/>
                    </w:rPr>
                    <w:fldChar w:fldCharType="separate"/>
                  </w:r>
                  <w:r>
                    <w:rPr>
                      <w:rFonts w:ascii="宋体" w:hAnsi="宋体" w:cs="宋体"/>
                    </w:rPr>
                    <w:fldChar w:fldCharType="begin"/>
                  </w:r>
                  <w:r>
                    <w:rPr>
                      <w:rFonts w:ascii="宋体" w:hAnsi="宋体" w:cs="宋体"/>
                    </w:rPr>
                    <w:instrText xml:space="preserve"> INCLUDEPICTURE  "http://117.73.252.128:9025/company/20230223/7bd9b204-54b0-4134-a39d-d10b87cb0703/1677133552666_1677133557324.jpg" \* MERGEFORMATINET </w:instrText>
                  </w:r>
                  <w:r>
                    <w:rPr>
                      <w:rFonts w:ascii="宋体" w:hAnsi="宋体" w:cs="宋体"/>
                    </w:rPr>
                    <w:fldChar w:fldCharType="separate"/>
                  </w:r>
                  <w:r>
                    <w:rPr>
                      <w:rFonts w:ascii="宋体" w:hAnsi="宋体" w:cs="宋体"/>
                    </w:rPr>
                    <w:pict>
                      <v:shape id="_x0000_i1035" o:spt="75" alt="IMG_256" type="#_x0000_t75" style="height:267.25pt;width:185.9pt;" filled="f" o:preferrelative="t" stroked="f" coordsize="21600,21600">
                        <v:path/>
                        <v:fill on="f" focussize="0,0"/>
                        <v:stroke on="f"/>
                        <v:imagedata r:id="rId18" r:href="rId19" o:title=""/>
                        <o:lock v:ext="edit" aspectratio="t"/>
                        <w10:wrap type="none"/>
                        <w10:anchorlock/>
                      </v:shape>
                    </w:pict>
                  </w:r>
                  <w:r>
                    <w:rPr>
                      <w:rFonts w:ascii="宋体" w:hAnsi="宋体" w:cs="宋体"/>
                    </w:rPr>
                    <w:fldChar w:fldCharType="end"/>
                  </w:r>
                  <w:r>
                    <w:rPr>
                      <w:rFonts w:ascii="宋体" w:hAnsi="宋体" w:cs="宋体"/>
                    </w:rPr>
                    <w:fldChar w:fldCharType="end"/>
                  </w:r>
                  <w:r>
                    <w:rPr>
                      <w:rFonts w:ascii="宋体" w:hAnsi="宋体" w:cs="宋体"/>
                    </w:rPr>
                    <w:fldChar w:fldCharType="end"/>
                  </w:r>
                  <w:r>
                    <w:rPr>
                      <w:rFonts w:ascii="宋体" w:hAnsi="宋体"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cs="宋体"/>
                      <w:color w:val="auto"/>
                    </w:rPr>
                  </w:pPr>
                  <w:r>
                    <w:rPr>
                      <w:rFonts w:cs="宋体"/>
                    </w:rPr>
                    <w:fldChar w:fldCharType="begin"/>
                  </w:r>
                  <w:r>
                    <w:rPr>
                      <w:rFonts w:cs="宋体"/>
                    </w:rPr>
                    <w:instrText xml:space="preserve">INCLUDEPICTURE \d "http://117.73.252.128:9025/company/20230224/fcd03d38-f7b0-4332-974f-c13234e60660/1677206015631_1677206019301.jpg" \* MERGEFORMATINET </w:instrText>
                  </w:r>
                  <w:r>
                    <w:rPr>
                      <w:rFonts w:cs="宋体"/>
                    </w:rPr>
                    <w:fldChar w:fldCharType="separate"/>
                  </w:r>
                  <w:r>
                    <w:rPr>
                      <w:rFonts w:cs="宋体"/>
                    </w:rPr>
                    <w:fldChar w:fldCharType="begin"/>
                  </w:r>
                  <w:r>
                    <w:rPr>
                      <w:rFonts w:cs="宋体"/>
                    </w:rPr>
                    <w:instrText xml:space="preserve"> INCLUDEPICTURE  "http://117.73.252.128:9025/company/20230224/fcd03d38-f7b0-4332-974f-c13234e60660/1677206015631_1677206019301.jpg" \* MERGEFORMATINET </w:instrText>
                  </w:r>
                  <w:r>
                    <w:rPr>
                      <w:rFonts w:cs="宋体"/>
                    </w:rPr>
                    <w:fldChar w:fldCharType="separate"/>
                  </w:r>
                  <w:r>
                    <w:rPr>
                      <w:rFonts w:cs="宋体"/>
                    </w:rPr>
                    <w:fldChar w:fldCharType="begin"/>
                  </w:r>
                  <w:r>
                    <w:rPr>
                      <w:rFonts w:cs="宋体"/>
                    </w:rPr>
                    <w:instrText xml:space="preserve"> INCLUDEPICTURE  "http://117.73.252.128:9025/company/20230224/fcd03d38-f7b0-4332-974f-c13234e60660/1677206015631_1677206019301.jpg" \* MERGEFORMATINET </w:instrText>
                  </w:r>
                  <w:r>
                    <w:rPr>
                      <w:rFonts w:cs="宋体"/>
                    </w:rPr>
                    <w:fldChar w:fldCharType="separate"/>
                  </w:r>
                  <w:r>
                    <w:rPr>
                      <w:rFonts w:cs="宋体"/>
                    </w:rPr>
                    <w:fldChar w:fldCharType="begin"/>
                  </w:r>
                  <w:r>
                    <w:rPr>
                      <w:rFonts w:cs="宋体"/>
                    </w:rPr>
                    <w:instrText xml:space="preserve"> INCLUDEPICTURE  "http://117.73.252.128:9025/company/20230224/fcd03d38-f7b0-4332-974f-c13234e60660/1677206015631_1677206019301.jpg" \* MERGEFORMATINET </w:instrText>
                  </w:r>
                  <w:r>
                    <w:rPr>
                      <w:rFonts w:cs="宋体"/>
                    </w:rPr>
                    <w:fldChar w:fldCharType="separate"/>
                  </w:r>
                  <w:r>
                    <w:rPr>
                      <w:rFonts w:cs="宋体"/>
                    </w:rPr>
                    <w:pict>
                      <v:shape id="_x0000_i1036" o:spt="75" alt="IMG_256" type="#_x0000_t75" style="height:277.45pt;width:192.3pt;" filled="f" o:preferrelative="t" stroked="f" coordsize="21600,21600">
                        <v:path/>
                        <v:fill on="f" focussize="0,0"/>
                        <v:stroke on="f"/>
                        <v:imagedata r:id="rId20" r:href="rId21" o:title=""/>
                        <o:lock v:ext="edit" aspectratio="t"/>
                        <w10:wrap type="none"/>
                        <w10:anchorlock/>
                      </v:shape>
                    </w:pict>
                  </w:r>
                  <w:r>
                    <w:rPr>
                      <w:rFonts w:cs="宋体"/>
                    </w:rPr>
                    <w:fldChar w:fldCharType="end"/>
                  </w:r>
                  <w:r>
                    <w:rPr>
                      <w:rFonts w:cs="宋体"/>
                    </w:rPr>
                    <w:fldChar w:fldCharType="end"/>
                  </w:r>
                  <w:r>
                    <w:rPr>
                      <w:rFonts w:cs="宋体"/>
                    </w:rPr>
                    <w:fldChar w:fldCharType="end"/>
                  </w:r>
                  <w:r>
                    <w:rPr>
                      <w:rFonts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
                    <w:jc w:val="center"/>
                    <w:rPr>
                      <w:rFonts w:ascii="Times New Roman" w:hAnsi="Times New Roman"/>
                      <w:b/>
                      <w:bCs/>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2</w:t>
                  </w:r>
                  <w:r>
                    <w:rPr>
                      <w:rFonts w:ascii="Times New Roman" w:hAnsi="Times New Roman"/>
                      <w:b/>
                      <w:bCs/>
                      <w:color w:val="auto"/>
                      <w:sz w:val="21"/>
                      <w:szCs w:val="21"/>
                    </w:rPr>
                    <w:t xml:space="preserve">  废气监测</w:t>
                  </w:r>
                </w:p>
              </w:tc>
            </w:tr>
          </w:tbl>
          <w:p>
            <w:pPr>
              <w:ind w:firstLine="482"/>
              <w:rPr>
                <w:b/>
                <w:bCs/>
              </w:rPr>
            </w:pPr>
            <w:r>
              <w:rPr>
                <w:b/>
                <w:bCs/>
              </w:rPr>
              <w:t xml:space="preserve"> </w:t>
            </w:r>
            <w:r>
              <w:rPr>
                <w:rFonts w:hint="eastAsia"/>
                <w:b/>
                <w:bCs/>
              </w:rPr>
              <w:t>3</w:t>
            </w:r>
            <w:r>
              <w:rPr>
                <w:b/>
                <w:bCs/>
              </w:rPr>
              <w:t>、废水</w:t>
            </w:r>
          </w:p>
          <w:p>
            <w:pPr>
              <w:pStyle w:val="38"/>
              <w:adjustRightInd/>
              <w:jc w:val="both"/>
              <w:rPr>
                <w:rFonts w:hint="eastAsia" w:cs="Times New Roman"/>
                <w:kern w:val="0"/>
                <w:szCs w:val="24"/>
                <w:lang w:bidi="ar"/>
              </w:rPr>
            </w:pPr>
            <w:r>
              <w:rPr>
                <w:rFonts w:hint="eastAsia" w:cs="Times New Roman"/>
                <w:kern w:val="0"/>
                <w:szCs w:val="24"/>
                <w:lang w:bidi="ar"/>
              </w:rPr>
              <w:t>项目产生的废水主要是生活污水、地面清洁废水、实验废液（实验人员洗手废水、实验室器皿前两次清洗废水、纯水制备废水、分子分型废水、病理TCT废水、实验室器皿后两次清洗废水）。</w:t>
            </w:r>
          </w:p>
          <w:p>
            <w:pPr>
              <w:pStyle w:val="38"/>
              <w:adjustRightInd/>
              <w:jc w:val="both"/>
              <w:rPr>
                <w:rFonts w:hint="eastAsia" w:cs="Times New Roman"/>
                <w:kern w:val="0"/>
                <w:szCs w:val="24"/>
                <w:lang w:bidi="ar"/>
              </w:rPr>
            </w:pPr>
            <w:r>
              <w:rPr>
                <w:rFonts w:hint="eastAsia" w:cs="Times New Roman"/>
                <w:kern w:val="0"/>
                <w:szCs w:val="24"/>
                <w:lang w:bidi="ar"/>
              </w:rPr>
              <w:t>项目分子分型废水、病理TCT废水、实验器皿前两次清洗废水，统称为实验废液，作为医废，暂存于医疗+危废暂存间，医疗废物委托济南腾笙环保科技有限公司处理，不外排。项目生活污水排入化粪池预处理后与地面清洁废水、实验人员洗手废水、实验器皿后两次清洗废水和纯水制备废水，经园区污水管网进入银丰国际生物城污水处理站处理后，通过市政管污水管网排入巨野河污水处理厂，经巨野河污水处理厂深度处理，最终经西巨野河排入小清河。</w:t>
            </w:r>
          </w:p>
          <w:p>
            <w:pPr>
              <w:ind w:firstLine="480"/>
            </w:pPr>
            <w:r>
              <w:t>监测结果见下表：</w:t>
            </w:r>
          </w:p>
          <w:p>
            <w:pPr>
              <w:ind w:firstLine="482"/>
              <w:jc w:val="center"/>
              <w:rPr>
                <w:b/>
                <w:bCs/>
              </w:rPr>
            </w:pPr>
            <w:r>
              <w:rPr>
                <w:b/>
                <w:bCs/>
              </w:rPr>
              <w:t>表7-</w:t>
            </w:r>
            <w:r>
              <w:rPr>
                <w:rFonts w:hint="eastAsia"/>
                <w:b/>
                <w:bCs/>
                <w:lang w:val="en-US" w:eastAsia="zh-CN"/>
              </w:rPr>
              <w:t>7</w:t>
            </w:r>
            <w:r>
              <w:rPr>
                <w:rFonts w:hint="eastAsia"/>
                <w:b/>
                <w:bCs/>
              </w:rPr>
              <w:t xml:space="preserve"> </w:t>
            </w:r>
            <w:r>
              <w:rPr>
                <w:b/>
                <w:bCs/>
              </w:rPr>
              <w:t xml:space="preserve"> 项目废水监测结果表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4"/>
              <w:gridCol w:w="1472"/>
              <w:gridCol w:w="857"/>
              <w:gridCol w:w="1094"/>
              <w:gridCol w:w="1092"/>
              <w:gridCol w:w="1092"/>
              <w:gridCol w:w="1094"/>
              <w:gridCol w:w="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restart"/>
                  <w:vAlign w:val="center"/>
                </w:tcPr>
                <w:p>
                  <w:pPr>
                    <w:spacing w:line="240" w:lineRule="auto"/>
                    <w:ind w:firstLine="0" w:firstLineChars="0"/>
                    <w:jc w:val="center"/>
                    <w:rPr>
                      <w:b/>
                      <w:bCs/>
                      <w:sz w:val="21"/>
                      <w:szCs w:val="21"/>
                    </w:rPr>
                  </w:pPr>
                  <w:r>
                    <w:rPr>
                      <w:rFonts w:hint="eastAsia"/>
                      <w:b/>
                      <w:bCs/>
                      <w:sz w:val="21"/>
                      <w:szCs w:val="21"/>
                    </w:rPr>
                    <w:t>采样点位</w:t>
                  </w:r>
                </w:p>
              </w:tc>
              <w:tc>
                <w:tcPr>
                  <w:tcW w:w="1636" w:type="dxa"/>
                  <w:vMerge w:val="restart"/>
                  <w:vAlign w:val="center"/>
                </w:tcPr>
                <w:p>
                  <w:pPr>
                    <w:spacing w:line="240" w:lineRule="auto"/>
                    <w:ind w:firstLine="0" w:firstLineChars="0"/>
                    <w:jc w:val="center"/>
                    <w:rPr>
                      <w:b/>
                      <w:bCs/>
                      <w:sz w:val="21"/>
                      <w:szCs w:val="21"/>
                    </w:rPr>
                  </w:pPr>
                  <w:r>
                    <w:rPr>
                      <w:rFonts w:hint="eastAsia"/>
                      <w:b/>
                      <w:bCs/>
                      <w:sz w:val="21"/>
                      <w:szCs w:val="21"/>
                    </w:rPr>
                    <w:t>检测项目</w:t>
                  </w:r>
                </w:p>
              </w:tc>
              <w:tc>
                <w:tcPr>
                  <w:tcW w:w="955" w:type="dxa"/>
                  <w:vMerge w:val="restart"/>
                  <w:vAlign w:val="center"/>
                </w:tcPr>
                <w:p>
                  <w:pPr>
                    <w:spacing w:line="240" w:lineRule="auto"/>
                    <w:ind w:firstLine="0" w:firstLineChars="0"/>
                    <w:jc w:val="center"/>
                    <w:rPr>
                      <w:b/>
                      <w:bCs/>
                      <w:sz w:val="21"/>
                      <w:szCs w:val="21"/>
                    </w:rPr>
                  </w:pPr>
                  <w:r>
                    <w:rPr>
                      <w:rFonts w:hint="eastAsia"/>
                      <w:b/>
                      <w:bCs/>
                      <w:sz w:val="21"/>
                      <w:szCs w:val="21"/>
                    </w:rPr>
                    <w:t>计量</w:t>
                  </w:r>
                </w:p>
                <w:p>
                  <w:pPr>
                    <w:spacing w:line="240" w:lineRule="auto"/>
                    <w:ind w:firstLine="0" w:firstLineChars="0"/>
                    <w:jc w:val="center"/>
                    <w:rPr>
                      <w:b/>
                      <w:bCs/>
                      <w:sz w:val="21"/>
                      <w:szCs w:val="21"/>
                    </w:rPr>
                  </w:pPr>
                  <w:r>
                    <w:rPr>
                      <w:rFonts w:hint="eastAsia"/>
                      <w:b/>
                      <w:bCs/>
                      <w:sz w:val="21"/>
                      <w:szCs w:val="21"/>
                    </w:rPr>
                    <w:t>单位</w:t>
                  </w:r>
                </w:p>
              </w:tc>
              <w:tc>
                <w:tcPr>
                  <w:tcW w:w="0" w:type="auto"/>
                  <w:gridSpan w:val="4"/>
                  <w:vAlign w:val="center"/>
                </w:tcPr>
                <w:p>
                  <w:pPr>
                    <w:spacing w:line="240" w:lineRule="auto"/>
                    <w:ind w:firstLine="0" w:firstLineChars="0"/>
                    <w:jc w:val="center"/>
                    <w:rPr>
                      <w:b/>
                      <w:bCs/>
                      <w:sz w:val="21"/>
                      <w:szCs w:val="21"/>
                    </w:rPr>
                  </w:pPr>
                  <w:r>
                    <w:rPr>
                      <w:rFonts w:hint="eastAsia"/>
                      <w:b/>
                      <w:bCs/>
                      <w:sz w:val="21"/>
                      <w:szCs w:val="21"/>
                    </w:rPr>
                    <w:t>检测结果</w:t>
                  </w:r>
                </w:p>
              </w:tc>
              <w:tc>
                <w:tcPr>
                  <w:tcW w:w="0" w:type="auto"/>
                  <w:vMerge w:val="restart"/>
                  <w:vAlign w:val="center"/>
                </w:tcPr>
                <w:p>
                  <w:pPr>
                    <w:spacing w:line="240" w:lineRule="auto"/>
                    <w:ind w:firstLine="0" w:firstLineChars="0"/>
                    <w:jc w:val="center"/>
                    <w:rPr>
                      <w:b/>
                      <w:bCs/>
                      <w:sz w:val="21"/>
                      <w:szCs w:val="21"/>
                    </w:rPr>
                  </w:pPr>
                  <w:r>
                    <w:rPr>
                      <w:rFonts w:hint="eastAsia"/>
                      <w:b/>
                      <w:bCs/>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b/>
                      <w:bCs/>
                      <w:sz w:val="21"/>
                      <w:szCs w:val="21"/>
                    </w:rPr>
                  </w:pPr>
                </w:p>
              </w:tc>
              <w:tc>
                <w:tcPr>
                  <w:tcW w:w="1636" w:type="dxa"/>
                  <w:vMerge w:val="continue"/>
                  <w:vAlign w:val="center"/>
                </w:tcPr>
                <w:p>
                  <w:pPr>
                    <w:spacing w:line="240" w:lineRule="auto"/>
                    <w:ind w:firstLine="0" w:firstLineChars="0"/>
                    <w:jc w:val="center"/>
                    <w:rPr>
                      <w:b/>
                      <w:bCs/>
                      <w:sz w:val="21"/>
                      <w:szCs w:val="21"/>
                    </w:rPr>
                  </w:pPr>
                </w:p>
              </w:tc>
              <w:tc>
                <w:tcPr>
                  <w:tcW w:w="955" w:type="dxa"/>
                  <w:vMerge w:val="continue"/>
                  <w:vAlign w:val="center"/>
                </w:tcPr>
                <w:p>
                  <w:pPr>
                    <w:spacing w:line="240" w:lineRule="auto"/>
                    <w:ind w:firstLine="0" w:firstLineChars="0"/>
                    <w:jc w:val="center"/>
                    <w:rPr>
                      <w:b/>
                      <w:bCs/>
                      <w:sz w:val="21"/>
                      <w:szCs w:val="21"/>
                    </w:rPr>
                  </w:pPr>
                </w:p>
              </w:tc>
              <w:tc>
                <w:tcPr>
                  <w:tcW w:w="0" w:type="auto"/>
                  <w:vAlign w:val="center"/>
                </w:tcPr>
                <w:p>
                  <w:pPr>
                    <w:spacing w:line="240" w:lineRule="auto"/>
                    <w:ind w:firstLine="0" w:firstLineChars="0"/>
                    <w:jc w:val="center"/>
                    <w:rPr>
                      <w:b/>
                      <w:bCs/>
                      <w:sz w:val="21"/>
                      <w:szCs w:val="21"/>
                    </w:rPr>
                  </w:pPr>
                  <w:r>
                    <w:rPr>
                      <w:rFonts w:hint="eastAsia"/>
                      <w:b/>
                      <w:bCs/>
                      <w:sz w:val="21"/>
                      <w:szCs w:val="21"/>
                    </w:rPr>
                    <w:t>02月23日</w:t>
                  </w:r>
                </w:p>
                <w:p>
                  <w:pPr>
                    <w:spacing w:line="240" w:lineRule="auto"/>
                    <w:ind w:firstLine="0" w:firstLineChars="0"/>
                    <w:jc w:val="center"/>
                    <w:rPr>
                      <w:b/>
                      <w:bCs/>
                      <w:sz w:val="21"/>
                      <w:szCs w:val="21"/>
                    </w:rPr>
                  </w:pPr>
                  <w:r>
                    <w:rPr>
                      <w:rFonts w:hint="eastAsia"/>
                      <w:b/>
                      <w:bCs/>
                      <w:sz w:val="21"/>
                      <w:szCs w:val="21"/>
                    </w:rPr>
                    <w:t>第一次</w:t>
                  </w:r>
                </w:p>
              </w:tc>
              <w:tc>
                <w:tcPr>
                  <w:tcW w:w="0" w:type="auto"/>
                  <w:vAlign w:val="center"/>
                </w:tcPr>
                <w:p>
                  <w:pPr>
                    <w:spacing w:line="240" w:lineRule="auto"/>
                    <w:ind w:firstLine="0" w:firstLineChars="0"/>
                    <w:jc w:val="center"/>
                    <w:rPr>
                      <w:b/>
                      <w:bCs/>
                      <w:sz w:val="21"/>
                      <w:szCs w:val="21"/>
                    </w:rPr>
                  </w:pPr>
                  <w:r>
                    <w:rPr>
                      <w:rFonts w:hint="eastAsia"/>
                      <w:b/>
                      <w:bCs/>
                      <w:sz w:val="21"/>
                      <w:szCs w:val="21"/>
                    </w:rPr>
                    <w:t>02月23日</w:t>
                  </w:r>
                </w:p>
                <w:p>
                  <w:pPr>
                    <w:spacing w:line="240" w:lineRule="auto"/>
                    <w:ind w:firstLine="0" w:firstLineChars="0"/>
                    <w:jc w:val="center"/>
                    <w:rPr>
                      <w:b/>
                      <w:bCs/>
                      <w:sz w:val="21"/>
                      <w:szCs w:val="21"/>
                    </w:rPr>
                  </w:pPr>
                  <w:r>
                    <w:rPr>
                      <w:rFonts w:hint="eastAsia"/>
                      <w:b/>
                      <w:bCs/>
                      <w:sz w:val="21"/>
                      <w:szCs w:val="21"/>
                    </w:rPr>
                    <w:t>第二次</w:t>
                  </w:r>
                </w:p>
              </w:tc>
              <w:tc>
                <w:tcPr>
                  <w:tcW w:w="0" w:type="auto"/>
                  <w:vAlign w:val="center"/>
                </w:tcPr>
                <w:p>
                  <w:pPr>
                    <w:spacing w:line="240" w:lineRule="auto"/>
                    <w:ind w:firstLine="0" w:firstLineChars="0"/>
                    <w:jc w:val="center"/>
                    <w:rPr>
                      <w:b/>
                      <w:bCs/>
                      <w:sz w:val="21"/>
                      <w:szCs w:val="21"/>
                    </w:rPr>
                  </w:pPr>
                  <w:r>
                    <w:rPr>
                      <w:rFonts w:hint="eastAsia"/>
                      <w:b/>
                      <w:bCs/>
                      <w:sz w:val="21"/>
                      <w:szCs w:val="21"/>
                    </w:rPr>
                    <w:t>02月23日</w:t>
                  </w:r>
                </w:p>
                <w:p>
                  <w:pPr>
                    <w:spacing w:line="240" w:lineRule="auto"/>
                    <w:ind w:firstLine="0" w:firstLineChars="0"/>
                    <w:jc w:val="center"/>
                    <w:rPr>
                      <w:b/>
                      <w:bCs/>
                      <w:sz w:val="21"/>
                      <w:szCs w:val="21"/>
                    </w:rPr>
                  </w:pPr>
                  <w:r>
                    <w:rPr>
                      <w:rFonts w:hint="eastAsia"/>
                      <w:b/>
                      <w:bCs/>
                      <w:sz w:val="21"/>
                      <w:szCs w:val="21"/>
                    </w:rPr>
                    <w:t>第三次</w:t>
                  </w:r>
                </w:p>
              </w:tc>
              <w:tc>
                <w:tcPr>
                  <w:tcW w:w="0" w:type="auto"/>
                  <w:vAlign w:val="center"/>
                </w:tcPr>
                <w:p>
                  <w:pPr>
                    <w:spacing w:line="240" w:lineRule="auto"/>
                    <w:ind w:firstLine="0" w:firstLineChars="0"/>
                    <w:jc w:val="center"/>
                    <w:rPr>
                      <w:b/>
                      <w:bCs/>
                      <w:sz w:val="21"/>
                      <w:szCs w:val="21"/>
                    </w:rPr>
                  </w:pPr>
                  <w:r>
                    <w:rPr>
                      <w:rFonts w:hint="eastAsia"/>
                      <w:b/>
                      <w:bCs/>
                      <w:sz w:val="21"/>
                      <w:szCs w:val="21"/>
                    </w:rPr>
                    <w:t>02月23日</w:t>
                  </w:r>
                </w:p>
                <w:p>
                  <w:pPr>
                    <w:spacing w:line="240" w:lineRule="auto"/>
                    <w:ind w:firstLine="0" w:firstLineChars="0"/>
                    <w:jc w:val="center"/>
                    <w:rPr>
                      <w:b/>
                      <w:bCs/>
                      <w:sz w:val="21"/>
                      <w:szCs w:val="21"/>
                    </w:rPr>
                  </w:pPr>
                  <w:r>
                    <w:rPr>
                      <w:rFonts w:hint="eastAsia"/>
                      <w:b/>
                      <w:bCs/>
                      <w:sz w:val="21"/>
                      <w:szCs w:val="21"/>
                    </w:rPr>
                    <w:t>第四次</w:t>
                  </w:r>
                </w:p>
              </w:tc>
              <w:tc>
                <w:tcPr>
                  <w:tcW w:w="0" w:type="auto"/>
                  <w:vMerge w:val="continue"/>
                  <w:vAlign w:val="center"/>
                </w:tcPr>
                <w:p>
                  <w:pPr>
                    <w:spacing w:line="240" w:lineRule="auto"/>
                    <w:ind w:firstLine="0" w:firstLineChars="0"/>
                    <w:jc w:val="center"/>
                    <w:rPr>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restart"/>
                  <w:vAlign w:val="center"/>
                </w:tcPr>
                <w:p>
                  <w:pPr>
                    <w:spacing w:line="240" w:lineRule="auto"/>
                    <w:ind w:firstLine="0" w:firstLineChars="0"/>
                    <w:jc w:val="center"/>
                    <w:rPr>
                      <w:sz w:val="21"/>
                      <w:szCs w:val="21"/>
                    </w:rPr>
                  </w:pPr>
                  <w:r>
                    <w:rPr>
                      <w:rFonts w:hint="eastAsia"/>
                      <w:sz w:val="21"/>
                      <w:szCs w:val="21"/>
                    </w:rPr>
                    <w:t>企业污水总排口</w:t>
                  </w:r>
                </w:p>
              </w:tc>
              <w:tc>
                <w:tcPr>
                  <w:tcW w:w="1636" w:type="dxa"/>
                  <w:vAlign w:val="center"/>
                </w:tcPr>
                <w:p>
                  <w:pPr>
                    <w:spacing w:line="240" w:lineRule="auto"/>
                    <w:ind w:firstLine="0" w:firstLineChars="0"/>
                    <w:jc w:val="center"/>
                    <w:rPr>
                      <w:sz w:val="21"/>
                      <w:szCs w:val="21"/>
                    </w:rPr>
                  </w:pPr>
                  <w:r>
                    <w:rPr>
                      <w:rFonts w:hint="eastAsia"/>
                      <w:sz w:val="21"/>
                      <w:szCs w:val="21"/>
                    </w:rPr>
                    <w:t>氨氮</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39.8</w:t>
                  </w:r>
                </w:p>
              </w:tc>
              <w:tc>
                <w:tcPr>
                  <w:tcW w:w="0" w:type="auto"/>
                  <w:vAlign w:val="center"/>
                </w:tcPr>
                <w:p>
                  <w:pPr>
                    <w:spacing w:line="240" w:lineRule="auto"/>
                    <w:ind w:firstLine="0" w:firstLineChars="0"/>
                    <w:jc w:val="center"/>
                    <w:rPr>
                      <w:sz w:val="21"/>
                      <w:szCs w:val="21"/>
                    </w:rPr>
                  </w:pPr>
                  <w:r>
                    <w:rPr>
                      <w:rFonts w:hint="eastAsia"/>
                      <w:sz w:val="21"/>
                      <w:szCs w:val="21"/>
                    </w:rPr>
                    <w:t>41.6</w:t>
                  </w:r>
                </w:p>
              </w:tc>
              <w:tc>
                <w:tcPr>
                  <w:tcW w:w="0" w:type="auto"/>
                  <w:vAlign w:val="center"/>
                </w:tcPr>
                <w:p>
                  <w:pPr>
                    <w:spacing w:line="240" w:lineRule="auto"/>
                    <w:ind w:firstLine="0" w:firstLineChars="0"/>
                    <w:jc w:val="center"/>
                    <w:rPr>
                      <w:sz w:val="21"/>
                      <w:szCs w:val="21"/>
                    </w:rPr>
                  </w:pPr>
                  <w:r>
                    <w:rPr>
                      <w:rFonts w:hint="eastAsia"/>
                      <w:sz w:val="21"/>
                      <w:szCs w:val="21"/>
                    </w:rPr>
                    <w:t>40.3</w:t>
                  </w:r>
                </w:p>
              </w:tc>
              <w:tc>
                <w:tcPr>
                  <w:tcW w:w="0" w:type="auto"/>
                  <w:vAlign w:val="center"/>
                </w:tcPr>
                <w:p>
                  <w:pPr>
                    <w:spacing w:line="240" w:lineRule="auto"/>
                    <w:ind w:firstLine="0" w:firstLineChars="0"/>
                    <w:jc w:val="center"/>
                    <w:rPr>
                      <w:sz w:val="21"/>
                      <w:szCs w:val="21"/>
                    </w:rPr>
                  </w:pPr>
                  <w:r>
                    <w:rPr>
                      <w:rFonts w:hint="eastAsia"/>
                      <w:sz w:val="21"/>
                      <w:szCs w:val="21"/>
                    </w:rPr>
                    <w:t>38.7</w:t>
                  </w:r>
                </w:p>
              </w:tc>
              <w:tc>
                <w:tcPr>
                  <w:tcW w:w="0" w:type="auto"/>
                  <w:vAlign w:val="center"/>
                </w:tcPr>
                <w:p>
                  <w:pPr>
                    <w:spacing w:line="240" w:lineRule="auto"/>
                    <w:ind w:firstLine="0" w:firstLineChars="0"/>
                    <w:jc w:val="center"/>
                    <w:rPr>
                      <w:sz w:val="21"/>
                      <w:szCs w:val="21"/>
                    </w:rPr>
                  </w:pPr>
                  <w:r>
                    <w:rPr>
                      <w:rFonts w:hint="eastAsia"/>
                      <w:sz w:val="21"/>
                      <w:szCs w:val="21"/>
                    </w:rPr>
                    <w:t>40.1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化学需氧量</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306</w:t>
                  </w:r>
                </w:p>
              </w:tc>
              <w:tc>
                <w:tcPr>
                  <w:tcW w:w="0" w:type="auto"/>
                  <w:vAlign w:val="center"/>
                </w:tcPr>
                <w:p>
                  <w:pPr>
                    <w:spacing w:line="240" w:lineRule="auto"/>
                    <w:ind w:firstLine="0" w:firstLineChars="0"/>
                    <w:jc w:val="center"/>
                    <w:rPr>
                      <w:sz w:val="21"/>
                      <w:szCs w:val="21"/>
                    </w:rPr>
                  </w:pPr>
                  <w:r>
                    <w:rPr>
                      <w:rFonts w:hint="eastAsia"/>
                      <w:sz w:val="21"/>
                      <w:szCs w:val="21"/>
                    </w:rPr>
                    <w:t>315</w:t>
                  </w:r>
                </w:p>
              </w:tc>
              <w:tc>
                <w:tcPr>
                  <w:tcW w:w="0" w:type="auto"/>
                  <w:vAlign w:val="center"/>
                </w:tcPr>
                <w:p>
                  <w:pPr>
                    <w:spacing w:line="240" w:lineRule="auto"/>
                    <w:ind w:firstLine="0" w:firstLineChars="0"/>
                    <w:jc w:val="center"/>
                    <w:rPr>
                      <w:sz w:val="21"/>
                      <w:szCs w:val="21"/>
                    </w:rPr>
                  </w:pPr>
                  <w:r>
                    <w:rPr>
                      <w:rFonts w:hint="eastAsia"/>
                      <w:sz w:val="21"/>
                      <w:szCs w:val="21"/>
                    </w:rPr>
                    <w:t>302</w:t>
                  </w:r>
                </w:p>
              </w:tc>
              <w:tc>
                <w:tcPr>
                  <w:tcW w:w="0" w:type="auto"/>
                  <w:vAlign w:val="center"/>
                </w:tcPr>
                <w:p>
                  <w:pPr>
                    <w:spacing w:line="240" w:lineRule="auto"/>
                    <w:ind w:firstLine="0" w:firstLineChars="0"/>
                    <w:jc w:val="center"/>
                    <w:rPr>
                      <w:sz w:val="21"/>
                      <w:szCs w:val="21"/>
                    </w:rPr>
                  </w:pPr>
                  <w:r>
                    <w:rPr>
                      <w:rFonts w:hint="eastAsia"/>
                      <w:sz w:val="21"/>
                      <w:szCs w:val="21"/>
                    </w:rPr>
                    <w:t>295</w:t>
                  </w:r>
                </w:p>
              </w:tc>
              <w:tc>
                <w:tcPr>
                  <w:tcW w:w="0" w:type="auto"/>
                  <w:vAlign w:val="center"/>
                </w:tcPr>
                <w:p>
                  <w:pPr>
                    <w:spacing w:line="240" w:lineRule="auto"/>
                    <w:ind w:firstLine="0" w:firstLineChars="0"/>
                    <w:jc w:val="center"/>
                    <w:rPr>
                      <w:sz w:val="21"/>
                      <w:szCs w:val="21"/>
                    </w:rPr>
                  </w:pPr>
                  <w:r>
                    <w:rPr>
                      <w:rFonts w:hint="eastAsia"/>
                      <w:sz w:val="21"/>
                      <w:szCs w:val="21"/>
                    </w:rPr>
                    <w:t>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restart"/>
                  <w:vAlign w:val="center"/>
                </w:tcPr>
                <w:p>
                  <w:pPr>
                    <w:spacing w:line="240" w:lineRule="auto"/>
                    <w:ind w:firstLine="0" w:firstLineChars="0"/>
                    <w:jc w:val="center"/>
                    <w:rPr>
                      <w:sz w:val="21"/>
                      <w:szCs w:val="21"/>
                    </w:rPr>
                  </w:pPr>
                  <w:r>
                    <w:rPr>
                      <w:rFonts w:hint="eastAsia"/>
                      <w:color w:val="000000"/>
                      <w:sz w:val="21"/>
                      <w:szCs w:val="21"/>
                    </w:rPr>
                    <w:t>银丰国际生物城污水处理站出口</w:t>
                  </w:r>
                </w:p>
              </w:tc>
              <w:tc>
                <w:tcPr>
                  <w:tcW w:w="1636" w:type="dxa"/>
                  <w:vAlign w:val="center"/>
                </w:tcPr>
                <w:p>
                  <w:pPr>
                    <w:spacing w:line="240" w:lineRule="auto"/>
                    <w:ind w:firstLine="0" w:firstLineChars="0"/>
                    <w:jc w:val="center"/>
                    <w:rPr>
                      <w:sz w:val="21"/>
                      <w:szCs w:val="21"/>
                    </w:rPr>
                  </w:pPr>
                  <w:r>
                    <w:rPr>
                      <w:rFonts w:hint="eastAsia"/>
                      <w:sz w:val="21"/>
                      <w:szCs w:val="21"/>
                    </w:rPr>
                    <w:t>pH值</w:t>
                  </w:r>
                </w:p>
              </w:tc>
              <w:tc>
                <w:tcPr>
                  <w:tcW w:w="955" w:type="dxa"/>
                  <w:vAlign w:val="center"/>
                </w:tcPr>
                <w:p>
                  <w:pPr>
                    <w:spacing w:line="240" w:lineRule="auto"/>
                    <w:ind w:firstLine="0" w:firstLineChars="0"/>
                    <w:jc w:val="center"/>
                    <w:rPr>
                      <w:sz w:val="21"/>
                      <w:szCs w:val="21"/>
                    </w:rPr>
                  </w:pPr>
                  <w:r>
                    <w:rPr>
                      <w:rFonts w:hint="eastAsia"/>
                      <w:sz w:val="21"/>
                      <w:szCs w:val="21"/>
                    </w:rPr>
                    <w:t>/</w:t>
                  </w:r>
                </w:p>
              </w:tc>
              <w:tc>
                <w:tcPr>
                  <w:tcW w:w="0" w:type="auto"/>
                  <w:vAlign w:val="center"/>
                </w:tcPr>
                <w:p>
                  <w:pPr>
                    <w:spacing w:line="240" w:lineRule="auto"/>
                    <w:ind w:firstLine="0" w:firstLineChars="0"/>
                    <w:jc w:val="center"/>
                    <w:rPr>
                      <w:sz w:val="21"/>
                      <w:szCs w:val="21"/>
                    </w:rPr>
                  </w:pPr>
                  <w:r>
                    <w:rPr>
                      <w:rFonts w:hint="eastAsia"/>
                      <w:sz w:val="21"/>
                      <w:szCs w:val="21"/>
                    </w:rPr>
                    <w:t>7.5</w:t>
                  </w:r>
                </w:p>
              </w:tc>
              <w:tc>
                <w:tcPr>
                  <w:tcW w:w="0" w:type="auto"/>
                  <w:vAlign w:val="center"/>
                </w:tcPr>
                <w:p>
                  <w:pPr>
                    <w:spacing w:line="240" w:lineRule="auto"/>
                    <w:ind w:firstLine="0" w:firstLineChars="0"/>
                    <w:jc w:val="center"/>
                    <w:rPr>
                      <w:sz w:val="21"/>
                      <w:szCs w:val="21"/>
                    </w:rPr>
                  </w:pPr>
                  <w:r>
                    <w:rPr>
                      <w:rFonts w:hint="eastAsia"/>
                      <w:sz w:val="21"/>
                      <w:szCs w:val="21"/>
                    </w:rPr>
                    <w:t>7.4</w:t>
                  </w:r>
                </w:p>
              </w:tc>
              <w:tc>
                <w:tcPr>
                  <w:tcW w:w="0" w:type="auto"/>
                  <w:vAlign w:val="center"/>
                </w:tcPr>
                <w:p>
                  <w:pPr>
                    <w:spacing w:line="240" w:lineRule="auto"/>
                    <w:ind w:firstLine="0" w:firstLineChars="0"/>
                    <w:jc w:val="center"/>
                    <w:rPr>
                      <w:sz w:val="21"/>
                      <w:szCs w:val="21"/>
                    </w:rPr>
                  </w:pPr>
                  <w:r>
                    <w:rPr>
                      <w:rFonts w:hint="eastAsia"/>
                      <w:sz w:val="21"/>
                      <w:szCs w:val="21"/>
                    </w:rPr>
                    <w:t>7.5</w:t>
                  </w:r>
                </w:p>
              </w:tc>
              <w:tc>
                <w:tcPr>
                  <w:tcW w:w="0" w:type="auto"/>
                  <w:vAlign w:val="center"/>
                </w:tcPr>
                <w:p>
                  <w:pPr>
                    <w:spacing w:line="240" w:lineRule="auto"/>
                    <w:ind w:firstLine="0" w:firstLineChars="0"/>
                    <w:jc w:val="center"/>
                    <w:rPr>
                      <w:sz w:val="21"/>
                      <w:szCs w:val="21"/>
                    </w:rPr>
                  </w:pPr>
                  <w:r>
                    <w:rPr>
                      <w:rFonts w:hint="eastAsia"/>
                      <w:sz w:val="21"/>
                      <w:szCs w:val="21"/>
                    </w:rPr>
                    <w:t>7.5</w:t>
                  </w:r>
                </w:p>
              </w:tc>
              <w:tc>
                <w:tcPr>
                  <w:tcW w:w="0" w:type="auto"/>
                  <w:vAlign w:val="center"/>
                </w:tcPr>
                <w:p>
                  <w:pPr>
                    <w:spacing w:line="240" w:lineRule="auto"/>
                    <w:ind w:firstLine="0" w:firstLineChars="0"/>
                    <w:jc w:val="center"/>
                    <w:rPr>
                      <w:sz w:val="21"/>
                      <w:szCs w:val="21"/>
                    </w:rPr>
                  </w:pPr>
                  <w:r>
                    <w:rPr>
                      <w:rFonts w:hint="eastAsia"/>
                      <w:sz w:val="21"/>
                      <w:szCs w:val="21"/>
                    </w:rPr>
                    <w:t>7.4-7.5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氨氮</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10.3</w:t>
                  </w:r>
                </w:p>
              </w:tc>
              <w:tc>
                <w:tcPr>
                  <w:tcW w:w="0" w:type="auto"/>
                  <w:vAlign w:val="center"/>
                </w:tcPr>
                <w:p>
                  <w:pPr>
                    <w:spacing w:line="240" w:lineRule="auto"/>
                    <w:ind w:firstLine="0" w:firstLineChars="0"/>
                    <w:jc w:val="center"/>
                    <w:rPr>
                      <w:sz w:val="21"/>
                      <w:szCs w:val="21"/>
                    </w:rPr>
                  </w:pPr>
                  <w:r>
                    <w:rPr>
                      <w:rFonts w:hint="eastAsia"/>
                      <w:sz w:val="21"/>
                      <w:szCs w:val="21"/>
                    </w:rPr>
                    <w:t>13.4</w:t>
                  </w:r>
                </w:p>
              </w:tc>
              <w:tc>
                <w:tcPr>
                  <w:tcW w:w="0" w:type="auto"/>
                  <w:vAlign w:val="center"/>
                </w:tcPr>
                <w:p>
                  <w:pPr>
                    <w:spacing w:line="240" w:lineRule="auto"/>
                    <w:ind w:firstLine="0" w:firstLineChars="0"/>
                    <w:jc w:val="center"/>
                    <w:rPr>
                      <w:sz w:val="21"/>
                      <w:szCs w:val="21"/>
                    </w:rPr>
                  </w:pPr>
                  <w:r>
                    <w:rPr>
                      <w:rFonts w:hint="eastAsia"/>
                      <w:sz w:val="21"/>
                      <w:szCs w:val="21"/>
                    </w:rPr>
                    <w:t>11.5</w:t>
                  </w:r>
                </w:p>
              </w:tc>
              <w:tc>
                <w:tcPr>
                  <w:tcW w:w="0" w:type="auto"/>
                  <w:vAlign w:val="center"/>
                </w:tcPr>
                <w:p>
                  <w:pPr>
                    <w:spacing w:line="240" w:lineRule="auto"/>
                    <w:ind w:firstLine="0" w:firstLineChars="0"/>
                    <w:jc w:val="center"/>
                    <w:rPr>
                      <w:sz w:val="21"/>
                      <w:szCs w:val="21"/>
                    </w:rPr>
                  </w:pPr>
                  <w:r>
                    <w:rPr>
                      <w:rFonts w:hint="eastAsia"/>
                      <w:sz w:val="21"/>
                      <w:szCs w:val="21"/>
                    </w:rPr>
                    <w:t>9.74</w:t>
                  </w:r>
                </w:p>
              </w:tc>
              <w:tc>
                <w:tcPr>
                  <w:tcW w:w="0" w:type="auto"/>
                  <w:vAlign w:val="center"/>
                </w:tcPr>
                <w:p>
                  <w:pPr>
                    <w:spacing w:line="240" w:lineRule="auto"/>
                    <w:ind w:firstLine="0" w:firstLineChars="0"/>
                    <w:jc w:val="center"/>
                    <w:rPr>
                      <w:sz w:val="21"/>
                      <w:szCs w:val="21"/>
                    </w:rPr>
                  </w:pPr>
                  <w:r>
                    <w:rPr>
                      <w:rFonts w:hint="eastAsia"/>
                      <w:sz w:val="21"/>
                      <w:szCs w:val="21"/>
                    </w:rPr>
                    <w:t>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化学需氧量</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123</w:t>
                  </w:r>
                </w:p>
              </w:tc>
              <w:tc>
                <w:tcPr>
                  <w:tcW w:w="0" w:type="auto"/>
                  <w:vAlign w:val="center"/>
                </w:tcPr>
                <w:p>
                  <w:pPr>
                    <w:spacing w:line="240" w:lineRule="auto"/>
                    <w:ind w:firstLine="0" w:firstLineChars="0"/>
                    <w:jc w:val="center"/>
                    <w:rPr>
                      <w:sz w:val="21"/>
                      <w:szCs w:val="21"/>
                    </w:rPr>
                  </w:pPr>
                  <w:r>
                    <w:rPr>
                      <w:rFonts w:hint="eastAsia"/>
                      <w:sz w:val="21"/>
                      <w:szCs w:val="21"/>
                    </w:rPr>
                    <w:t>135</w:t>
                  </w:r>
                </w:p>
              </w:tc>
              <w:tc>
                <w:tcPr>
                  <w:tcW w:w="0" w:type="auto"/>
                  <w:vAlign w:val="center"/>
                </w:tcPr>
                <w:p>
                  <w:pPr>
                    <w:spacing w:line="240" w:lineRule="auto"/>
                    <w:ind w:firstLine="0" w:firstLineChars="0"/>
                    <w:jc w:val="center"/>
                    <w:rPr>
                      <w:sz w:val="21"/>
                      <w:szCs w:val="21"/>
                    </w:rPr>
                  </w:pPr>
                  <w:r>
                    <w:rPr>
                      <w:rFonts w:hint="eastAsia"/>
                      <w:sz w:val="21"/>
                      <w:szCs w:val="21"/>
                    </w:rPr>
                    <w:t>130</w:t>
                  </w:r>
                </w:p>
              </w:tc>
              <w:tc>
                <w:tcPr>
                  <w:tcW w:w="0" w:type="auto"/>
                  <w:vAlign w:val="center"/>
                </w:tcPr>
                <w:p>
                  <w:pPr>
                    <w:spacing w:line="240" w:lineRule="auto"/>
                    <w:ind w:firstLine="0" w:firstLineChars="0"/>
                    <w:jc w:val="center"/>
                    <w:rPr>
                      <w:sz w:val="21"/>
                      <w:szCs w:val="21"/>
                    </w:rPr>
                  </w:pPr>
                  <w:r>
                    <w:rPr>
                      <w:rFonts w:hint="eastAsia"/>
                      <w:sz w:val="21"/>
                      <w:szCs w:val="21"/>
                    </w:rPr>
                    <w:t>126</w:t>
                  </w:r>
                </w:p>
              </w:tc>
              <w:tc>
                <w:tcPr>
                  <w:tcW w:w="0" w:type="auto"/>
                  <w:vAlign w:val="center"/>
                </w:tcPr>
                <w:p>
                  <w:pPr>
                    <w:spacing w:line="240" w:lineRule="auto"/>
                    <w:ind w:firstLine="0" w:firstLineChars="0"/>
                    <w:jc w:val="center"/>
                    <w:rPr>
                      <w:sz w:val="21"/>
                      <w:szCs w:val="21"/>
                    </w:rPr>
                  </w:pPr>
                  <w:r>
                    <w:rPr>
                      <w:rFonts w:hint="eastAsia"/>
                      <w:sz w:val="21"/>
                      <w:szCs w:val="21"/>
                    </w:rPr>
                    <w:t>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总磷</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1.93</w:t>
                  </w:r>
                </w:p>
              </w:tc>
              <w:tc>
                <w:tcPr>
                  <w:tcW w:w="0" w:type="auto"/>
                  <w:vAlign w:val="center"/>
                </w:tcPr>
                <w:p>
                  <w:pPr>
                    <w:spacing w:line="240" w:lineRule="auto"/>
                    <w:ind w:firstLine="0" w:firstLineChars="0"/>
                    <w:jc w:val="center"/>
                    <w:rPr>
                      <w:sz w:val="21"/>
                      <w:szCs w:val="21"/>
                    </w:rPr>
                  </w:pPr>
                  <w:r>
                    <w:rPr>
                      <w:rFonts w:hint="eastAsia"/>
                      <w:sz w:val="21"/>
                      <w:szCs w:val="21"/>
                    </w:rPr>
                    <w:t>1.71</w:t>
                  </w:r>
                </w:p>
              </w:tc>
              <w:tc>
                <w:tcPr>
                  <w:tcW w:w="0" w:type="auto"/>
                  <w:vAlign w:val="center"/>
                </w:tcPr>
                <w:p>
                  <w:pPr>
                    <w:spacing w:line="240" w:lineRule="auto"/>
                    <w:ind w:firstLine="0" w:firstLineChars="0"/>
                    <w:jc w:val="center"/>
                    <w:rPr>
                      <w:sz w:val="21"/>
                      <w:szCs w:val="21"/>
                    </w:rPr>
                  </w:pPr>
                  <w:r>
                    <w:rPr>
                      <w:rFonts w:hint="eastAsia"/>
                      <w:sz w:val="21"/>
                      <w:szCs w:val="21"/>
                    </w:rPr>
                    <w:t>1.85</w:t>
                  </w:r>
                </w:p>
              </w:tc>
              <w:tc>
                <w:tcPr>
                  <w:tcW w:w="0" w:type="auto"/>
                  <w:vAlign w:val="center"/>
                </w:tcPr>
                <w:p>
                  <w:pPr>
                    <w:spacing w:line="240" w:lineRule="auto"/>
                    <w:ind w:firstLine="0" w:firstLineChars="0"/>
                    <w:jc w:val="center"/>
                    <w:rPr>
                      <w:sz w:val="21"/>
                      <w:szCs w:val="21"/>
                    </w:rPr>
                  </w:pPr>
                  <w:r>
                    <w:rPr>
                      <w:rFonts w:hint="eastAsia"/>
                      <w:sz w:val="21"/>
                      <w:szCs w:val="21"/>
                    </w:rPr>
                    <w:t>2.14</w:t>
                  </w:r>
                </w:p>
              </w:tc>
              <w:tc>
                <w:tcPr>
                  <w:tcW w:w="0" w:type="auto"/>
                  <w:vAlign w:val="center"/>
                </w:tcPr>
                <w:p>
                  <w:pPr>
                    <w:spacing w:line="240" w:lineRule="auto"/>
                    <w:ind w:firstLine="0" w:firstLineChars="0"/>
                    <w:jc w:val="center"/>
                    <w:rPr>
                      <w:sz w:val="21"/>
                      <w:szCs w:val="21"/>
                    </w:rPr>
                  </w:pPr>
                  <w:r>
                    <w:rPr>
                      <w:rFonts w:hint="eastAsia"/>
                      <w:b/>
                      <w:bCs/>
                      <w:sz w:val="21"/>
                      <w:szCs w:val="21"/>
                    </w:rPr>
                    <w:t>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悬浮物</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20</w:t>
                  </w:r>
                </w:p>
              </w:tc>
              <w:tc>
                <w:tcPr>
                  <w:tcW w:w="0" w:type="auto"/>
                  <w:vAlign w:val="center"/>
                </w:tcPr>
                <w:p>
                  <w:pPr>
                    <w:spacing w:line="240" w:lineRule="auto"/>
                    <w:ind w:firstLine="0" w:firstLineChars="0"/>
                    <w:jc w:val="center"/>
                    <w:rPr>
                      <w:sz w:val="21"/>
                      <w:szCs w:val="21"/>
                    </w:rPr>
                  </w:pPr>
                  <w:r>
                    <w:rPr>
                      <w:rFonts w:hint="eastAsia"/>
                      <w:sz w:val="21"/>
                      <w:szCs w:val="21"/>
                    </w:rPr>
                    <w:t>7</w:t>
                  </w:r>
                </w:p>
              </w:tc>
              <w:tc>
                <w:tcPr>
                  <w:tcW w:w="0" w:type="auto"/>
                  <w:vAlign w:val="center"/>
                </w:tcPr>
                <w:p>
                  <w:pPr>
                    <w:spacing w:line="240" w:lineRule="auto"/>
                    <w:ind w:firstLine="0" w:firstLineChars="0"/>
                    <w:jc w:val="center"/>
                    <w:rPr>
                      <w:sz w:val="21"/>
                      <w:szCs w:val="21"/>
                    </w:rPr>
                  </w:pPr>
                  <w:r>
                    <w:rPr>
                      <w:rFonts w:hint="eastAsia"/>
                      <w:sz w:val="21"/>
                      <w:szCs w:val="21"/>
                    </w:rPr>
                    <w:t>17</w:t>
                  </w:r>
                </w:p>
              </w:tc>
              <w:tc>
                <w:tcPr>
                  <w:tcW w:w="0" w:type="auto"/>
                  <w:vAlign w:val="center"/>
                </w:tcPr>
                <w:p>
                  <w:pPr>
                    <w:spacing w:line="240" w:lineRule="auto"/>
                    <w:ind w:firstLine="0" w:firstLineChars="0"/>
                    <w:jc w:val="center"/>
                    <w:rPr>
                      <w:sz w:val="21"/>
                      <w:szCs w:val="21"/>
                    </w:rPr>
                  </w:pPr>
                  <w:r>
                    <w:rPr>
                      <w:rFonts w:hint="eastAsia"/>
                      <w:sz w:val="21"/>
                      <w:szCs w:val="21"/>
                    </w:rPr>
                    <w:t>12</w:t>
                  </w:r>
                </w:p>
              </w:tc>
              <w:tc>
                <w:tcPr>
                  <w:tcW w:w="0" w:type="auto"/>
                  <w:vAlign w:val="center"/>
                </w:tcPr>
                <w:p>
                  <w:pPr>
                    <w:spacing w:line="240" w:lineRule="auto"/>
                    <w:ind w:firstLine="0" w:firstLineChars="0"/>
                    <w:jc w:val="center"/>
                    <w:rPr>
                      <w:sz w:val="21"/>
                      <w:szCs w:val="21"/>
                    </w:rPr>
                  </w:pPr>
                  <w:r>
                    <w:rPr>
                      <w:rFonts w:hint="eastAsia"/>
                      <w:b/>
                      <w:bCs/>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溶解性总固体</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387</w:t>
                  </w:r>
                </w:p>
              </w:tc>
              <w:tc>
                <w:tcPr>
                  <w:tcW w:w="0" w:type="auto"/>
                  <w:vAlign w:val="center"/>
                </w:tcPr>
                <w:p>
                  <w:pPr>
                    <w:spacing w:line="240" w:lineRule="auto"/>
                    <w:ind w:firstLine="0" w:firstLineChars="0"/>
                    <w:jc w:val="center"/>
                    <w:rPr>
                      <w:sz w:val="21"/>
                      <w:szCs w:val="21"/>
                    </w:rPr>
                  </w:pPr>
                  <w:r>
                    <w:rPr>
                      <w:rFonts w:hint="eastAsia"/>
                      <w:sz w:val="21"/>
                      <w:szCs w:val="21"/>
                    </w:rPr>
                    <w:t>462</w:t>
                  </w:r>
                </w:p>
              </w:tc>
              <w:tc>
                <w:tcPr>
                  <w:tcW w:w="0" w:type="auto"/>
                  <w:vAlign w:val="center"/>
                </w:tcPr>
                <w:p>
                  <w:pPr>
                    <w:spacing w:line="240" w:lineRule="auto"/>
                    <w:ind w:firstLine="0" w:firstLineChars="0"/>
                    <w:jc w:val="center"/>
                    <w:rPr>
                      <w:sz w:val="21"/>
                      <w:szCs w:val="21"/>
                    </w:rPr>
                  </w:pPr>
                  <w:r>
                    <w:rPr>
                      <w:rFonts w:hint="eastAsia"/>
                      <w:sz w:val="21"/>
                      <w:szCs w:val="21"/>
                    </w:rPr>
                    <w:t>392</w:t>
                  </w:r>
                </w:p>
              </w:tc>
              <w:tc>
                <w:tcPr>
                  <w:tcW w:w="0" w:type="auto"/>
                  <w:vAlign w:val="center"/>
                </w:tcPr>
                <w:p>
                  <w:pPr>
                    <w:spacing w:line="240" w:lineRule="auto"/>
                    <w:ind w:firstLine="0" w:firstLineChars="0"/>
                    <w:jc w:val="center"/>
                    <w:rPr>
                      <w:sz w:val="21"/>
                      <w:szCs w:val="21"/>
                    </w:rPr>
                  </w:pPr>
                  <w:r>
                    <w:rPr>
                      <w:rFonts w:hint="eastAsia"/>
                      <w:sz w:val="21"/>
                      <w:szCs w:val="21"/>
                    </w:rPr>
                    <w:t>404</w:t>
                  </w:r>
                </w:p>
              </w:tc>
              <w:tc>
                <w:tcPr>
                  <w:tcW w:w="0" w:type="auto"/>
                  <w:vAlign w:val="center"/>
                </w:tcPr>
                <w:p>
                  <w:pPr>
                    <w:spacing w:line="240" w:lineRule="auto"/>
                    <w:ind w:firstLine="0" w:firstLineChars="0"/>
                    <w:jc w:val="center"/>
                    <w:rPr>
                      <w:sz w:val="21"/>
                      <w:szCs w:val="21"/>
                    </w:rPr>
                  </w:pPr>
                  <w:r>
                    <w:rPr>
                      <w:rFonts w:hint="eastAsia"/>
                      <w:sz w:val="21"/>
                      <w:szCs w:val="21"/>
                    </w:rPr>
                    <w:t>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生化需氧量</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33.7</w:t>
                  </w:r>
                </w:p>
              </w:tc>
              <w:tc>
                <w:tcPr>
                  <w:tcW w:w="0" w:type="auto"/>
                  <w:vAlign w:val="center"/>
                </w:tcPr>
                <w:p>
                  <w:pPr>
                    <w:spacing w:line="240" w:lineRule="auto"/>
                    <w:ind w:firstLine="0" w:firstLineChars="0"/>
                    <w:jc w:val="center"/>
                    <w:rPr>
                      <w:sz w:val="21"/>
                      <w:szCs w:val="21"/>
                    </w:rPr>
                  </w:pPr>
                  <w:r>
                    <w:rPr>
                      <w:rFonts w:hint="eastAsia"/>
                      <w:sz w:val="21"/>
                      <w:szCs w:val="21"/>
                    </w:rPr>
                    <w:t>39.1</w:t>
                  </w:r>
                </w:p>
              </w:tc>
              <w:tc>
                <w:tcPr>
                  <w:tcW w:w="0" w:type="auto"/>
                  <w:vAlign w:val="center"/>
                </w:tcPr>
                <w:p>
                  <w:pPr>
                    <w:spacing w:line="240" w:lineRule="auto"/>
                    <w:ind w:firstLine="0" w:firstLineChars="0"/>
                    <w:jc w:val="center"/>
                    <w:rPr>
                      <w:sz w:val="21"/>
                      <w:szCs w:val="21"/>
                    </w:rPr>
                  </w:pPr>
                  <w:r>
                    <w:rPr>
                      <w:rFonts w:hint="eastAsia"/>
                      <w:sz w:val="21"/>
                      <w:szCs w:val="21"/>
                    </w:rPr>
                    <w:t>37.8</w:t>
                  </w:r>
                </w:p>
              </w:tc>
              <w:tc>
                <w:tcPr>
                  <w:tcW w:w="0" w:type="auto"/>
                  <w:vAlign w:val="center"/>
                </w:tcPr>
                <w:p>
                  <w:pPr>
                    <w:spacing w:line="240" w:lineRule="auto"/>
                    <w:ind w:firstLine="0" w:firstLineChars="0"/>
                    <w:jc w:val="center"/>
                    <w:rPr>
                      <w:sz w:val="21"/>
                      <w:szCs w:val="21"/>
                    </w:rPr>
                  </w:pPr>
                  <w:r>
                    <w:rPr>
                      <w:rFonts w:hint="eastAsia"/>
                      <w:sz w:val="21"/>
                      <w:szCs w:val="21"/>
                    </w:rPr>
                    <w:t>35.2</w:t>
                  </w:r>
                </w:p>
              </w:tc>
              <w:tc>
                <w:tcPr>
                  <w:tcW w:w="0" w:type="auto"/>
                  <w:vAlign w:val="center"/>
                </w:tcPr>
                <w:p>
                  <w:pPr>
                    <w:spacing w:line="240" w:lineRule="auto"/>
                    <w:ind w:firstLine="0" w:firstLineChars="0"/>
                    <w:jc w:val="center"/>
                    <w:rPr>
                      <w:sz w:val="21"/>
                      <w:szCs w:val="21"/>
                    </w:rPr>
                  </w:pPr>
                  <w:r>
                    <w:rPr>
                      <w:rFonts w:hint="eastAsia"/>
                      <w:sz w:val="21"/>
                      <w:szCs w:val="21"/>
                    </w:rPr>
                    <w:t>36.4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restart"/>
                  <w:vAlign w:val="center"/>
                </w:tcPr>
                <w:p>
                  <w:pPr>
                    <w:spacing w:line="240" w:lineRule="auto"/>
                    <w:ind w:firstLine="0" w:firstLineChars="0"/>
                    <w:jc w:val="center"/>
                    <w:rPr>
                      <w:b/>
                      <w:bCs/>
                      <w:sz w:val="21"/>
                      <w:szCs w:val="21"/>
                    </w:rPr>
                  </w:pPr>
                  <w:r>
                    <w:rPr>
                      <w:rFonts w:hint="eastAsia"/>
                      <w:b/>
                      <w:bCs/>
                      <w:sz w:val="21"/>
                      <w:szCs w:val="21"/>
                    </w:rPr>
                    <w:t>采样点位</w:t>
                  </w:r>
                </w:p>
              </w:tc>
              <w:tc>
                <w:tcPr>
                  <w:tcW w:w="1636" w:type="dxa"/>
                  <w:vMerge w:val="restart"/>
                  <w:vAlign w:val="center"/>
                </w:tcPr>
                <w:p>
                  <w:pPr>
                    <w:spacing w:line="240" w:lineRule="auto"/>
                    <w:ind w:firstLine="0" w:firstLineChars="0"/>
                    <w:jc w:val="center"/>
                    <w:rPr>
                      <w:b/>
                      <w:bCs/>
                      <w:sz w:val="21"/>
                      <w:szCs w:val="21"/>
                    </w:rPr>
                  </w:pPr>
                  <w:r>
                    <w:rPr>
                      <w:rFonts w:hint="eastAsia"/>
                      <w:b/>
                      <w:bCs/>
                      <w:sz w:val="21"/>
                      <w:szCs w:val="21"/>
                    </w:rPr>
                    <w:t>检测项目</w:t>
                  </w:r>
                </w:p>
              </w:tc>
              <w:tc>
                <w:tcPr>
                  <w:tcW w:w="955" w:type="dxa"/>
                  <w:vMerge w:val="restart"/>
                  <w:vAlign w:val="center"/>
                </w:tcPr>
                <w:p>
                  <w:pPr>
                    <w:spacing w:line="240" w:lineRule="auto"/>
                    <w:ind w:firstLine="0" w:firstLineChars="0"/>
                    <w:jc w:val="center"/>
                    <w:rPr>
                      <w:b/>
                      <w:bCs/>
                      <w:sz w:val="21"/>
                      <w:szCs w:val="21"/>
                    </w:rPr>
                  </w:pPr>
                  <w:r>
                    <w:rPr>
                      <w:rFonts w:hint="eastAsia"/>
                      <w:b/>
                      <w:bCs/>
                      <w:sz w:val="21"/>
                      <w:szCs w:val="21"/>
                    </w:rPr>
                    <w:t>计量</w:t>
                  </w:r>
                </w:p>
                <w:p>
                  <w:pPr>
                    <w:spacing w:line="240" w:lineRule="auto"/>
                    <w:ind w:firstLine="0" w:firstLineChars="0"/>
                    <w:jc w:val="center"/>
                    <w:rPr>
                      <w:b/>
                      <w:bCs/>
                      <w:sz w:val="21"/>
                      <w:szCs w:val="21"/>
                    </w:rPr>
                  </w:pPr>
                  <w:r>
                    <w:rPr>
                      <w:rFonts w:hint="eastAsia"/>
                      <w:b/>
                      <w:bCs/>
                      <w:sz w:val="21"/>
                      <w:szCs w:val="21"/>
                    </w:rPr>
                    <w:t>单位</w:t>
                  </w:r>
                </w:p>
              </w:tc>
              <w:tc>
                <w:tcPr>
                  <w:tcW w:w="0" w:type="auto"/>
                  <w:gridSpan w:val="4"/>
                  <w:vAlign w:val="center"/>
                </w:tcPr>
                <w:p>
                  <w:pPr>
                    <w:spacing w:line="240" w:lineRule="auto"/>
                    <w:ind w:firstLine="0" w:firstLineChars="0"/>
                    <w:jc w:val="center"/>
                    <w:rPr>
                      <w:b/>
                      <w:bCs/>
                      <w:sz w:val="21"/>
                      <w:szCs w:val="21"/>
                    </w:rPr>
                  </w:pPr>
                  <w:r>
                    <w:rPr>
                      <w:rFonts w:hint="eastAsia"/>
                      <w:b/>
                      <w:bCs/>
                      <w:sz w:val="21"/>
                      <w:szCs w:val="21"/>
                    </w:rPr>
                    <w:t>检测结果</w:t>
                  </w:r>
                </w:p>
              </w:tc>
              <w:tc>
                <w:tcPr>
                  <w:tcW w:w="0" w:type="auto"/>
                  <w:vMerge w:val="restart"/>
                  <w:vAlign w:val="center"/>
                </w:tcPr>
                <w:p>
                  <w:pPr>
                    <w:spacing w:line="240" w:lineRule="auto"/>
                    <w:ind w:firstLine="0" w:firstLineChars="0"/>
                    <w:jc w:val="center"/>
                    <w:rPr>
                      <w:b/>
                      <w:bCs/>
                      <w:sz w:val="21"/>
                      <w:szCs w:val="21"/>
                    </w:rPr>
                  </w:pPr>
                  <w:r>
                    <w:rPr>
                      <w:rFonts w:hint="eastAsia"/>
                      <w:b/>
                      <w:bCs/>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b/>
                      <w:bCs/>
                      <w:sz w:val="21"/>
                      <w:szCs w:val="21"/>
                    </w:rPr>
                  </w:pPr>
                </w:p>
              </w:tc>
              <w:tc>
                <w:tcPr>
                  <w:tcW w:w="1636" w:type="dxa"/>
                  <w:vMerge w:val="continue"/>
                  <w:vAlign w:val="center"/>
                </w:tcPr>
                <w:p>
                  <w:pPr>
                    <w:spacing w:line="240" w:lineRule="auto"/>
                    <w:ind w:firstLine="0" w:firstLineChars="0"/>
                    <w:jc w:val="center"/>
                    <w:rPr>
                      <w:b/>
                      <w:bCs/>
                      <w:sz w:val="21"/>
                      <w:szCs w:val="21"/>
                    </w:rPr>
                  </w:pPr>
                </w:p>
              </w:tc>
              <w:tc>
                <w:tcPr>
                  <w:tcW w:w="955" w:type="dxa"/>
                  <w:vMerge w:val="continue"/>
                  <w:vAlign w:val="center"/>
                </w:tcPr>
                <w:p>
                  <w:pPr>
                    <w:spacing w:line="240" w:lineRule="auto"/>
                    <w:ind w:firstLine="0" w:firstLineChars="0"/>
                    <w:jc w:val="center"/>
                    <w:rPr>
                      <w:b/>
                      <w:bCs/>
                      <w:sz w:val="21"/>
                      <w:szCs w:val="21"/>
                    </w:rPr>
                  </w:pPr>
                </w:p>
              </w:tc>
              <w:tc>
                <w:tcPr>
                  <w:tcW w:w="0" w:type="auto"/>
                  <w:vAlign w:val="center"/>
                </w:tcPr>
                <w:p>
                  <w:pPr>
                    <w:spacing w:line="240" w:lineRule="auto"/>
                    <w:ind w:firstLine="0" w:firstLineChars="0"/>
                    <w:jc w:val="center"/>
                    <w:rPr>
                      <w:b/>
                      <w:bCs/>
                      <w:sz w:val="21"/>
                      <w:szCs w:val="21"/>
                    </w:rPr>
                  </w:pPr>
                  <w:r>
                    <w:rPr>
                      <w:rFonts w:hint="eastAsia"/>
                      <w:b/>
                      <w:bCs/>
                      <w:sz w:val="21"/>
                      <w:szCs w:val="21"/>
                    </w:rPr>
                    <w:t>02月24日</w:t>
                  </w:r>
                </w:p>
                <w:p>
                  <w:pPr>
                    <w:spacing w:line="240" w:lineRule="auto"/>
                    <w:ind w:firstLine="0" w:firstLineChars="0"/>
                    <w:jc w:val="center"/>
                    <w:rPr>
                      <w:b/>
                      <w:bCs/>
                      <w:sz w:val="21"/>
                      <w:szCs w:val="21"/>
                    </w:rPr>
                  </w:pPr>
                  <w:r>
                    <w:rPr>
                      <w:rFonts w:hint="eastAsia"/>
                      <w:b/>
                      <w:bCs/>
                      <w:sz w:val="21"/>
                      <w:szCs w:val="21"/>
                    </w:rPr>
                    <w:t>第一次</w:t>
                  </w:r>
                </w:p>
              </w:tc>
              <w:tc>
                <w:tcPr>
                  <w:tcW w:w="0" w:type="auto"/>
                  <w:vAlign w:val="center"/>
                </w:tcPr>
                <w:p>
                  <w:pPr>
                    <w:spacing w:line="240" w:lineRule="auto"/>
                    <w:ind w:firstLine="0" w:firstLineChars="0"/>
                    <w:jc w:val="center"/>
                    <w:rPr>
                      <w:b/>
                      <w:bCs/>
                      <w:sz w:val="21"/>
                      <w:szCs w:val="21"/>
                    </w:rPr>
                  </w:pPr>
                  <w:r>
                    <w:rPr>
                      <w:rFonts w:hint="eastAsia"/>
                      <w:b/>
                      <w:bCs/>
                      <w:sz w:val="21"/>
                      <w:szCs w:val="21"/>
                    </w:rPr>
                    <w:t>02月24日</w:t>
                  </w:r>
                </w:p>
                <w:p>
                  <w:pPr>
                    <w:spacing w:line="240" w:lineRule="auto"/>
                    <w:ind w:firstLine="0" w:firstLineChars="0"/>
                    <w:jc w:val="center"/>
                    <w:rPr>
                      <w:b/>
                      <w:bCs/>
                      <w:sz w:val="21"/>
                      <w:szCs w:val="21"/>
                    </w:rPr>
                  </w:pPr>
                  <w:r>
                    <w:rPr>
                      <w:rFonts w:hint="eastAsia"/>
                      <w:b/>
                      <w:bCs/>
                      <w:sz w:val="21"/>
                      <w:szCs w:val="21"/>
                    </w:rPr>
                    <w:t>第二次</w:t>
                  </w:r>
                </w:p>
              </w:tc>
              <w:tc>
                <w:tcPr>
                  <w:tcW w:w="0" w:type="auto"/>
                  <w:vAlign w:val="center"/>
                </w:tcPr>
                <w:p>
                  <w:pPr>
                    <w:spacing w:line="240" w:lineRule="auto"/>
                    <w:ind w:firstLine="0" w:firstLineChars="0"/>
                    <w:jc w:val="center"/>
                    <w:rPr>
                      <w:b/>
                      <w:bCs/>
                      <w:sz w:val="21"/>
                      <w:szCs w:val="21"/>
                    </w:rPr>
                  </w:pPr>
                  <w:r>
                    <w:rPr>
                      <w:rFonts w:hint="eastAsia"/>
                      <w:b/>
                      <w:bCs/>
                      <w:sz w:val="21"/>
                      <w:szCs w:val="21"/>
                    </w:rPr>
                    <w:t>02月24日</w:t>
                  </w:r>
                </w:p>
                <w:p>
                  <w:pPr>
                    <w:spacing w:line="240" w:lineRule="auto"/>
                    <w:ind w:firstLine="0" w:firstLineChars="0"/>
                    <w:jc w:val="center"/>
                    <w:rPr>
                      <w:b/>
                      <w:bCs/>
                      <w:sz w:val="21"/>
                      <w:szCs w:val="21"/>
                    </w:rPr>
                  </w:pPr>
                  <w:r>
                    <w:rPr>
                      <w:rFonts w:hint="eastAsia"/>
                      <w:b/>
                      <w:bCs/>
                      <w:sz w:val="21"/>
                      <w:szCs w:val="21"/>
                    </w:rPr>
                    <w:t>第三次</w:t>
                  </w:r>
                </w:p>
              </w:tc>
              <w:tc>
                <w:tcPr>
                  <w:tcW w:w="0" w:type="auto"/>
                  <w:vAlign w:val="center"/>
                </w:tcPr>
                <w:p>
                  <w:pPr>
                    <w:spacing w:line="240" w:lineRule="auto"/>
                    <w:ind w:firstLine="0" w:firstLineChars="0"/>
                    <w:jc w:val="center"/>
                    <w:rPr>
                      <w:b/>
                      <w:bCs/>
                      <w:sz w:val="21"/>
                      <w:szCs w:val="21"/>
                    </w:rPr>
                  </w:pPr>
                  <w:r>
                    <w:rPr>
                      <w:rFonts w:hint="eastAsia"/>
                      <w:b/>
                      <w:bCs/>
                      <w:sz w:val="21"/>
                      <w:szCs w:val="21"/>
                    </w:rPr>
                    <w:t>02月24日</w:t>
                  </w:r>
                </w:p>
                <w:p>
                  <w:pPr>
                    <w:spacing w:line="240" w:lineRule="auto"/>
                    <w:ind w:firstLine="0" w:firstLineChars="0"/>
                    <w:jc w:val="center"/>
                    <w:rPr>
                      <w:b/>
                      <w:bCs/>
                      <w:sz w:val="21"/>
                      <w:szCs w:val="21"/>
                    </w:rPr>
                  </w:pPr>
                  <w:r>
                    <w:rPr>
                      <w:rFonts w:hint="eastAsia"/>
                      <w:b/>
                      <w:bCs/>
                      <w:sz w:val="21"/>
                      <w:szCs w:val="21"/>
                    </w:rPr>
                    <w:t>第四次</w:t>
                  </w:r>
                </w:p>
              </w:tc>
              <w:tc>
                <w:tcPr>
                  <w:tcW w:w="0" w:type="auto"/>
                  <w:vMerge w:val="continue"/>
                  <w:vAlign w:val="center"/>
                </w:tcPr>
                <w:p>
                  <w:pPr>
                    <w:spacing w:line="240" w:lineRule="auto"/>
                    <w:ind w:firstLine="0" w:firstLineChars="0"/>
                    <w:jc w:val="center"/>
                    <w:rPr>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restart"/>
                  <w:vAlign w:val="center"/>
                </w:tcPr>
                <w:p>
                  <w:pPr>
                    <w:spacing w:line="240" w:lineRule="auto"/>
                    <w:ind w:firstLine="0" w:firstLineChars="0"/>
                    <w:jc w:val="center"/>
                    <w:rPr>
                      <w:sz w:val="21"/>
                      <w:szCs w:val="21"/>
                    </w:rPr>
                  </w:pPr>
                  <w:r>
                    <w:rPr>
                      <w:rFonts w:hint="eastAsia"/>
                      <w:sz w:val="21"/>
                      <w:szCs w:val="21"/>
                    </w:rPr>
                    <w:t>企业污水总排口</w:t>
                  </w:r>
                </w:p>
              </w:tc>
              <w:tc>
                <w:tcPr>
                  <w:tcW w:w="1636" w:type="dxa"/>
                  <w:vAlign w:val="center"/>
                </w:tcPr>
                <w:p>
                  <w:pPr>
                    <w:spacing w:line="240" w:lineRule="auto"/>
                    <w:ind w:firstLine="0" w:firstLineChars="0"/>
                    <w:jc w:val="center"/>
                    <w:rPr>
                      <w:sz w:val="21"/>
                      <w:szCs w:val="21"/>
                    </w:rPr>
                  </w:pPr>
                  <w:r>
                    <w:rPr>
                      <w:rFonts w:hint="eastAsia"/>
                      <w:sz w:val="21"/>
                      <w:szCs w:val="21"/>
                    </w:rPr>
                    <w:t>氨氮</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43.2</w:t>
                  </w:r>
                </w:p>
              </w:tc>
              <w:tc>
                <w:tcPr>
                  <w:tcW w:w="0" w:type="auto"/>
                  <w:vAlign w:val="center"/>
                </w:tcPr>
                <w:p>
                  <w:pPr>
                    <w:spacing w:line="240" w:lineRule="auto"/>
                    <w:ind w:firstLine="0" w:firstLineChars="0"/>
                    <w:jc w:val="center"/>
                    <w:rPr>
                      <w:sz w:val="21"/>
                      <w:szCs w:val="21"/>
                    </w:rPr>
                  </w:pPr>
                  <w:r>
                    <w:rPr>
                      <w:rFonts w:hint="eastAsia"/>
                      <w:sz w:val="21"/>
                      <w:szCs w:val="21"/>
                    </w:rPr>
                    <w:t>45.0</w:t>
                  </w:r>
                </w:p>
              </w:tc>
              <w:tc>
                <w:tcPr>
                  <w:tcW w:w="0" w:type="auto"/>
                  <w:vAlign w:val="center"/>
                </w:tcPr>
                <w:p>
                  <w:pPr>
                    <w:spacing w:line="240" w:lineRule="auto"/>
                    <w:ind w:firstLine="0" w:firstLineChars="0"/>
                    <w:jc w:val="center"/>
                    <w:rPr>
                      <w:sz w:val="21"/>
                      <w:szCs w:val="21"/>
                    </w:rPr>
                  </w:pPr>
                  <w:r>
                    <w:rPr>
                      <w:rFonts w:hint="eastAsia"/>
                      <w:sz w:val="21"/>
                      <w:szCs w:val="21"/>
                    </w:rPr>
                    <w:t>42.5</w:t>
                  </w:r>
                </w:p>
              </w:tc>
              <w:tc>
                <w:tcPr>
                  <w:tcW w:w="0" w:type="auto"/>
                  <w:vAlign w:val="center"/>
                </w:tcPr>
                <w:p>
                  <w:pPr>
                    <w:spacing w:line="240" w:lineRule="auto"/>
                    <w:ind w:firstLine="0" w:firstLineChars="0"/>
                    <w:jc w:val="center"/>
                    <w:rPr>
                      <w:sz w:val="21"/>
                      <w:szCs w:val="21"/>
                    </w:rPr>
                  </w:pPr>
                  <w:r>
                    <w:rPr>
                      <w:rFonts w:hint="eastAsia"/>
                      <w:sz w:val="21"/>
                      <w:szCs w:val="21"/>
                    </w:rPr>
                    <w:t>40.7</w:t>
                  </w:r>
                </w:p>
              </w:tc>
              <w:tc>
                <w:tcPr>
                  <w:tcW w:w="0" w:type="auto"/>
                  <w:vAlign w:val="center"/>
                </w:tcPr>
                <w:p>
                  <w:pPr>
                    <w:spacing w:line="240" w:lineRule="auto"/>
                    <w:ind w:firstLine="0" w:firstLineChars="0"/>
                    <w:jc w:val="center"/>
                    <w:rPr>
                      <w:b/>
                      <w:bCs/>
                      <w:sz w:val="21"/>
                      <w:szCs w:val="21"/>
                    </w:rPr>
                  </w:pPr>
                  <w:r>
                    <w:rPr>
                      <w:rFonts w:hint="eastAsia"/>
                      <w:b/>
                      <w:bCs/>
                      <w:sz w:val="21"/>
                      <w:szCs w:val="21"/>
                    </w:rPr>
                    <w:t>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化学需氧量</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324</w:t>
                  </w:r>
                </w:p>
              </w:tc>
              <w:tc>
                <w:tcPr>
                  <w:tcW w:w="0" w:type="auto"/>
                  <w:vAlign w:val="center"/>
                </w:tcPr>
                <w:p>
                  <w:pPr>
                    <w:spacing w:line="240" w:lineRule="auto"/>
                    <w:ind w:firstLine="0" w:firstLineChars="0"/>
                    <w:jc w:val="center"/>
                    <w:rPr>
                      <w:sz w:val="21"/>
                      <w:szCs w:val="21"/>
                    </w:rPr>
                  </w:pPr>
                  <w:r>
                    <w:rPr>
                      <w:rFonts w:hint="eastAsia"/>
                      <w:sz w:val="21"/>
                      <w:szCs w:val="21"/>
                    </w:rPr>
                    <w:t>331</w:t>
                  </w:r>
                </w:p>
              </w:tc>
              <w:tc>
                <w:tcPr>
                  <w:tcW w:w="0" w:type="auto"/>
                  <w:vAlign w:val="center"/>
                </w:tcPr>
                <w:p>
                  <w:pPr>
                    <w:spacing w:line="240" w:lineRule="auto"/>
                    <w:ind w:firstLine="0" w:firstLineChars="0"/>
                    <w:jc w:val="center"/>
                    <w:rPr>
                      <w:sz w:val="21"/>
                      <w:szCs w:val="21"/>
                    </w:rPr>
                  </w:pPr>
                  <w:r>
                    <w:rPr>
                      <w:rFonts w:hint="eastAsia"/>
                      <w:sz w:val="21"/>
                      <w:szCs w:val="21"/>
                    </w:rPr>
                    <w:t>328</w:t>
                  </w:r>
                </w:p>
              </w:tc>
              <w:tc>
                <w:tcPr>
                  <w:tcW w:w="0" w:type="auto"/>
                  <w:vAlign w:val="center"/>
                </w:tcPr>
                <w:p>
                  <w:pPr>
                    <w:spacing w:line="240" w:lineRule="auto"/>
                    <w:ind w:firstLine="0" w:firstLineChars="0"/>
                    <w:jc w:val="center"/>
                    <w:rPr>
                      <w:sz w:val="21"/>
                      <w:szCs w:val="21"/>
                    </w:rPr>
                  </w:pPr>
                  <w:r>
                    <w:rPr>
                      <w:rFonts w:hint="eastAsia"/>
                      <w:sz w:val="21"/>
                      <w:szCs w:val="21"/>
                    </w:rPr>
                    <w:t>319</w:t>
                  </w:r>
                </w:p>
              </w:tc>
              <w:tc>
                <w:tcPr>
                  <w:tcW w:w="0" w:type="auto"/>
                  <w:vAlign w:val="center"/>
                </w:tcPr>
                <w:p>
                  <w:pPr>
                    <w:spacing w:line="240" w:lineRule="auto"/>
                    <w:ind w:firstLine="0" w:firstLineChars="0"/>
                    <w:jc w:val="center"/>
                    <w:rPr>
                      <w:b/>
                      <w:bCs/>
                      <w:sz w:val="21"/>
                      <w:szCs w:val="21"/>
                    </w:rPr>
                  </w:pPr>
                  <w:r>
                    <w:rPr>
                      <w:rFonts w:hint="eastAsia"/>
                      <w:b/>
                      <w:bCs/>
                      <w:sz w:val="21"/>
                      <w:szCs w:val="21"/>
                    </w:rPr>
                    <w:t>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restart"/>
                  <w:vAlign w:val="center"/>
                </w:tcPr>
                <w:p>
                  <w:pPr>
                    <w:spacing w:line="240" w:lineRule="auto"/>
                    <w:ind w:firstLine="0" w:firstLineChars="0"/>
                    <w:jc w:val="center"/>
                    <w:rPr>
                      <w:sz w:val="21"/>
                      <w:szCs w:val="21"/>
                    </w:rPr>
                  </w:pPr>
                  <w:r>
                    <w:rPr>
                      <w:rFonts w:hint="eastAsia"/>
                      <w:color w:val="000000"/>
                      <w:sz w:val="21"/>
                      <w:szCs w:val="21"/>
                    </w:rPr>
                    <w:t>银丰国际生物城污水处理站出口</w:t>
                  </w:r>
                </w:p>
              </w:tc>
              <w:tc>
                <w:tcPr>
                  <w:tcW w:w="1636" w:type="dxa"/>
                  <w:vAlign w:val="center"/>
                </w:tcPr>
                <w:p>
                  <w:pPr>
                    <w:spacing w:line="240" w:lineRule="auto"/>
                    <w:ind w:firstLine="0" w:firstLineChars="0"/>
                    <w:jc w:val="center"/>
                    <w:rPr>
                      <w:sz w:val="21"/>
                      <w:szCs w:val="21"/>
                    </w:rPr>
                  </w:pPr>
                  <w:r>
                    <w:rPr>
                      <w:rFonts w:hint="eastAsia"/>
                      <w:sz w:val="21"/>
                      <w:szCs w:val="21"/>
                    </w:rPr>
                    <w:t>pH值</w:t>
                  </w:r>
                </w:p>
              </w:tc>
              <w:tc>
                <w:tcPr>
                  <w:tcW w:w="955" w:type="dxa"/>
                  <w:vAlign w:val="center"/>
                </w:tcPr>
                <w:p>
                  <w:pPr>
                    <w:spacing w:line="240" w:lineRule="auto"/>
                    <w:ind w:firstLine="0" w:firstLineChars="0"/>
                    <w:jc w:val="center"/>
                    <w:rPr>
                      <w:sz w:val="21"/>
                      <w:szCs w:val="21"/>
                    </w:rPr>
                  </w:pPr>
                  <w:r>
                    <w:rPr>
                      <w:rFonts w:hint="eastAsia"/>
                      <w:sz w:val="21"/>
                      <w:szCs w:val="21"/>
                    </w:rPr>
                    <w:t>/</w:t>
                  </w:r>
                </w:p>
              </w:tc>
              <w:tc>
                <w:tcPr>
                  <w:tcW w:w="0" w:type="auto"/>
                  <w:vAlign w:val="center"/>
                </w:tcPr>
                <w:p>
                  <w:pPr>
                    <w:spacing w:line="240" w:lineRule="auto"/>
                    <w:ind w:firstLine="0" w:firstLineChars="0"/>
                    <w:jc w:val="center"/>
                    <w:rPr>
                      <w:sz w:val="21"/>
                      <w:szCs w:val="21"/>
                    </w:rPr>
                  </w:pPr>
                  <w:r>
                    <w:rPr>
                      <w:rFonts w:hint="eastAsia"/>
                      <w:sz w:val="21"/>
                      <w:szCs w:val="21"/>
                    </w:rPr>
                    <w:t>7.6</w:t>
                  </w:r>
                </w:p>
              </w:tc>
              <w:tc>
                <w:tcPr>
                  <w:tcW w:w="0" w:type="auto"/>
                  <w:vAlign w:val="center"/>
                </w:tcPr>
                <w:p>
                  <w:pPr>
                    <w:spacing w:line="240" w:lineRule="auto"/>
                    <w:ind w:firstLine="0" w:firstLineChars="0"/>
                    <w:jc w:val="center"/>
                    <w:rPr>
                      <w:sz w:val="21"/>
                      <w:szCs w:val="21"/>
                    </w:rPr>
                  </w:pPr>
                  <w:r>
                    <w:rPr>
                      <w:rFonts w:hint="eastAsia"/>
                      <w:sz w:val="21"/>
                      <w:szCs w:val="21"/>
                    </w:rPr>
                    <w:t>7.5</w:t>
                  </w:r>
                </w:p>
              </w:tc>
              <w:tc>
                <w:tcPr>
                  <w:tcW w:w="0" w:type="auto"/>
                  <w:vAlign w:val="center"/>
                </w:tcPr>
                <w:p>
                  <w:pPr>
                    <w:spacing w:line="240" w:lineRule="auto"/>
                    <w:ind w:firstLine="0" w:firstLineChars="0"/>
                    <w:jc w:val="center"/>
                    <w:rPr>
                      <w:sz w:val="21"/>
                      <w:szCs w:val="21"/>
                    </w:rPr>
                  </w:pPr>
                  <w:r>
                    <w:rPr>
                      <w:rFonts w:hint="eastAsia"/>
                      <w:sz w:val="21"/>
                      <w:szCs w:val="21"/>
                    </w:rPr>
                    <w:t>7.5</w:t>
                  </w:r>
                </w:p>
              </w:tc>
              <w:tc>
                <w:tcPr>
                  <w:tcW w:w="0" w:type="auto"/>
                  <w:vAlign w:val="center"/>
                </w:tcPr>
                <w:p>
                  <w:pPr>
                    <w:spacing w:line="240" w:lineRule="auto"/>
                    <w:ind w:firstLine="0" w:firstLineChars="0"/>
                    <w:jc w:val="center"/>
                    <w:rPr>
                      <w:sz w:val="21"/>
                      <w:szCs w:val="21"/>
                    </w:rPr>
                  </w:pPr>
                  <w:r>
                    <w:rPr>
                      <w:rFonts w:hint="eastAsia"/>
                      <w:sz w:val="21"/>
                      <w:szCs w:val="21"/>
                    </w:rPr>
                    <w:t>7.6</w:t>
                  </w:r>
                </w:p>
              </w:tc>
              <w:tc>
                <w:tcPr>
                  <w:tcW w:w="0" w:type="auto"/>
                  <w:vAlign w:val="center"/>
                </w:tcPr>
                <w:p>
                  <w:pPr>
                    <w:spacing w:line="240" w:lineRule="auto"/>
                    <w:ind w:firstLine="0" w:firstLineChars="0"/>
                    <w:jc w:val="center"/>
                    <w:rPr>
                      <w:sz w:val="21"/>
                      <w:szCs w:val="21"/>
                    </w:rPr>
                  </w:pPr>
                  <w:r>
                    <w:rPr>
                      <w:rFonts w:hint="eastAsia"/>
                      <w:sz w:val="21"/>
                      <w:szCs w:val="21"/>
                    </w:rPr>
                    <w:t>7.5-7.6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氨氮</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12.6</w:t>
                  </w:r>
                </w:p>
              </w:tc>
              <w:tc>
                <w:tcPr>
                  <w:tcW w:w="0" w:type="auto"/>
                  <w:vAlign w:val="center"/>
                </w:tcPr>
                <w:p>
                  <w:pPr>
                    <w:spacing w:line="240" w:lineRule="auto"/>
                    <w:ind w:firstLine="0" w:firstLineChars="0"/>
                    <w:jc w:val="center"/>
                    <w:rPr>
                      <w:sz w:val="21"/>
                      <w:szCs w:val="21"/>
                    </w:rPr>
                  </w:pPr>
                  <w:r>
                    <w:rPr>
                      <w:rFonts w:hint="eastAsia"/>
                      <w:sz w:val="21"/>
                      <w:szCs w:val="21"/>
                    </w:rPr>
                    <w:t>15.1</w:t>
                  </w:r>
                </w:p>
              </w:tc>
              <w:tc>
                <w:tcPr>
                  <w:tcW w:w="0" w:type="auto"/>
                  <w:vAlign w:val="center"/>
                </w:tcPr>
                <w:p>
                  <w:pPr>
                    <w:spacing w:line="240" w:lineRule="auto"/>
                    <w:ind w:firstLine="0" w:firstLineChars="0"/>
                    <w:jc w:val="center"/>
                    <w:rPr>
                      <w:sz w:val="21"/>
                      <w:szCs w:val="21"/>
                    </w:rPr>
                  </w:pPr>
                  <w:r>
                    <w:rPr>
                      <w:rFonts w:hint="eastAsia"/>
                      <w:sz w:val="21"/>
                      <w:szCs w:val="21"/>
                    </w:rPr>
                    <w:t>14.2</w:t>
                  </w:r>
                </w:p>
              </w:tc>
              <w:tc>
                <w:tcPr>
                  <w:tcW w:w="0" w:type="auto"/>
                  <w:vAlign w:val="center"/>
                </w:tcPr>
                <w:p>
                  <w:pPr>
                    <w:spacing w:line="240" w:lineRule="auto"/>
                    <w:ind w:firstLine="0" w:firstLineChars="0"/>
                    <w:jc w:val="center"/>
                    <w:rPr>
                      <w:sz w:val="21"/>
                      <w:szCs w:val="21"/>
                    </w:rPr>
                  </w:pPr>
                  <w:r>
                    <w:rPr>
                      <w:rFonts w:hint="eastAsia"/>
                      <w:sz w:val="21"/>
                      <w:szCs w:val="21"/>
                    </w:rPr>
                    <w:t>11.9</w:t>
                  </w:r>
                </w:p>
              </w:tc>
              <w:tc>
                <w:tcPr>
                  <w:tcW w:w="0" w:type="auto"/>
                  <w:vAlign w:val="center"/>
                </w:tcPr>
                <w:p>
                  <w:pPr>
                    <w:spacing w:line="240" w:lineRule="auto"/>
                    <w:ind w:firstLine="0" w:firstLineChars="0"/>
                    <w:jc w:val="center"/>
                    <w:rPr>
                      <w:b/>
                      <w:bCs/>
                      <w:sz w:val="21"/>
                      <w:szCs w:val="21"/>
                    </w:rPr>
                  </w:pPr>
                  <w:r>
                    <w:rPr>
                      <w:rFonts w:hint="eastAsia"/>
                      <w:b/>
                      <w:bCs/>
                      <w:sz w:val="21"/>
                      <w:szCs w:val="21"/>
                    </w:rPr>
                    <w:t>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化学需氧量</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146</w:t>
                  </w:r>
                </w:p>
              </w:tc>
              <w:tc>
                <w:tcPr>
                  <w:tcW w:w="0" w:type="auto"/>
                  <w:vAlign w:val="center"/>
                </w:tcPr>
                <w:p>
                  <w:pPr>
                    <w:spacing w:line="240" w:lineRule="auto"/>
                    <w:ind w:firstLine="0" w:firstLineChars="0"/>
                    <w:jc w:val="center"/>
                    <w:rPr>
                      <w:sz w:val="21"/>
                      <w:szCs w:val="21"/>
                    </w:rPr>
                  </w:pPr>
                  <w:r>
                    <w:rPr>
                      <w:rFonts w:hint="eastAsia"/>
                      <w:sz w:val="21"/>
                      <w:szCs w:val="21"/>
                    </w:rPr>
                    <w:t>155</w:t>
                  </w:r>
                </w:p>
              </w:tc>
              <w:tc>
                <w:tcPr>
                  <w:tcW w:w="0" w:type="auto"/>
                  <w:vAlign w:val="center"/>
                </w:tcPr>
                <w:p>
                  <w:pPr>
                    <w:spacing w:line="240" w:lineRule="auto"/>
                    <w:ind w:firstLine="0" w:firstLineChars="0"/>
                    <w:jc w:val="center"/>
                    <w:rPr>
                      <w:sz w:val="21"/>
                      <w:szCs w:val="21"/>
                    </w:rPr>
                  </w:pPr>
                  <w:r>
                    <w:rPr>
                      <w:rFonts w:hint="eastAsia"/>
                      <w:sz w:val="21"/>
                      <w:szCs w:val="21"/>
                    </w:rPr>
                    <w:t>163</w:t>
                  </w:r>
                </w:p>
              </w:tc>
              <w:tc>
                <w:tcPr>
                  <w:tcW w:w="0" w:type="auto"/>
                  <w:vAlign w:val="center"/>
                </w:tcPr>
                <w:p>
                  <w:pPr>
                    <w:spacing w:line="240" w:lineRule="auto"/>
                    <w:ind w:firstLine="0" w:firstLineChars="0"/>
                    <w:jc w:val="center"/>
                    <w:rPr>
                      <w:sz w:val="21"/>
                      <w:szCs w:val="21"/>
                    </w:rPr>
                  </w:pPr>
                  <w:r>
                    <w:rPr>
                      <w:rFonts w:hint="eastAsia"/>
                      <w:sz w:val="21"/>
                      <w:szCs w:val="21"/>
                    </w:rPr>
                    <w:t>159</w:t>
                  </w:r>
                </w:p>
              </w:tc>
              <w:tc>
                <w:tcPr>
                  <w:tcW w:w="0" w:type="auto"/>
                  <w:vAlign w:val="center"/>
                </w:tcPr>
                <w:p>
                  <w:pPr>
                    <w:spacing w:line="240" w:lineRule="auto"/>
                    <w:ind w:firstLine="0" w:firstLineChars="0"/>
                    <w:jc w:val="center"/>
                    <w:rPr>
                      <w:b/>
                      <w:bCs/>
                      <w:sz w:val="21"/>
                      <w:szCs w:val="21"/>
                    </w:rPr>
                  </w:pPr>
                  <w:r>
                    <w:rPr>
                      <w:rFonts w:hint="eastAsia"/>
                      <w:b/>
                      <w:bCs/>
                      <w:sz w:val="21"/>
                      <w:szCs w:val="21"/>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总磷</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1.68</w:t>
                  </w:r>
                </w:p>
              </w:tc>
              <w:tc>
                <w:tcPr>
                  <w:tcW w:w="0" w:type="auto"/>
                  <w:vAlign w:val="center"/>
                </w:tcPr>
                <w:p>
                  <w:pPr>
                    <w:spacing w:line="240" w:lineRule="auto"/>
                    <w:ind w:firstLine="0" w:firstLineChars="0"/>
                    <w:jc w:val="center"/>
                    <w:rPr>
                      <w:sz w:val="21"/>
                      <w:szCs w:val="21"/>
                    </w:rPr>
                  </w:pPr>
                  <w:r>
                    <w:rPr>
                      <w:rFonts w:hint="eastAsia"/>
                      <w:sz w:val="21"/>
                      <w:szCs w:val="21"/>
                    </w:rPr>
                    <w:t>1.76</w:t>
                  </w:r>
                </w:p>
              </w:tc>
              <w:tc>
                <w:tcPr>
                  <w:tcW w:w="0" w:type="auto"/>
                  <w:vAlign w:val="center"/>
                </w:tcPr>
                <w:p>
                  <w:pPr>
                    <w:spacing w:line="240" w:lineRule="auto"/>
                    <w:ind w:firstLine="0" w:firstLineChars="0"/>
                    <w:jc w:val="center"/>
                    <w:rPr>
                      <w:sz w:val="21"/>
                      <w:szCs w:val="21"/>
                    </w:rPr>
                  </w:pPr>
                  <w:r>
                    <w:rPr>
                      <w:rFonts w:hint="eastAsia"/>
                      <w:sz w:val="21"/>
                      <w:szCs w:val="21"/>
                    </w:rPr>
                    <w:t>1.99</w:t>
                  </w:r>
                </w:p>
              </w:tc>
              <w:tc>
                <w:tcPr>
                  <w:tcW w:w="0" w:type="auto"/>
                  <w:vAlign w:val="center"/>
                </w:tcPr>
                <w:p>
                  <w:pPr>
                    <w:spacing w:line="240" w:lineRule="auto"/>
                    <w:ind w:firstLine="0" w:firstLineChars="0"/>
                    <w:jc w:val="center"/>
                    <w:rPr>
                      <w:sz w:val="21"/>
                      <w:szCs w:val="21"/>
                    </w:rPr>
                  </w:pPr>
                  <w:r>
                    <w:rPr>
                      <w:rFonts w:hint="eastAsia"/>
                      <w:sz w:val="21"/>
                      <w:szCs w:val="21"/>
                    </w:rPr>
                    <w:t>1.84</w:t>
                  </w:r>
                </w:p>
              </w:tc>
              <w:tc>
                <w:tcPr>
                  <w:tcW w:w="0" w:type="auto"/>
                  <w:vAlign w:val="center"/>
                </w:tcPr>
                <w:p>
                  <w:pPr>
                    <w:spacing w:line="240" w:lineRule="auto"/>
                    <w:ind w:firstLine="0" w:firstLineChars="0"/>
                    <w:jc w:val="center"/>
                    <w:rPr>
                      <w:sz w:val="21"/>
                      <w:szCs w:val="21"/>
                    </w:rPr>
                  </w:pPr>
                  <w:r>
                    <w:rPr>
                      <w:rFonts w:hint="eastAsia"/>
                      <w:sz w:val="21"/>
                      <w:szCs w:val="21"/>
                    </w:rPr>
                    <w:t>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悬浮物</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4</w:t>
                  </w:r>
                </w:p>
              </w:tc>
              <w:tc>
                <w:tcPr>
                  <w:tcW w:w="0" w:type="auto"/>
                  <w:vAlign w:val="center"/>
                </w:tcPr>
                <w:p>
                  <w:pPr>
                    <w:spacing w:line="240" w:lineRule="auto"/>
                    <w:ind w:firstLine="0" w:firstLineChars="0"/>
                    <w:jc w:val="center"/>
                    <w:rPr>
                      <w:sz w:val="21"/>
                      <w:szCs w:val="21"/>
                    </w:rPr>
                  </w:pPr>
                  <w:r>
                    <w:rPr>
                      <w:rFonts w:hint="eastAsia"/>
                      <w:sz w:val="21"/>
                      <w:szCs w:val="21"/>
                    </w:rPr>
                    <w:t>24</w:t>
                  </w:r>
                </w:p>
              </w:tc>
              <w:tc>
                <w:tcPr>
                  <w:tcW w:w="0" w:type="auto"/>
                  <w:vAlign w:val="center"/>
                </w:tcPr>
                <w:p>
                  <w:pPr>
                    <w:spacing w:line="240" w:lineRule="auto"/>
                    <w:ind w:firstLine="0" w:firstLineChars="0"/>
                    <w:jc w:val="center"/>
                    <w:rPr>
                      <w:sz w:val="21"/>
                      <w:szCs w:val="21"/>
                    </w:rPr>
                  </w:pPr>
                  <w:r>
                    <w:rPr>
                      <w:rFonts w:hint="eastAsia"/>
                      <w:sz w:val="21"/>
                      <w:szCs w:val="21"/>
                    </w:rPr>
                    <w:t>9</w:t>
                  </w:r>
                </w:p>
              </w:tc>
              <w:tc>
                <w:tcPr>
                  <w:tcW w:w="0" w:type="auto"/>
                  <w:vAlign w:val="center"/>
                </w:tcPr>
                <w:p>
                  <w:pPr>
                    <w:spacing w:line="240" w:lineRule="auto"/>
                    <w:ind w:firstLine="0" w:firstLineChars="0"/>
                    <w:jc w:val="center"/>
                    <w:rPr>
                      <w:sz w:val="21"/>
                      <w:szCs w:val="21"/>
                    </w:rPr>
                  </w:pPr>
                  <w:r>
                    <w:rPr>
                      <w:rFonts w:hint="eastAsia"/>
                      <w:sz w:val="21"/>
                      <w:szCs w:val="21"/>
                    </w:rPr>
                    <w:t>14</w:t>
                  </w:r>
                </w:p>
              </w:tc>
              <w:tc>
                <w:tcPr>
                  <w:tcW w:w="0" w:type="auto"/>
                  <w:vAlign w:val="center"/>
                </w:tcPr>
                <w:p>
                  <w:pPr>
                    <w:spacing w:line="240" w:lineRule="auto"/>
                    <w:ind w:firstLine="0" w:firstLineChars="0"/>
                    <w:jc w:val="center"/>
                    <w:rPr>
                      <w:sz w:val="21"/>
                      <w:szCs w:val="21"/>
                    </w:rPr>
                  </w:pPr>
                  <w:r>
                    <w:rPr>
                      <w:rFonts w:hint="eastAsia"/>
                      <w:sz w:val="21"/>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溶解性总固体</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446</w:t>
                  </w:r>
                </w:p>
              </w:tc>
              <w:tc>
                <w:tcPr>
                  <w:tcW w:w="0" w:type="auto"/>
                  <w:vAlign w:val="center"/>
                </w:tcPr>
                <w:p>
                  <w:pPr>
                    <w:spacing w:line="240" w:lineRule="auto"/>
                    <w:ind w:firstLine="0" w:firstLineChars="0"/>
                    <w:jc w:val="center"/>
                    <w:rPr>
                      <w:sz w:val="21"/>
                      <w:szCs w:val="21"/>
                    </w:rPr>
                  </w:pPr>
                  <w:r>
                    <w:rPr>
                      <w:rFonts w:hint="eastAsia"/>
                      <w:sz w:val="21"/>
                      <w:szCs w:val="21"/>
                    </w:rPr>
                    <w:t>418</w:t>
                  </w:r>
                </w:p>
              </w:tc>
              <w:tc>
                <w:tcPr>
                  <w:tcW w:w="0" w:type="auto"/>
                  <w:vAlign w:val="center"/>
                </w:tcPr>
                <w:p>
                  <w:pPr>
                    <w:spacing w:line="240" w:lineRule="auto"/>
                    <w:ind w:firstLine="0" w:firstLineChars="0"/>
                    <w:jc w:val="center"/>
                    <w:rPr>
                      <w:sz w:val="21"/>
                      <w:szCs w:val="21"/>
                    </w:rPr>
                  </w:pPr>
                  <w:r>
                    <w:rPr>
                      <w:rFonts w:hint="eastAsia"/>
                      <w:sz w:val="21"/>
                      <w:szCs w:val="21"/>
                    </w:rPr>
                    <w:t>423</w:t>
                  </w:r>
                </w:p>
              </w:tc>
              <w:tc>
                <w:tcPr>
                  <w:tcW w:w="0" w:type="auto"/>
                  <w:vAlign w:val="center"/>
                </w:tcPr>
                <w:p>
                  <w:pPr>
                    <w:spacing w:line="240" w:lineRule="auto"/>
                    <w:ind w:firstLine="0" w:firstLineChars="0"/>
                    <w:jc w:val="center"/>
                    <w:rPr>
                      <w:sz w:val="21"/>
                      <w:szCs w:val="21"/>
                    </w:rPr>
                  </w:pPr>
                  <w:r>
                    <w:rPr>
                      <w:rFonts w:hint="eastAsia"/>
                      <w:sz w:val="21"/>
                      <w:szCs w:val="21"/>
                    </w:rPr>
                    <w:t>451</w:t>
                  </w:r>
                </w:p>
              </w:tc>
              <w:tc>
                <w:tcPr>
                  <w:tcW w:w="0" w:type="auto"/>
                  <w:vAlign w:val="center"/>
                </w:tcPr>
                <w:p>
                  <w:pPr>
                    <w:spacing w:line="240" w:lineRule="auto"/>
                    <w:ind w:firstLine="0" w:firstLineChars="0"/>
                    <w:jc w:val="center"/>
                    <w:rPr>
                      <w:sz w:val="21"/>
                      <w:szCs w:val="21"/>
                    </w:rPr>
                  </w:pPr>
                  <w:r>
                    <w:rPr>
                      <w:rFonts w:hint="eastAsia"/>
                      <w:b/>
                      <w:bCs/>
                      <w:sz w:val="21"/>
                      <w:szCs w:val="21"/>
                    </w:rPr>
                    <w:t>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61" w:type="dxa"/>
                  <w:vMerge w:val="continue"/>
                  <w:vAlign w:val="center"/>
                </w:tcPr>
                <w:p>
                  <w:pPr>
                    <w:spacing w:line="240" w:lineRule="auto"/>
                    <w:ind w:firstLine="0" w:firstLineChars="0"/>
                    <w:jc w:val="center"/>
                    <w:rPr>
                      <w:sz w:val="21"/>
                      <w:szCs w:val="21"/>
                    </w:rPr>
                  </w:pPr>
                </w:p>
              </w:tc>
              <w:tc>
                <w:tcPr>
                  <w:tcW w:w="1636" w:type="dxa"/>
                  <w:vAlign w:val="center"/>
                </w:tcPr>
                <w:p>
                  <w:pPr>
                    <w:spacing w:line="240" w:lineRule="auto"/>
                    <w:ind w:firstLine="0" w:firstLineChars="0"/>
                    <w:jc w:val="center"/>
                    <w:rPr>
                      <w:sz w:val="21"/>
                      <w:szCs w:val="21"/>
                    </w:rPr>
                  </w:pPr>
                  <w:r>
                    <w:rPr>
                      <w:rFonts w:hint="eastAsia"/>
                      <w:sz w:val="21"/>
                      <w:szCs w:val="21"/>
                    </w:rPr>
                    <w:t>生化需氧量</w:t>
                  </w:r>
                </w:p>
              </w:tc>
              <w:tc>
                <w:tcPr>
                  <w:tcW w:w="955" w:type="dxa"/>
                  <w:vAlign w:val="center"/>
                </w:tcPr>
                <w:p>
                  <w:pPr>
                    <w:spacing w:line="240" w:lineRule="auto"/>
                    <w:ind w:firstLine="0" w:firstLineChars="0"/>
                    <w:jc w:val="center"/>
                    <w:rPr>
                      <w:sz w:val="21"/>
                      <w:szCs w:val="21"/>
                    </w:rPr>
                  </w:pPr>
                  <w:r>
                    <w:rPr>
                      <w:rFonts w:hint="eastAsia"/>
                      <w:sz w:val="21"/>
                      <w:szCs w:val="21"/>
                    </w:rPr>
                    <w:t>mg/L</w:t>
                  </w:r>
                </w:p>
              </w:tc>
              <w:tc>
                <w:tcPr>
                  <w:tcW w:w="0" w:type="auto"/>
                  <w:vAlign w:val="center"/>
                </w:tcPr>
                <w:p>
                  <w:pPr>
                    <w:spacing w:line="240" w:lineRule="auto"/>
                    <w:ind w:firstLine="0" w:firstLineChars="0"/>
                    <w:jc w:val="center"/>
                    <w:rPr>
                      <w:sz w:val="21"/>
                      <w:szCs w:val="21"/>
                    </w:rPr>
                  </w:pPr>
                  <w:r>
                    <w:rPr>
                      <w:rFonts w:hint="eastAsia"/>
                      <w:sz w:val="21"/>
                      <w:szCs w:val="21"/>
                    </w:rPr>
                    <w:t>39.9</w:t>
                  </w:r>
                </w:p>
              </w:tc>
              <w:tc>
                <w:tcPr>
                  <w:tcW w:w="0" w:type="auto"/>
                  <w:vAlign w:val="center"/>
                </w:tcPr>
                <w:p>
                  <w:pPr>
                    <w:spacing w:line="240" w:lineRule="auto"/>
                    <w:ind w:firstLine="0" w:firstLineChars="0"/>
                    <w:jc w:val="center"/>
                    <w:rPr>
                      <w:sz w:val="21"/>
                      <w:szCs w:val="21"/>
                    </w:rPr>
                  </w:pPr>
                  <w:r>
                    <w:rPr>
                      <w:rFonts w:hint="eastAsia"/>
                      <w:sz w:val="21"/>
                      <w:szCs w:val="21"/>
                    </w:rPr>
                    <w:t>43.7</w:t>
                  </w:r>
                </w:p>
              </w:tc>
              <w:tc>
                <w:tcPr>
                  <w:tcW w:w="0" w:type="auto"/>
                  <w:vAlign w:val="center"/>
                </w:tcPr>
                <w:p>
                  <w:pPr>
                    <w:spacing w:line="240" w:lineRule="auto"/>
                    <w:ind w:firstLine="0" w:firstLineChars="0"/>
                    <w:jc w:val="center"/>
                    <w:rPr>
                      <w:sz w:val="21"/>
                      <w:szCs w:val="21"/>
                    </w:rPr>
                  </w:pPr>
                  <w:r>
                    <w:rPr>
                      <w:rFonts w:hint="eastAsia"/>
                      <w:sz w:val="21"/>
                      <w:szCs w:val="21"/>
                    </w:rPr>
                    <w:t>45.5</w:t>
                  </w:r>
                </w:p>
              </w:tc>
              <w:tc>
                <w:tcPr>
                  <w:tcW w:w="0" w:type="auto"/>
                  <w:vAlign w:val="center"/>
                </w:tcPr>
                <w:p>
                  <w:pPr>
                    <w:spacing w:line="240" w:lineRule="auto"/>
                    <w:ind w:firstLine="0" w:firstLineChars="0"/>
                    <w:jc w:val="center"/>
                    <w:rPr>
                      <w:sz w:val="21"/>
                      <w:szCs w:val="21"/>
                    </w:rPr>
                  </w:pPr>
                  <w:r>
                    <w:rPr>
                      <w:rFonts w:hint="eastAsia"/>
                      <w:sz w:val="21"/>
                      <w:szCs w:val="21"/>
                    </w:rPr>
                    <w:t>44.2</w:t>
                  </w:r>
                </w:p>
              </w:tc>
              <w:tc>
                <w:tcPr>
                  <w:tcW w:w="0" w:type="auto"/>
                  <w:vAlign w:val="center"/>
                </w:tcPr>
                <w:p>
                  <w:pPr>
                    <w:spacing w:line="240" w:lineRule="auto"/>
                    <w:ind w:firstLine="0" w:firstLineChars="0"/>
                    <w:jc w:val="center"/>
                    <w:rPr>
                      <w:sz w:val="21"/>
                      <w:szCs w:val="21"/>
                    </w:rPr>
                  </w:pPr>
                  <w:r>
                    <w:rPr>
                      <w:rFonts w:hint="eastAsia"/>
                      <w:b/>
                      <w:bCs/>
                      <w:sz w:val="21"/>
                      <w:szCs w:val="21"/>
                    </w:rPr>
                    <w:t>43.3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9" w:type="dxa"/>
                  <w:gridSpan w:val="8"/>
                </w:tcPr>
                <w:p>
                  <w:pPr>
                    <w:spacing w:line="240" w:lineRule="auto"/>
                    <w:ind w:firstLine="0" w:firstLineChars="0"/>
                    <w:jc w:val="left"/>
                    <w:rPr>
                      <w:sz w:val="21"/>
                      <w:szCs w:val="21"/>
                    </w:rPr>
                  </w:pPr>
                  <w:r>
                    <w:rPr>
                      <w:rFonts w:hint="eastAsia"/>
                      <w:sz w:val="21"/>
                      <w:szCs w:val="21"/>
                    </w:rPr>
                    <w:t>备注：企业提供废水量为0.9</w:t>
                  </w:r>
                  <w:r>
                    <w:rPr>
                      <w:rFonts w:hint="eastAsia"/>
                      <w:sz w:val="21"/>
                      <w:szCs w:val="21"/>
                      <w:lang w:eastAsia="zh-CN"/>
                    </w:rPr>
                    <w:t>m</w:t>
                  </w:r>
                  <w:r>
                    <w:rPr>
                      <w:rFonts w:hint="eastAsia"/>
                      <w:sz w:val="21"/>
                      <w:szCs w:val="21"/>
                      <w:vertAlign w:val="superscript"/>
                      <w:lang w:eastAsia="zh-CN"/>
                    </w:rPr>
                    <w:t>3</w:t>
                  </w:r>
                  <w:r>
                    <w:rPr>
                      <w:rFonts w:hint="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12"/>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lang w:val="en-US" w:eastAsia="zh-CN"/>
                    </w:rPr>
                    <w:t>8</w:t>
                  </w:r>
                  <w:r>
                    <w:rPr>
                      <w:rFonts w:ascii="Times New Roman" w:hAnsi="Times New Roman"/>
                      <w:b/>
                      <w:bCs/>
                      <w:color w:val="auto"/>
                      <w:sz w:val="24"/>
                    </w:rPr>
                    <w:t xml:space="preserve">  废水</w:t>
                  </w:r>
                  <w:r>
                    <w:rPr>
                      <w:rFonts w:hint="eastAsia" w:ascii="Times New Roman" w:hAnsi="Times New Roman"/>
                      <w:b/>
                      <w:bCs/>
                      <w:color w:val="auto"/>
                      <w:sz w:val="24"/>
                    </w:rPr>
                    <w:t>达标</w:t>
                  </w:r>
                  <w:r>
                    <w:rPr>
                      <w:rFonts w:ascii="Times New Roman" w:hAnsi="Times New Roman"/>
                      <w:b/>
                      <w:bCs/>
                      <w:color w:val="auto"/>
                      <w:sz w:val="24"/>
                    </w:rPr>
                    <w:t>判定结果表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1870"/>
                    <w:gridCol w:w="1197"/>
                    <w:gridCol w:w="1734"/>
                    <w:gridCol w:w="1793"/>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shd w:val="clear" w:color="auto" w:fill="auto"/>
                        <w:vAlign w:val="center"/>
                      </w:tcPr>
                      <w:p>
                        <w:pPr>
                          <w:spacing w:line="240" w:lineRule="auto"/>
                          <w:ind w:firstLine="0" w:firstLineChars="0"/>
                          <w:jc w:val="center"/>
                          <w:rPr>
                            <w:b/>
                            <w:bCs/>
                            <w:sz w:val="21"/>
                            <w:szCs w:val="21"/>
                          </w:rPr>
                        </w:pPr>
                        <w:r>
                          <w:rPr>
                            <w:rFonts w:hint="eastAsia"/>
                            <w:b/>
                            <w:bCs/>
                            <w:sz w:val="21"/>
                            <w:szCs w:val="21"/>
                          </w:rPr>
                          <w:t>点位</w:t>
                        </w:r>
                      </w:p>
                    </w:tc>
                    <w:tc>
                      <w:tcPr>
                        <w:tcW w:w="1075" w:type="pct"/>
                        <w:shd w:val="clear" w:color="auto" w:fill="auto"/>
                        <w:vAlign w:val="center"/>
                      </w:tcPr>
                      <w:p>
                        <w:pPr>
                          <w:spacing w:line="240" w:lineRule="auto"/>
                          <w:ind w:firstLine="0" w:firstLineChars="0"/>
                          <w:jc w:val="center"/>
                          <w:rPr>
                            <w:b/>
                            <w:bCs/>
                            <w:sz w:val="21"/>
                            <w:szCs w:val="21"/>
                          </w:rPr>
                        </w:pPr>
                        <w:r>
                          <w:rPr>
                            <w:rFonts w:hint="eastAsia"/>
                            <w:b/>
                            <w:sz w:val="21"/>
                            <w:szCs w:val="21"/>
                          </w:rPr>
                          <w:t>控制项目名称</w:t>
                        </w:r>
                      </w:p>
                    </w:tc>
                    <w:tc>
                      <w:tcPr>
                        <w:tcW w:w="688" w:type="pct"/>
                        <w:shd w:val="clear" w:color="auto" w:fill="auto"/>
                        <w:vAlign w:val="center"/>
                      </w:tcPr>
                      <w:p>
                        <w:pPr>
                          <w:spacing w:line="240" w:lineRule="auto"/>
                          <w:ind w:firstLine="0" w:firstLineChars="0"/>
                          <w:jc w:val="center"/>
                          <w:rPr>
                            <w:b/>
                            <w:sz w:val="21"/>
                            <w:szCs w:val="21"/>
                          </w:rPr>
                        </w:pPr>
                        <w:r>
                          <w:rPr>
                            <w:rFonts w:hint="eastAsia"/>
                            <w:b/>
                            <w:sz w:val="21"/>
                            <w:szCs w:val="21"/>
                          </w:rPr>
                          <w:t>单位</w:t>
                        </w:r>
                      </w:p>
                    </w:tc>
                    <w:tc>
                      <w:tcPr>
                        <w:tcW w:w="997" w:type="pct"/>
                        <w:shd w:val="clear" w:color="auto" w:fill="auto"/>
                        <w:vAlign w:val="center"/>
                      </w:tcPr>
                      <w:p>
                        <w:pPr>
                          <w:spacing w:line="240" w:lineRule="auto"/>
                          <w:ind w:firstLine="0" w:firstLineChars="0"/>
                          <w:jc w:val="center"/>
                          <w:rPr>
                            <w:b/>
                            <w:bCs/>
                            <w:sz w:val="21"/>
                            <w:szCs w:val="21"/>
                          </w:rPr>
                        </w:pPr>
                        <w:r>
                          <w:rPr>
                            <w:rFonts w:hint="eastAsia"/>
                            <w:b/>
                            <w:bCs/>
                            <w:sz w:val="21"/>
                            <w:szCs w:val="21"/>
                          </w:rPr>
                          <w:t>最大日均值</w:t>
                        </w:r>
                      </w:p>
                    </w:tc>
                    <w:tc>
                      <w:tcPr>
                        <w:tcW w:w="1031" w:type="pct"/>
                        <w:shd w:val="clear" w:color="auto" w:fill="auto"/>
                        <w:vAlign w:val="center"/>
                      </w:tcPr>
                      <w:p>
                        <w:pPr>
                          <w:spacing w:line="240" w:lineRule="auto"/>
                          <w:ind w:firstLine="0" w:firstLineChars="0"/>
                          <w:jc w:val="center"/>
                          <w:rPr>
                            <w:b/>
                            <w:bCs/>
                            <w:sz w:val="21"/>
                            <w:szCs w:val="21"/>
                          </w:rPr>
                        </w:pPr>
                        <w:r>
                          <w:rPr>
                            <w:rFonts w:hint="eastAsia"/>
                            <w:b/>
                            <w:bCs/>
                            <w:sz w:val="21"/>
                            <w:szCs w:val="21"/>
                          </w:rPr>
                          <w:t>项目执行限值</w:t>
                        </w:r>
                      </w:p>
                    </w:tc>
                    <w:tc>
                      <w:tcPr>
                        <w:tcW w:w="561"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restart"/>
                        <w:shd w:val="clear" w:color="auto" w:fill="auto"/>
                        <w:vAlign w:val="center"/>
                      </w:tcPr>
                      <w:p>
                        <w:pPr>
                          <w:spacing w:line="240" w:lineRule="auto"/>
                          <w:ind w:firstLine="0" w:firstLineChars="0"/>
                          <w:jc w:val="center"/>
                          <w:rPr>
                            <w:sz w:val="21"/>
                            <w:szCs w:val="21"/>
                          </w:rPr>
                        </w:pPr>
                        <w:r>
                          <w:rPr>
                            <w:rFonts w:hint="eastAsia"/>
                            <w:sz w:val="21"/>
                            <w:szCs w:val="21"/>
                          </w:rPr>
                          <w:t>企业污水总排口</w:t>
                        </w:r>
                      </w:p>
                    </w:tc>
                    <w:tc>
                      <w:tcPr>
                        <w:tcW w:w="1075" w:type="pct"/>
                        <w:shd w:val="clear" w:color="auto" w:fill="auto"/>
                        <w:vAlign w:val="center"/>
                      </w:tcPr>
                      <w:p>
                        <w:pPr>
                          <w:spacing w:line="240" w:lineRule="auto"/>
                          <w:ind w:firstLine="0" w:firstLineChars="0"/>
                          <w:jc w:val="center"/>
                          <w:rPr>
                            <w:sz w:val="21"/>
                            <w:szCs w:val="21"/>
                          </w:rPr>
                        </w:pPr>
                        <w:r>
                          <w:rPr>
                            <w:rFonts w:hint="eastAsia"/>
                            <w:sz w:val="21"/>
                            <w:szCs w:val="21"/>
                          </w:rPr>
                          <w:t>氨氮</w:t>
                        </w:r>
                      </w:p>
                    </w:tc>
                    <w:tc>
                      <w:tcPr>
                        <w:tcW w:w="688" w:type="pct"/>
                        <w:shd w:val="clear" w:color="auto" w:fill="auto"/>
                        <w:vAlign w:val="center"/>
                      </w:tcPr>
                      <w:p>
                        <w:pPr>
                          <w:spacing w:line="240" w:lineRule="auto"/>
                          <w:ind w:firstLine="0" w:firstLineChars="0"/>
                          <w:jc w:val="center"/>
                          <w:rPr>
                            <w:sz w:val="21"/>
                            <w:szCs w:val="21"/>
                          </w:rPr>
                        </w:pPr>
                        <w:r>
                          <w:rPr>
                            <w:rFonts w:hint="eastAsia"/>
                            <w:sz w:val="21"/>
                            <w:szCs w:val="21"/>
                          </w:rPr>
                          <w:t>mg/L</w:t>
                        </w:r>
                      </w:p>
                    </w:tc>
                    <w:tc>
                      <w:tcPr>
                        <w:tcW w:w="1739" w:type="dxa"/>
                        <w:shd w:val="clear" w:color="auto" w:fill="auto"/>
                        <w:vAlign w:val="center"/>
                      </w:tcPr>
                      <w:p>
                        <w:pPr>
                          <w:widowControl/>
                          <w:spacing w:line="240" w:lineRule="auto"/>
                          <w:ind w:firstLine="0" w:firstLineChars="0"/>
                          <w:jc w:val="center"/>
                          <w:rPr>
                            <w:sz w:val="21"/>
                            <w:szCs w:val="21"/>
                          </w:rPr>
                        </w:pPr>
                        <w:r>
                          <w:rPr>
                            <w:rFonts w:hint="eastAsia"/>
                            <w:sz w:val="21"/>
                            <w:szCs w:val="21"/>
                            <w:lang w:bidi="ar"/>
                          </w:rPr>
                          <w:t>42.8</w:t>
                        </w:r>
                      </w:p>
                    </w:tc>
                    <w:tc>
                      <w:tcPr>
                        <w:tcW w:w="1031" w:type="pct"/>
                        <w:shd w:val="clear" w:color="auto" w:fill="auto"/>
                        <w:vAlign w:val="center"/>
                      </w:tcPr>
                      <w:p>
                        <w:pPr>
                          <w:spacing w:line="240" w:lineRule="auto"/>
                          <w:ind w:firstLine="0" w:firstLineChars="0"/>
                          <w:jc w:val="center"/>
                          <w:rPr>
                            <w:sz w:val="21"/>
                            <w:szCs w:val="21"/>
                          </w:rPr>
                        </w:pPr>
                        <w:r>
                          <w:rPr>
                            <w:rFonts w:hint="eastAsia"/>
                            <w:sz w:val="21"/>
                            <w:szCs w:val="21"/>
                          </w:rPr>
                          <w:t>100</w:t>
                        </w:r>
                      </w:p>
                    </w:tc>
                    <w:tc>
                      <w:tcPr>
                        <w:tcW w:w="561" w:type="pct"/>
                        <w:shd w:val="clear" w:color="auto" w:fill="auto"/>
                        <w:vAlign w:val="center"/>
                      </w:tcPr>
                      <w:p>
                        <w:pPr>
                          <w:spacing w:line="240" w:lineRule="auto"/>
                          <w:ind w:firstLine="0" w:firstLineChars="0"/>
                          <w:jc w:val="center"/>
                          <w:rPr>
                            <w:b/>
                            <w:bCs/>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shd w:val="clear" w:color="auto" w:fill="auto"/>
                        <w:vAlign w:val="center"/>
                      </w:tcPr>
                      <w:p>
                        <w:pPr>
                          <w:spacing w:line="240" w:lineRule="auto"/>
                          <w:ind w:firstLine="0" w:firstLineChars="0"/>
                          <w:jc w:val="center"/>
                          <w:rPr>
                            <w:b/>
                            <w:bCs/>
                            <w:sz w:val="21"/>
                            <w:szCs w:val="21"/>
                          </w:rPr>
                        </w:pPr>
                      </w:p>
                    </w:tc>
                    <w:tc>
                      <w:tcPr>
                        <w:tcW w:w="1075" w:type="pct"/>
                        <w:shd w:val="clear" w:color="auto" w:fill="auto"/>
                        <w:vAlign w:val="center"/>
                      </w:tcPr>
                      <w:p>
                        <w:pPr>
                          <w:spacing w:line="240" w:lineRule="auto"/>
                          <w:ind w:firstLine="0" w:firstLineChars="0"/>
                          <w:jc w:val="center"/>
                          <w:rPr>
                            <w:sz w:val="21"/>
                            <w:szCs w:val="21"/>
                          </w:rPr>
                        </w:pPr>
                        <w:r>
                          <w:rPr>
                            <w:rFonts w:hint="eastAsia"/>
                            <w:sz w:val="21"/>
                            <w:szCs w:val="21"/>
                          </w:rPr>
                          <w:t>化学需氧量</w:t>
                        </w:r>
                      </w:p>
                    </w:tc>
                    <w:tc>
                      <w:tcPr>
                        <w:tcW w:w="688" w:type="pct"/>
                        <w:shd w:val="clear" w:color="auto" w:fill="auto"/>
                        <w:vAlign w:val="center"/>
                      </w:tcPr>
                      <w:p>
                        <w:pPr>
                          <w:spacing w:line="240" w:lineRule="auto"/>
                          <w:ind w:firstLine="0" w:firstLineChars="0"/>
                          <w:jc w:val="center"/>
                          <w:rPr>
                            <w:sz w:val="21"/>
                            <w:szCs w:val="21"/>
                          </w:rPr>
                        </w:pPr>
                        <w:r>
                          <w:rPr>
                            <w:rFonts w:hint="eastAsia"/>
                            <w:sz w:val="21"/>
                            <w:szCs w:val="21"/>
                          </w:rPr>
                          <w:t>mg/L</w:t>
                        </w:r>
                      </w:p>
                    </w:tc>
                    <w:tc>
                      <w:tcPr>
                        <w:tcW w:w="1739" w:type="dxa"/>
                        <w:shd w:val="clear" w:color="auto" w:fill="auto"/>
                        <w:vAlign w:val="center"/>
                      </w:tcPr>
                      <w:p>
                        <w:pPr>
                          <w:widowControl/>
                          <w:spacing w:line="240" w:lineRule="auto"/>
                          <w:ind w:firstLine="0" w:firstLineChars="0"/>
                          <w:jc w:val="center"/>
                          <w:rPr>
                            <w:sz w:val="21"/>
                            <w:szCs w:val="21"/>
                          </w:rPr>
                        </w:pPr>
                        <w:r>
                          <w:rPr>
                            <w:rFonts w:hint="eastAsia"/>
                            <w:sz w:val="21"/>
                            <w:szCs w:val="21"/>
                            <w:lang w:bidi="ar"/>
                          </w:rPr>
                          <w:t>326</w:t>
                        </w:r>
                      </w:p>
                    </w:tc>
                    <w:tc>
                      <w:tcPr>
                        <w:tcW w:w="1031" w:type="pct"/>
                        <w:shd w:val="clear" w:color="auto" w:fill="auto"/>
                        <w:vAlign w:val="center"/>
                      </w:tcPr>
                      <w:p>
                        <w:pPr>
                          <w:spacing w:line="240" w:lineRule="auto"/>
                          <w:ind w:firstLine="0" w:firstLineChars="0"/>
                          <w:jc w:val="center"/>
                          <w:rPr>
                            <w:sz w:val="21"/>
                            <w:szCs w:val="21"/>
                          </w:rPr>
                        </w:pPr>
                        <w:r>
                          <w:rPr>
                            <w:rFonts w:hint="eastAsia"/>
                            <w:sz w:val="21"/>
                            <w:szCs w:val="21"/>
                          </w:rPr>
                          <w:t>5000</w:t>
                        </w:r>
                      </w:p>
                    </w:tc>
                    <w:tc>
                      <w:tcPr>
                        <w:tcW w:w="561" w:type="pct"/>
                        <w:shd w:val="clear" w:color="auto" w:fill="auto"/>
                        <w:vAlign w:val="center"/>
                      </w:tcPr>
                      <w:p>
                        <w:pPr>
                          <w:spacing w:line="240" w:lineRule="auto"/>
                          <w:ind w:firstLine="0" w:firstLineChars="0"/>
                          <w:jc w:val="center"/>
                          <w:rPr>
                            <w:b/>
                            <w:bCs/>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restart"/>
                        <w:shd w:val="clear" w:color="auto" w:fill="auto"/>
                        <w:vAlign w:val="center"/>
                      </w:tcPr>
                      <w:p>
                        <w:pPr>
                          <w:spacing w:line="240" w:lineRule="auto"/>
                          <w:ind w:firstLine="0" w:firstLineChars="0"/>
                          <w:jc w:val="center"/>
                          <w:rPr>
                            <w:sz w:val="21"/>
                            <w:szCs w:val="21"/>
                          </w:rPr>
                        </w:pPr>
                        <w:r>
                          <w:rPr>
                            <w:rFonts w:hint="eastAsia"/>
                            <w:color w:val="000000"/>
                            <w:sz w:val="21"/>
                            <w:szCs w:val="21"/>
                          </w:rPr>
                          <w:t>银丰国际生物城污水处理站出口</w:t>
                        </w:r>
                      </w:p>
                    </w:tc>
                    <w:tc>
                      <w:tcPr>
                        <w:tcW w:w="1075" w:type="pct"/>
                        <w:shd w:val="clear" w:color="auto" w:fill="auto"/>
                        <w:vAlign w:val="center"/>
                      </w:tcPr>
                      <w:p>
                        <w:pPr>
                          <w:widowControl/>
                          <w:spacing w:line="240" w:lineRule="auto"/>
                          <w:ind w:firstLine="0" w:firstLineChars="0"/>
                          <w:jc w:val="center"/>
                          <w:rPr>
                            <w:sz w:val="21"/>
                            <w:szCs w:val="21"/>
                            <w:lang w:bidi="ar"/>
                          </w:rPr>
                        </w:pPr>
                        <w:r>
                          <w:rPr>
                            <w:rFonts w:hint="eastAsia"/>
                            <w:sz w:val="21"/>
                            <w:szCs w:val="21"/>
                            <w:lang w:bidi="ar"/>
                          </w:rPr>
                          <w:t>pH值</w:t>
                        </w:r>
                      </w:p>
                    </w:tc>
                    <w:tc>
                      <w:tcPr>
                        <w:tcW w:w="688" w:type="pct"/>
                        <w:shd w:val="clear" w:color="auto" w:fill="auto"/>
                        <w:vAlign w:val="center"/>
                      </w:tcPr>
                      <w:p>
                        <w:pPr>
                          <w:widowControl/>
                          <w:adjustRightInd w:val="0"/>
                          <w:snapToGrid w:val="0"/>
                          <w:spacing w:line="240" w:lineRule="auto"/>
                          <w:ind w:firstLine="0" w:firstLineChars="0"/>
                          <w:jc w:val="center"/>
                          <w:rPr>
                            <w:sz w:val="21"/>
                            <w:szCs w:val="21"/>
                            <w:lang w:bidi="ar"/>
                          </w:rPr>
                        </w:pPr>
                        <w:r>
                          <w:rPr>
                            <w:rFonts w:hint="eastAsia"/>
                            <w:sz w:val="21"/>
                            <w:szCs w:val="21"/>
                            <w:lang w:bidi="ar"/>
                          </w:rPr>
                          <w:t>/</w:t>
                        </w:r>
                      </w:p>
                    </w:tc>
                    <w:tc>
                      <w:tcPr>
                        <w:tcW w:w="1739" w:type="dxa"/>
                        <w:shd w:val="clear" w:color="auto" w:fill="auto"/>
                        <w:vAlign w:val="center"/>
                      </w:tcPr>
                      <w:p>
                        <w:pPr>
                          <w:widowControl/>
                          <w:spacing w:line="240" w:lineRule="auto"/>
                          <w:ind w:firstLine="0" w:firstLineChars="0"/>
                          <w:jc w:val="center"/>
                          <w:rPr>
                            <w:sz w:val="21"/>
                            <w:szCs w:val="21"/>
                            <w:lang w:bidi="ar"/>
                          </w:rPr>
                        </w:pPr>
                        <w:r>
                          <w:rPr>
                            <w:rFonts w:hint="eastAsia"/>
                            <w:sz w:val="21"/>
                            <w:szCs w:val="21"/>
                            <w:lang w:bidi="ar"/>
                          </w:rPr>
                          <w:t>7.4-7.6</w:t>
                        </w:r>
                      </w:p>
                    </w:tc>
                    <w:tc>
                      <w:tcPr>
                        <w:tcW w:w="1031"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6.5-9.5</w:t>
                        </w:r>
                      </w:p>
                    </w:tc>
                    <w:tc>
                      <w:tcPr>
                        <w:tcW w:w="561"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shd w:val="clear" w:color="auto" w:fill="auto"/>
                        <w:vAlign w:val="center"/>
                      </w:tcPr>
                      <w:p>
                        <w:pPr>
                          <w:spacing w:line="240" w:lineRule="auto"/>
                          <w:ind w:firstLine="0" w:firstLineChars="0"/>
                          <w:jc w:val="center"/>
                        </w:pPr>
                      </w:p>
                    </w:tc>
                    <w:tc>
                      <w:tcPr>
                        <w:tcW w:w="1075" w:type="pct"/>
                        <w:shd w:val="clear" w:color="auto" w:fill="auto"/>
                        <w:vAlign w:val="center"/>
                      </w:tcPr>
                      <w:p>
                        <w:pPr>
                          <w:spacing w:line="240" w:lineRule="auto"/>
                          <w:ind w:firstLine="0" w:firstLineChars="0"/>
                          <w:jc w:val="center"/>
                          <w:rPr>
                            <w:sz w:val="21"/>
                            <w:szCs w:val="21"/>
                          </w:rPr>
                        </w:pPr>
                        <w:r>
                          <w:rPr>
                            <w:rFonts w:hint="eastAsia"/>
                            <w:sz w:val="21"/>
                            <w:szCs w:val="21"/>
                          </w:rPr>
                          <w:t>氨氮</w:t>
                        </w:r>
                      </w:p>
                    </w:tc>
                    <w:tc>
                      <w:tcPr>
                        <w:tcW w:w="688"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mg/L</w:t>
                        </w:r>
                      </w:p>
                    </w:tc>
                    <w:tc>
                      <w:tcPr>
                        <w:tcW w:w="1739" w:type="dxa"/>
                        <w:shd w:val="clear" w:color="auto" w:fill="auto"/>
                        <w:vAlign w:val="center"/>
                      </w:tcPr>
                      <w:p>
                        <w:pPr>
                          <w:widowControl/>
                          <w:spacing w:line="240" w:lineRule="auto"/>
                          <w:ind w:firstLine="0" w:firstLineChars="0"/>
                          <w:jc w:val="center"/>
                          <w:rPr>
                            <w:sz w:val="21"/>
                            <w:szCs w:val="21"/>
                          </w:rPr>
                        </w:pPr>
                        <w:r>
                          <w:rPr>
                            <w:rFonts w:hint="eastAsia"/>
                            <w:sz w:val="21"/>
                            <w:szCs w:val="21"/>
                            <w:lang w:bidi="ar"/>
                          </w:rPr>
                          <w:t>13.4</w:t>
                        </w:r>
                      </w:p>
                    </w:tc>
                    <w:tc>
                      <w:tcPr>
                        <w:tcW w:w="1031"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45</w:t>
                        </w:r>
                      </w:p>
                    </w:tc>
                    <w:tc>
                      <w:tcPr>
                        <w:tcW w:w="561"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shd w:val="clear" w:color="auto" w:fill="auto"/>
                        <w:vAlign w:val="center"/>
                      </w:tcPr>
                      <w:p>
                        <w:pPr>
                          <w:spacing w:line="240" w:lineRule="auto"/>
                          <w:ind w:firstLine="0" w:firstLineChars="0"/>
                          <w:jc w:val="center"/>
                        </w:pPr>
                      </w:p>
                    </w:tc>
                    <w:tc>
                      <w:tcPr>
                        <w:tcW w:w="1075" w:type="pct"/>
                        <w:shd w:val="clear" w:color="auto" w:fill="auto"/>
                        <w:vAlign w:val="center"/>
                      </w:tcPr>
                      <w:p>
                        <w:pPr>
                          <w:spacing w:line="240" w:lineRule="auto"/>
                          <w:ind w:firstLine="0" w:firstLineChars="0"/>
                          <w:jc w:val="center"/>
                          <w:rPr>
                            <w:sz w:val="21"/>
                            <w:szCs w:val="21"/>
                          </w:rPr>
                        </w:pPr>
                        <w:r>
                          <w:rPr>
                            <w:rFonts w:hint="eastAsia"/>
                            <w:sz w:val="21"/>
                            <w:szCs w:val="21"/>
                          </w:rPr>
                          <w:t>化学需氧量</w:t>
                        </w:r>
                      </w:p>
                    </w:tc>
                    <w:tc>
                      <w:tcPr>
                        <w:tcW w:w="688"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mg/L</w:t>
                        </w:r>
                      </w:p>
                    </w:tc>
                    <w:tc>
                      <w:tcPr>
                        <w:tcW w:w="1739" w:type="dxa"/>
                        <w:shd w:val="clear" w:color="auto" w:fill="auto"/>
                        <w:vAlign w:val="center"/>
                      </w:tcPr>
                      <w:p>
                        <w:pPr>
                          <w:widowControl/>
                          <w:spacing w:line="240" w:lineRule="auto"/>
                          <w:ind w:firstLine="0" w:firstLineChars="0"/>
                          <w:jc w:val="center"/>
                          <w:rPr>
                            <w:sz w:val="21"/>
                            <w:szCs w:val="21"/>
                          </w:rPr>
                        </w:pPr>
                        <w:r>
                          <w:rPr>
                            <w:rFonts w:hint="eastAsia"/>
                            <w:sz w:val="21"/>
                            <w:szCs w:val="21"/>
                            <w:lang w:bidi="ar"/>
                          </w:rPr>
                          <w:t>156</w:t>
                        </w:r>
                      </w:p>
                    </w:tc>
                    <w:tc>
                      <w:tcPr>
                        <w:tcW w:w="1031"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500</w:t>
                        </w:r>
                      </w:p>
                    </w:tc>
                    <w:tc>
                      <w:tcPr>
                        <w:tcW w:w="561" w:type="pct"/>
                        <w:shd w:val="clear" w:color="auto" w:fill="auto"/>
                        <w:vAlign w:val="center"/>
                      </w:tcPr>
                      <w:p>
                        <w:pPr>
                          <w:tabs>
                            <w:tab w:val="left" w:pos="336"/>
                          </w:tabs>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shd w:val="clear" w:color="auto" w:fill="auto"/>
                        <w:vAlign w:val="center"/>
                      </w:tcPr>
                      <w:p>
                        <w:pPr>
                          <w:spacing w:line="240" w:lineRule="auto"/>
                          <w:ind w:firstLine="0" w:firstLineChars="0"/>
                          <w:jc w:val="center"/>
                          <w:rPr>
                            <w:sz w:val="21"/>
                            <w:szCs w:val="21"/>
                          </w:rPr>
                        </w:pPr>
                      </w:p>
                    </w:tc>
                    <w:tc>
                      <w:tcPr>
                        <w:tcW w:w="1075" w:type="pct"/>
                        <w:shd w:val="clear" w:color="auto" w:fill="auto"/>
                        <w:vAlign w:val="center"/>
                      </w:tcPr>
                      <w:p>
                        <w:pPr>
                          <w:spacing w:line="240" w:lineRule="auto"/>
                          <w:ind w:firstLine="0" w:firstLineChars="0"/>
                          <w:jc w:val="center"/>
                          <w:rPr>
                            <w:sz w:val="21"/>
                            <w:szCs w:val="21"/>
                          </w:rPr>
                        </w:pPr>
                        <w:r>
                          <w:rPr>
                            <w:rFonts w:hint="eastAsia"/>
                            <w:sz w:val="21"/>
                            <w:szCs w:val="21"/>
                          </w:rPr>
                          <w:t>总磷</w:t>
                        </w:r>
                      </w:p>
                    </w:tc>
                    <w:tc>
                      <w:tcPr>
                        <w:tcW w:w="688"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mg/L</w:t>
                        </w:r>
                      </w:p>
                    </w:tc>
                    <w:tc>
                      <w:tcPr>
                        <w:tcW w:w="1739" w:type="dxa"/>
                        <w:shd w:val="clear" w:color="auto" w:fill="auto"/>
                        <w:vAlign w:val="center"/>
                      </w:tcPr>
                      <w:p>
                        <w:pPr>
                          <w:widowControl/>
                          <w:spacing w:line="240" w:lineRule="auto"/>
                          <w:ind w:firstLine="0" w:firstLineChars="0"/>
                          <w:jc w:val="center"/>
                          <w:rPr>
                            <w:sz w:val="21"/>
                            <w:szCs w:val="21"/>
                          </w:rPr>
                        </w:pPr>
                        <w:r>
                          <w:rPr>
                            <w:rFonts w:hint="eastAsia"/>
                            <w:sz w:val="21"/>
                            <w:szCs w:val="21"/>
                            <w:lang w:bidi="ar"/>
                          </w:rPr>
                          <w:t>1.91</w:t>
                        </w:r>
                      </w:p>
                    </w:tc>
                    <w:tc>
                      <w:tcPr>
                        <w:tcW w:w="1031"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8</w:t>
                        </w:r>
                      </w:p>
                    </w:tc>
                    <w:tc>
                      <w:tcPr>
                        <w:tcW w:w="561"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shd w:val="clear" w:color="auto" w:fill="auto"/>
                        <w:vAlign w:val="center"/>
                      </w:tcPr>
                      <w:p>
                        <w:pPr>
                          <w:spacing w:line="240" w:lineRule="auto"/>
                          <w:ind w:firstLine="0" w:firstLineChars="0"/>
                          <w:jc w:val="center"/>
                          <w:rPr>
                            <w:sz w:val="21"/>
                            <w:szCs w:val="21"/>
                          </w:rPr>
                        </w:pPr>
                      </w:p>
                    </w:tc>
                    <w:tc>
                      <w:tcPr>
                        <w:tcW w:w="1075" w:type="pct"/>
                        <w:shd w:val="clear" w:color="auto" w:fill="auto"/>
                        <w:vAlign w:val="center"/>
                      </w:tcPr>
                      <w:p>
                        <w:pPr>
                          <w:spacing w:line="240" w:lineRule="auto"/>
                          <w:ind w:firstLine="0" w:firstLineChars="0"/>
                          <w:jc w:val="center"/>
                          <w:rPr>
                            <w:sz w:val="21"/>
                            <w:szCs w:val="21"/>
                          </w:rPr>
                        </w:pPr>
                        <w:r>
                          <w:rPr>
                            <w:rFonts w:hint="eastAsia"/>
                            <w:sz w:val="21"/>
                            <w:szCs w:val="21"/>
                          </w:rPr>
                          <w:t>悬浮物</w:t>
                        </w:r>
                      </w:p>
                    </w:tc>
                    <w:tc>
                      <w:tcPr>
                        <w:tcW w:w="688"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mg/L</w:t>
                        </w:r>
                      </w:p>
                    </w:tc>
                    <w:tc>
                      <w:tcPr>
                        <w:tcW w:w="1739" w:type="dxa"/>
                        <w:shd w:val="clear" w:color="auto" w:fill="auto"/>
                        <w:vAlign w:val="center"/>
                      </w:tcPr>
                      <w:p>
                        <w:pPr>
                          <w:widowControl/>
                          <w:spacing w:line="240" w:lineRule="auto"/>
                          <w:ind w:firstLine="0" w:firstLineChars="0"/>
                          <w:jc w:val="center"/>
                          <w:rPr>
                            <w:sz w:val="21"/>
                            <w:szCs w:val="21"/>
                          </w:rPr>
                        </w:pPr>
                        <w:r>
                          <w:rPr>
                            <w:rFonts w:hint="eastAsia"/>
                            <w:sz w:val="21"/>
                            <w:szCs w:val="21"/>
                            <w:lang w:bidi="ar"/>
                          </w:rPr>
                          <w:t>14</w:t>
                        </w:r>
                      </w:p>
                    </w:tc>
                    <w:tc>
                      <w:tcPr>
                        <w:tcW w:w="1031" w:type="pct"/>
                        <w:shd w:val="clear" w:color="auto" w:fill="auto"/>
                        <w:vAlign w:val="center"/>
                      </w:tcPr>
                      <w:p>
                        <w:pPr>
                          <w:widowControl/>
                          <w:adjustRightInd w:val="0"/>
                          <w:snapToGrid w:val="0"/>
                          <w:spacing w:line="240" w:lineRule="auto"/>
                          <w:ind w:firstLine="0" w:firstLineChars="0"/>
                          <w:jc w:val="center"/>
                          <w:rPr>
                            <w:sz w:val="21"/>
                            <w:szCs w:val="21"/>
                          </w:rPr>
                        </w:pPr>
                        <w:r>
                          <w:rPr>
                            <w:rFonts w:hint="eastAsia"/>
                            <w:sz w:val="21"/>
                            <w:szCs w:val="21"/>
                          </w:rPr>
                          <w:t>400</w:t>
                        </w:r>
                      </w:p>
                    </w:tc>
                    <w:tc>
                      <w:tcPr>
                        <w:tcW w:w="561" w:type="pct"/>
                        <w:shd w:val="clear" w:color="auto" w:fill="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vAlign w:val="center"/>
                      </w:tcPr>
                      <w:p>
                        <w:pPr>
                          <w:spacing w:line="240" w:lineRule="auto"/>
                          <w:ind w:firstLine="0" w:firstLineChars="0"/>
                          <w:jc w:val="center"/>
                          <w:rPr>
                            <w:sz w:val="21"/>
                            <w:szCs w:val="21"/>
                          </w:rPr>
                        </w:pPr>
                      </w:p>
                    </w:tc>
                    <w:tc>
                      <w:tcPr>
                        <w:tcW w:w="1075" w:type="pct"/>
                        <w:vAlign w:val="center"/>
                      </w:tcPr>
                      <w:p>
                        <w:pPr>
                          <w:spacing w:line="240" w:lineRule="auto"/>
                          <w:ind w:firstLine="0" w:firstLineChars="0"/>
                          <w:jc w:val="center"/>
                          <w:rPr>
                            <w:sz w:val="21"/>
                            <w:szCs w:val="21"/>
                          </w:rPr>
                        </w:pPr>
                        <w:r>
                          <w:rPr>
                            <w:rFonts w:hint="eastAsia"/>
                            <w:sz w:val="21"/>
                            <w:szCs w:val="21"/>
                          </w:rPr>
                          <w:t>溶解性总固体</w:t>
                        </w:r>
                      </w:p>
                    </w:tc>
                    <w:tc>
                      <w:tcPr>
                        <w:tcW w:w="688" w:type="pct"/>
                        <w:vAlign w:val="center"/>
                      </w:tcPr>
                      <w:p>
                        <w:pPr>
                          <w:widowControl/>
                          <w:adjustRightInd w:val="0"/>
                          <w:snapToGrid w:val="0"/>
                          <w:spacing w:line="240" w:lineRule="auto"/>
                          <w:ind w:firstLine="0" w:firstLineChars="0"/>
                          <w:jc w:val="center"/>
                          <w:rPr>
                            <w:sz w:val="21"/>
                            <w:szCs w:val="21"/>
                          </w:rPr>
                        </w:pPr>
                        <w:r>
                          <w:rPr>
                            <w:rFonts w:hint="eastAsia"/>
                            <w:sz w:val="21"/>
                            <w:szCs w:val="21"/>
                          </w:rPr>
                          <w:t>mg/L</w:t>
                        </w:r>
                      </w:p>
                    </w:tc>
                    <w:tc>
                      <w:tcPr>
                        <w:tcW w:w="1739" w:type="dxa"/>
                        <w:vAlign w:val="center"/>
                      </w:tcPr>
                      <w:p>
                        <w:pPr>
                          <w:widowControl/>
                          <w:spacing w:line="240" w:lineRule="auto"/>
                          <w:ind w:firstLine="0" w:firstLineChars="0"/>
                          <w:jc w:val="center"/>
                          <w:rPr>
                            <w:sz w:val="21"/>
                            <w:szCs w:val="21"/>
                          </w:rPr>
                        </w:pPr>
                        <w:r>
                          <w:rPr>
                            <w:rFonts w:hint="eastAsia"/>
                            <w:sz w:val="21"/>
                            <w:szCs w:val="21"/>
                            <w:lang w:bidi="ar"/>
                          </w:rPr>
                          <w:t>434</w:t>
                        </w:r>
                      </w:p>
                    </w:tc>
                    <w:tc>
                      <w:tcPr>
                        <w:tcW w:w="1031" w:type="pct"/>
                        <w:vAlign w:val="center"/>
                      </w:tcPr>
                      <w:p>
                        <w:pPr>
                          <w:widowControl/>
                          <w:adjustRightInd w:val="0"/>
                          <w:snapToGrid w:val="0"/>
                          <w:spacing w:line="240" w:lineRule="auto"/>
                          <w:ind w:firstLine="0" w:firstLineChars="0"/>
                          <w:jc w:val="center"/>
                          <w:rPr>
                            <w:sz w:val="21"/>
                            <w:szCs w:val="21"/>
                          </w:rPr>
                        </w:pPr>
                        <w:r>
                          <w:rPr>
                            <w:rFonts w:hint="eastAsia"/>
                            <w:sz w:val="21"/>
                            <w:szCs w:val="21"/>
                          </w:rPr>
                          <w:t>1500</w:t>
                        </w:r>
                      </w:p>
                    </w:tc>
                    <w:tc>
                      <w:tcPr>
                        <w:tcW w:w="0" w:type="auto"/>
                        <w:vAlign w:val="center"/>
                      </w:tcPr>
                      <w:p>
                        <w:pPr>
                          <w:spacing w:line="240" w:lineRule="auto"/>
                          <w:ind w:firstLine="0" w:firstLineChars="0"/>
                          <w:jc w:val="center"/>
                          <w:rPr>
                            <w:spacing w:val="10"/>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4" w:type="pct"/>
                        <w:vMerge w:val="continue"/>
                        <w:vAlign w:val="center"/>
                      </w:tcPr>
                      <w:p>
                        <w:pPr>
                          <w:spacing w:line="240" w:lineRule="auto"/>
                          <w:ind w:firstLine="0" w:firstLineChars="0"/>
                          <w:jc w:val="center"/>
                          <w:rPr>
                            <w:sz w:val="21"/>
                            <w:szCs w:val="21"/>
                          </w:rPr>
                        </w:pPr>
                      </w:p>
                    </w:tc>
                    <w:tc>
                      <w:tcPr>
                        <w:tcW w:w="1075" w:type="pct"/>
                        <w:vAlign w:val="center"/>
                      </w:tcPr>
                      <w:p>
                        <w:pPr>
                          <w:spacing w:line="240" w:lineRule="auto"/>
                          <w:ind w:firstLine="0" w:firstLineChars="0"/>
                          <w:jc w:val="center"/>
                          <w:rPr>
                            <w:sz w:val="21"/>
                            <w:szCs w:val="21"/>
                          </w:rPr>
                        </w:pPr>
                        <w:r>
                          <w:rPr>
                            <w:rFonts w:hint="eastAsia"/>
                            <w:sz w:val="21"/>
                            <w:szCs w:val="21"/>
                          </w:rPr>
                          <w:t>五日生化需氧量</w:t>
                        </w:r>
                      </w:p>
                    </w:tc>
                    <w:tc>
                      <w:tcPr>
                        <w:tcW w:w="688" w:type="pct"/>
                        <w:vAlign w:val="center"/>
                      </w:tcPr>
                      <w:p>
                        <w:pPr>
                          <w:spacing w:line="240" w:lineRule="auto"/>
                          <w:ind w:firstLine="0" w:firstLineChars="0"/>
                          <w:jc w:val="center"/>
                          <w:rPr>
                            <w:sz w:val="21"/>
                            <w:szCs w:val="21"/>
                          </w:rPr>
                        </w:pPr>
                        <w:r>
                          <w:rPr>
                            <w:rFonts w:hint="eastAsia"/>
                            <w:sz w:val="21"/>
                            <w:szCs w:val="21"/>
                          </w:rPr>
                          <w:t>mg/L</w:t>
                        </w:r>
                      </w:p>
                    </w:tc>
                    <w:tc>
                      <w:tcPr>
                        <w:tcW w:w="1739" w:type="dxa"/>
                        <w:vAlign w:val="center"/>
                      </w:tcPr>
                      <w:p>
                        <w:pPr>
                          <w:widowControl/>
                          <w:spacing w:line="240" w:lineRule="auto"/>
                          <w:ind w:firstLine="0" w:firstLineChars="0"/>
                          <w:jc w:val="center"/>
                          <w:rPr>
                            <w:sz w:val="21"/>
                            <w:szCs w:val="21"/>
                          </w:rPr>
                        </w:pPr>
                        <w:r>
                          <w:rPr>
                            <w:rFonts w:hint="eastAsia"/>
                            <w:sz w:val="21"/>
                            <w:szCs w:val="21"/>
                            <w:lang w:bidi="ar"/>
                          </w:rPr>
                          <w:t>43.3</w:t>
                        </w:r>
                      </w:p>
                    </w:tc>
                    <w:tc>
                      <w:tcPr>
                        <w:tcW w:w="1031" w:type="pct"/>
                        <w:vAlign w:val="center"/>
                      </w:tcPr>
                      <w:p>
                        <w:pPr>
                          <w:widowControl/>
                          <w:adjustRightInd w:val="0"/>
                          <w:snapToGrid w:val="0"/>
                          <w:spacing w:line="240" w:lineRule="auto"/>
                          <w:ind w:firstLine="0" w:firstLineChars="0"/>
                          <w:jc w:val="center"/>
                          <w:rPr>
                            <w:sz w:val="21"/>
                            <w:szCs w:val="21"/>
                          </w:rPr>
                        </w:pPr>
                        <w:r>
                          <w:rPr>
                            <w:rFonts w:hint="eastAsia"/>
                            <w:sz w:val="21"/>
                            <w:szCs w:val="21"/>
                          </w:rPr>
                          <w:t>350</w:t>
                        </w:r>
                      </w:p>
                    </w:tc>
                    <w:tc>
                      <w:tcPr>
                        <w:tcW w:w="0" w:type="auto"/>
                        <w:vAlign w:val="center"/>
                      </w:tcPr>
                      <w:p>
                        <w:pPr>
                          <w:spacing w:line="240" w:lineRule="auto"/>
                          <w:ind w:firstLine="0" w:firstLineChars="0"/>
                          <w:jc w:val="center"/>
                          <w:rPr>
                            <w:sz w:val="21"/>
                            <w:szCs w:val="21"/>
                          </w:rPr>
                        </w:pPr>
                        <w:r>
                          <w:rPr>
                            <w:rFonts w:hint="eastAsia"/>
                            <w:sz w:val="21"/>
                            <w:szCs w:val="21"/>
                          </w:rPr>
                          <w:t>达标</w:t>
                        </w:r>
                      </w:p>
                    </w:tc>
                  </w:tr>
                </w:tbl>
                <w:p>
                  <w:pPr>
                    <w:pStyle w:val="38"/>
                    <w:ind w:firstLine="480" w:firstLineChars="200"/>
                    <w:rPr>
                      <w:rFonts w:cs="Times New Roman"/>
                    </w:rPr>
                  </w:pPr>
                  <w:r>
                    <w:rPr>
                      <w:rFonts w:hint="eastAsia" w:cs="Times New Roman"/>
                    </w:rPr>
                    <w:t>验收监测期间，企业污水总排口主要污染物氨氮、化学需氧量最大日均浓度分别为42.8mg/L、326mg/L，均满足银丰国际生物城污水处理站进水水质要求；银丰国际生物城污水处理站出口主要污染物pH值在7.4-7.6之间，氨氮、化学需氧量、总磷、悬浮物、溶解性总固体、五日生化需氧量最大日均浓度分别为13.4mg/L、156mg/L、1.91mg/L、14mg/L、434mg/L、43.3mg/L，均满足《污水排入城镇下水道水质标准》（GB/T 31962-2015）A 级标准要求。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38"/>
                    <w:spacing w:line="240" w:lineRule="auto"/>
                    <w:ind w:firstLine="0" w:firstLineChars="0"/>
                    <w:jc w:val="both"/>
                    <w:rPr>
                      <w:rFonts w:hint="eastAsia" w:ascii="宋体" w:hAnsi="宋体"/>
                      <w:szCs w:val="24"/>
                      <w:lang w:eastAsia="zh-CN"/>
                    </w:rPr>
                  </w:pPr>
                  <w:r>
                    <w:rPr>
                      <w:rFonts w:hint="eastAsia" w:ascii="宋体" w:hAnsi="宋体"/>
                      <w:szCs w:val="24"/>
                    </w:rPr>
                    <w:t>企业污水排口</w:t>
                  </w:r>
                </w:p>
                <w:p>
                  <w:pPr>
                    <w:pStyle w:val="38"/>
                    <w:ind w:firstLine="0" w:firstLineChars="0"/>
                    <w:jc w:val="center"/>
                    <w:rPr>
                      <w:rFonts w:cs="Times New Roman"/>
                      <w:b/>
                      <w:bCs/>
                      <w:sz w:val="21"/>
                      <w:szCs w:val="21"/>
                    </w:rPr>
                  </w:pPr>
                  <w:r>
                    <w:rPr>
                      <w:rFonts w:ascii="宋体" w:hAnsi="宋体"/>
                      <w:szCs w:val="24"/>
                    </w:rPr>
                    <w:fldChar w:fldCharType="begin"/>
                  </w:r>
                  <w:r>
                    <w:rPr>
                      <w:rFonts w:ascii="宋体" w:hAnsi="宋体"/>
                      <w:szCs w:val="24"/>
                    </w:rPr>
                    <w:instrText xml:space="preserve">INCLUDEPICTURE \d "http://117.73.252.128:9025/company/20230223/da45cce2-30fa-4dcf-a541-9a14ab959cdd/1677120717764_1677120723269.jpg"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"http://117.73.252.128:9025/company/20230223/da45cce2-30fa-4dcf-a541-9a14ab959cdd/1677120717764_1677120723269.jpg"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"http://117.73.252.128:9025/company/20230223/da45cce2-30fa-4dcf-a541-9a14ab959cdd/1677120717764_1677120723269.jpg"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"http://117.73.252.128:9025/company/20230223/da45cce2-30fa-4dcf-a541-9a14ab959cdd/1677120717764_1677120723269.jpg" \* MERGEFORMATINET </w:instrText>
                  </w:r>
                  <w:r>
                    <w:rPr>
                      <w:rFonts w:ascii="宋体" w:hAnsi="宋体"/>
                      <w:szCs w:val="24"/>
                    </w:rPr>
                    <w:fldChar w:fldCharType="separate"/>
                  </w:r>
                  <w:r>
                    <w:rPr>
                      <w:rFonts w:ascii="宋体" w:hAnsi="宋体"/>
                      <w:szCs w:val="24"/>
                    </w:rPr>
                    <w:pict>
                      <v:shape id="_x0000_i1037" o:spt="75" alt="IMG_256" type="#_x0000_t75" style="height:235.15pt;width:163.6pt;" filled="f" o:preferrelative="t" stroked="f" coordsize="21600,21600">
                        <v:path/>
                        <v:fill on="f" focussize="0,0"/>
                        <v:stroke on="f"/>
                        <v:imagedata r:id="rId22" r:href="rId23" o:title=""/>
                        <o:lock v:ext="edit" aspectratio="t"/>
                        <w10:wrap type="none"/>
                        <w10:anchorlock/>
                      </v:shape>
                    </w:pict>
                  </w:r>
                  <w:r>
                    <w:rPr>
                      <w:rFonts w:ascii="宋体" w:hAnsi="宋体"/>
                      <w:szCs w:val="24"/>
                    </w:rPr>
                    <w:fldChar w:fldCharType="end"/>
                  </w:r>
                  <w:r>
                    <w:rPr>
                      <w:rFonts w:ascii="宋体" w:hAnsi="宋体"/>
                      <w:szCs w:val="24"/>
                    </w:rPr>
                    <w:fldChar w:fldCharType="end"/>
                  </w:r>
                  <w:r>
                    <w:rPr>
                      <w:rFonts w:ascii="宋体" w:hAnsi="宋体"/>
                      <w:szCs w:val="24"/>
                    </w:rPr>
                    <w:fldChar w:fldCharType="end"/>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38"/>
                    <w:spacing w:line="240" w:lineRule="auto"/>
                    <w:ind w:firstLine="0" w:firstLineChars="0"/>
                    <w:jc w:val="both"/>
                    <w:rPr>
                      <w:rFonts w:hint="eastAsia" w:ascii="宋体" w:hAnsi="宋体" w:eastAsia="宋体"/>
                      <w:szCs w:val="24"/>
                      <w:lang w:eastAsia="zh-CN"/>
                    </w:rPr>
                  </w:pPr>
                  <w:r>
                    <w:rPr>
                      <w:rFonts w:hint="eastAsia" w:ascii="宋体" w:hAnsi="宋体"/>
                      <w:szCs w:val="24"/>
                    </w:rPr>
                    <w:t>银丰国际生物城污水处理站出口</w:t>
                  </w:r>
                </w:p>
                <w:p>
                  <w:pPr>
                    <w:pStyle w:val="38"/>
                    <w:ind w:firstLine="0" w:firstLineChars="0"/>
                    <w:jc w:val="center"/>
                    <w:rPr>
                      <w:rFonts w:ascii="宋体" w:hAnsi="宋体"/>
                      <w:szCs w:val="24"/>
                    </w:rPr>
                  </w:pPr>
                  <w:r>
                    <w:rPr>
                      <w:rFonts w:ascii="宋体" w:hAnsi="宋体"/>
                      <w:szCs w:val="24"/>
                    </w:rPr>
                    <w:fldChar w:fldCharType="begin"/>
                  </w:r>
                  <w:r>
                    <w:rPr>
                      <w:rFonts w:ascii="宋体" w:hAnsi="宋体"/>
                      <w:szCs w:val="24"/>
                    </w:rPr>
                    <w:instrText xml:space="preserve">INCLUDEPICTURE \d "http://117.73.252.128:9025/company/20230223/c9754351-7949-42a1-8c80-ac4cafc915de/1677124339737_1677124343488.jpg"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"http://117.73.252.128:9025/company/20230223/c9754351-7949-42a1-8c80-ac4cafc915de/1677124339737_1677124343488.jpg"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"http://117.73.252.128:9025/company/20230223/c9754351-7949-42a1-8c80-ac4cafc915de/1677124339737_1677124343488.jpg"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"http://117.73.252.128:9025/company/20230223/c9754351-7949-42a1-8c80-ac4cafc915de/1677124339737_1677124343488.jpg" \* MERGEFORMATINET </w:instrText>
                  </w:r>
                  <w:r>
                    <w:rPr>
                      <w:rFonts w:ascii="宋体" w:hAnsi="宋体"/>
                      <w:szCs w:val="24"/>
                    </w:rPr>
                    <w:fldChar w:fldCharType="separate"/>
                  </w:r>
                  <w:r>
                    <w:rPr>
                      <w:rFonts w:ascii="宋体" w:hAnsi="宋体"/>
                      <w:szCs w:val="24"/>
                    </w:rPr>
                    <w:pict>
                      <v:shape id="_x0000_i1038" o:spt="75" alt="IMG_256" type="#_x0000_t75" style="height:244.9pt;width:169.3pt;" filled="f" o:preferrelative="t" stroked="f" coordsize="21600,21600">
                        <v:path/>
                        <v:fill on="f" focussize="0,0"/>
                        <v:stroke on="f"/>
                        <v:imagedata r:id="rId24" r:href="rId25" o:title=""/>
                        <o:lock v:ext="edit" aspectratio="t"/>
                        <w10:wrap type="none"/>
                        <w10:anchorlock/>
                      </v:shape>
                    </w:pict>
                  </w:r>
                  <w:r>
                    <w:rPr>
                      <w:rFonts w:ascii="宋体" w:hAnsi="宋体"/>
                      <w:szCs w:val="24"/>
                    </w:rPr>
                    <w:fldChar w:fldCharType="end"/>
                  </w:r>
                  <w:r>
                    <w:rPr>
                      <w:rFonts w:ascii="宋体" w:hAnsi="宋体"/>
                      <w:szCs w:val="24"/>
                    </w:rPr>
                    <w:fldChar w:fldCharType="end"/>
                  </w:r>
                  <w:r>
                    <w:rPr>
                      <w:rFonts w:ascii="宋体" w:hAnsi="宋体"/>
                      <w:szCs w:val="24"/>
                    </w:rPr>
                    <w:fldChar w:fldCharType="end"/>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38"/>
                    <w:ind w:firstLine="0" w:firstLineChars="0"/>
                    <w:jc w:val="center"/>
                    <w:rPr>
                      <w:rFonts w:cs="Times New Roman"/>
                      <w:b/>
                      <w:bCs/>
                      <w:sz w:val="21"/>
                      <w:szCs w:val="21"/>
                    </w:rPr>
                  </w:pPr>
                  <w:r>
                    <w:rPr>
                      <w:rFonts w:cs="Times New Roman"/>
                      <w:b/>
                      <w:bCs/>
                      <w:sz w:val="21"/>
                      <w:szCs w:val="21"/>
                    </w:rPr>
                    <w:t>图7-</w:t>
                  </w:r>
                  <w:r>
                    <w:rPr>
                      <w:rFonts w:hint="eastAsia" w:cs="Times New Roman"/>
                      <w:b/>
                      <w:bCs/>
                      <w:sz w:val="21"/>
                      <w:szCs w:val="21"/>
                    </w:rPr>
                    <w:t>3</w:t>
                  </w:r>
                  <w:r>
                    <w:rPr>
                      <w:rFonts w:cs="Times New Roman"/>
                      <w:b/>
                      <w:bCs/>
                      <w:sz w:val="21"/>
                      <w:szCs w:val="21"/>
                    </w:rPr>
                    <w:t xml:space="preserve">  废水监测</w:t>
                  </w:r>
                </w:p>
              </w:tc>
            </w:tr>
          </w:tbl>
          <w:p>
            <w:pPr>
              <w:ind w:firstLine="482"/>
              <w:rPr>
                <w:b/>
                <w:bCs/>
              </w:rPr>
            </w:pPr>
            <w:r>
              <w:rPr>
                <w:rFonts w:hint="eastAsia"/>
                <w:b/>
                <w:bCs/>
              </w:rPr>
              <w:t>4、噪声</w:t>
            </w:r>
          </w:p>
          <w:p>
            <w:pPr>
              <w:ind w:firstLine="480"/>
            </w:pPr>
            <w:r>
              <w:rPr>
                <w:rFonts w:hint="eastAsia"/>
              </w:rPr>
              <w:t>项目产生的噪声主要是实验室设备等的运行噪声，项目采取设备均布置于室内，采取门窗、墙体隔声，全部设备均选用低噪声设备并采取减振措施。加强管理，经常保养和维护机械设备避免设备在不良状态下运行等措施。</w:t>
            </w:r>
          </w:p>
          <w:p>
            <w:pPr>
              <w:ind w:firstLine="480"/>
            </w:pPr>
            <w:r>
              <w:t>监测结果见下表：</w:t>
            </w:r>
          </w:p>
          <w:p>
            <w:pPr>
              <w:spacing w:line="240" w:lineRule="atLeast"/>
              <w:ind w:firstLine="482"/>
              <w:jc w:val="center"/>
              <w:rPr>
                <w:b/>
                <w:bCs/>
              </w:rPr>
            </w:pPr>
            <w:r>
              <w:rPr>
                <w:b/>
                <w:bCs/>
              </w:rPr>
              <w:t>表7-</w:t>
            </w:r>
            <w:r>
              <w:rPr>
                <w:rFonts w:hint="eastAsia"/>
                <w:b/>
                <w:bCs/>
                <w:lang w:val="en-US" w:eastAsia="zh-CN"/>
              </w:rPr>
              <w:t>9</w:t>
            </w:r>
            <w:r>
              <w:rPr>
                <w:rFonts w:hint="eastAsia"/>
                <w:b/>
                <w:bCs/>
              </w:rPr>
              <w:t xml:space="preserve"> </w:t>
            </w:r>
            <w:r>
              <w:rPr>
                <w:b/>
                <w:bCs/>
              </w:rPr>
              <w:t xml:space="preserve"> 项目噪声监测结果表   单位：dB（A）</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2"/>
              <w:gridCol w:w="970"/>
              <w:gridCol w:w="1063"/>
              <w:gridCol w:w="1124"/>
              <w:gridCol w:w="1363"/>
              <w:gridCol w:w="1367"/>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pct"/>
                  <w:vMerge w:val="restart"/>
                  <w:vAlign w:val="center"/>
                </w:tcPr>
                <w:p>
                  <w:pPr>
                    <w:widowControl/>
                    <w:adjustRightInd w:val="0"/>
                    <w:spacing w:line="240" w:lineRule="auto"/>
                    <w:ind w:firstLine="0" w:firstLineChars="0"/>
                    <w:jc w:val="center"/>
                    <w:rPr>
                      <w:b/>
                      <w:bCs/>
                      <w:sz w:val="21"/>
                      <w:szCs w:val="21"/>
                    </w:rPr>
                  </w:pPr>
                  <w:r>
                    <w:rPr>
                      <w:b/>
                      <w:bCs/>
                      <w:sz w:val="21"/>
                      <w:szCs w:val="21"/>
                    </w:rPr>
                    <w:t>采样</w:t>
                  </w:r>
                </w:p>
                <w:p>
                  <w:pPr>
                    <w:widowControl/>
                    <w:adjustRightInd w:val="0"/>
                    <w:spacing w:line="240" w:lineRule="auto"/>
                    <w:ind w:firstLine="0" w:firstLineChars="0"/>
                    <w:jc w:val="center"/>
                    <w:rPr>
                      <w:b/>
                      <w:bCs/>
                      <w:sz w:val="21"/>
                      <w:szCs w:val="21"/>
                    </w:rPr>
                  </w:pPr>
                  <w:r>
                    <w:rPr>
                      <w:b/>
                      <w:bCs/>
                      <w:sz w:val="21"/>
                      <w:szCs w:val="21"/>
                    </w:rPr>
                    <w:t>时间</w:t>
                  </w:r>
                </w:p>
              </w:tc>
              <w:tc>
                <w:tcPr>
                  <w:tcW w:w="544" w:type="pct"/>
                  <w:vMerge w:val="restart"/>
                  <w:vAlign w:val="center"/>
                </w:tcPr>
                <w:p>
                  <w:pPr>
                    <w:widowControl/>
                    <w:adjustRightInd w:val="0"/>
                    <w:spacing w:line="240" w:lineRule="auto"/>
                    <w:ind w:firstLine="0" w:firstLineChars="0"/>
                    <w:jc w:val="center"/>
                    <w:rPr>
                      <w:b/>
                      <w:bCs/>
                      <w:sz w:val="21"/>
                      <w:szCs w:val="21"/>
                    </w:rPr>
                  </w:pPr>
                  <w:r>
                    <w:rPr>
                      <w:b/>
                      <w:bCs/>
                      <w:sz w:val="21"/>
                      <w:szCs w:val="21"/>
                    </w:rPr>
                    <w:t>测量</w:t>
                  </w:r>
                </w:p>
                <w:p>
                  <w:pPr>
                    <w:widowControl/>
                    <w:adjustRightInd w:val="0"/>
                    <w:spacing w:line="240" w:lineRule="auto"/>
                    <w:ind w:firstLine="0" w:firstLineChars="0"/>
                    <w:jc w:val="center"/>
                    <w:rPr>
                      <w:b/>
                      <w:bCs/>
                      <w:sz w:val="21"/>
                      <w:szCs w:val="21"/>
                    </w:rPr>
                  </w:pPr>
                  <w:r>
                    <w:rPr>
                      <w:b/>
                      <w:bCs/>
                      <w:sz w:val="21"/>
                      <w:szCs w:val="21"/>
                    </w:rPr>
                    <w:t>时段</w:t>
                  </w:r>
                </w:p>
              </w:tc>
              <w:tc>
                <w:tcPr>
                  <w:tcW w:w="596" w:type="pct"/>
                  <w:vMerge w:val="restart"/>
                  <w:vAlign w:val="center"/>
                </w:tcPr>
                <w:p>
                  <w:pPr>
                    <w:widowControl/>
                    <w:adjustRightInd w:val="0"/>
                    <w:spacing w:line="240" w:lineRule="auto"/>
                    <w:ind w:firstLine="0" w:firstLineChars="0"/>
                    <w:jc w:val="center"/>
                    <w:rPr>
                      <w:b/>
                      <w:bCs/>
                      <w:sz w:val="21"/>
                      <w:szCs w:val="21"/>
                    </w:rPr>
                  </w:pPr>
                  <w:r>
                    <w:rPr>
                      <w:b/>
                      <w:bCs/>
                      <w:sz w:val="21"/>
                      <w:szCs w:val="21"/>
                    </w:rPr>
                    <w:t>检测</w:t>
                  </w:r>
                </w:p>
                <w:p>
                  <w:pPr>
                    <w:widowControl/>
                    <w:adjustRightInd w:val="0"/>
                    <w:spacing w:line="240" w:lineRule="auto"/>
                    <w:ind w:firstLine="0" w:firstLineChars="0"/>
                    <w:jc w:val="center"/>
                    <w:rPr>
                      <w:b/>
                      <w:bCs/>
                      <w:sz w:val="21"/>
                      <w:szCs w:val="21"/>
                    </w:rPr>
                  </w:pPr>
                  <w:r>
                    <w:rPr>
                      <w:b/>
                      <w:bCs/>
                      <w:sz w:val="21"/>
                      <w:szCs w:val="21"/>
                    </w:rPr>
                    <w:t>项目</w:t>
                  </w:r>
                </w:p>
              </w:tc>
              <w:tc>
                <w:tcPr>
                  <w:tcW w:w="3027" w:type="pct"/>
                  <w:gridSpan w:val="4"/>
                  <w:vAlign w:val="center"/>
                </w:tcPr>
                <w:p>
                  <w:pPr>
                    <w:widowControl/>
                    <w:adjustRightInd w:val="0"/>
                    <w:spacing w:line="240" w:lineRule="auto"/>
                    <w:ind w:firstLine="0" w:firstLineChars="0"/>
                    <w:jc w:val="center"/>
                    <w:rPr>
                      <w:b/>
                      <w:bCs/>
                      <w:sz w:val="21"/>
                      <w:szCs w:val="21"/>
                    </w:rPr>
                  </w:pPr>
                  <w:r>
                    <w:rPr>
                      <w:b/>
                      <w:bCs/>
                      <w:sz w:val="21"/>
                      <w:szCs w:val="21"/>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pct"/>
                  <w:vMerge w:val="continue"/>
                  <w:vAlign w:val="center"/>
                </w:tcPr>
                <w:p>
                  <w:pPr>
                    <w:widowControl/>
                    <w:adjustRightInd w:val="0"/>
                    <w:spacing w:line="240" w:lineRule="auto"/>
                    <w:ind w:firstLine="0" w:firstLineChars="0"/>
                    <w:jc w:val="center"/>
                    <w:rPr>
                      <w:b/>
                      <w:bCs/>
                      <w:sz w:val="21"/>
                      <w:szCs w:val="21"/>
                    </w:rPr>
                  </w:pPr>
                </w:p>
              </w:tc>
              <w:tc>
                <w:tcPr>
                  <w:tcW w:w="544" w:type="pct"/>
                  <w:vMerge w:val="continue"/>
                  <w:vAlign w:val="center"/>
                </w:tcPr>
                <w:p>
                  <w:pPr>
                    <w:widowControl/>
                    <w:adjustRightInd w:val="0"/>
                    <w:spacing w:line="240" w:lineRule="auto"/>
                    <w:ind w:firstLine="0" w:firstLineChars="0"/>
                    <w:jc w:val="center"/>
                    <w:rPr>
                      <w:b/>
                      <w:bCs/>
                      <w:sz w:val="21"/>
                      <w:szCs w:val="21"/>
                    </w:rPr>
                  </w:pPr>
                </w:p>
              </w:tc>
              <w:tc>
                <w:tcPr>
                  <w:tcW w:w="596" w:type="pct"/>
                  <w:vMerge w:val="continue"/>
                  <w:vAlign w:val="center"/>
                </w:tcPr>
                <w:p>
                  <w:pPr>
                    <w:widowControl/>
                    <w:adjustRightInd w:val="0"/>
                    <w:spacing w:line="240" w:lineRule="auto"/>
                    <w:ind w:firstLine="0" w:firstLineChars="0"/>
                    <w:jc w:val="center"/>
                    <w:rPr>
                      <w:b/>
                      <w:bCs/>
                      <w:sz w:val="21"/>
                      <w:szCs w:val="21"/>
                    </w:rPr>
                  </w:pPr>
                </w:p>
              </w:tc>
              <w:tc>
                <w:tcPr>
                  <w:tcW w:w="630" w:type="pct"/>
                  <w:vAlign w:val="center"/>
                </w:tcPr>
                <w:p>
                  <w:pPr>
                    <w:widowControl/>
                    <w:adjustRightInd w:val="0"/>
                    <w:spacing w:line="240" w:lineRule="auto"/>
                    <w:ind w:firstLine="0" w:firstLineChars="0"/>
                    <w:jc w:val="center"/>
                    <w:rPr>
                      <w:b/>
                      <w:bCs/>
                      <w:sz w:val="21"/>
                      <w:szCs w:val="21"/>
                    </w:rPr>
                  </w:pPr>
                  <w:r>
                    <w:rPr>
                      <w:rFonts w:hint="eastAsia"/>
                      <w:b/>
                      <w:bCs/>
                      <w:sz w:val="21"/>
                      <w:szCs w:val="21"/>
                    </w:rPr>
                    <w:t>1#东厂界</w:t>
                  </w:r>
                </w:p>
              </w:tc>
              <w:tc>
                <w:tcPr>
                  <w:tcW w:w="764" w:type="pct"/>
                  <w:vAlign w:val="center"/>
                </w:tcPr>
                <w:p>
                  <w:pPr>
                    <w:widowControl/>
                    <w:adjustRightInd w:val="0"/>
                    <w:spacing w:line="240" w:lineRule="auto"/>
                    <w:ind w:firstLine="0" w:firstLineChars="0"/>
                    <w:jc w:val="center"/>
                    <w:rPr>
                      <w:b/>
                      <w:bCs/>
                      <w:sz w:val="21"/>
                      <w:szCs w:val="21"/>
                    </w:rPr>
                  </w:pPr>
                  <w:r>
                    <w:rPr>
                      <w:rFonts w:hint="eastAsia"/>
                      <w:b/>
                      <w:bCs/>
                      <w:sz w:val="21"/>
                      <w:szCs w:val="21"/>
                    </w:rPr>
                    <w:t>2#南</w:t>
                  </w:r>
                  <w:r>
                    <w:rPr>
                      <w:b/>
                      <w:bCs/>
                      <w:sz w:val="21"/>
                      <w:szCs w:val="21"/>
                    </w:rPr>
                    <w:t>厂界</w:t>
                  </w:r>
                </w:p>
              </w:tc>
              <w:tc>
                <w:tcPr>
                  <w:tcW w:w="766" w:type="pct"/>
                  <w:vAlign w:val="center"/>
                </w:tcPr>
                <w:p>
                  <w:pPr>
                    <w:widowControl/>
                    <w:adjustRightInd w:val="0"/>
                    <w:spacing w:line="240" w:lineRule="auto"/>
                    <w:ind w:firstLine="0" w:firstLineChars="0"/>
                    <w:jc w:val="center"/>
                    <w:rPr>
                      <w:b/>
                      <w:bCs/>
                      <w:sz w:val="21"/>
                      <w:szCs w:val="21"/>
                    </w:rPr>
                  </w:pPr>
                  <w:r>
                    <w:rPr>
                      <w:b/>
                      <w:bCs/>
                      <w:sz w:val="21"/>
                      <w:szCs w:val="21"/>
                    </w:rPr>
                    <w:t>3#</w:t>
                  </w:r>
                  <w:r>
                    <w:rPr>
                      <w:rFonts w:hint="eastAsia"/>
                      <w:b/>
                      <w:bCs/>
                      <w:sz w:val="21"/>
                      <w:szCs w:val="21"/>
                    </w:rPr>
                    <w:t>北</w:t>
                  </w:r>
                  <w:r>
                    <w:rPr>
                      <w:b/>
                      <w:bCs/>
                      <w:sz w:val="21"/>
                      <w:szCs w:val="21"/>
                    </w:rPr>
                    <w:t>厂界</w:t>
                  </w:r>
                </w:p>
              </w:tc>
              <w:tc>
                <w:tcPr>
                  <w:tcW w:w="865" w:type="pct"/>
                  <w:vAlign w:val="center"/>
                </w:tcPr>
                <w:p>
                  <w:pPr>
                    <w:widowControl/>
                    <w:adjustRightInd w:val="0"/>
                    <w:spacing w:line="240" w:lineRule="auto"/>
                    <w:ind w:firstLine="0" w:firstLineChars="0"/>
                    <w:jc w:val="center"/>
                    <w:rPr>
                      <w:b/>
                      <w:bCs/>
                      <w:sz w:val="21"/>
                      <w:szCs w:val="21"/>
                    </w:rPr>
                  </w:pPr>
                  <w:r>
                    <w:rPr>
                      <w:b/>
                      <w:bCs/>
                      <w:sz w:val="21"/>
                      <w:szCs w:val="21"/>
                    </w:rPr>
                    <w:t>4#</w:t>
                  </w:r>
                  <w:r>
                    <w:rPr>
                      <w:rFonts w:hint="eastAsia"/>
                      <w:b/>
                      <w:bCs/>
                      <w:sz w:val="21"/>
                      <w:szCs w:val="21"/>
                    </w:rPr>
                    <w:t>公寓A12楼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pct"/>
                  <w:vAlign w:val="center"/>
                </w:tcPr>
                <w:p>
                  <w:pPr>
                    <w:widowControl/>
                    <w:adjustRightInd w:val="0"/>
                    <w:spacing w:line="240" w:lineRule="auto"/>
                    <w:ind w:firstLine="0" w:firstLineChars="0"/>
                    <w:jc w:val="center"/>
                    <w:rPr>
                      <w:sz w:val="21"/>
                      <w:szCs w:val="21"/>
                    </w:rPr>
                  </w:pPr>
                  <w:r>
                    <w:rPr>
                      <w:sz w:val="21"/>
                      <w:szCs w:val="21"/>
                    </w:rPr>
                    <w:t>2023.02.23</w:t>
                  </w:r>
                </w:p>
              </w:tc>
              <w:tc>
                <w:tcPr>
                  <w:tcW w:w="544" w:type="pct"/>
                  <w:vAlign w:val="center"/>
                </w:tcPr>
                <w:p>
                  <w:pPr>
                    <w:widowControl/>
                    <w:adjustRightInd w:val="0"/>
                    <w:spacing w:line="240" w:lineRule="auto"/>
                    <w:ind w:firstLine="0" w:firstLineChars="0"/>
                    <w:jc w:val="center"/>
                    <w:rPr>
                      <w:sz w:val="21"/>
                      <w:szCs w:val="21"/>
                    </w:rPr>
                  </w:pPr>
                  <w:r>
                    <w:rPr>
                      <w:sz w:val="21"/>
                      <w:szCs w:val="21"/>
                    </w:rPr>
                    <w:t>昼间</w:t>
                  </w:r>
                </w:p>
              </w:tc>
              <w:tc>
                <w:tcPr>
                  <w:tcW w:w="596" w:type="pct"/>
                  <w:vMerge w:val="restart"/>
                  <w:vAlign w:val="center"/>
                </w:tcPr>
                <w:p>
                  <w:pPr>
                    <w:widowControl/>
                    <w:adjustRightInd w:val="0"/>
                    <w:spacing w:line="240" w:lineRule="auto"/>
                    <w:ind w:firstLine="0" w:firstLineChars="0"/>
                    <w:jc w:val="center"/>
                    <w:rPr>
                      <w:sz w:val="21"/>
                      <w:szCs w:val="21"/>
                    </w:rPr>
                  </w:pPr>
                  <w:r>
                    <w:rPr>
                      <w:sz w:val="21"/>
                      <w:szCs w:val="21"/>
                    </w:rPr>
                    <w:t>噪声</w:t>
                  </w:r>
                </w:p>
              </w:tc>
              <w:tc>
                <w:tcPr>
                  <w:tcW w:w="630" w:type="pct"/>
                  <w:vAlign w:val="center"/>
                </w:tcPr>
                <w:p>
                  <w:pPr>
                    <w:widowControl/>
                    <w:adjustRightInd w:val="0"/>
                    <w:spacing w:line="240" w:lineRule="auto"/>
                    <w:ind w:firstLine="0" w:firstLineChars="0"/>
                    <w:jc w:val="center"/>
                    <w:rPr>
                      <w:sz w:val="21"/>
                      <w:szCs w:val="21"/>
                    </w:rPr>
                  </w:pPr>
                  <w:r>
                    <w:rPr>
                      <w:b/>
                      <w:bCs/>
                      <w:sz w:val="21"/>
                      <w:szCs w:val="21"/>
                    </w:rPr>
                    <w:t>53.3</w:t>
                  </w:r>
                </w:p>
              </w:tc>
              <w:tc>
                <w:tcPr>
                  <w:tcW w:w="764" w:type="pct"/>
                  <w:vAlign w:val="center"/>
                </w:tcPr>
                <w:p>
                  <w:pPr>
                    <w:widowControl/>
                    <w:adjustRightInd w:val="0"/>
                    <w:spacing w:line="240" w:lineRule="auto"/>
                    <w:ind w:firstLine="0" w:firstLineChars="0"/>
                    <w:jc w:val="center"/>
                    <w:rPr>
                      <w:sz w:val="21"/>
                      <w:szCs w:val="21"/>
                    </w:rPr>
                  </w:pPr>
                  <w:r>
                    <w:rPr>
                      <w:b/>
                      <w:bCs/>
                      <w:sz w:val="21"/>
                      <w:szCs w:val="21"/>
                    </w:rPr>
                    <w:t>53.5</w:t>
                  </w:r>
                </w:p>
              </w:tc>
              <w:tc>
                <w:tcPr>
                  <w:tcW w:w="766" w:type="pct"/>
                  <w:vAlign w:val="center"/>
                </w:tcPr>
                <w:p>
                  <w:pPr>
                    <w:widowControl/>
                    <w:adjustRightInd w:val="0"/>
                    <w:spacing w:line="240" w:lineRule="auto"/>
                    <w:ind w:firstLine="0" w:firstLineChars="0"/>
                    <w:jc w:val="center"/>
                    <w:rPr>
                      <w:sz w:val="21"/>
                      <w:szCs w:val="21"/>
                    </w:rPr>
                  </w:pPr>
                  <w:r>
                    <w:rPr>
                      <w:sz w:val="21"/>
                      <w:szCs w:val="21"/>
                    </w:rPr>
                    <w:t>53.2</w:t>
                  </w:r>
                </w:p>
              </w:tc>
              <w:tc>
                <w:tcPr>
                  <w:tcW w:w="865" w:type="pct"/>
                  <w:vAlign w:val="center"/>
                </w:tcPr>
                <w:p>
                  <w:pPr>
                    <w:widowControl/>
                    <w:adjustRightInd w:val="0"/>
                    <w:spacing w:line="240" w:lineRule="auto"/>
                    <w:ind w:firstLine="0" w:firstLineChars="0"/>
                    <w:jc w:val="center"/>
                    <w:rPr>
                      <w:sz w:val="21"/>
                      <w:szCs w:val="21"/>
                    </w:rPr>
                  </w:pPr>
                  <w:r>
                    <w:rPr>
                      <w:sz w:val="21"/>
                      <w:szCs w:val="21"/>
                    </w:rPr>
                    <w:t>53.6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pct"/>
                  <w:vAlign w:val="center"/>
                </w:tcPr>
                <w:p>
                  <w:pPr>
                    <w:widowControl/>
                    <w:adjustRightInd w:val="0"/>
                    <w:spacing w:line="240" w:lineRule="auto"/>
                    <w:ind w:firstLine="0" w:firstLineChars="0"/>
                    <w:jc w:val="center"/>
                    <w:rPr>
                      <w:sz w:val="21"/>
                      <w:szCs w:val="21"/>
                    </w:rPr>
                  </w:pPr>
                  <w:r>
                    <w:rPr>
                      <w:sz w:val="21"/>
                      <w:szCs w:val="21"/>
                    </w:rPr>
                    <w:t>2023.02.24</w:t>
                  </w:r>
                </w:p>
              </w:tc>
              <w:tc>
                <w:tcPr>
                  <w:tcW w:w="544" w:type="pct"/>
                  <w:vAlign w:val="center"/>
                </w:tcPr>
                <w:p>
                  <w:pPr>
                    <w:widowControl/>
                    <w:adjustRightInd w:val="0"/>
                    <w:spacing w:line="240" w:lineRule="auto"/>
                    <w:ind w:firstLine="0" w:firstLineChars="0"/>
                    <w:jc w:val="center"/>
                    <w:rPr>
                      <w:sz w:val="21"/>
                      <w:szCs w:val="21"/>
                    </w:rPr>
                  </w:pPr>
                  <w:r>
                    <w:rPr>
                      <w:sz w:val="21"/>
                      <w:szCs w:val="21"/>
                    </w:rPr>
                    <w:t>昼间</w:t>
                  </w:r>
                </w:p>
              </w:tc>
              <w:tc>
                <w:tcPr>
                  <w:tcW w:w="596" w:type="pct"/>
                  <w:vMerge w:val="continue"/>
                  <w:vAlign w:val="center"/>
                </w:tcPr>
                <w:p>
                  <w:pPr>
                    <w:widowControl/>
                    <w:adjustRightInd w:val="0"/>
                    <w:spacing w:line="240" w:lineRule="auto"/>
                    <w:ind w:firstLine="0" w:firstLineChars="0"/>
                    <w:jc w:val="center"/>
                    <w:rPr>
                      <w:sz w:val="21"/>
                      <w:szCs w:val="21"/>
                    </w:rPr>
                  </w:pPr>
                </w:p>
              </w:tc>
              <w:tc>
                <w:tcPr>
                  <w:tcW w:w="630" w:type="pct"/>
                  <w:vAlign w:val="center"/>
                </w:tcPr>
                <w:p>
                  <w:pPr>
                    <w:widowControl/>
                    <w:adjustRightInd w:val="0"/>
                    <w:spacing w:line="240" w:lineRule="auto"/>
                    <w:ind w:firstLine="0" w:firstLineChars="0"/>
                    <w:jc w:val="center"/>
                    <w:rPr>
                      <w:sz w:val="21"/>
                      <w:szCs w:val="21"/>
                    </w:rPr>
                  </w:pPr>
                  <w:r>
                    <w:rPr>
                      <w:sz w:val="21"/>
                      <w:szCs w:val="21"/>
                    </w:rPr>
                    <w:t>53.2</w:t>
                  </w:r>
                </w:p>
              </w:tc>
              <w:tc>
                <w:tcPr>
                  <w:tcW w:w="764" w:type="pct"/>
                  <w:vAlign w:val="center"/>
                </w:tcPr>
                <w:p>
                  <w:pPr>
                    <w:widowControl/>
                    <w:adjustRightInd w:val="0"/>
                    <w:spacing w:line="240" w:lineRule="auto"/>
                    <w:ind w:firstLine="0" w:firstLineChars="0"/>
                    <w:jc w:val="center"/>
                    <w:rPr>
                      <w:sz w:val="21"/>
                      <w:szCs w:val="21"/>
                    </w:rPr>
                  </w:pPr>
                  <w:r>
                    <w:rPr>
                      <w:sz w:val="21"/>
                      <w:szCs w:val="21"/>
                    </w:rPr>
                    <w:t>53.0</w:t>
                  </w:r>
                </w:p>
              </w:tc>
              <w:tc>
                <w:tcPr>
                  <w:tcW w:w="766" w:type="pct"/>
                  <w:vAlign w:val="center"/>
                </w:tcPr>
                <w:p>
                  <w:pPr>
                    <w:widowControl/>
                    <w:adjustRightInd w:val="0"/>
                    <w:spacing w:line="240" w:lineRule="auto"/>
                    <w:ind w:firstLine="0" w:firstLineChars="0"/>
                    <w:jc w:val="center"/>
                    <w:rPr>
                      <w:sz w:val="21"/>
                      <w:szCs w:val="21"/>
                    </w:rPr>
                  </w:pPr>
                  <w:r>
                    <w:rPr>
                      <w:b/>
                      <w:bCs/>
                      <w:sz w:val="21"/>
                      <w:szCs w:val="21"/>
                    </w:rPr>
                    <w:t>53.6</w:t>
                  </w:r>
                </w:p>
              </w:tc>
              <w:tc>
                <w:tcPr>
                  <w:tcW w:w="865" w:type="pct"/>
                  <w:vAlign w:val="center"/>
                </w:tcPr>
                <w:p>
                  <w:pPr>
                    <w:widowControl/>
                    <w:adjustRightInd w:val="0"/>
                    <w:spacing w:line="240" w:lineRule="auto"/>
                    <w:ind w:firstLine="0" w:firstLineChars="0"/>
                    <w:jc w:val="center"/>
                    <w:rPr>
                      <w:sz w:val="21"/>
                      <w:szCs w:val="21"/>
                    </w:rPr>
                  </w:pPr>
                  <w:r>
                    <w:rPr>
                      <w:b/>
                      <w:bCs/>
                      <w:sz w:val="21"/>
                      <w:szCs w:val="21"/>
                    </w:rPr>
                    <w:t>53.7</w:t>
                  </w:r>
                </w:p>
              </w:tc>
            </w:tr>
          </w:tbl>
          <w:p>
            <w:pPr>
              <w:pStyle w:val="27"/>
              <w:ind w:firstLine="0" w:firstLineChars="0"/>
              <w:jc w:val="center"/>
            </w:pPr>
            <w:r>
              <w:rPr>
                <w:rFonts w:hint="eastAsia" w:ascii="Times New Roman" w:hAnsi="Times New Roman"/>
                <w:b/>
                <w:bCs/>
                <w:color w:val="auto"/>
                <w:sz w:val="24"/>
              </w:rPr>
              <w:t>表7-</w:t>
            </w:r>
            <w:r>
              <w:rPr>
                <w:rFonts w:hint="eastAsia" w:ascii="Times New Roman" w:hAnsi="Times New Roman"/>
                <w:b/>
                <w:bCs/>
                <w:color w:val="auto"/>
                <w:sz w:val="24"/>
                <w:lang w:val="en-US" w:eastAsia="zh-CN"/>
              </w:rPr>
              <w:t>10</w:t>
            </w:r>
            <w:r>
              <w:rPr>
                <w:rFonts w:hint="eastAsia" w:ascii="Times New Roman" w:hAnsi="Times New Roman"/>
                <w:b/>
                <w:bCs/>
                <w:color w:val="auto"/>
                <w:sz w:val="24"/>
              </w:rPr>
              <w:t xml:space="preserve">  噪声达标判定结果表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995"/>
              <w:gridCol w:w="1451"/>
              <w:gridCol w:w="1432"/>
              <w:gridCol w:w="1305"/>
              <w:gridCol w:w="1573"/>
              <w:gridCol w:w="1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0" w:type="pct"/>
                  <w:vMerge w:val="restart"/>
                  <w:vAlign w:val="center"/>
                </w:tcPr>
                <w:p>
                  <w:pPr>
                    <w:spacing w:line="240" w:lineRule="auto"/>
                    <w:ind w:firstLine="0" w:firstLineChars="0"/>
                    <w:jc w:val="center"/>
                    <w:rPr>
                      <w:b/>
                      <w:bCs/>
                      <w:sz w:val="21"/>
                      <w:szCs w:val="21"/>
                    </w:rPr>
                  </w:pPr>
                  <w:r>
                    <w:rPr>
                      <w:b/>
                      <w:bCs/>
                      <w:sz w:val="21"/>
                      <w:szCs w:val="21"/>
                    </w:rPr>
                    <w:t>测量</w:t>
                  </w:r>
                </w:p>
                <w:p>
                  <w:pPr>
                    <w:spacing w:line="240" w:lineRule="auto"/>
                    <w:ind w:firstLine="0" w:firstLineChars="0"/>
                    <w:jc w:val="center"/>
                    <w:rPr>
                      <w:b/>
                      <w:bCs/>
                      <w:sz w:val="21"/>
                      <w:szCs w:val="21"/>
                    </w:rPr>
                  </w:pPr>
                  <w:r>
                    <w:rPr>
                      <w:b/>
                      <w:bCs/>
                      <w:sz w:val="21"/>
                      <w:szCs w:val="21"/>
                    </w:rPr>
                    <w:t>时段</w:t>
                  </w:r>
                </w:p>
              </w:tc>
              <w:tc>
                <w:tcPr>
                  <w:tcW w:w="557" w:type="pct"/>
                  <w:vMerge w:val="restart"/>
                  <w:vAlign w:val="center"/>
                </w:tcPr>
                <w:p>
                  <w:pPr>
                    <w:spacing w:line="240" w:lineRule="auto"/>
                    <w:ind w:firstLine="0" w:firstLineChars="0"/>
                    <w:jc w:val="center"/>
                    <w:rPr>
                      <w:b/>
                      <w:bCs/>
                      <w:sz w:val="21"/>
                      <w:szCs w:val="21"/>
                    </w:rPr>
                  </w:pPr>
                  <w:r>
                    <w:rPr>
                      <w:b/>
                      <w:bCs/>
                      <w:sz w:val="21"/>
                      <w:szCs w:val="21"/>
                    </w:rPr>
                    <w:t>检测</w:t>
                  </w:r>
                </w:p>
                <w:p>
                  <w:pPr>
                    <w:spacing w:line="240" w:lineRule="auto"/>
                    <w:ind w:firstLine="0" w:firstLineChars="0"/>
                    <w:jc w:val="center"/>
                    <w:rPr>
                      <w:b/>
                      <w:bCs/>
                      <w:sz w:val="21"/>
                      <w:szCs w:val="21"/>
                    </w:rPr>
                  </w:pPr>
                  <w:r>
                    <w:rPr>
                      <w:b/>
                      <w:bCs/>
                      <w:sz w:val="21"/>
                      <w:szCs w:val="21"/>
                    </w:rPr>
                    <w:t>项目</w:t>
                  </w:r>
                </w:p>
              </w:tc>
              <w:tc>
                <w:tcPr>
                  <w:tcW w:w="3231" w:type="pct"/>
                  <w:gridSpan w:val="4"/>
                  <w:vAlign w:val="center"/>
                </w:tcPr>
                <w:p>
                  <w:pPr>
                    <w:spacing w:line="240" w:lineRule="auto"/>
                    <w:ind w:firstLine="0" w:firstLineChars="0"/>
                    <w:jc w:val="center"/>
                    <w:rPr>
                      <w:b/>
                      <w:bCs/>
                      <w:sz w:val="21"/>
                      <w:szCs w:val="21"/>
                    </w:rPr>
                  </w:pPr>
                  <w:r>
                    <w:rPr>
                      <w:rFonts w:hint="eastAsia"/>
                      <w:b/>
                      <w:bCs/>
                      <w:sz w:val="21"/>
                      <w:szCs w:val="21"/>
                    </w:rPr>
                    <w:t>最大噪声值 dB（A）</w:t>
                  </w:r>
                </w:p>
              </w:tc>
              <w:tc>
                <w:tcPr>
                  <w:tcW w:w="639" w:type="pct"/>
                  <w:vMerge w:val="restart"/>
                  <w:vAlign w:val="center"/>
                </w:tcPr>
                <w:p>
                  <w:pPr>
                    <w:spacing w:line="240" w:lineRule="auto"/>
                    <w:ind w:firstLine="0" w:firstLineChars="0"/>
                    <w:jc w:val="center"/>
                    <w:rPr>
                      <w:b/>
                      <w:bCs/>
                      <w:sz w:val="21"/>
                      <w:szCs w:val="21"/>
                    </w:rPr>
                  </w:pPr>
                  <w:r>
                    <w:rPr>
                      <w:rFonts w:hint="eastAsia"/>
                      <w:b/>
                      <w:bCs/>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0" w:type="pct"/>
                  <w:vMerge w:val="continue"/>
                  <w:vAlign w:val="center"/>
                </w:tcPr>
                <w:p>
                  <w:pPr>
                    <w:spacing w:line="240" w:lineRule="auto"/>
                    <w:ind w:firstLine="0" w:firstLineChars="0"/>
                    <w:jc w:val="center"/>
                    <w:rPr>
                      <w:b/>
                      <w:bCs/>
                      <w:sz w:val="21"/>
                      <w:szCs w:val="21"/>
                    </w:rPr>
                  </w:pPr>
                </w:p>
              </w:tc>
              <w:tc>
                <w:tcPr>
                  <w:tcW w:w="557" w:type="pct"/>
                  <w:vMerge w:val="continue"/>
                  <w:vAlign w:val="center"/>
                </w:tcPr>
                <w:p>
                  <w:pPr>
                    <w:spacing w:line="240" w:lineRule="auto"/>
                    <w:ind w:firstLine="0" w:firstLineChars="0"/>
                    <w:jc w:val="center"/>
                    <w:rPr>
                      <w:b/>
                      <w:bCs/>
                      <w:sz w:val="21"/>
                      <w:szCs w:val="21"/>
                    </w:rPr>
                  </w:pPr>
                </w:p>
              </w:tc>
              <w:tc>
                <w:tcPr>
                  <w:tcW w:w="1455" w:type="dxa"/>
                  <w:vAlign w:val="center"/>
                </w:tcPr>
                <w:p>
                  <w:pPr>
                    <w:widowControl/>
                    <w:adjustRightInd w:val="0"/>
                    <w:spacing w:line="240" w:lineRule="auto"/>
                    <w:ind w:firstLine="0" w:firstLineChars="0"/>
                    <w:jc w:val="center"/>
                    <w:rPr>
                      <w:b/>
                      <w:bCs/>
                      <w:sz w:val="21"/>
                      <w:szCs w:val="21"/>
                    </w:rPr>
                  </w:pPr>
                  <w:r>
                    <w:rPr>
                      <w:rFonts w:hint="eastAsia"/>
                      <w:b/>
                      <w:bCs/>
                      <w:sz w:val="21"/>
                      <w:szCs w:val="21"/>
                    </w:rPr>
                    <w:t>1#东厂界</w:t>
                  </w:r>
                </w:p>
              </w:tc>
              <w:tc>
                <w:tcPr>
                  <w:tcW w:w="1435" w:type="dxa"/>
                  <w:vAlign w:val="center"/>
                </w:tcPr>
                <w:p>
                  <w:pPr>
                    <w:widowControl/>
                    <w:adjustRightInd w:val="0"/>
                    <w:spacing w:line="240" w:lineRule="auto"/>
                    <w:ind w:firstLine="0" w:firstLineChars="0"/>
                    <w:jc w:val="center"/>
                    <w:rPr>
                      <w:b/>
                      <w:bCs/>
                      <w:sz w:val="21"/>
                      <w:szCs w:val="21"/>
                    </w:rPr>
                  </w:pPr>
                  <w:r>
                    <w:rPr>
                      <w:rFonts w:hint="eastAsia"/>
                      <w:b/>
                      <w:bCs/>
                      <w:sz w:val="21"/>
                      <w:szCs w:val="21"/>
                    </w:rPr>
                    <w:t>2#南</w:t>
                  </w:r>
                  <w:r>
                    <w:rPr>
                      <w:b/>
                      <w:bCs/>
                      <w:sz w:val="21"/>
                      <w:szCs w:val="21"/>
                    </w:rPr>
                    <w:t>厂界</w:t>
                  </w:r>
                </w:p>
              </w:tc>
              <w:tc>
                <w:tcPr>
                  <w:tcW w:w="1309" w:type="dxa"/>
                  <w:vAlign w:val="center"/>
                </w:tcPr>
                <w:p>
                  <w:pPr>
                    <w:widowControl/>
                    <w:adjustRightInd w:val="0"/>
                    <w:spacing w:line="240" w:lineRule="auto"/>
                    <w:ind w:firstLine="0" w:firstLineChars="0"/>
                    <w:jc w:val="center"/>
                    <w:rPr>
                      <w:b/>
                      <w:bCs/>
                      <w:sz w:val="21"/>
                      <w:szCs w:val="21"/>
                    </w:rPr>
                  </w:pPr>
                  <w:r>
                    <w:rPr>
                      <w:b/>
                      <w:bCs/>
                      <w:sz w:val="21"/>
                      <w:szCs w:val="21"/>
                    </w:rPr>
                    <w:t>3#</w:t>
                  </w:r>
                  <w:r>
                    <w:rPr>
                      <w:rFonts w:hint="eastAsia"/>
                      <w:b/>
                      <w:bCs/>
                      <w:sz w:val="21"/>
                      <w:szCs w:val="21"/>
                    </w:rPr>
                    <w:t>北</w:t>
                  </w:r>
                  <w:r>
                    <w:rPr>
                      <w:b/>
                      <w:bCs/>
                      <w:sz w:val="21"/>
                      <w:szCs w:val="21"/>
                    </w:rPr>
                    <w:t>厂界</w:t>
                  </w:r>
                </w:p>
              </w:tc>
              <w:tc>
                <w:tcPr>
                  <w:tcW w:w="1577" w:type="dxa"/>
                  <w:vAlign w:val="center"/>
                </w:tcPr>
                <w:p>
                  <w:pPr>
                    <w:widowControl/>
                    <w:adjustRightInd w:val="0"/>
                    <w:spacing w:line="240" w:lineRule="auto"/>
                    <w:ind w:firstLine="0" w:firstLineChars="0"/>
                    <w:jc w:val="center"/>
                    <w:rPr>
                      <w:b/>
                      <w:bCs/>
                      <w:sz w:val="21"/>
                      <w:szCs w:val="21"/>
                    </w:rPr>
                  </w:pPr>
                  <w:r>
                    <w:rPr>
                      <w:b/>
                      <w:bCs/>
                      <w:sz w:val="21"/>
                      <w:szCs w:val="21"/>
                    </w:rPr>
                    <w:t>4#</w:t>
                  </w:r>
                  <w:r>
                    <w:rPr>
                      <w:rFonts w:hint="eastAsia"/>
                      <w:b/>
                      <w:bCs/>
                      <w:sz w:val="21"/>
                      <w:szCs w:val="21"/>
                    </w:rPr>
                    <w:t>公寓A12楼</w:t>
                  </w:r>
                </w:p>
              </w:tc>
              <w:tc>
                <w:tcPr>
                  <w:tcW w:w="639" w:type="pct"/>
                  <w:vMerge w:val="continue"/>
                  <w:vAlign w:val="center"/>
                </w:tcPr>
                <w:p>
                  <w:pPr>
                    <w:spacing w:line="240" w:lineRule="auto"/>
                    <w:ind w:firstLine="0" w:firstLineChars="0"/>
                    <w:jc w:val="center"/>
                    <w:rPr>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70" w:type="pct"/>
                  <w:vAlign w:val="center"/>
                </w:tcPr>
                <w:p>
                  <w:pPr>
                    <w:spacing w:line="240" w:lineRule="auto"/>
                    <w:ind w:firstLine="0" w:firstLineChars="0"/>
                    <w:jc w:val="center"/>
                    <w:rPr>
                      <w:sz w:val="21"/>
                      <w:szCs w:val="21"/>
                    </w:rPr>
                  </w:pPr>
                  <w:r>
                    <w:rPr>
                      <w:sz w:val="21"/>
                      <w:szCs w:val="21"/>
                    </w:rPr>
                    <w:t>昼间</w:t>
                  </w:r>
                </w:p>
              </w:tc>
              <w:tc>
                <w:tcPr>
                  <w:tcW w:w="557" w:type="pct"/>
                  <w:vAlign w:val="center"/>
                </w:tcPr>
                <w:p>
                  <w:pPr>
                    <w:spacing w:line="240" w:lineRule="auto"/>
                    <w:ind w:firstLine="0" w:firstLineChars="0"/>
                    <w:jc w:val="center"/>
                    <w:rPr>
                      <w:sz w:val="21"/>
                      <w:szCs w:val="21"/>
                    </w:rPr>
                  </w:pPr>
                  <w:r>
                    <w:rPr>
                      <w:rFonts w:hint="eastAsia"/>
                      <w:sz w:val="21"/>
                      <w:szCs w:val="21"/>
                    </w:rPr>
                    <w:t>噪声</w:t>
                  </w:r>
                </w:p>
              </w:tc>
              <w:tc>
                <w:tcPr>
                  <w:tcW w:w="814" w:type="pct"/>
                  <w:vAlign w:val="center"/>
                </w:tcPr>
                <w:p>
                  <w:pPr>
                    <w:widowControl/>
                    <w:spacing w:line="240" w:lineRule="auto"/>
                    <w:ind w:firstLine="0" w:firstLineChars="0"/>
                    <w:jc w:val="center"/>
                    <w:rPr>
                      <w:sz w:val="21"/>
                      <w:szCs w:val="21"/>
                    </w:rPr>
                  </w:pPr>
                  <w:r>
                    <w:rPr>
                      <w:rFonts w:hint="eastAsia"/>
                      <w:sz w:val="21"/>
                      <w:szCs w:val="21"/>
                      <w:lang w:bidi="ar"/>
                    </w:rPr>
                    <w:t>53.3</w:t>
                  </w:r>
                </w:p>
              </w:tc>
              <w:tc>
                <w:tcPr>
                  <w:tcW w:w="803" w:type="pct"/>
                  <w:vAlign w:val="center"/>
                </w:tcPr>
                <w:p>
                  <w:pPr>
                    <w:widowControl/>
                    <w:spacing w:line="240" w:lineRule="auto"/>
                    <w:ind w:firstLine="0" w:firstLineChars="0"/>
                    <w:jc w:val="center"/>
                    <w:rPr>
                      <w:sz w:val="21"/>
                      <w:szCs w:val="21"/>
                    </w:rPr>
                  </w:pPr>
                  <w:r>
                    <w:rPr>
                      <w:rFonts w:hint="eastAsia"/>
                      <w:sz w:val="21"/>
                      <w:szCs w:val="21"/>
                      <w:lang w:bidi="ar"/>
                    </w:rPr>
                    <w:t>53.5</w:t>
                  </w:r>
                </w:p>
              </w:tc>
              <w:tc>
                <w:tcPr>
                  <w:tcW w:w="732" w:type="pct"/>
                  <w:vAlign w:val="center"/>
                </w:tcPr>
                <w:p>
                  <w:pPr>
                    <w:widowControl/>
                    <w:spacing w:line="240" w:lineRule="auto"/>
                    <w:ind w:firstLine="0" w:firstLineChars="0"/>
                    <w:jc w:val="center"/>
                    <w:rPr>
                      <w:sz w:val="21"/>
                      <w:szCs w:val="21"/>
                    </w:rPr>
                  </w:pPr>
                  <w:r>
                    <w:rPr>
                      <w:rFonts w:hint="eastAsia"/>
                      <w:sz w:val="21"/>
                      <w:szCs w:val="21"/>
                      <w:lang w:bidi="ar"/>
                    </w:rPr>
                    <w:t>53.6</w:t>
                  </w:r>
                </w:p>
              </w:tc>
              <w:tc>
                <w:tcPr>
                  <w:tcW w:w="882" w:type="pct"/>
                  <w:vAlign w:val="center"/>
                </w:tcPr>
                <w:p>
                  <w:pPr>
                    <w:widowControl/>
                    <w:spacing w:line="240" w:lineRule="auto"/>
                    <w:ind w:firstLine="0" w:firstLineChars="0"/>
                    <w:jc w:val="center"/>
                    <w:rPr>
                      <w:sz w:val="21"/>
                      <w:szCs w:val="21"/>
                    </w:rPr>
                  </w:pPr>
                  <w:r>
                    <w:rPr>
                      <w:rFonts w:hint="eastAsia"/>
                      <w:sz w:val="21"/>
                      <w:szCs w:val="21"/>
                      <w:lang w:bidi="ar"/>
                    </w:rPr>
                    <w:t>53.7</w:t>
                  </w:r>
                </w:p>
              </w:tc>
              <w:tc>
                <w:tcPr>
                  <w:tcW w:w="639" w:type="pct"/>
                  <w:vAlign w:val="center"/>
                </w:tcPr>
                <w:p>
                  <w:pPr>
                    <w:spacing w:line="240" w:lineRule="auto"/>
                    <w:ind w:firstLine="0" w:firstLineChars="0"/>
                    <w:jc w:val="center"/>
                    <w:rPr>
                      <w:sz w:val="21"/>
                      <w:szCs w:val="21"/>
                    </w:rPr>
                  </w:pPr>
                  <w:r>
                    <w:rPr>
                      <w:rFonts w:hint="eastAsia"/>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8" w:type="pct"/>
                  <w:gridSpan w:val="2"/>
                  <w:vAlign w:val="center"/>
                </w:tcPr>
                <w:p>
                  <w:pPr>
                    <w:spacing w:line="240" w:lineRule="auto"/>
                    <w:ind w:firstLine="0" w:firstLineChars="0"/>
                    <w:jc w:val="center"/>
                    <w:rPr>
                      <w:sz w:val="21"/>
                      <w:szCs w:val="21"/>
                    </w:rPr>
                  </w:pPr>
                  <w:r>
                    <w:rPr>
                      <w:rFonts w:hint="eastAsia"/>
                      <w:sz w:val="21"/>
                      <w:szCs w:val="21"/>
                    </w:rPr>
                    <w:t>备注</w:t>
                  </w:r>
                </w:p>
              </w:tc>
              <w:tc>
                <w:tcPr>
                  <w:tcW w:w="814" w:type="pct"/>
                  <w:vAlign w:val="center"/>
                </w:tcPr>
                <w:p>
                  <w:pPr>
                    <w:spacing w:line="240" w:lineRule="auto"/>
                    <w:ind w:firstLine="0" w:firstLineChars="0"/>
                    <w:jc w:val="center"/>
                    <w:rPr>
                      <w:sz w:val="21"/>
                      <w:szCs w:val="21"/>
                    </w:rPr>
                  </w:pPr>
                  <w:r>
                    <w:rPr>
                      <w:rFonts w:hint="eastAsia"/>
                      <w:sz w:val="21"/>
                      <w:szCs w:val="21"/>
                    </w:rPr>
                    <w:t>达标</w:t>
                  </w:r>
                </w:p>
              </w:tc>
              <w:tc>
                <w:tcPr>
                  <w:tcW w:w="803" w:type="pct"/>
                  <w:vAlign w:val="center"/>
                </w:tcPr>
                <w:p>
                  <w:pPr>
                    <w:spacing w:line="240" w:lineRule="auto"/>
                    <w:ind w:firstLine="0" w:firstLineChars="0"/>
                    <w:jc w:val="center"/>
                    <w:rPr>
                      <w:sz w:val="21"/>
                      <w:szCs w:val="21"/>
                    </w:rPr>
                  </w:pPr>
                  <w:r>
                    <w:rPr>
                      <w:rFonts w:hint="eastAsia"/>
                      <w:sz w:val="21"/>
                      <w:szCs w:val="21"/>
                    </w:rPr>
                    <w:t>达标</w:t>
                  </w:r>
                </w:p>
              </w:tc>
              <w:tc>
                <w:tcPr>
                  <w:tcW w:w="732" w:type="pct"/>
                  <w:vAlign w:val="center"/>
                </w:tcPr>
                <w:p>
                  <w:pPr>
                    <w:spacing w:line="240" w:lineRule="auto"/>
                    <w:ind w:firstLine="0" w:firstLineChars="0"/>
                    <w:jc w:val="center"/>
                    <w:rPr>
                      <w:sz w:val="21"/>
                      <w:szCs w:val="21"/>
                    </w:rPr>
                  </w:pPr>
                  <w:r>
                    <w:rPr>
                      <w:rFonts w:hint="eastAsia"/>
                      <w:sz w:val="21"/>
                      <w:szCs w:val="21"/>
                    </w:rPr>
                    <w:t>达标</w:t>
                  </w:r>
                </w:p>
              </w:tc>
              <w:tc>
                <w:tcPr>
                  <w:tcW w:w="882" w:type="pct"/>
                  <w:vAlign w:val="center"/>
                </w:tcPr>
                <w:p>
                  <w:pPr>
                    <w:spacing w:line="240" w:lineRule="auto"/>
                    <w:ind w:firstLine="0" w:firstLineChars="0"/>
                    <w:jc w:val="center"/>
                    <w:rPr>
                      <w:sz w:val="21"/>
                      <w:szCs w:val="21"/>
                    </w:rPr>
                  </w:pPr>
                  <w:r>
                    <w:rPr>
                      <w:rFonts w:hint="eastAsia"/>
                      <w:sz w:val="21"/>
                      <w:szCs w:val="21"/>
                    </w:rPr>
                    <w:t>达标</w:t>
                  </w:r>
                </w:p>
              </w:tc>
              <w:tc>
                <w:tcPr>
                  <w:tcW w:w="639" w:type="pct"/>
                  <w:vAlign w:val="center"/>
                </w:tcPr>
                <w:p>
                  <w:pPr>
                    <w:spacing w:line="240" w:lineRule="auto"/>
                    <w:ind w:firstLine="0" w:firstLineChars="0"/>
                    <w:jc w:val="center"/>
                    <w:rPr>
                      <w:sz w:val="21"/>
                      <w:szCs w:val="21"/>
                    </w:rPr>
                  </w:pPr>
                  <w:r>
                    <w:rPr>
                      <w:rFonts w:hint="eastAsia"/>
                      <w:sz w:val="21"/>
                      <w:szCs w:val="21"/>
                    </w:rPr>
                    <w:t>/</w:t>
                  </w:r>
                </w:p>
              </w:tc>
            </w:tr>
          </w:tbl>
          <w:p>
            <w:pPr>
              <w:pStyle w:val="38"/>
              <w:snapToGrid w:val="0"/>
              <w:jc w:val="both"/>
            </w:pPr>
            <w:r>
              <w:rPr>
                <w:rFonts w:hint="eastAsia"/>
              </w:rPr>
              <w:t>验收监测期间，项目1#东厂界、2#南厂界、3#北厂界，昼间厂界噪声最大值分别为</w:t>
            </w:r>
            <w:r>
              <w:rPr>
                <w:rFonts w:hint="eastAsia" w:cs="Times New Roman"/>
                <w:szCs w:val="24"/>
              </w:rPr>
              <w:t>53.3dB（A）、53.5dB（A）、53.6dB（A），</w:t>
            </w:r>
            <w:r>
              <w:rPr>
                <w:rFonts w:hint="eastAsia"/>
              </w:rPr>
              <w:t>均满足《工业企业厂界环境噪声排放标准》（GB12348-2008）2类昼间标准（项目西侧与其他企业相邻，共用一堵墙，无法进行监测）；</w:t>
            </w:r>
            <w:r>
              <w:t>项目</w:t>
            </w:r>
            <w:r>
              <w:rPr>
                <w:rFonts w:hint="eastAsia"/>
              </w:rPr>
              <w:t>东南</w:t>
            </w:r>
            <w:r>
              <w:t>侧</w:t>
            </w:r>
            <w:r>
              <w:rPr>
                <w:rFonts w:hint="eastAsia"/>
              </w:rPr>
              <w:t>100m的4#公寓A12楼，敏感点噪声最大值为53.7dB（A），满足《声环境质量标准》(GB3096-2008)2类昼间标准。项目夜间不运行。</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8"/>
                    <w:snapToGrid w:val="0"/>
                    <w:spacing w:line="240" w:lineRule="auto"/>
                    <w:ind w:firstLine="0" w:firstLineChars="0"/>
                    <w:jc w:val="both"/>
                    <w:rPr>
                      <w:rFonts w:hint="eastAsia" w:ascii="宋体" w:hAnsi="宋体" w:eastAsia="宋体"/>
                      <w:szCs w:val="24"/>
                      <w:lang w:eastAsia="zh-CN"/>
                    </w:rPr>
                  </w:pPr>
                  <w:r>
                    <w:rPr>
                      <w:rFonts w:hint="eastAsia" w:ascii="宋体" w:hAnsi="宋体"/>
                      <w:szCs w:val="24"/>
                      <w:lang w:eastAsia="zh-CN"/>
                    </w:rPr>
                    <w:t>北厂界</w:t>
                  </w:r>
                </w:p>
                <w:p>
                  <w:pPr>
                    <w:pStyle w:val="38"/>
                    <w:snapToGrid w:val="0"/>
                    <w:ind w:firstLine="0" w:firstLineChars="0"/>
                    <w:jc w:val="center"/>
                    <w:rPr>
                      <w:rFonts w:cs="Times New Roman"/>
                      <w:b/>
                      <w:bCs/>
                      <w:szCs w:val="24"/>
                    </w:rPr>
                  </w:pPr>
                  <w:r>
                    <w:rPr>
                      <w:rFonts w:ascii="宋体" w:hAnsi="宋体"/>
                      <w:szCs w:val="24"/>
                    </w:rPr>
                    <w:fldChar w:fldCharType="begin"/>
                  </w:r>
                  <w:r>
                    <w:rPr>
                      <w:rFonts w:ascii="宋体" w:hAnsi="宋体"/>
                      <w:szCs w:val="24"/>
                    </w:rPr>
                    <w:instrText xml:space="preserve"> INCLUDEPICTURE  "http://117.73.252.128:9025/company/20230223/3195786c-b7d0-47d7-80b3-5d48771e3521/1677137805545_1677137812025.jpg" \* MERGEFORMATINET </w:instrText>
                  </w:r>
                  <w:r>
                    <w:rPr>
                      <w:rFonts w:ascii="宋体" w:hAnsi="宋体"/>
                      <w:szCs w:val="24"/>
                    </w:rPr>
                    <w:fldChar w:fldCharType="separate"/>
                  </w:r>
                  <w:r>
                    <w:rPr>
                      <w:rFonts w:ascii="宋体" w:hAnsi="宋体"/>
                      <w:szCs w:val="24"/>
                    </w:rPr>
                    <w:pict>
                      <v:shape id="_x0000_i1039" o:spt="75" alt="IMG_256" type="#_x0000_t75" style="height:221.8pt;width:152.95pt;" filled="f" o:preferrelative="t" stroked="f" coordsize="21600,21600">
                        <v:path/>
                        <v:fill on="f" focussize="0,0"/>
                        <v:stroke on="f"/>
                        <v:imagedata r:id="rId26" r:href="rId27" o:title=""/>
                        <o:lock v:ext="edit" aspectratio="t"/>
                        <w10:wrap type="none"/>
                        <w10:anchorlock/>
                      </v:shape>
                    </w:pict>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8"/>
                    <w:snapToGrid w:val="0"/>
                    <w:spacing w:line="240" w:lineRule="auto"/>
                    <w:ind w:firstLine="0" w:firstLineChars="0"/>
                    <w:jc w:val="both"/>
                    <w:rPr>
                      <w:rFonts w:hint="eastAsia"/>
                    </w:rPr>
                  </w:pPr>
                  <w:r>
                    <w:rPr>
                      <w:rFonts w:hint="eastAsia"/>
                    </w:rPr>
                    <w:t>4#公寓A12楼</w:t>
                  </w:r>
                </w:p>
                <w:p>
                  <w:pPr>
                    <w:pStyle w:val="38"/>
                    <w:snapToGrid w:val="0"/>
                    <w:ind w:firstLine="0" w:firstLineChars="0"/>
                    <w:jc w:val="center"/>
                    <w:rPr>
                      <w:rFonts w:ascii="宋体" w:hAnsi="宋体"/>
                      <w:szCs w:val="24"/>
                    </w:rPr>
                  </w:pPr>
                  <w:r>
                    <w:rPr>
                      <w:rFonts w:ascii="宋体" w:hAnsi="宋体"/>
                      <w:szCs w:val="24"/>
                    </w:rPr>
                    <w:fldChar w:fldCharType="begin"/>
                  </w:r>
                  <w:r>
                    <w:rPr>
                      <w:rFonts w:ascii="宋体" w:hAnsi="宋体"/>
                      <w:szCs w:val="24"/>
                    </w:rPr>
                    <w:instrText xml:space="preserve">INCLUDEPICTURE \d "http://117.73.252.128:9025/company/20230224/f6d13b0b-c612-4fd1-97e7-ccacc14a177c/1677207312276_1677207319089.jpg"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"http://117.73.252.128:9025/company/20230224/f6d13b0b-c612-4fd1-97e7-ccacc14a177c/1677207312276_1677207319089.jpg"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"http://117.73.252.128:9025/company/20230224/f6d13b0b-c612-4fd1-97e7-ccacc14a177c/1677207312276_1677207319089.jpg"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"http://117.73.252.128:9025/company/20230224/f6d13b0b-c612-4fd1-97e7-ccacc14a177c/1677207312276_1677207319089.jpg" \* MERGEFORMATINET </w:instrText>
                  </w:r>
                  <w:r>
                    <w:rPr>
                      <w:rFonts w:ascii="宋体" w:hAnsi="宋体"/>
                      <w:szCs w:val="24"/>
                    </w:rPr>
                    <w:fldChar w:fldCharType="separate"/>
                  </w:r>
                  <w:r>
                    <w:rPr>
                      <w:rFonts w:ascii="宋体" w:hAnsi="宋体"/>
                      <w:szCs w:val="24"/>
                    </w:rPr>
                    <w:pict>
                      <v:shape id="_x0000_i1040" o:spt="75" alt="IMG_256" type="#_x0000_t75" style="height:223.05pt;width:154.3pt;" filled="f" o:preferrelative="t" stroked="f" coordsize="21600,21600">
                        <v:path/>
                        <v:fill on="f" focussize="0,0"/>
                        <v:stroke on="f"/>
                        <v:imagedata r:id="rId28" r:href="rId29" o:title=""/>
                        <o:lock v:ext="edit" aspectratio="t"/>
                        <w10:wrap type="none"/>
                        <w10:anchorlock/>
                      </v:shape>
                    </w:pict>
                  </w:r>
                  <w:r>
                    <w:rPr>
                      <w:rFonts w:ascii="宋体" w:hAnsi="宋体"/>
                      <w:szCs w:val="24"/>
                    </w:rPr>
                    <w:fldChar w:fldCharType="end"/>
                  </w:r>
                  <w:r>
                    <w:rPr>
                      <w:rFonts w:ascii="宋体" w:hAnsi="宋体"/>
                      <w:szCs w:val="24"/>
                    </w:rPr>
                    <w:fldChar w:fldCharType="end"/>
                  </w:r>
                  <w:r>
                    <w:rPr>
                      <w:rFonts w:ascii="宋体" w:hAnsi="宋体"/>
                      <w:szCs w:val="24"/>
                    </w:rPr>
                    <w:fldChar w:fldCharType="end"/>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8"/>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4</w:t>
                  </w:r>
                  <w:r>
                    <w:rPr>
                      <w:rFonts w:cs="Times New Roman"/>
                      <w:b/>
                      <w:bCs/>
                      <w:sz w:val="21"/>
                      <w:szCs w:val="21"/>
                    </w:rPr>
                    <w:t xml:space="preserve">  噪声监测</w:t>
                  </w:r>
                </w:p>
              </w:tc>
            </w:tr>
          </w:tbl>
          <w:p>
            <w:pPr>
              <w:pStyle w:val="27"/>
              <w:ind w:firstLine="482"/>
              <w:jc w:val="left"/>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、固废检查情况</w:t>
            </w:r>
          </w:p>
          <w:p>
            <w:pPr>
              <w:pStyle w:val="38"/>
              <w:widowControl/>
              <w:adjustRightInd/>
              <w:rPr>
                <w:rFonts w:cs="Times New Roman"/>
                <w:szCs w:val="24"/>
              </w:rPr>
            </w:pPr>
            <w:r>
              <w:rPr>
                <w:rFonts w:hint="eastAsia" w:cs="Times New Roman"/>
                <w:szCs w:val="24"/>
              </w:rPr>
              <w:t>项目产生的固体废物主要是纯水机废滤芯、废RO膜、未沾染药品检测样品废包装物、废试剂瓶、实验废液、实验废物、废样本、废活性炭和生活垃圾。</w:t>
            </w:r>
          </w:p>
          <w:p>
            <w:pPr>
              <w:pStyle w:val="38"/>
              <w:jc w:val="both"/>
              <w:rPr>
                <w:rFonts w:cs="Times New Roman"/>
              </w:rPr>
            </w:pPr>
            <w:r>
              <w:rPr>
                <w:rFonts w:hint="eastAsia" w:cs="Times New Roman"/>
              </w:rPr>
              <w:t>①废包装物：未沾染药品、检测样品的废包装物，</w:t>
            </w:r>
            <w:r>
              <w:rPr>
                <w:rFonts w:cs="Times New Roman"/>
              </w:rPr>
              <w:t>调试期间实际产生量为0.</w:t>
            </w:r>
            <w:r>
              <w:rPr>
                <w:rFonts w:hint="eastAsia" w:cs="Times New Roman"/>
              </w:rPr>
              <w:t>01</w:t>
            </w:r>
            <w:r>
              <w:rPr>
                <w:rFonts w:cs="Times New Roman"/>
              </w:rPr>
              <w:t>t/月，折合年产生量为</w:t>
            </w:r>
            <w:r>
              <w:rPr>
                <w:rFonts w:hint="eastAsia" w:cs="Times New Roman"/>
              </w:rPr>
              <w:t>0.12</w:t>
            </w:r>
            <w:r>
              <w:rPr>
                <w:rFonts w:cs="Times New Roman"/>
              </w:rPr>
              <w:t>t</w:t>
            </w:r>
            <w:r>
              <w:rPr>
                <w:rFonts w:hint="eastAsia" w:cs="Times New Roman"/>
              </w:rPr>
              <w:t>，收集后外售资源回收单位。</w:t>
            </w:r>
          </w:p>
          <w:p>
            <w:pPr>
              <w:pStyle w:val="38"/>
              <w:jc w:val="both"/>
              <w:rPr>
                <w:rFonts w:cs="Times New Roman"/>
              </w:rPr>
            </w:pPr>
            <w:r>
              <w:rPr>
                <w:rFonts w:hint="eastAsia" w:cs="Times New Roman"/>
              </w:rPr>
              <w:t>②废滤芯：项目纯水机采用过滤+RO反渗透工艺，为保证出水质量，滤芯需每年更换一次，由设备厂家回收处理。</w:t>
            </w:r>
          </w:p>
          <w:p>
            <w:pPr>
              <w:pStyle w:val="38"/>
              <w:jc w:val="both"/>
              <w:rPr>
                <w:rFonts w:cs="Times New Roman"/>
              </w:rPr>
            </w:pPr>
            <w:r>
              <w:rPr>
                <w:rFonts w:hint="eastAsia" w:cs="Times New Roman"/>
              </w:rPr>
              <w:t>③废RO膜：项目纯水机采用过滤+RO反渗透工艺，为保证出水质量，RO反渗透膜需每年更换一次，由设备厂家回收处理。</w:t>
            </w:r>
          </w:p>
          <w:p>
            <w:pPr>
              <w:pStyle w:val="38"/>
              <w:jc w:val="both"/>
              <w:rPr>
                <w:rFonts w:cs="Times New Roman"/>
              </w:rPr>
            </w:pPr>
            <w:r>
              <w:rPr>
                <w:rFonts w:cs="Times New Roman"/>
              </w:rPr>
              <w:t>④</w:t>
            </w:r>
            <w:r>
              <w:rPr>
                <w:rFonts w:hint="eastAsia" w:cs="Times New Roman"/>
              </w:rPr>
              <w:t>废试剂瓶：废试剂瓶主要为盛装化学品的空试剂瓶，由于项目运行时间较短，暂未产生废试剂瓶，依据《国家危险废物名录》（2021版），此部分属于危险废物，类别为HW49，危险废物代码900-047-49，暂存医疗+危废暂存间，委托有危废经营许可证的单位处理。</w:t>
            </w:r>
          </w:p>
          <w:p>
            <w:pPr>
              <w:pStyle w:val="38"/>
              <w:jc w:val="both"/>
              <w:rPr>
                <w:rFonts w:cs="Times New Roman"/>
              </w:rPr>
            </w:pPr>
            <w:r>
              <w:rPr>
                <w:rFonts w:cs="Times New Roman"/>
              </w:rPr>
              <w:t>⑤</w:t>
            </w:r>
            <w:r>
              <w:rPr>
                <w:rFonts w:hint="eastAsia" w:cs="Times New Roman"/>
              </w:rPr>
              <w:t>实验废液</w:t>
            </w:r>
            <w:r>
              <w:rPr>
                <w:rFonts w:cs="Times New Roman"/>
              </w:rPr>
              <w:t>：</w:t>
            </w:r>
            <w:r>
              <w:rPr>
                <w:rFonts w:hint="eastAsia" w:cs="Times New Roman"/>
              </w:rPr>
              <w:t>实验废液主要包括废酒精、杂交废液、定期更换的染液、实验器皿前两次清洗废液、分子分型废液、病理TCT废液、免疫废液等，</w:t>
            </w:r>
            <w:r>
              <w:rPr>
                <w:rFonts w:cs="Times New Roman"/>
              </w:rPr>
              <w:t>调试期间实际产生量为</w:t>
            </w:r>
            <w:r>
              <w:rPr>
                <w:rFonts w:hint="eastAsia" w:cs="Times New Roman"/>
              </w:rPr>
              <w:t>0.033</w:t>
            </w:r>
            <w:r>
              <w:rPr>
                <w:rFonts w:cs="Times New Roman"/>
              </w:rPr>
              <w:t>t/月，折合年产生量为</w:t>
            </w:r>
            <w:r>
              <w:rPr>
                <w:rFonts w:hint="eastAsia" w:cs="Times New Roman"/>
              </w:rPr>
              <w:t>0.396</w:t>
            </w:r>
            <w:r>
              <w:rPr>
                <w:rFonts w:cs="Times New Roman"/>
              </w:rPr>
              <w:t>t</w:t>
            </w:r>
            <w:r>
              <w:rPr>
                <w:rFonts w:hint="eastAsia" w:cs="Times New Roman"/>
              </w:rPr>
              <w:t>，依据《国家危险废物名录》（2021版），此部分属于危险废物，类别为HW01，危险废物代码841-001-01，装入废液桶密封消毒后暂存于医疗+危废暂存间，医疗废物委托济南腾笙环保科技有限公司处理</w:t>
            </w:r>
            <w:r>
              <w:rPr>
                <w:rFonts w:hint="eastAsia" w:cs="Times New Roman"/>
                <w:lang w:eastAsia="zh-CN"/>
              </w:rPr>
              <w:t>。</w:t>
            </w:r>
          </w:p>
          <w:p>
            <w:pPr>
              <w:pStyle w:val="38"/>
              <w:jc w:val="both"/>
              <w:rPr>
                <w:rFonts w:cs="Times New Roman"/>
              </w:rPr>
            </w:pPr>
            <w:r>
              <w:rPr>
                <w:rFonts w:cs="Times New Roman"/>
              </w:rPr>
              <w:t>⑥</w:t>
            </w:r>
            <w:r>
              <w:rPr>
                <w:rFonts w:hint="eastAsia" w:cs="Times New Roman"/>
              </w:rPr>
              <w:t>废样本：项目检测后样本和检测后留样需定期清理，</w:t>
            </w:r>
            <w:r>
              <w:rPr>
                <w:rFonts w:cs="Times New Roman"/>
              </w:rPr>
              <w:t>调试期间实际产生量为</w:t>
            </w:r>
            <w:r>
              <w:rPr>
                <w:rFonts w:hint="eastAsia" w:cs="Times New Roman"/>
              </w:rPr>
              <w:t>0.021</w:t>
            </w:r>
            <w:r>
              <w:rPr>
                <w:rFonts w:cs="Times New Roman"/>
              </w:rPr>
              <w:t>t/月，折合年产生量为</w:t>
            </w:r>
            <w:r>
              <w:rPr>
                <w:rFonts w:hint="eastAsia" w:cs="Times New Roman"/>
              </w:rPr>
              <w:t>0.252</w:t>
            </w:r>
            <w:r>
              <w:rPr>
                <w:rFonts w:cs="Times New Roman"/>
              </w:rPr>
              <w:t>t</w:t>
            </w:r>
            <w:r>
              <w:rPr>
                <w:rFonts w:hint="eastAsia" w:cs="Times New Roman"/>
              </w:rPr>
              <w:t>，依据《国家危险废物名录》（2021版），此部分属于危险废物，类别为HW01，危险废物代码841-003-01，密封消毒后装入一次性医疗专用垃圾袋暂存于医疗+危废暂存间，医疗废物委托济南腾笙环保科技有限公司处理。</w:t>
            </w:r>
          </w:p>
          <w:p>
            <w:pPr>
              <w:pStyle w:val="38"/>
              <w:jc w:val="both"/>
              <w:rPr>
                <w:rFonts w:cs="Times New Roman"/>
              </w:rPr>
            </w:pPr>
            <w:r>
              <w:rPr>
                <w:rFonts w:cs="Times New Roman"/>
              </w:rPr>
              <w:t>⑦废活性炭：项目采用</w:t>
            </w:r>
            <w:r>
              <w:rPr>
                <w:rFonts w:hint="eastAsia" w:cs="Times New Roman"/>
              </w:rPr>
              <w:t>二级活性炭吸附</w:t>
            </w:r>
            <w:r>
              <w:rPr>
                <w:rFonts w:cs="Times New Roman"/>
              </w:rPr>
              <w:t>装置处理有机废气，为保证活性炭吸附效率，</w:t>
            </w:r>
            <w:r>
              <w:rPr>
                <w:rFonts w:hint="eastAsia" w:cs="Times New Roman"/>
              </w:rPr>
              <w:t>活性炭需及时更换</w:t>
            </w:r>
            <w:r>
              <w:rPr>
                <w:rFonts w:cs="Times New Roman"/>
              </w:rPr>
              <w:t>。由于项目运行时间较短，暂未产生废活性炭。属于危险废物，废物类别及代码 HW49，900-039-49，暂存在</w:t>
            </w:r>
            <w:r>
              <w:rPr>
                <w:rFonts w:hint="eastAsia" w:cs="Times New Roman"/>
              </w:rPr>
              <w:t>医疗+危废暂存间</w:t>
            </w:r>
            <w:r>
              <w:rPr>
                <w:rFonts w:cs="Times New Roman"/>
              </w:rPr>
              <w:t>，定期委托资质单位处理。</w:t>
            </w:r>
          </w:p>
          <w:p>
            <w:pPr>
              <w:pStyle w:val="38"/>
              <w:jc w:val="both"/>
              <w:rPr>
                <w:rFonts w:cs="Times New Roman"/>
              </w:rPr>
            </w:pPr>
            <w:r>
              <w:rPr>
                <w:rFonts w:cs="Times New Roman"/>
              </w:rPr>
              <w:t>⑧</w:t>
            </w:r>
            <w:r>
              <w:rPr>
                <w:rFonts w:cs="Times New Roman"/>
                <w:szCs w:val="24"/>
              </w:rPr>
              <w:t>实验废物</w:t>
            </w:r>
            <w:r>
              <w:rPr>
                <w:rFonts w:cs="Times New Roman"/>
              </w:rPr>
              <w:t>：</w:t>
            </w:r>
            <w:r>
              <w:rPr>
                <w:rFonts w:hint="eastAsia" w:cs="Times New Roman"/>
              </w:rPr>
              <w:t>实验废物主要包括废离心管、废移液枪头、废试剂盒等，</w:t>
            </w:r>
            <w:r>
              <w:rPr>
                <w:rFonts w:cs="Times New Roman"/>
              </w:rPr>
              <w:t>调试期间实际产生量为</w:t>
            </w:r>
            <w:r>
              <w:rPr>
                <w:rFonts w:hint="eastAsia" w:cs="Times New Roman"/>
              </w:rPr>
              <w:t>0.042</w:t>
            </w:r>
            <w:r>
              <w:rPr>
                <w:rFonts w:cs="Times New Roman"/>
              </w:rPr>
              <w:t>t/月，折合年产生量为</w:t>
            </w:r>
            <w:r>
              <w:rPr>
                <w:rFonts w:hint="eastAsia" w:cs="Times New Roman"/>
              </w:rPr>
              <w:t>0.504</w:t>
            </w:r>
            <w:r>
              <w:rPr>
                <w:rFonts w:cs="Times New Roman"/>
              </w:rPr>
              <w:t>t</w:t>
            </w:r>
            <w:r>
              <w:rPr>
                <w:rFonts w:hint="eastAsia" w:cs="Times New Roman"/>
              </w:rPr>
              <w:t>，依据《国家危险废物名录》（2021版），此部分属于危险废物，类别为HW01，危险废物代码841-001-01，密封消毒后装入一次性医疗专用垃圾袋</w:t>
            </w:r>
            <w:r>
              <w:rPr>
                <w:rFonts w:hint="eastAsia" w:cs="Times New Roman"/>
                <w:szCs w:val="24"/>
              </w:rPr>
              <w:t>暂存于医疗+危废暂存间，医疗废物委托济南腾笙环保科技有限公司处理</w:t>
            </w:r>
            <w:r>
              <w:rPr>
                <w:rFonts w:hint="eastAsia" w:cs="Times New Roman"/>
              </w:rPr>
              <w:t>。</w:t>
            </w:r>
          </w:p>
          <w:p>
            <w:pPr>
              <w:pStyle w:val="38"/>
              <w:jc w:val="both"/>
              <w:rPr>
                <w:rFonts w:cs="Times New Roman"/>
              </w:rPr>
            </w:pPr>
            <w:r>
              <w:rPr>
                <w:rFonts w:cs="Times New Roman"/>
              </w:rPr>
              <w:t>⑨生活垃圾：调试期间实际产生量为</w:t>
            </w:r>
            <w:r>
              <w:rPr>
                <w:rFonts w:hint="eastAsia" w:cs="Times New Roman"/>
              </w:rPr>
              <w:t>0.2</w:t>
            </w:r>
            <w:r>
              <w:rPr>
                <w:rFonts w:cs="Times New Roman"/>
              </w:rPr>
              <w:t>t/月，折合年产生量为</w:t>
            </w:r>
            <w:r>
              <w:rPr>
                <w:rFonts w:hint="eastAsia" w:cs="Times New Roman"/>
              </w:rPr>
              <w:t>2.4</w:t>
            </w:r>
            <w:r>
              <w:rPr>
                <w:rFonts w:cs="Times New Roman"/>
              </w:rPr>
              <w:t>t。生活垃圾经垃圾桶收集后，由环卫部门统一定期清运。</w:t>
            </w:r>
          </w:p>
          <w:p>
            <w:pPr>
              <w:ind w:firstLine="0" w:firstLineChars="0"/>
              <w:jc w:val="center"/>
              <w:rPr>
                <w:b/>
              </w:rPr>
            </w:pPr>
            <w:r>
              <w:rPr>
                <w:b/>
              </w:rPr>
              <w:t>表7-</w:t>
            </w:r>
            <w:r>
              <w:rPr>
                <w:rFonts w:hint="eastAsia"/>
                <w:b/>
              </w:rPr>
              <w:t>1</w:t>
            </w:r>
            <w:r>
              <w:rPr>
                <w:rFonts w:hint="eastAsia"/>
                <w:b/>
                <w:lang w:val="en-US" w:eastAsia="zh-CN"/>
              </w:rPr>
              <w:t>1</w:t>
            </w:r>
            <w:r>
              <w:rPr>
                <w:b/>
              </w:rPr>
              <w:t xml:space="preserve">  本项目固体废物处置情况表</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5"/>
              <w:gridCol w:w="1536"/>
              <w:gridCol w:w="1402"/>
              <w:gridCol w:w="1056"/>
              <w:gridCol w:w="1190"/>
              <w:gridCol w:w="1017"/>
              <w:gridCol w:w="754"/>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widowControl/>
                    <w:autoSpaceDE w:val="0"/>
                    <w:autoSpaceDN w:val="0"/>
                    <w:adjustRightInd w:val="0"/>
                    <w:snapToGrid w:val="0"/>
                    <w:spacing w:line="240" w:lineRule="auto"/>
                    <w:ind w:firstLine="0" w:firstLineChars="0"/>
                    <w:jc w:val="center"/>
                    <w:rPr>
                      <w:b/>
                      <w:bCs/>
                      <w:sz w:val="21"/>
                      <w:szCs w:val="21"/>
                      <w:lang w:val="zh-CN"/>
                    </w:rPr>
                  </w:pPr>
                  <w:r>
                    <w:rPr>
                      <w:b/>
                      <w:bCs/>
                      <w:sz w:val="21"/>
                      <w:szCs w:val="21"/>
                      <w:lang w:val="zh-CN"/>
                    </w:rPr>
                    <w:t>序号</w:t>
                  </w:r>
                </w:p>
              </w:tc>
              <w:tc>
                <w:tcPr>
                  <w:tcW w:w="861" w:type="pct"/>
                  <w:vAlign w:val="center"/>
                </w:tcPr>
                <w:p>
                  <w:pPr>
                    <w:widowControl/>
                    <w:autoSpaceDE w:val="0"/>
                    <w:autoSpaceDN w:val="0"/>
                    <w:adjustRightInd w:val="0"/>
                    <w:snapToGrid w:val="0"/>
                    <w:spacing w:line="240" w:lineRule="auto"/>
                    <w:ind w:firstLine="0" w:firstLineChars="0"/>
                    <w:jc w:val="center"/>
                    <w:rPr>
                      <w:b/>
                      <w:bCs/>
                      <w:sz w:val="21"/>
                      <w:szCs w:val="21"/>
                      <w:lang w:val="zh-CN"/>
                    </w:rPr>
                  </w:pPr>
                  <w:r>
                    <w:rPr>
                      <w:b/>
                      <w:bCs/>
                      <w:sz w:val="21"/>
                      <w:szCs w:val="21"/>
                      <w:lang w:val="zh-CN"/>
                    </w:rPr>
                    <w:t>固废名称</w:t>
                  </w:r>
                </w:p>
              </w:tc>
              <w:tc>
                <w:tcPr>
                  <w:tcW w:w="786" w:type="pct"/>
                  <w:vAlign w:val="center"/>
                </w:tcPr>
                <w:p>
                  <w:pPr>
                    <w:widowControl/>
                    <w:autoSpaceDE w:val="0"/>
                    <w:autoSpaceDN w:val="0"/>
                    <w:adjustRightInd w:val="0"/>
                    <w:snapToGrid w:val="0"/>
                    <w:spacing w:line="240" w:lineRule="auto"/>
                    <w:ind w:firstLine="0" w:firstLineChars="0"/>
                    <w:jc w:val="center"/>
                    <w:rPr>
                      <w:b/>
                      <w:bCs/>
                      <w:sz w:val="21"/>
                      <w:szCs w:val="21"/>
                      <w:lang w:val="zh-CN"/>
                    </w:rPr>
                  </w:pPr>
                  <w:r>
                    <w:rPr>
                      <w:rFonts w:hint="eastAsia"/>
                      <w:b/>
                      <w:bCs/>
                      <w:sz w:val="21"/>
                      <w:szCs w:val="21"/>
                      <w:lang w:val="zh-CN"/>
                    </w:rPr>
                    <w:t>废物代码</w:t>
                  </w:r>
                </w:p>
              </w:tc>
              <w:tc>
                <w:tcPr>
                  <w:tcW w:w="592" w:type="pct"/>
                  <w:vAlign w:val="center"/>
                </w:tcPr>
                <w:p>
                  <w:pPr>
                    <w:widowControl/>
                    <w:autoSpaceDE w:val="0"/>
                    <w:autoSpaceDN w:val="0"/>
                    <w:adjustRightInd w:val="0"/>
                    <w:snapToGrid w:val="0"/>
                    <w:spacing w:line="240" w:lineRule="auto"/>
                    <w:ind w:firstLine="0" w:firstLineChars="0"/>
                    <w:jc w:val="center"/>
                    <w:rPr>
                      <w:b/>
                      <w:bCs/>
                      <w:sz w:val="21"/>
                      <w:szCs w:val="21"/>
                      <w:lang w:val="zh-CN"/>
                    </w:rPr>
                  </w:pPr>
                  <w:r>
                    <w:rPr>
                      <w:b/>
                      <w:bCs/>
                      <w:sz w:val="21"/>
                      <w:szCs w:val="21"/>
                      <w:lang w:val="zh-CN"/>
                    </w:rPr>
                    <w:t>环评估算量（t/a）</w:t>
                  </w:r>
                </w:p>
              </w:tc>
              <w:tc>
                <w:tcPr>
                  <w:tcW w:w="667" w:type="pct"/>
                  <w:vAlign w:val="center"/>
                </w:tcPr>
                <w:p>
                  <w:pPr>
                    <w:widowControl/>
                    <w:autoSpaceDE w:val="0"/>
                    <w:autoSpaceDN w:val="0"/>
                    <w:adjustRightInd w:val="0"/>
                    <w:snapToGrid w:val="0"/>
                    <w:spacing w:line="240" w:lineRule="auto"/>
                    <w:ind w:firstLine="0" w:firstLineChars="0"/>
                    <w:jc w:val="center"/>
                    <w:rPr>
                      <w:b/>
                      <w:bCs/>
                      <w:sz w:val="21"/>
                      <w:szCs w:val="21"/>
                      <w:lang w:val="zh-CN"/>
                    </w:rPr>
                  </w:pPr>
                  <w:r>
                    <w:rPr>
                      <w:rFonts w:hint="eastAsia"/>
                      <w:b/>
                      <w:bCs/>
                      <w:sz w:val="21"/>
                      <w:szCs w:val="21"/>
                      <w:lang w:val="zh-CN"/>
                    </w:rPr>
                    <w:t>调试期间实际产生量（</w:t>
                  </w:r>
                  <w:r>
                    <w:rPr>
                      <w:rFonts w:hint="eastAsia"/>
                      <w:b/>
                      <w:bCs/>
                      <w:sz w:val="21"/>
                      <w:szCs w:val="21"/>
                    </w:rPr>
                    <w:t>t/</w:t>
                  </w:r>
                  <w:r>
                    <w:rPr>
                      <w:rFonts w:hint="eastAsia"/>
                      <w:b/>
                      <w:bCs/>
                      <w:sz w:val="21"/>
                      <w:szCs w:val="21"/>
                      <w:lang w:val="zh-CN"/>
                    </w:rPr>
                    <w:t>月）</w:t>
                  </w:r>
                </w:p>
              </w:tc>
              <w:tc>
                <w:tcPr>
                  <w:tcW w:w="570" w:type="pct"/>
                  <w:vAlign w:val="center"/>
                </w:tcPr>
                <w:p>
                  <w:pPr>
                    <w:widowControl/>
                    <w:autoSpaceDE w:val="0"/>
                    <w:autoSpaceDN w:val="0"/>
                    <w:adjustRightInd w:val="0"/>
                    <w:snapToGrid w:val="0"/>
                    <w:spacing w:line="240" w:lineRule="auto"/>
                    <w:ind w:firstLine="0" w:firstLineChars="0"/>
                    <w:jc w:val="center"/>
                    <w:rPr>
                      <w:b/>
                      <w:bCs/>
                      <w:sz w:val="21"/>
                      <w:szCs w:val="21"/>
                      <w:lang w:val="zh-CN"/>
                    </w:rPr>
                  </w:pPr>
                  <w:r>
                    <w:rPr>
                      <w:rFonts w:hint="eastAsia"/>
                      <w:b/>
                      <w:bCs/>
                      <w:sz w:val="21"/>
                      <w:szCs w:val="21"/>
                      <w:lang w:val="zh-CN"/>
                    </w:rPr>
                    <w:t>折合年产生量（</w:t>
                  </w:r>
                  <w:r>
                    <w:rPr>
                      <w:rFonts w:hint="eastAsia"/>
                      <w:b/>
                      <w:bCs/>
                      <w:sz w:val="21"/>
                      <w:szCs w:val="21"/>
                    </w:rPr>
                    <w:t>t</w:t>
                  </w:r>
                  <w:r>
                    <w:rPr>
                      <w:rFonts w:hint="eastAsia"/>
                      <w:b/>
                      <w:bCs/>
                      <w:sz w:val="21"/>
                      <w:szCs w:val="21"/>
                      <w:lang w:val="zh-CN"/>
                    </w:rPr>
                    <w:t>）</w:t>
                  </w:r>
                </w:p>
              </w:tc>
              <w:tc>
                <w:tcPr>
                  <w:tcW w:w="423" w:type="pct"/>
                  <w:vAlign w:val="center"/>
                </w:tcPr>
                <w:p>
                  <w:pPr>
                    <w:autoSpaceDE w:val="0"/>
                    <w:autoSpaceDN w:val="0"/>
                    <w:adjustRightInd w:val="0"/>
                    <w:snapToGrid w:val="0"/>
                    <w:spacing w:line="240" w:lineRule="auto"/>
                    <w:ind w:firstLine="0" w:firstLineChars="0"/>
                    <w:jc w:val="center"/>
                    <w:rPr>
                      <w:b/>
                      <w:bCs/>
                      <w:sz w:val="21"/>
                      <w:szCs w:val="21"/>
                      <w:lang w:val="zh-CN"/>
                    </w:rPr>
                  </w:pPr>
                  <w:r>
                    <w:rPr>
                      <w:b/>
                      <w:bCs/>
                      <w:sz w:val="21"/>
                      <w:szCs w:val="21"/>
                      <w:lang w:val="zh-CN"/>
                    </w:rPr>
                    <w:t>性质</w:t>
                  </w:r>
                </w:p>
              </w:tc>
              <w:tc>
                <w:tcPr>
                  <w:tcW w:w="735" w:type="pct"/>
                  <w:vAlign w:val="center"/>
                </w:tcPr>
                <w:p>
                  <w:pPr>
                    <w:autoSpaceDE w:val="0"/>
                    <w:autoSpaceDN w:val="0"/>
                    <w:adjustRightInd w:val="0"/>
                    <w:snapToGrid w:val="0"/>
                    <w:spacing w:line="240" w:lineRule="auto"/>
                    <w:ind w:firstLine="0" w:firstLineChars="0"/>
                    <w:jc w:val="center"/>
                    <w:rPr>
                      <w:b/>
                      <w:bCs/>
                      <w:sz w:val="21"/>
                      <w:szCs w:val="21"/>
                      <w:lang w:val="zh-CN"/>
                    </w:rPr>
                  </w:pPr>
                  <w:r>
                    <w:rPr>
                      <w:b/>
                      <w:bCs/>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lang w:val="zh-CN"/>
                    </w:rPr>
                  </w:pPr>
                  <w:r>
                    <w:rPr>
                      <w:sz w:val="21"/>
                      <w:szCs w:val="21"/>
                    </w:rPr>
                    <w:t>1</w:t>
                  </w:r>
                </w:p>
              </w:tc>
              <w:tc>
                <w:tcPr>
                  <w:tcW w:w="861" w:type="pct"/>
                  <w:vAlign w:val="center"/>
                </w:tcPr>
                <w:p>
                  <w:pPr>
                    <w:widowControl/>
                    <w:adjustRightInd w:val="0"/>
                    <w:snapToGrid w:val="0"/>
                    <w:spacing w:line="240" w:lineRule="auto"/>
                    <w:ind w:firstLine="0" w:firstLineChars="0"/>
                    <w:jc w:val="center"/>
                    <w:rPr>
                      <w:sz w:val="21"/>
                      <w:szCs w:val="21"/>
                      <w:lang w:val="zh-CN"/>
                    </w:rPr>
                  </w:pPr>
                  <w:r>
                    <w:rPr>
                      <w:rFonts w:hint="eastAsia"/>
                      <w:sz w:val="21"/>
                      <w:szCs w:val="21"/>
                    </w:rPr>
                    <w:t>生活垃圾</w:t>
                  </w:r>
                </w:p>
              </w:tc>
              <w:tc>
                <w:tcPr>
                  <w:tcW w:w="786"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2.4</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0.2</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2.4</w:t>
                  </w:r>
                </w:p>
              </w:tc>
              <w:tc>
                <w:tcPr>
                  <w:tcW w:w="423" w:type="pct"/>
                  <w:vMerge w:val="restart"/>
                  <w:vAlign w:val="center"/>
                </w:tcPr>
                <w:p>
                  <w:pPr>
                    <w:autoSpaceDE w:val="0"/>
                    <w:autoSpaceDN w:val="0"/>
                    <w:adjustRightInd w:val="0"/>
                    <w:snapToGrid w:val="0"/>
                    <w:spacing w:line="240" w:lineRule="auto"/>
                    <w:ind w:firstLine="0" w:firstLineChars="0"/>
                    <w:jc w:val="center"/>
                    <w:rPr>
                      <w:sz w:val="21"/>
                      <w:szCs w:val="21"/>
                    </w:rPr>
                  </w:pPr>
                  <w:r>
                    <w:rPr>
                      <w:rFonts w:hint="eastAsia"/>
                      <w:sz w:val="21"/>
                      <w:szCs w:val="21"/>
                    </w:rPr>
                    <w:t>一般固废</w:t>
                  </w:r>
                </w:p>
              </w:tc>
              <w:tc>
                <w:tcPr>
                  <w:tcW w:w="735" w:type="pct"/>
                  <w:vAlign w:val="center"/>
                </w:tcPr>
                <w:p>
                  <w:pPr>
                    <w:pStyle w:val="38"/>
                    <w:spacing w:line="240" w:lineRule="auto"/>
                    <w:ind w:firstLine="0" w:firstLineChars="0"/>
                    <w:rPr>
                      <w:rFonts w:cs="Times New Roman"/>
                      <w:sz w:val="21"/>
                      <w:szCs w:val="21"/>
                      <w:lang w:val="zh-CN"/>
                    </w:rPr>
                  </w:pPr>
                  <w:r>
                    <w:rPr>
                      <w:rFonts w:hint="eastAsia" w:cs="Times New Roman"/>
                      <w:sz w:val="21"/>
                      <w:szCs w:val="21"/>
                    </w:rPr>
                    <w:t>环卫部门清运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lang w:val="zh-CN"/>
                    </w:rPr>
                  </w:pPr>
                  <w:r>
                    <w:rPr>
                      <w:rFonts w:hint="eastAsia"/>
                      <w:sz w:val="21"/>
                      <w:szCs w:val="21"/>
                    </w:rPr>
                    <w:t>2</w:t>
                  </w:r>
                </w:p>
              </w:tc>
              <w:tc>
                <w:tcPr>
                  <w:tcW w:w="861" w:type="pct"/>
                  <w:vAlign w:val="center"/>
                </w:tcPr>
                <w:p>
                  <w:pPr>
                    <w:widowControl/>
                    <w:adjustRightInd w:val="0"/>
                    <w:snapToGrid w:val="0"/>
                    <w:spacing w:line="240" w:lineRule="auto"/>
                    <w:ind w:firstLine="0" w:firstLineChars="0"/>
                    <w:jc w:val="center"/>
                    <w:rPr>
                      <w:sz w:val="21"/>
                      <w:szCs w:val="21"/>
                      <w:lang w:val="zh-CN"/>
                    </w:rPr>
                  </w:pPr>
                  <w:r>
                    <w:rPr>
                      <w:rFonts w:hint="eastAsia"/>
                      <w:sz w:val="21"/>
                      <w:szCs w:val="21"/>
                      <w:lang w:val="zh-CN"/>
                    </w:rPr>
                    <w:t>废滤芯</w:t>
                  </w:r>
                </w:p>
              </w:tc>
              <w:tc>
                <w:tcPr>
                  <w:tcW w:w="786"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0.01</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暂未产生</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w:t>
                  </w:r>
                </w:p>
              </w:tc>
              <w:tc>
                <w:tcPr>
                  <w:tcW w:w="423" w:type="pct"/>
                  <w:vMerge w:val="continue"/>
                  <w:vAlign w:val="center"/>
                </w:tcPr>
                <w:p>
                  <w:pPr>
                    <w:autoSpaceDE w:val="0"/>
                    <w:autoSpaceDN w:val="0"/>
                    <w:adjustRightInd w:val="0"/>
                    <w:snapToGrid w:val="0"/>
                    <w:spacing w:line="240" w:lineRule="auto"/>
                    <w:ind w:firstLine="0" w:firstLineChars="0"/>
                    <w:jc w:val="center"/>
                    <w:rPr>
                      <w:sz w:val="21"/>
                      <w:szCs w:val="21"/>
                      <w:lang w:val="zh-CN"/>
                    </w:rPr>
                  </w:pPr>
                </w:p>
              </w:tc>
              <w:tc>
                <w:tcPr>
                  <w:tcW w:w="735" w:type="pct"/>
                  <w:vMerge w:val="restart"/>
                  <w:vAlign w:val="center"/>
                </w:tcPr>
                <w:p>
                  <w:pPr>
                    <w:pStyle w:val="38"/>
                    <w:spacing w:line="240" w:lineRule="auto"/>
                    <w:ind w:firstLine="0" w:firstLineChars="0"/>
                    <w:rPr>
                      <w:rFonts w:cs="Times New Roman"/>
                      <w:sz w:val="21"/>
                      <w:szCs w:val="21"/>
                      <w:lang w:val="zh-CN"/>
                    </w:rPr>
                  </w:pPr>
                  <w:r>
                    <w:rPr>
                      <w:rFonts w:hint="eastAsia" w:cs="Times New Roman"/>
                      <w:sz w:val="21"/>
                      <w:szCs w:val="21"/>
                    </w:rPr>
                    <w:t>由设备厂家回收处理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lang w:val="zh-CN"/>
                    </w:rPr>
                  </w:pPr>
                  <w:r>
                    <w:rPr>
                      <w:rFonts w:hint="eastAsia"/>
                      <w:sz w:val="21"/>
                      <w:szCs w:val="21"/>
                    </w:rPr>
                    <w:t>3</w:t>
                  </w:r>
                </w:p>
              </w:tc>
              <w:tc>
                <w:tcPr>
                  <w:tcW w:w="861" w:type="pct"/>
                  <w:vAlign w:val="center"/>
                </w:tcPr>
                <w:p>
                  <w:pPr>
                    <w:widowControl/>
                    <w:adjustRightInd w:val="0"/>
                    <w:snapToGrid w:val="0"/>
                    <w:spacing w:line="240" w:lineRule="auto"/>
                    <w:ind w:firstLine="0" w:firstLineChars="0"/>
                    <w:jc w:val="center"/>
                    <w:rPr>
                      <w:sz w:val="21"/>
                      <w:szCs w:val="21"/>
                      <w:lang w:val="zh-CN"/>
                    </w:rPr>
                  </w:pPr>
                  <w:r>
                    <w:rPr>
                      <w:rFonts w:hint="eastAsia"/>
                      <w:sz w:val="21"/>
                      <w:szCs w:val="21"/>
                    </w:rPr>
                    <w:t>废RO膜</w:t>
                  </w:r>
                </w:p>
              </w:tc>
              <w:tc>
                <w:tcPr>
                  <w:tcW w:w="786" w:type="pct"/>
                  <w:vAlign w:val="center"/>
                </w:tcPr>
                <w:p>
                  <w:pPr>
                    <w:spacing w:line="240" w:lineRule="auto"/>
                    <w:ind w:firstLine="0" w:firstLineChars="0"/>
                    <w:jc w:val="center"/>
                    <w:rPr>
                      <w:sz w:val="21"/>
                      <w:szCs w:val="21"/>
                    </w:rPr>
                  </w:pPr>
                  <w:r>
                    <w:rPr>
                      <w:rFonts w:hint="eastAsia"/>
                      <w:sz w:val="21"/>
                      <w:szCs w:val="21"/>
                    </w:rPr>
                    <w:t>/</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0.01</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暂未产生</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w:t>
                  </w:r>
                </w:p>
              </w:tc>
              <w:tc>
                <w:tcPr>
                  <w:tcW w:w="423" w:type="pct"/>
                  <w:vMerge w:val="continue"/>
                  <w:vAlign w:val="center"/>
                </w:tcPr>
                <w:p>
                  <w:pPr>
                    <w:autoSpaceDE w:val="0"/>
                    <w:autoSpaceDN w:val="0"/>
                    <w:adjustRightInd w:val="0"/>
                    <w:snapToGrid w:val="0"/>
                    <w:spacing w:line="240" w:lineRule="auto"/>
                    <w:ind w:firstLine="0" w:firstLineChars="0"/>
                    <w:jc w:val="center"/>
                    <w:rPr>
                      <w:sz w:val="21"/>
                      <w:szCs w:val="21"/>
                    </w:rPr>
                  </w:pPr>
                </w:p>
              </w:tc>
              <w:tc>
                <w:tcPr>
                  <w:tcW w:w="735" w:type="pct"/>
                  <w:vMerge w:val="continue"/>
                  <w:vAlign w:val="center"/>
                </w:tcPr>
                <w:p>
                  <w:pPr>
                    <w:pStyle w:val="38"/>
                    <w:spacing w:line="240" w:lineRule="auto"/>
                    <w:ind w:firstLine="0" w:firstLineChars="0"/>
                    <w:rPr>
                      <w:rFonts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lang w:val="zh-CN"/>
                    </w:rPr>
                  </w:pPr>
                  <w:r>
                    <w:rPr>
                      <w:rFonts w:hint="eastAsia"/>
                      <w:sz w:val="21"/>
                      <w:szCs w:val="21"/>
                    </w:rPr>
                    <w:t>4</w:t>
                  </w:r>
                </w:p>
              </w:tc>
              <w:tc>
                <w:tcPr>
                  <w:tcW w:w="861" w:type="pct"/>
                  <w:vAlign w:val="center"/>
                </w:tcPr>
                <w:p>
                  <w:pPr>
                    <w:widowControl/>
                    <w:adjustRightInd w:val="0"/>
                    <w:snapToGrid w:val="0"/>
                    <w:spacing w:line="240" w:lineRule="auto"/>
                    <w:ind w:firstLine="0" w:firstLineChars="0"/>
                    <w:jc w:val="center"/>
                    <w:rPr>
                      <w:sz w:val="21"/>
                      <w:szCs w:val="21"/>
                      <w:lang w:val="zh-CN"/>
                    </w:rPr>
                  </w:pPr>
                  <w:r>
                    <w:rPr>
                      <w:rFonts w:hint="eastAsia"/>
                      <w:sz w:val="21"/>
                      <w:szCs w:val="21"/>
                      <w:lang w:val="zh-CN"/>
                    </w:rPr>
                    <w:t>废包装物</w:t>
                  </w:r>
                </w:p>
              </w:tc>
              <w:tc>
                <w:tcPr>
                  <w:tcW w:w="786"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0.12</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0.01</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0.12</w:t>
                  </w:r>
                </w:p>
              </w:tc>
              <w:tc>
                <w:tcPr>
                  <w:tcW w:w="423" w:type="pct"/>
                  <w:vMerge w:val="continue"/>
                  <w:vAlign w:val="center"/>
                </w:tcPr>
                <w:p>
                  <w:pPr>
                    <w:autoSpaceDE w:val="0"/>
                    <w:autoSpaceDN w:val="0"/>
                    <w:adjustRightInd w:val="0"/>
                    <w:snapToGrid w:val="0"/>
                    <w:spacing w:line="240" w:lineRule="auto"/>
                    <w:ind w:firstLine="0" w:firstLineChars="0"/>
                    <w:jc w:val="center"/>
                    <w:rPr>
                      <w:sz w:val="21"/>
                      <w:szCs w:val="21"/>
                    </w:rPr>
                  </w:pPr>
                </w:p>
              </w:tc>
              <w:tc>
                <w:tcPr>
                  <w:tcW w:w="735" w:type="pct"/>
                  <w:vAlign w:val="center"/>
                </w:tcPr>
                <w:p>
                  <w:pPr>
                    <w:pStyle w:val="38"/>
                    <w:spacing w:line="240" w:lineRule="auto"/>
                    <w:ind w:firstLine="0" w:firstLineChars="0"/>
                    <w:rPr>
                      <w:rFonts w:cs="Times New Roman"/>
                      <w:sz w:val="21"/>
                      <w:szCs w:val="21"/>
                      <w:lang w:val="zh-CN"/>
                    </w:rPr>
                  </w:pPr>
                  <w:r>
                    <w:rPr>
                      <w:rFonts w:hint="eastAsia" w:cs="Times New Roman"/>
                      <w:sz w:val="21"/>
                      <w:szCs w:val="21"/>
                      <w:lang w:val="zh-CN"/>
                    </w:rPr>
                    <w:t>外售资源回收单位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lang w:val="zh-CN"/>
                    </w:rPr>
                  </w:pPr>
                  <w:r>
                    <w:rPr>
                      <w:rFonts w:hint="eastAsia"/>
                      <w:sz w:val="21"/>
                      <w:szCs w:val="21"/>
                    </w:rPr>
                    <w:t>5</w:t>
                  </w:r>
                </w:p>
              </w:tc>
              <w:tc>
                <w:tcPr>
                  <w:tcW w:w="861" w:type="pct"/>
                  <w:vAlign w:val="center"/>
                </w:tcPr>
                <w:p>
                  <w:pPr>
                    <w:widowControl/>
                    <w:adjustRightInd w:val="0"/>
                    <w:snapToGrid w:val="0"/>
                    <w:spacing w:line="240" w:lineRule="auto"/>
                    <w:ind w:firstLine="0" w:firstLineChars="0"/>
                    <w:jc w:val="center"/>
                    <w:rPr>
                      <w:sz w:val="21"/>
                      <w:szCs w:val="21"/>
                      <w:lang w:val="zh-CN"/>
                    </w:rPr>
                  </w:pPr>
                  <w:r>
                    <w:rPr>
                      <w:rFonts w:hint="eastAsia"/>
                      <w:sz w:val="21"/>
                      <w:szCs w:val="21"/>
                      <w:lang w:val="zh-CN"/>
                    </w:rPr>
                    <w:t>废试剂瓶</w:t>
                  </w:r>
                </w:p>
              </w:tc>
              <w:tc>
                <w:tcPr>
                  <w:tcW w:w="786" w:type="pct"/>
                  <w:vAlign w:val="center"/>
                </w:tcPr>
                <w:p>
                  <w:pPr>
                    <w:adjustRightInd w:val="0"/>
                    <w:snapToGrid w:val="0"/>
                    <w:spacing w:line="240" w:lineRule="auto"/>
                    <w:ind w:firstLine="0" w:firstLineChars="0"/>
                    <w:jc w:val="center"/>
                    <w:rPr>
                      <w:sz w:val="21"/>
                      <w:szCs w:val="21"/>
                    </w:rPr>
                  </w:pPr>
                  <w:r>
                    <w:rPr>
                      <w:rFonts w:hint="eastAsia"/>
                      <w:sz w:val="21"/>
                      <w:szCs w:val="21"/>
                    </w:rPr>
                    <w:t>HW49</w:t>
                  </w:r>
                </w:p>
                <w:p>
                  <w:pPr>
                    <w:adjustRightInd w:val="0"/>
                    <w:snapToGrid w:val="0"/>
                    <w:spacing w:line="240" w:lineRule="auto"/>
                    <w:ind w:firstLine="0" w:firstLineChars="0"/>
                    <w:jc w:val="center"/>
                    <w:rPr>
                      <w:sz w:val="21"/>
                      <w:szCs w:val="21"/>
                      <w:lang w:val="zh-CN"/>
                    </w:rPr>
                  </w:pPr>
                  <w:r>
                    <w:rPr>
                      <w:rFonts w:hint="eastAsia"/>
                      <w:sz w:val="21"/>
                      <w:szCs w:val="21"/>
                    </w:rPr>
                    <w:t>900-047-49</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0.03</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暂未产生</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w:t>
                  </w:r>
                </w:p>
              </w:tc>
              <w:tc>
                <w:tcPr>
                  <w:tcW w:w="423" w:type="pct"/>
                  <w:vAlign w:val="center"/>
                </w:tcPr>
                <w:p>
                  <w:pPr>
                    <w:autoSpaceDE w:val="0"/>
                    <w:autoSpaceDN w:val="0"/>
                    <w:adjustRightInd w:val="0"/>
                    <w:snapToGrid w:val="0"/>
                    <w:spacing w:line="240" w:lineRule="auto"/>
                    <w:ind w:firstLine="0" w:firstLineChars="0"/>
                    <w:jc w:val="center"/>
                    <w:rPr>
                      <w:sz w:val="21"/>
                      <w:szCs w:val="21"/>
                    </w:rPr>
                  </w:pPr>
                  <w:r>
                    <w:rPr>
                      <w:rFonts w:hint="eastAsia"/>
                      <w:sz w:val="21"/>
                      <w:szCs w:val="21"/>
                    </w:rPr>
                    <w:t>危险废物</w:t>
                  </w:r>
                </w:p>
              </w:tc>
              <w:tc>
                <w:tcPr>
                  <w:tcW w:w="735" w:type="pct"/>
                  <w:vAlign w:val="center"/>
                </w:tcPr>
                <w:p>
                  <w:pPr>
                    <w:pStyle w:val="38"/>
                    <w:spacing w:line="240" w:lineRule="auto"/>
                    <w:ind w:firstLine="0" w:firstLineChars="0"/>
                    <w:rPr>
                      <w:rFonts w:cs="Times New Roman"/>
                      <w:sz w:val="21"/>
                      <w:szCs w:val="21"/>
                      <w:lang w:val="zh-CN"/>
                    </w:rPr>
                  </w:pPr>
                  <w:r>
                    <w:rPr>
                      <w:rFonts w:hint="eastAsia" w:cs="Times New Roman"/>
                      <w:sz w:val="21"/>
                      <w:szCs w:val="21"/>
                      <w:lang w:val="zh-CN"/>
                    </w:rPr>
                    <w:t>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rPr>
                  </w:pPr>
                  <w:r>
                    <w:rPr>
                      <w:rFonts w:hint="eastAsia"/>
                      <w:sz w:val="21"/>
                      <w:szCs w:val="21"/>
                    </w:rPr>
                    <w:t>6</w:t>
                  </w:r>
                </w:p>
              </w:tc>
              <w:tc>
                <w:tcPr>
                  <w:tcW w:w="861" w:type="pct"/>
                  <w:vAlign w:val="center"/>
                </w:tcPr>
                <w:p>
                  <w:pPr>
                    <w:widowControl/>
                    <w:adjustRightInd w:val="0"/>
                    <w:snapToGrid w:val="0"/>
                    <w:spacing w:line="240" w:lineRule="auto"/>
                    <w:ind w:firstLine="0" w:firstLineChars="0"/>
                    <w:jc w:val="center"/>
                    <w:rPr>
                      <w:sz w:val="21"/>
                      <w:szCs w:val="21"/>
                      <w:lang w:val="zh-CN"/>
                    </w:rPr>
                  </w:pPr>
                  <w:r>
                    <w:rPr>
                      <w:rFonts w:hint="eastAsia"/>
                      <w:sz w:val="21"/>
                      <w:szCs w:val="21"/>
                      <w:lang w:val="zh-CN"/>
                    </w:rPr>
                    <w:t>实验废液</w:t>
                  </w:r>
                </w:p>
              </w:tc>
              <w:tc>
                <w:tcPr>
                  <w:tcW w:w="786" w:type="pct"/>
                  <w:vAlign w:val="center"/>
                </w:tcPr>
                <w:p>
                  <w:pPr>
                    <w:adjustRightInd w:val="0"/>
                    <w:snapToGrid w:val="0"/>
                    <w:spacing w:line="240" w:lineRule="auto"/>
                    <w:ind w:firstLine="0" w:firstLineChars="0"/>
                    <w:jc w:val="center"/>
                    <w:rPr>
                      <w:sz w:val="21"/>
                      <w:szCs w:val="21"/>
                    </w:rPr>
                  </w:pPr>
                  <w:r>
                    <w:rPr>
                      <w:sz w:val="21"/>
                      <w:szCs w:val="21"/>
                    </w:rPr>
                    <w:t>HW</w:t>
                  </w:r>
                  <w:r>
                    <w:rPr>
                      <w:rFonts w:hint="eastAsia"/>
                      <w:sz w:val="21"/>
                      <w:szCs w:val="21"/>
                    </w:rPr>
                    <w:t>01</w:t>
                  </w:r>
                </w:p>
                <w:p>
                  <w:pPr>
                    <w:adjustRightInd w:val="0"/>
                    <w:snapToGrid w:val="0"/>
                    <w:spacing w:line="240" w:lineRule="auto"/>
                    <w:ind w:firstLine="0" w:firstLineChars="0"/>
                    <w:jc w:val="center"/>
                    <w:rPr>
                      <w:sz w:val="21"/>
                      <w:szCs w:val="21"/>
                      <w:lang w:val="zh-CN"/>
                    </w:rPr>
                  </w:pPr>
                  <w:r>
                    <w:rPr>
                      <w:rFonts w:hint="eastAsia"/>
                      <w:sz w:val="21"/>
                      <w:szCs w:val="21"/>
                    </w:rPr>
                    <w:t>841-001-01</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0.4</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0.033</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0.396</w:t>
                  </w:r>
                </w:p>
              </w:tc>
              <w:tc>
                <w:tcPr>
                  <w:tcW w:w="423" w:type="pct"/>
                  <w:vMerge w:val="restart"/>
                  <w:vAlign w:val="center"/>
                </w:tcPr>
                <w:p>
                  <w:pPr>
                    <w:autoSpaceDE w:val="0"/>
                    <w:autoSpaceDN w:val="0"/>
                    <w:adjustRightInd w:val="0"/>
                    <w:snapToGrid w:val="0"/>
                    <w:spacing w:line="240" w:lineRule="auto"/>
                    <w:ind w:firstLine="0" w:firstLineChars="0"/>
                    <w:jc w:val="center"/>
                    <w:rPr>
                      <w:rFonts w:hint="eastAsia" w:eastAsia="宋体"/>
                      <w:sz w:val="21"/>
                      <w:szCs w:val="21"/>
                      <w:lang w:eastAsia="zh-CN"/>
                    </w:rPr>
                  </w:pPr>
                  <w:r>
                    <w:rPr>
                      <w:rFonts w:hint="eastAsia"/>
                      <w:sz w:val="21"/>
                      <w:szCs w:val="21"/>
                      <w:lang w:eastAsia="zh-CN"/>
                    </w:rPr>
                    <w:t>医疗废物</w:t>
                  </w:r>
                </w:p>
              </w:tc>
              <w:tc>
                <w:tcPr>
                  <w:tcW w:w="735" w:type="pct"/>
                  <w:vMerge w:val="restart"/>
                  <w:vAlign w:val="center"/>
                </w:tcPr>
                <w:p>
                  <w:pPr>
                    <w:pStyle w:val="38"/>
                    <w:spacing w:line="240" w:lineRule="auto"/>
                    <w:ind w:firstLine="0" w:firstLineChars="0"/>
                    <w:rPr>
                      <w:rFonts w:cs="Times New Roman"/>
                      <w:sz w:val="21"/>
                      <w:szCs w:val="21"/>
                      <w:lang w:val="zh-CN"/>
                    </w:rPr>
                  </w:pPr>
                  <w:r>
                    <w:rPr>
                      <w:rFonts w:hint="eastAsia" w:cs="Times New Roman"/>
                      <w:sz w:val="21"/>
                      <w:szCs w:val="21"/>
                      <w:lang w:val="zh-CN"/>
                    </w:rPr>
                    <w:t>委托济南腾笙环保科技有限公司处理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rPr>
                  </w:pPr>
                  <w:r>
                    <w:rPr>
                      <w:rFonts w:hint="eastAsia"/>
                      <w:sz w:val="21"/>
                      <w:szCs w:val="21"/>
                    </w:rPr>
                    <w:t>7</w:t>
                  </w:r>
                </w:p>
              </w:tc>
              <w:tc>
                <w:tcPr>
                  <w:tcW w:w="861" w:type="pc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实验废物</w:t>
                  </w:r>
                </w:p>
              </w:tc>
              <w:tc>
                <w:tcPr>
                  <w:tcW w:w="786" w:type="pct"/>
                  <w:vAlign w:val="center"/>
                </w:tcPr>
                <w:p>
                  <w:pPr>
                    <w:adjustRightInd w:val="0"/>
                    <w:snapToGrid w:val="0"/>
                    <w:spacing w:line="240" w:lineRule="auto"/>
                    <w:ind w:firstLine="0" w:firstLineChars="0"/>
                    <w:jc w:val="center"/>
                    <w:rPr>
                      <w:sz w:val="21"/>
                      <w:szCs w:val="21"/>
                    </w:rPr>
                  </w:pPr>
                  <w:r>
                    <w:rPr>
                      <w:rFonts w:hint="eastAsia"/>
                      <w:sz w:val="21"/>
                      <w:szCs w:val="21"/>
                    </w:rPr>
                    <w:t>HW01</w:t>
                  </w:r>
                </w:p>
                <w:p>
                  <w:pPr>
                    <w:adjustRightInd w:val="0"/>
                    <w:snapToGrid w:val="0"/>
                    <w:spacing w:line="240" w:lineRule="auto"/>
                    <w:ind w:firstLine="0" w:firstLineChars="0"/>
                    <w:jc w:val="center"/>
                    <w:rPr>
                      <w:sz w:val="21"/>
                      <w:szCs w:val="21"/>
                      <w:lang w:val="zh-CN"/>
                    </w:rPr>
                  </w:pPr>
                  <w:r>
                    <w:rPr>
                      <w:rFonts w:hint="eastAsia"/>
                      <w:sz w:val="21"/>
                      <w:szCs w:val="21"/>
                    </w:rPr>
                    <w:t>841-001-01</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0.5</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0.042</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0.504</w:t>
                  </w:r>
                </w:p>
              </w:tc>
              <w:tc>
                <w:tcPr>
                  <w:tcW w:w="423" w:type="pct"/>
                  <w:vMerge w:val="continue"/>
                  <w:vAlign w:val="center"/>
                </w:tcPr>
                <w:p>
                  <w:pPr>
                    <w:autoSpaceDE w:val="0"/>
                    <w:autoSpaceDN w:val="0"/>
                    <w:adjustRightInd w:val="0"/>
                    <w:snapToGrid w:val="0"/>
                    <w:spacing w:line="240" w:lineRule="auto"/>
                    <w:ind w:firstLine="0" w:firstLineChars="0"/>
                    <w:jc w:val="center"/>
                    <w:rPr>
                      <w:sz w:val="21"/>
                      <w:szCs w:val="21"/>
                    </w:rPr>
                  </w:pPr>
                </w:p>
              </w:tc>
              <w:tc>
                <w:tcPr>
                  <w:tcW w:w="735" w:type="pct"/>
                  <w:vMerge w:val="continue"/>
                  <w:vAlign w:val="center"/>
                </w:tcPr>
                <w:p>
                  <w:pPr>
                    <w:pStyle w:val="38"/>
                    <w:spacing w:line="240" w:lineRule="auto"/>
                    <w:ind w:firstLine="0" w:firstLineChars="0"/>
                    <w:rPr>
                      <w:rFonts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rPr>
                  </w:pPr>
                  <w:r>
                    <w:rPr>
                      <w:rFonts w:hint="eastAsia"/>
                      <w:sz w:val="21"/>
                      <w:szCs w:val="21"/>
                    </w:rPr>
                    <w:t>8</w:t>
                  </w:r>
                </w:p>
              </w:tc>
              <w:tc>
                <w:tcPr>
                  <w:tcW w:w="861" w:type="pc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废样本</w:t>
                  </w:r>
                </w:p>
              </w:tc>
              <w:tc>
                <w:tcPr>
                  <w:tcW w:w="786" w:type="pct"/>
                  <w:vAlign w:val="center"/>
                </w:tcPr>
                <w:p>
                  <w:pPr>
                    <w:widowControl/>
                    <w:autoSpaceDE w:val="0"/>
                    <w:autoSpaceDN w:val="0"/>
                    <w:spacing w:line="240" w:lineRule="auto"/>
                    <w:ind w:firstLine="0" w:firstLineChars="0"/>
                    <w:jc w:val="center"/>
                    <w:rPr>
                      <w:sz w:val="21"/>
                      <w:szCs w:val="21"/>
                    </w:rPr>
                  </w:pPr>
                  <w:r>
                    <w:rPr>
                      <w:rFonts w:hint="eastAsia"/>
                      <w:sz w:val="21"/>
                      <w:szCs w:val="21"/>
                    </w:rPr>
                    <w:t>HW01</w:t>
                  </w:r>
                </w:p>
                <w:p>
                  <w:pPr>
                    <w:widowControl/>
                    <w:autoSpaceDE w:val="0"/>
                    <w:autoSpaceDN w:val="0"/>
                    <w:spacing w:line="240" w:lineRule="auto"/>
                    <w:ind w:firstLine="0" w:firstLineChars="0"/>
                    <w:jc w:val="center"/>
                    <w:rPr>
                      <w:sz w:val="21"/>
                      <w:szCs w:val="21"/>
                      <w:lang w:val="zh-CN"/>
                    </w:rPr>
                  </w:pPr>
                  <w:r>
                    <w:rPr>
                      <w:rFonts w:hint="eastAsia"/>
                      <w:sz w:val="21"/>
                      <w:szCs w:val="21"/>
                    </w:rPr>
                    <w:t>841-003-01</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0.25</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0.021</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0.252</w:t>
                  </w:r>
                </w:p>
              </w:tc>
              <w:tc>
                <w:tcPr>
                  <w:tcW w:w="423" w:type="pct"/>
                  <w:vMerge w:val="continue"/>
                  <w:vAlign w:val="center"/>
                </w:tcPr>
                <w:p>
                  <w:pPr>
                    <w:autoSpaceDE w:val="0"/>
                    <w:autoSpaceDN w:val="0"/>
                    <w:adjustRightInd w:val="0"/>
                    <w:snapToGrid w:val="0"/>
                    <w:spacing w:line="240" w:lineRule="auto"/>
                    <w:ind w:firstLine="0" w:firstLineChars="0"/>
                    <w:jc w:val="center"/>
                    <w:rPr>
                      <w:sz w:val="21"/>
                      <w:szCs w:val="21"/>
                    </w:rPr>
                  </w:pPr>
                </w:p>
              </w:tc>
              <w:tc>
                <w:tcPr>
                  <w:tcW w:w="735" w:type="pct"/>
                  <w:vMerge w:val="continue"/>
                  <w:vAlign w:val="center"/>
                </w:tcPr>
                <w:p>
                  <w:pPr>
                    <w:pStyle w:val="38"/>
                    <w:spacing w:line="240" w:lineRule="auto"/>
                    <w:ind w:firstLine="0" w:firstLineChars="0"/>
                    <w:rPr>
                      <w:rFonts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2" w:type="pct"/>
                  <w:vAlign w:val="center"/>
                </w:tcPr>
                <w:p>
                  <w:pPr>
                    <w:adjustRightInd w:val="0"/>
                    <w:snapToGrid w:val="0"/>
                    <w:spacing w:line="240" w:lineRule="auto"/>
                    <w:ind w:firstLine="0" w:firstLineChars="0"/>
                    <w:jc w:val="center"/>
                    <w:rPr>
                      <w:sz w:val="21"/>
                      <w:szCs w:val="21"/>
                    </w:rPr>
                  </w:pPr>
                  <w:r>
                    <w:rPr>
                      <w:rFonts w:hint="eastAsia"/>
                      <w:sz w:val="21"/>
                      <w:szCs w:val="21"/>
                    </w:rPr>
                    <w:t>9</w:t>
                  </w:r>
                </w:p>
              </w:tc>
              <w:tc>
                <w:tcPr>
                  <w:tcW w:w="861" w:type="pct"/>
                  <w:vAlign w:val="center"/>
                </w:tcPr>
                <w:p>
                  <w:pPr>
                    <w:widowControl/>
                    <w:autoSpaceDE w:val="0"/>
                    <w:autoSpaceDN w:val="0"/>
                    <w:spacing w:line="240" w:lineRule="auto"/>
                    <w:ind w:firstLine="0" w:firstLineChars="0"/>
                    <w:jc w:val="center"/>
                    <w:rPr>
                      <w:sz w:val="21"/>
                      <w:szCs w:val="21"/>
                    </w:rPr>
                  </w:pPr>
                  <w:r>
                    <w:rPr>
                      <w:rFonts w:hint="eastAsia"/>
                      <w:sz w:val="21"/>
                      <w:szCs w:val="21"/>
                    </w:rPr>
                    <w:t>废活性炭</w:t>
                  </w:r>
                </w:p>
              </w:tc>
              <w:tc>
                <w:tcPr>
                  <w:tcW w:w="786" w:type="pct"/>
                  <w:vAlign w:val="center"/>
                </w:tcPr>
                <w:p>
                  <w:pPr>
                    <w:autoSpaceDE w:val="0"/>
                    <w:autoSpaceDN w:val="0"/>
                    <w:spacing w:line="240" w:lineRule="auto"/>
                    <w:ind w:firstLine="0" w:firstLineChars="0"/>
                    <w:jc w:val="center"/>
                    <w:rPr>
                      <w:sz w:val="21"/>
                      <w:szCs w:val="21"/>
                    </w:rPr>
                  </w:pPr>
                  <w:r>
                    <w:rPr>
                      <w:rFonts w:hint="eastAsia"/>
                      <w:sz w:val="21"/>
                      <w:szCs w:val="21"/>
                    </w:rPr>
                    <w:t>HW49</w:t>
                  </w:r>
                </w:p>
                <w:p>
                  <w:pPr>
                    <w:autoSpaceDE w:val="0"/>
                    <w:autoSpaceDN w:val="0"/>
                    <w:spacing w:line="240" w:lineRule="auto"/>
                    <w:ind w:firstLine="0" w:firstLineChars="0"/>
                    <w:jc w:val="center"/>
                    <w:rPr>
                      <w:sz w:val="21"/>
                      <w:szCs w:val="21"/>
                      <w:lang w:val="zh-CN"/>
                    </w:rPr>
                  </w:pPr>
                  <w:r>
                    <w:rPr>
                      <w:rFonts w:hint="eastAsia"/>
                      <w:sz w:val="21"/>
                      <w:szCs w:val="21"/>
                    </w:rPr>
                    <w:t>900-039-49</w:t>
                  </w:r>
                </w:p>
              </w:tc>
              <w:tc>
                <w:tcPr>
                  <w:tcW w:w="592" w:type="pct"/>
                  <w:vAlign w:val="center"/>
                </w:tcPr>
                <w:p>
                  <w:pPr>
                    <w:widowControl/>
                    <w:autoSpaceDE w:val="0"/>
                    <w:autoSpaceDN w:val="0"/>
                    <w:spacing w:line="240" w:lineRule="auto"/>
                    <w:ind w:firstLine="0" w:firstLineChars="0"/>
                    <w:jc w:val="center"/>
                    <w:rPr>
                      <w:sz w:val="21"/>
                      <w:szCs w:val="21"/>
                    </w:rPr>
                  </w:pPr>
                  <w:r>
                    <w:rPr>
                      <w:rFonts w:hint="eastAsia"/>
                      <w:sz w:val="21"/>
                      <w:szCs w:val="21"/>
                    </w:rPr>
                    <w:t>0.634</w:t>
                  </w:r>
                </w:p>
              </w:tc>
              <w:tc>
                <w:tcPr>
                  <w:tcW w:w="667" w:type="pct"/>
                  <w:vAlign w:val="center"/>
                </w:tcPr>
                <w:p>
                  <w:pPr>
                    <w:adjustRightInd w:val="0"/>
                    <w:snapToGrid w:val="0"/>
                    <w:spacing w:line="240" w:lineRule="auto"/>
                    <w:ind w:firstLine="0" w:firstLineChars="0"/>
                    <w:jc w:val="center"/>
                    <w:rPr>
                      <w:sz w:val="21"/>
                      <w:szCs w:val="21"/>
                    </w:rPr>
                  </w:pPr>
                  <w:r>
                    <w:rPr>
                      <w:rFonts w:hint="eastAsia"/>
                      <w:sz w:val="21"/>
                      <w:szCs w:val="21"/>
                    </w:rPr>
                    <w:t>暂未产生</w:t>
                  </w:r>
                </w:p>
              </w:tc>
              <w:tc>
                <w:tcPr>
                  <w:tcW w:w="570" w:type="pct"/>
                  <w:vAlign w:val="center"/>
                </w:tcPr>
                <w:p>
                  <w:pPr>
                    <w:adjustRightInd w:val="0"/>
                    <w:snapToGrid w:val="0"/>
                    <w:spacing w:line="240" w:lineRule="auto"/>
                    <w:ind w:firstLine="0" w:firstLineChars="0"/>
                    <w:jc w:val="center"/>
                    <w:rPr>
                      <w:sz w:val="21"/>
                      <w:szCs w:val="21"/>
                    </w:rPr>
                  </w:pPr>
                  <w:r>
                    <w:rPr>
                      <w:rFonts w:hint="eastAsia"/>
                      <w:sz w:val="21"/>
                      <w:szCs w:val="21"/>
                    </w:rPr>
                    <w:t>/</w:t>
                  </w:r>
                </w:p>
              </w:tc>
              <w:tc>
                <w:tcPr>
                  <w:tcW w:w="423" w:type="pct"/>
                  <w:vAlign w:val="center"/>
                </w:tcPr>
                <w:p>
                  <w:pPr>
                    <w:autoSpaceDE w:val="0"/>
                    <w:autoSpaceDN w:val="0"/>
                    <w:adjustRightInd w:val="0"/>
                    <w:snapToGrid w:val="0"/>
                    <w:spacing w:line="240" w:lineRule="auto"/>
                    <w:ind w:firstLine="0" w:firstLineChars="0"/>
                    <w:jc w:val="center"/>
                    <w:rPr>
                      <w:sz w:val="21"/>
                      <w:szCs w:val="21"/>
                    </w:rPr>
                  </w:pPr>
                  <w:r>
                    <w:rPr>
                      <w:rFonts w:hint="eastAsia"/>
                      <w:sz w:val="21"/>
                      <w:szCs w:val="21"/>
                    </w:rPr>
                    <w:t>危险废物</w:t>
                  </w:r>
                </w:p>
              </w:tc>
              <w:tc>
                <w:tcPr>
                  <w:tcW w:w="735" w:type="pct"/>
                  <w:vAlign w:val="center"/>
                </w:tcPr>
                <w:p>
                  <w:pPr>
                    <w:pStyle w:val="38"/>
                    <w:spacing w:line="240" w:lineRule="auto"/>
                    <w:ind w:firstLine="0" w:firstLineChars="0"/>
                    <w:rPr>
                      <w:rFonts w:cs="Times New Roman"/>
                      <w:sz w:val="21"/>
                      <w:szCs w:val="21"/>
                      <w:lang w:val="zh-CN"/>
                    </w:rPr>
                  </w:pPr>
                  <w:r>
                    <w:rPr>
                      <w:rFonts w:hint="eastAsia" w:cs="Times New Roman"/>
                      <w:sz w:val="21"/>
                      <w:szCs w:val="21"/>
                      <w:lang w:val="zh-CN"/>
                    </w:rPr>
                    <w:t>委托有资质单位处置</w:t>
                  </w:r>
                </w:p>
              </w:tc>
            </w:tr>
          </w:tbl>
          <w:p>
            <w:pPr>
              <w:pStyle w:val="38"/>
              <w:widowControl/>
              <w:adjustRightInd/>
              <w:snapToGrid w:val="0"/>
              <w:jc w:val="both"/>
              <w:rPr>
                <w:rFonts w:hint="eastAsia" w:cs="Times New Roman"/>
                <w:szCs w:val="24"/>
              </w:rPr>
            </w:pPr>
            <w:r>
              <w:rPr>
                <w:rFonts w:hint="eastAsia" w:cs="Times New Roman"/>
                <w:szCs w:val="24"/>
              </w:rPr>
              <w:t>生活垃圾委托环卫部门定期清运；纯水机废滤芯、废RO膜由设备厂家回收处理；未沾染药品检测样品废包装物外售资源回收单位；废试剂瓶、废活性炭作为危废处理，实验废液、实验废物、废样本作为医废处理，暂存于医疗+危废暂存间，医疗废物委托济南腾笙环保科技有限公司处理；危险危废产生待转移时，委托有资质单位处置。</w:t>
            </w:r>
          </w:p>
          <w:p>
            <w:pPr>
              <w:pStyle w:val="38"/>
              <w:widowControl/>
              <w:adjustRightInd/>
              <w:snapToGrid w:val="0"/>
              <w:jc w:val="both"/>
              <w:rPr>
                <w:rFonts w:hint="eastAsia" w:cs="Times New Roman"/>
                <w:szCs w:val="24"/>
              </w:rPr>
            </w:pPr>
            <w:r>
              <w:rPr>
                <w:rFonts w:hint="eastAsia" w:cs="Times New Roman"/>
                <w:szCs w:val="24"/>
              </w:rPr>
              <w:t>一般固体废物处置满足《一般工业固体废物贮存和填埋污染控制标准》（GB18599-2020）要求；危险废物处置满足《危险废物贮存污染控制标准》（GB18597-2001）及修改单的规定；医疗废物处置满足《医疗废物管理条例》（国务院第380号令）、《医疗废物集中处置技术规范（试行）》、《山东省医疗机构污染物排放控制标准》（DB37/596-2020）。</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6" w:type="dxa"/>
                  <w:shd w:val="clear" w:color="auto" w:fill="auto"/>
                  <w:vAlign w:val="center"/>
                </w:tcPr>
                <w:p>
                  <w:pPr>
                    <w:pStyle w:val="38"/>
                    <w:snapToGrid w:val="0"/>
                    <w:ind w:firstLine="0" w:firstLineChars="0"/>
                    <w:jc w:val="center"/>
                    <w:rPr>
                      <w:rFonts w:hint="eastAsia" w:eastAsia="宋体" w:cs="Times New Roman"/>
                      <w:b/>
                      <w:bCs/>
                      <w:szCs w:val="24"/>
                      <w:lang w:eastAsia="zh-CN"/>
                    </w:rPr>
                  </w:pPr>
                  <w:r>
                    <w:rPr>
                      <w:rFonts w:hint="eastAsia" w:eastAsia="宋体" w:cs="Times New Roman"/>
                      <w:b/>
                      <w:bCs/>
                      <w:szCs w:val="24"/>
                      <w:lang w:eastAsia="zh-CN"/>
                    </w:rPr>
                    <w:pict>
                      <v:shape id="_x0000_i1041" o:spt="75" alt="479dca0c50d9d1f87785d6c0b1e4ddc" type="#_x0000_t75" style="height:238.8pt;width:193.3pt;" filled="f" o:preferrelative="t" stroked="f" coordsize="21600,21600">
                        <v:path/>
                        <v:fill on="f" focussize="0,0"/>
                        <v:stroke on="f"/>
                        <v:imagedata r:id="rId30" croptop="4852f" o:title="479dca0c50d9d1f87785d6c0b1e4ddc"/>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6" w:type="dxa"/>
                  <w:shd w:val="clear" w:color="auto" w:fill="auto"/>
                  <w:vAlign w:val="center"/>
                </w:tcPr>
                <w:p>
                  <w:pPr>
                    <w:pStyle w:val="38"/>
                    <w:snapToGrid w:val="0"/>
                    <w:ind w:firstLine="0" w:firstLineChars="0"/>
                    <w:jc w:val="center"/>
                    <w:rPr>
                      <w:rFonts w:hint="eastAsia" w:eastAsia="宋体" w:cs="Times New Roman"/>
                      <w:b/>
                      <w:bCs/>
                      <w:szCs w:val="24"/>
                      <w:lang w:eastAsia="zh-CN"/>
                    </w:rPr>
                  </w:pPr>
                  <w:r>
                    <w:rPr>
                      <w:rFonts w:hint="eastAsia" w:eastAsia="宋体" w:cs="Times New Roman"/>
                      <w:b/>
                      <w:bCs/>
                      <w:szCs w:val="24"/>
                      <w:lang w:eastAsia="zh-CN"/>
                    </w:rPr>
                    <w:pict>
                      <v:shape id="_x0000_i1042" o:spt="75" alt="875c379662b2975e60a2ba7c3fc0ad3" type="#_x0000_t75" style="height:196.65pt;width:262.2pt;" filled="f" o:preferrelative="t" stroked="f" coordsize="21600,21600">
                        <v:path/>
                        <v:fill on="f" focussize="0,0"/>
                        <v:stroke on="f"/>
                        <v:imagedata r:id="rId31" o:title="875c379662b2975e60a2ba7c3fc0ad3"/>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6" w:type="dxa"/>
                  <w:shd w:val="clear" w:color="auto" w:fill="auto"/>
                  <w:vAlign w:val="center"/>
                </w:tcPr>
                <w:p>
                  <w:pPr>
                    <w:pStyle w:val="38"/>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5</w:t>
                  </w:r>
                  <w:r>
                    <w:rPr>
                      <w:rFonts w:cs="Times New Roman"/>
                      <w:b/>
                      <w:bCs/>
                      <w:sz w:val="21"/>
                      <w:szCs w:val="21"/>
                    </w:rPr>
                    <w:t xml:space="preserve">  </w:t>
                  </w:r>
                  <w:r>
                    <w:rPr>
                      <w:rFonts w:hint="eastAsia" w:cs="Times New Roman"/>
                      <w:b/>
                      <w:bCs/>
                      <w:sz w:val="21"/>
                      <w:szCs w:val="21"/>
                    </w:rPr>
                    <w:t>危废间</w:t>
                  </w:r>
                </w:p>
              </w:tc>
            </w:tr>
          </w:tbl>
          <w:p>
            <w:pPr>
              <w:pStyle w:val="27"/>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6</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8"/>
              <w:ind w:firstLine="480"/>
            </w:pPr>
            <w:r>
              <w:rPr>
                <w:rFonts w:hint="eastAsia"/>
              </w:rPr>
              <w:t>废气：项目实验室废气排气筒年排气时间约为600小时，根据验收监测结果核算，项目排放量VOCs：0.0052t/a，满足环评批复总量控制要求（VOCs：0.0094t/a）。</w:t>
            </w:r>
          </w:p>
          <w:p>
            <w:pPr>
              <w:pStyle w:val="27"/>
              <w:numPr>
                <w:ilvl w:val="255"/>
                <w:numId w:val="0"/>
              </w:numPr>
              <w:ind w:firstLine="482"/>
              <w:rPr>
                <w:rFonts w:ascii="Times New Roman" w:hAnsi="Times New Roman"/>
                <w:b/>
                <w:bCs/>
                <w:color w:val="auto"/>
                <w:sz w:val="24"/>
              </w:rPr>
            </w:pPr>
            <w:r>
              <w:rPr>
                <w:rFonts w:hint="eastAsia" w:ascii="Times New Roman" w:hAnsi="Times New Roman"/>
                <w:b/>
                <w:bCs/>
                <w:color w:val="auto"/>
                <w:sz w:val="24"/>
              </w:rPr>
              <w:t>7</w:t>
            </w:r>
            <w:r>
              <w:rPr>
                <w:rFonts w:ascii="Times New Roman" w:hAnsi="Times New Roman"/>
                <w:b/>
                <w:bCs/>
                <w:color w:val="auto"/>
                <w:sz w:val="24"/>
              </w:rPr>
              <w:t>、环保设施去除效率</w:t>
            </w:r>
          </w:p>
          <w:p>
            <w:pPr>
              <w:pStyle w:val="27"/>
              <w:ind w:firstLine="480"/>
              <w:rPr>
                <w:rFonts w:ascii="Times New Roman" w:hAnsi="Times New Roman"/>
                <w:color w:val="auto"/>
                <w:sz w:val="24"/>
              </w:rPr>
            </w:pPr>
            <w:r>
              <w:rPr>
                <w:rFonts w:hint="eastAsia" w:ascii="Times New Roman" w:hAnsi="Times New Roman"/>
                <w:color w:val="auto"/>
                <w:sz w:val="24"/>
              </w:rPr>
              <w:t>废气：废气环保处理装置进口因管道距离过短不具备开口条件，无法验证废气环保处理装置去除效率。不具备检测条件现场照片见附件6。</w:t>
            </w:r>
          </w:p>
          <w:p>
            <w:pPr>
              <w:pStyle w:val="8"/>
              <w:ind w:firstLine="480"/>
            </w:pPr>
          </w:p>
          <w:p>
            <w:pPr>
              <w:ind w:firstLine="480"/>
            </w:pPr>
          </w:p>
          <w:p>
            <w:pPr>
              <w:pStyle w:val="27"/>
            </w:pPr>
          </w:p>
          <w:p>
            <w:pPr>
              <w:pStyle w:val="26"/>
            </w:pPr>
          </w:p>
          <w:p/>
          <w:p>
            <w:pPr>
              <w:pStyle w:val="27"/>
            </w:pPr>
          </w:p>
          <w:p>
            <w:pPr>
              <w:pStyle w:val="26"/>
            </w:pPr>
          </w:p>
          <w:p/>
          <w:p>
            <w:pPr>
              <w:pStyle w:val="27"/>
            </w:pPr>
          </w:p>
          <w:p>
            <w:pPr>
              <w:pStyle w:val="26"/>
            </w:pPr>
          </w:p>
          <w:p/>
          <w:p>
            <w:pPr>
              <w:pStyle w:val="27"/>
            </w:pPr>
          </w:p>
          <w:p>
            <w:pPr>
              <w:pStyle w:val="26"/>
            </w:pPr>
          </w:p>
          <w:p/>
          <w:p>
            <w:pPr>
              <w:pStyle w:val="27"/>
            </w:pPr>
          </w:p>
          <w:p>
            <w:pPr>
              <w:pStyle w:val="26"/>
            </w:pPr>
          </w:p>
          <w:p>
            <w:pPr>
              <w:pStyle w:val="27"/>
              <w:ind w:firstLine="560"/>
            </w:pPr>
          </w:p>
          <w:p>
            <w:pPr>
              <w:pStyle w:val="26"/>
              <w:ind w:firstLine="240"/>
              <w:rPr>
                <w:rFonts w:hint="default"/>
              </w:rPr>
            </w:pPr>
          </w:p>
          <w:p>
            <w:pPr>
              <w:ind w:firstLine="480"/>
            </w:pPr>
          </w:p>
          <w:p>
            <w:pPr>
              <w:pStyle w:val="38"/>
              <w:snapToGrid w:val="0"/>
              <w:ind w:firstLine="0" w:firstLineChars="0"/>
            </w:pPr>
          </w:p>
        </w:tc>
      </w:tr>
    </w:tbl>
    <w:p>
      <w:pPr>
        <w:adjustRightInd w:val="0"/>
        <w:snapToGrid w:val="0"/>
        <w:ind w:firstLine="0" w:firstLineChars="0"/>
        <w:outlineLvl w:val="0"/>
        <w:rPr>
          <w:b/>
          <w:bCs/>
          <w:sz w:val="32"/>
          <w:szCs w:val="32"/>
        </w:rPr>
      </w:pPr>
      <w:r>
        <w:rPr>
          <w:b/>
          <w:bCs/>
          <w:sz w:val="30"/>
          <w:szCs w:val="30"/>
        </w:rPr>
        <w:br w:type="page"/>
      </w:r>
      <w:bookmarkStart w:id="279" w:name="_Toc19091"/>
      <w:bookmarkStart w:id="280" w:name="_Toc25412"/>
      <w:bookmarkStart w:id="281" w:name="_Toc6830"/>
      <w:bookmarkStart w:id="282" w:name="_Toc9092"/>
      <w:bookmarkStart w:id="283" w:name="_Toc27375"/>
      <w:bookmarkStart w:id="284" w:name="_Toc19061"/>
      <w:bookmarkStart w:id="285" w:name="_Toc23485"/>
      <w:bookmarkStart w:id="286" w:name="_Toc4064"/>
      <w:bookmarkStart w:id="287" w:name="_Toc29567"/>
      <w:bookmarkStart w:id="288" w:name="_Toc10060"/>
      <w:bookmarkStart w:id="289" w:name="_Toc12738"/>
      <w:bookmarkStart w:id="290" w:name="_Toc31838"/>
      <w:bookmarkStart w:id="291" w:name="_Toc1037"/>
      <w:bookmarkStart w:id="292" w:name="_Toc28823"/>
      <w:bookmarkStart w:id="293" w:name="_Toc17687"/>
      <w:bookmarkStart w:id="294" w:name="_Toc4441"/>
      <w:bookmarkStart w:id="295" w:name="_Toc21084"/>
      <w:bookmarkStart w:id="296" w:name="_Toc15499"/>
      <w:bookmarkStart w:id="297" w:name="_Toc24931"/>
      <w:bookmarkStart w:id="298" w:name="_Toc17457"/>
      <w:bookmarkStart w:id="299" w:name="_Toc16889"/>
      <w:bookmarkStart w:id="300" w:name="_Toc8275"/>
      <w:bookmarkStart w:id="301" w:name="_Toc27901"/>
      <w:bookmarkStart w:id="302" w:name="_Toc4479"/>
      <w:bookmarkStart w:id="303" w:name="_Toc15743"/>
      <w:bookmarkStart w:id="304" w:name="_Toc10831"/>
      <w:bookmarkStart w:id="305" w:name="_Toc21561"/>
      <w:bookmarkStart w:id="306" w:name="_Toc10695"/>
      <w:bookmarkStart w:id="307" w:name="_Toc19197"/>
      <w:bookmarkStart w:id="308" w:name="_Toc22670"/>
      <w:bookmarkStart w:id="309" w:name="_Toc1885"/>
      <w:bookmarkStart w:id="310" w:name="_Toc5531"/>
      <w:bookmarkStart w:id="311" w:name="_Toc323"/>
      <w:bookmarkStart w:id="312" w:name="_Toc7942"/>
      <w:bookmarkStart w:id="313" w:name="_Toc23790"/>
      <w:bookmarkStart w:id="314" w:name="_Toc3973"/>
      <w:bookmarkStart w:id="315" w:name="_Toc6074"/>
      <w:bookmarkStart w:id="316" w:name="_Toc18933"/>
      <w:bookmarkStart w:id="317" w:name="_Toc18385"/>
      <w:bookmarkStart w:id="318" w:name="_Toc7000"/>
      <w:bookmarkStart w:id="319" w:name="_Toc18080"/>
      <w:bookmarkStart w:id="320" w:name="_Toc29622"/>
      <w:bookmarkStart w:id="321" w:name="_Toc18298"/>
      <w:bookmarkStart w:id="322" w:name="_Toc14741"/>
      <w:bookmarkStart w:id="323" w:name="_Toc7673"/>
      <w:bookmarkStart w:id="324" w:name="_Toc26011"/>
      <w:bookmarkStart w:id="325" w:name="_Toc10853"/>
      <w:r>
        <w:rPr>
          <w:b/>
          <w:bCs/>
          <w:sz w:val="30"/>
          <w:szCs w:val="30"/>
        </w:rPr>
        <w:t xml:space="preserve">表8  </w:t>
      </w:r>
      <w:r>
        <w:rPr>
          <w:b/>
          <w:bCs/>
          <w:sz w:val="32"/>
          <w:szCs w:val="32"/>
        </w:rPr>
        <w:t>环境管理检查情况</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8"/>
              <w:ind w:firstLine="482"/>
              <w:rPr>
                <w:rFonts w:cs="Times New Roman"/>
                <w:b/>
                <w:bCs/>
              </w:rPr>
            </w:pPr>
            <w:r>
              <w:rPr>
                <w:rFonts w:cs="Times New Roman"/>
                <w:b/>
                <w:bCs/>
              </w:rPr>
              <w:t>一、环保机构设置、环境管理规章制度及监测计划落实情况</w:t>
            </w:r>
          </w:p>
          <w:p>
            <w:pPr>
              <w:pStyle w:val="38"/>
              <w:ind w:firstLine="482"/>
              <w:rPr>
                <w:rFonts w:cs="Times New Roman"/>
                <w:b/>
                <w:bCs/>
              </w:rPr>
            </w:pPr>
            <w:r>
              <w:rPr>
                <w:rFonts w:cs="Times New Roman"/>
                <w:b/>
                <w:bCs/>
              </w:rPr>
              <w:t>1、环保审批手续及“三同时”执行情况</w:t>
            </w:r>
          </w:p>
          <w:p>
            <w:pPr>
              <w:pStyle w:val="38"/>
              <w:rPr>
                <w:rFonts w:cs="Times New Roman"/>
                <w:szCs w:val="24"/>
              </w:rPr>
            </w:pPr>
            <w:r>
              <w:rPr>
                <w:rFonts w:cs="Times New Roman"/>
              </w:rPr>
              <w:t>根据国家《建设项目环境保护管理条例》和《中华人民共和国环境保护法》中有关规定，</w:t>
            </w:r>
            <w:r>
              <w:rPr>
                <w:rFonts w:hint="eastAsia" w:cs="Times New Roman"/>
                <w:szCs w:val="24"/>
              </w:rPr>
              <w:t>济南中仁谊科医学检验实验室有限公司2022年11月</w:t>
            </w:r>
            <w:r>
              <w:rPr>
                <w:rFonts w:cs="Times New Roman"/>
                <w:szCs w:val="24"/>
              </w:rPr>
              <w:t>委托</w:t>
            </w:r>
            <w:r>
              <w:rPr>
                <w:rFonts w:hint="eastAsia" w:cs="Times New Roman"/>
                <w:szCs w:val="24"/>
              </w:rPr>
              <w:t>山东国嘉环保科技有限公司</w:t>
            </w:r>
            <w:r>
              <w:rPr>
                <w:rFonts w:cs="Times New Roman"/>
                <w:kern w:val="21"/>
              </w:rPr>
              <w:t>编制完成了</w:t>
            </w:r>
            <w:r>
              <w:rPr>
                <w:rFonts w:cs="Times New Roman"/>
                <w:szCs w:val="24"/>
              </w:rPr>
              <w:t>《</w:t>
            </w:r>
            <w:r>
              <w:rPr>
                <w:rFonts w:hint="eastAsia" w:cs="Times New Roman"/>
                <w:szCs w:val="24"/>
              </w:rPr>
              <w:t>济南中仁谊科医学检验实验室有限公司济南中仁谊科医学检验实验室</w:t>
            </w:r>
            <w:r>
              <w:rPr>
                <w:rFonts w:cs="Times New Roman"/>
                <w:szCs w:val="24"/>
              </w:rPr>
              <w:t>环境影响报告表》，并于</w:t>
            </w:r>
            <w:r>
              <w:rPr>
                <w:rFonts w:hint="eastAsia" w:cs="Times New Roman"/>
                <w:szCs w:val="24"/>
              </w:rPr>
              <w:t>2023年1月6日</w:t>
            </w:r>
            <w:r>
              <w:rPr>
                <w:rFonts w:cs="Times New Roman"/>
                <w:szCs w:val="24"/>
              </w:rPr>
              <w:t>经</w:t>
            </w:r>
            <w:r>
              <w:rPr>
                <w:rFonts w:hint="eastAsia" w:cs="Times New Roman"/>
                <w:szCs w:val="24"/>
              </w:rPr>
              <w:t>济南市生态环境局</w:t>
            </w:r>
            <w:r>
              <w:rPr>
                <w:rFonts w:cs="Times New Roman"/>
                <w:szCs w:val="24"/>
              </w:rPr>
              <w:t>审批（</w:t>
            </w:r>
            <w:r>
              <w:rPr>
                <w:rFonts w:hint="eastAsia" w:cs="Times New Roman"/>
                <w:szCs w:val="24"/>
              </w:rPr>
              <w:t>济环报告表〔2022〕G108号</w:t>
            </w:r>
            <w:r>
              <w:rPr>
                <w:rFonts w:cs="Times New Roman"/>
                <w:szCs w:val="24"/>
              </w:rPr>
              <w:t>）；</w:t>
            </w:r>
            <w:r>
              <w:rPr>
                <w:rFonts w:hint="eastAsia" w:cs="Times New Roman"/>
                <w:kern w:val="0"/>
              </w:rPr>
              <w:t>于2023年1月开工建设，2023年2月建成并进行调试</w:t>
            </w:r>
            <w:r>
              <w:rPr>
                <w:rFonts w:cs="Times New Roman"/>
                <w:kern w:val="0"/>
              </w:rPr>
              <w:t>，</w:t>
            </w:r>
            <w:r>
              <w:rPr>
                <w:rFonts w:hint="eastAsia" w:cs="Times New Roman"/>
                <w:kern w:val="0"/>
              </w:rPr>
              <w:t>环保设施同时设计、同时施工并同时进行调试，调试期间运行状况良好，具备竣工验收条件。因不具备检测能力，</w:t>
            </w:r>
            <w:r>
              <w:rPr>
                <w:rFonts w:hint="eastAsia"/>
              </w:rPr>
              <w:t>济南中仁谊科医学检验实验室有限公司</w:t>
            </w:r>
            <w:r>
              <w:rPr>
                <w:rFonts w:hint="eastAsia" w:cs="Times New Roman"/>
                <w:kern w:val="0"/>
              </w:rPr>
              <w:t>委托</w:t>
            </w:r>
            <w:r>
              <w:rPr>
                <w:rFonts w:cs="Times New Roman"/>
                <w:color w:val="000000"/>
                <w:kern w:val="0"/>
              </w:rPr>
              <w:t>山东华晟环境检测有限公司</w:t>
            </w:r>
            <w:r>
              <w:rPr>
                <w:rFonts w:hint="eastAsia" w:cs="Times New Roman"/>
                <w:color w:val="000000"/>
                <w:kern w:val="0"/>
              </w:rPr>
              <w:t>于</w:t>
            </w:r>
            <w:r>
              <w:rPr>
                <w:rFonts w:hint="eastAsia" w:cs="Times New Roman"/>
                <w:kern w:val="0"/>
              </w:rPr>
              <w:t>2023年2月23日~2023年2月24日，共计2</w:t>
            </w:r>
            <w:r>
              <w:rPr>
                <w:rFonts w:cs="Times New Roman"/>
                <w:kern w:val="0"/>
              </w:rPr>
              <w:t>天对本项目</w:t>
            </w:r>
            <w:r>
              <w:rPr>
                <w:rFonts w:hint="eastAsia" w:cs="Times New Roman"/>
                <w:kern w:val="0"/>
              </w:rPr>
              <w:t>废气、废水、噪声</w:t>
            </w:r>
            <w:r>
              <w:rPr>
                <w:rFonts w:cs="Times New Roman"/>
                <w:kern w:val="0"/>
              </w:rPr>
              <w:t>进行了</w:t>
            </w:r>
            <w:r>
              <w:rPr>
                <w:rFonts w:hint="eastAsia" w:cs="Times New Roman"/>
                <w:kern w:val="0"/>
              </w:rPr>
              <w:t>竣工</w:t>
            </w:r>
            <w:r>
              <w:rPr>
                <w:rFonts w:cs="Times New Roman"/>
                <w:kern w:val="0"/>
              </w:rPr>
              <w:t>验收监测</w:t>
            </w:r>
            <w:r>
              <w:rPr>
                <w:rFonts w:hint="eastAsia" w:cs="Times New Roman"/>
                <w:kern w:val="0"/>
              </w:rPr>
              <w:t>并出具检测报告</w:t>
            </w:r>
            <w:r>
              <w:rPr>
                <w:rFonts w:cs="Times New Roman"/>
                <w:bCs/>
                <w:caps/>
                <w:kern w:val="0"/>
                <w:szCs w:val="24"/>
              </w:rPr>
              <w:t>。</w:t>
            </w:r>
            <w:r>
              <w:rPr>
                <w:rFonts w:hint="eastAsia" w:cs="Times New Roman"/>
                <w:bCs/>
                <w:caps/>
                <w:kern w:val="0"/>
                <w:szCs w:val="24"/>
              </w:rPr>
              <w:t>项目各项环保审批手续齐全，在建设过程中落实了环保设施与主体工程同时设计、同时施工、同时投运的“三同时”的要求，项目在建设期间和调试阶段未发生扰民和污染事故。</w:t>
            </w:r>
            <w:r>
              <w:rPr>
                <w:rFonts w:cs="Times New Roman"/>
              </w:rPr>
              <w:t>该项目建设履行了竣工环境保护验收监测审批手续，执行了</w:t>
            </w:r>
            <w:r>
              <w:rPr>
                <w:rFonts w:cs="Times New Roman"/>
                <w:bCs/>
              </w:rPr>
              <w:t>“三同时”制度，有关环保档案齐全。</w:t>
            </w:r>
          </w:p>
          <w:p>
            <w:pPr>
              <w:ind w:firstLine="482"/>
              <w:jc w:val="left"/>
              <w:rPr>
                <w:b/>
              </w:rPr>
            </w:pPr>
            <w:r>
              <w:rPr>
                <w:b/>
              </w:rPr>
              <w:t>2、环境管理规章制度的建立及执行情况</w:t>
            </w:r>
          </w:p>
          <w:p>
            <w:pPr>
              <w:ind w:firstLine="480"/>
              <w:jc w:val="left"/>
              <w:rPr>
                <w:bCs/>
                <w:caps/>
                <w:kern w:val="0"/>
              </w:rPr>
            </w:pPr>
            <w:r>
              <w:rPr>
                <w:rFonts w:hint="eastAsia"/>
                <w:bCs/>
                <w:caps/>
                <w:kern w:val="0"/>
              </w:rPr>
              <w:t>企业重视环保工作，制定了相对完整的环保规章制度，对环保制度的执行情况进行周期性检查，人员分工明确，责任到位，满足环保需要，保证环保设施的正常运行。</w:t>
            </w:r>
          </w:p>
          <w:p>
            <w:pPr>
              <w:ind w:firstLine="482"/>
              <w:jc w:val="left"/>
              <w:rPr>
                <w:b/>
                <w:caps/>
                <w:kern w:val="0"/>
              </w:rPr>
            </w:pPr>
            <w:r>
              <w:rPr>
                <w:rFonts w:hint="eastAsia"/>
                <w:b/>
                <w:caps/>
                <w:kern w:val="0"/>
              </w:rPr>
              <w:t>二、环保设施建设、运行、检查、维护情况</w:t>
            </w:r>
          </w:p>
          <w:p>
            <w:pPr>
              <w:pStyle w:val="38"/>
              <w:rPr>
                <w:rFonts w:cs="Times New Roman"/>
                <w:bCs/>
                <w:caps/>
                <w:kern w:val="0"/>
                <w:szCs w:val="24"/>
              </w:rPr>
            </w:pPr>
            <w:r>
              <w:rPr>
                <w:rFonts w:hint="eastAsia" w:cs="Times New Roman"/>
                <w:bCs/>
                <w:caps/>
                <w:kern w:val="0"/>
                <w:szCs w:val="24"/>
              </w:rPr>
              <w:t>（1）废气：</w:t>
            </w:r>
          </w:p>
          <w:p>
            <w:pPr>
              <w:pStyle w:val="38"/>
              <w:rPr>
                <w:rFonts w:cs="Times New Roman"/>
                <w:szCs w:val="24"/>
              </w:rPr>
            </w:pPr>
            <w:r>
              <w:rPr>
                <w:rFonts w:hint="eastAsia" w:cs="Times New Roman"/>
                <w:szCs w:val="24"/>
              </w:rPr>
              <w:t>项目废气主要是灭活样本检测实验过程中挥发的废气，主要为VOCs、二甲苯、氯化氢等。</w:t>
            </w:r>
          </w:p>
          <w:p>
            <w:pPr>
              <w:pStyle w:val="38"/>
              <w:rPr>
                <w:rFonts w:cs="Times New Roman"/>
                <w:szCs w:val="24"/>
              </w:rPr>
            </w:pPr>
            <w:r>
              <w:rPr>
                <w:rFonts w:hint="eastAsia" w:cs="Times New Roman"/>
                <w:szCs w:val="24"/>
              </w:rPr>
              <w:t>①有组织废气：</w:t>
            </w:r>
          </w:p>
          <w:p>
            <w:pPr>
              <w:pStyle w:val="38"/>
              <w:rPr>
                <w:rFonts w:cs="Times New Roman"/>
                <w:szCs w:val="24"/>
              </w:rPr>
            </w:pPr>
            <w:r>
              <w:rPr>
                <w:rFonts w:hint="eastAsia" w:cs="Times New Roman"/>
                <w:szCs w:val="24"/>
              </w:rPr>
              <w:t>项目试剂的取用以及检测时产生的废气操作均在通风橱内进行，废气经集气罩收集后，通过二级活性炭吸附装置处理后，由一根24m高排气筒DA001排放。</w:t>
            </w:r>
          </w:p>
          <w:p>
            <w:pPr>
              <w:pStyle w:val="38"/>
              <w:rPr>
                <w:rFonts w:cs="Times New Roman"/>
                <w:bCs/>
                <w:caps/>
                <w:kern w:val="0"/>
                <w:szCs w:val="24"/>
              </w:rPr>
            </w:pPr>
            <w:r>
              <w:rPr>
                <w:rFonts w:hint="eastAsia" w:cs="Times New Roman"/>
                <w:bCs/>
                <w:caps/>
                <w:kern w:val="0"/>
                <w:szCs w:val="24"/>
              </w:rPr>
              <w:t>②无组织废气：</w:t>
            </w:r>
          </w:p>
          <w:p>
            <w:pPr>
              <w:pStyle w:val="38"/>
              <w:rPr>
                <w:rFonts w:cs="Times New Roman"/>
                <w:bCs/>
                <w:caps/>
                <w:kern w:val="0"/>
                <w:szCs w:val="24"/>
              </w:rPr>
            </w:pPr>
            <w:r>
              <w:rPr>
                <w:rFonts w:hint="eastAsia" w:cs="Times New Roman"/>
                <w:bCs/>
                <w:caps/>
                <w:kern w:val="0"/>
                <w:szCs w:val="24"/>
              </w:rPr>
              <w:t>未被收集的实验废气等，车间通风后无组织排放。</w:t>
            </w:r>
          </w:p>
          <w:p>
            <w:pPr>
              <w:pStyle w:val="2"/>
              <w:spacing w:line="360" w:lineRule="auto"/>
              <w:ind w:firstLine="480" w:firstLineChars="200"/>
              <w:rPr>
                <w:rFonts w:ascii="Times New Roman"/>
                <w:color w:val="auto"/>
              </w:rPr>
            </w:pPr>
            <w:r>
              <w:rPr>
                <w:rFonts w:hint="eastAsia" w:ascii="Times New Roman"/>
                <w:color w:val="auto"/>
              </w:rPr>
              <w:t>验收监测期间，实验废气排气筒DA001出口中主要污染物VOCs最高排放浓度为1.96mg/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，最高排放速率为8.7×10</w:t>
            </w:r>
            <w:r>
              <w:rPr>
                <w:rFonts w:hint="eastAsia" w:ascii="Times New Roman"/>
                <w:color w:val="auto"/>
                <w:vertAlign w:val="superscript"/>
              </w:rPr>
              <w:t>-3</w:t>
            </w:r>
            <w:r>
              <w:rPr>
                <w:rFonts w:hint="eastAsia" w:ascii="Times New Roman"/>
                <w:color w:val="auto"/>
              </w:rPr>
              <w:t>kg/h，排放浓度和排放速率均满足《挥发性有机物排放标准第7部分：其他行业》（DB37/2801.7-2019）表1中非重点行业II时段排放限值要求；二甲苯最高排放浓度为0.454mg/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，最高排放速率为2.0×10</w:t>
            </w:r>
            <w:r>
              <w:rPr>
                <w:rFonts w:hint="eastAsia" w:ascii="Times New Roman"/>
                <w:color w:val="auto"/>
                <w:vertAlign w:val="superscript"/>
              </w:rPr>
              <w:t>-3</w:t>
            </w:r>
            <w:r>
              <w:rPr>
                <w:rFonts w:hint="eastAsia" w:ascii="Times New Roman"/>
                <w:color w:val="auto"/>
              </w:rPr>
              <w:t>kg/h，氯化氢最高排放浓度为2.5mg/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，最高排放速率为0.011kg/h，排放浓度和排放速率均满足《大气污染物综合排放标准》（GB16297-1996）表2二级限值要求。</w:t>
            </w:r>
          </w:p>
          <w:p>
            <w:pPr>
              <w:pStyle w:val="2"/>
              <w:spacing w:line="360" w:lineRule="auto"/>
              <w:ind w:firstLine="480" w:firstLineChars="200"/>
              <w:rPr>
                <w:rFonts w:ascii="Times New Roman"/>
                <w:color w:val="auto"/>
              </w:rPr>
            </w:pPr>
            <w:r>
              <w:rPr>
                <w:rFonts w:hint="eastAsia" w:ascii="Times New Roman"/>
                <w:color w:val="auto"/>
              </w:rPr>
              <w:t>验收监测期间，厂界无组织排放的VOCs周界外浓度最高点浓度为1.22mg/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，二甲苯周界外浓度最高点浓度为未检出，均满足山东省《挥发性有机物排放标准 第7部分：其他行业》（DB37/2801.7-2019）表2厂界监控点浓度限值要求；氯化氢周界外浓度最高点浓度为未检出，满足《大气污染物综合排放标准》（GB16297-1996）表2无组织排放监控浓度限值要求。</w:t>
            </w:r>
          </w:p>
          <w:p>
            <w:pPr>
              <w:pStyle w:val="2"/>
              <w:spacing w:line="360" w:lineRule="auto"/>
              <w:ind w:firstLine="480" w:firstLineChars="200"/>
              <w:rPr>
                <w:rFonts w:ascii="Times New Roman"/>
                <w:color w:val="auto"/>
              </w:rPr>
            </w:pPr>
            <w:r>
              <w:rPr>
                <w:rFonts w:hint="eastAsia" w:ascii="Times New Roman"/>
                <w:color w:val="auto"/>
              </w:rPr>
              <w:t>车间外通风口下风向1m处非甲烷总烃最大1h平均浓度值为1.23mg/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，满足《挥发性有机物无组织排放控制标准》（GB37822-2019）的附录A中表A.1限值要求。</w:t>
            </w:r>
          </w:p>
          <w:p>
            <w:pPr>
              <w:pStyle w:val="38"/>
              <w:widowControl/>
              <w:adjustRightInd/>
              <w:rPr>
                <w:rFonts w:cs="Times New Roman"/>
                <w:lang w:bidi="ar"/>
              </w:rPr>
            </w:pPr>
            <w:r>
              <w:rPr>
                <w:rFonts w:hint="eastAsia" w:cs="Times New Roman"/>
                <w:lang w:bidi="ar"/>
              </w:rPr>
              <w:t>（2）废水：</w:t>
            </w:r>
          </w:p>
          <w:p>
            <w:pPr>
              <w:pStyle w:val="38"/>
              <w:widowControl/>
              <w:adjustRightInd/>
              <w:rPr>
                <w:rFonts w:hint="eastAsia" w:cs="Times New Roman"/>
                <w:lang w:bidi="ar"/>
              </w:rPr>
            </w:pPr>
            <w:r>
              <w:rPr>
                <w:rFonts w:hint="eastAsia" w:cs="Times New Roman"/>
                <w:lang w:bidi="ar"/>
              </w:rPr>
              <w:t>项目产生的废水主要是生活污水、地面清洁废水、实验废液（实验人员洗手废水、实验室器皿前两次清洗废水、纯水制备废水、分子分型废水、病理TCT废水、实验室器皿后两次清洗废水）。</w:t>
            </w:r>
          </w:p>
          <w:p>
            <w:pPr>
              <w:pStyle w:val="38"/>
              <w:widowControl/>
              <w:adjustRightInd/>
              <w:rPr>
                <w:rFonts w:hint="eastAsia" w:cs="Times New Roman"/>
                <w:lang w:bidi="ar"/>
              </w:rPr>
            </w:pPr>
            <w:r>
              <w:rPr>
                <w:rFonts w:hint="eastAsia" w:cs="Times New Roman"/>
                <w:lang w:bidi="ar"/>
              </w:rPr>
              <w:t>项目分子分型废水、病理TCT废水、实验器皿前两次清洗废水，统称为实验废液，作为医废，暂存于医疗+危废暂存间，医疗废物委托济南腾笙环保科技有限公司处理，不外排。项目生活污水排入化粪池预处理后与地面清洁废水、实验人员洗手废水、实验器皿后两次清洗废水和纯水制备废水，经园区污水管网进入银丰国际生物城污水处理站处理后，通过市政管污水管网排入巨野河污水处理厂，经巨野河污水处理厂深度处理，最终经西巨野河排入小清河。</w:t>
            </w:r>
          </w:p>
          <w:p>
            <w:pPr>
              <w:pStyle w:val="38"/>
              <w:widowControl/>
              <w:adjustRightInd/>
              <w:rPr>
                <w:rFonts w:cs="Times New Roman"/>
                <w:lang w:bidi="ar"/>
              </w:rPr>
            </w:pPr>
            <w:r>
              <w:rPr>
                <w:rFonts w:hint="eastAsia" w:cs="Times New Roman"/>
                <w:lang w:bidi="ar"/>
              </w:rPr>
              <w:t>验收监测期间，企业污水总排口主要污染物氨氮、化学需氧量最大日均浓度分别为42.8mg/L、326mg/L，均满足银丰国际生物城污水处理站进水水质要求；银丰国际生物城污水处理站出口主要污染物pH值在7.4-7.6之间，氨氮、化学需氧量、总磷、悬浮物、溶解性总固体、五日生化需氧量最大日均浓度分别为13.4mg/L、156mg/L、1.91mg/L、14mg/L、434mg/L、43.3mg/L，均满足《污水排入城镇下水道水质标准》（GB/T 31962-2015）A 级标准要求。</w:t>
            </w:r>
          </w:p>
          <w:p>
            <w:pPr>
              <w:pStyle w:val="38"/>
              <w:widowControl/>
              <w:adjustRightInd/>
              <w:rPr>
                <w:rFonts w:cs="Times New Roman"/>
              </w:rPr>
            </w:pPr>
            <w:r>
              <w:rPr>
                <w:rFonts w:hint="eastAsia" w:cs="Times New Roman"/>
              </w:rPr>
              <w:t>（3）噪声：</w:t>
            </w:r>
          </w:p>
          <w:p>
            <w:pPr>
              <w:pStyle w:val="38"/>
              <w:widowControl/>
              <w:rPr>
                <w:rFonts w:cs="Times New Roman"/>
              </w:rPr>
            </w:pPr>
            <w:r>
              <w:rPr>
                <w:rFonts w:hint="eastAsia" w:cs="Times New Roman"/>
              </w:rPr>
              <w:t>项目产生的噪声主要是实验室设备等的运行噪声，项目采取设备均布置于室内，采取门窗、墙体隔声，全部设备均选用低噪声设备并采取减振措施。加强管理，经常保养和维护机械设备避免设备在不良状态下运行等措施。</w:t>
            </w:r>
          </w:p>
          <w:p>
            <w:pPr>
              <w:pStyle w:val="38"/>
              <w:widowControl/>
              <w:adjustRightInd/>
              <w:rPr>
                <w:rFonts w:cs="Times New Roman"/>
              </w:rPr>
            </w:pPr>
            <w:r>
              <w:rPr>
                <w:rFonts w:hint="eastAsia" w:cs="Times New Roman"/>
              </w:rPr>
              <w:t>验收监测期间，项目1#东厂界、2#南厂界、3#北厂界，昼间厂界噪声最大值分别为53.3dB（A）、53.5dB（A）、53.6dB（A），均满足《工业企业厂界环境噪声排放标准》（GB12348-2008）2类昼间标准（项目西侧与其他企业相邻，共用一堵墙，无法进行监测）；项目东南侧100m的4#公寓A12楼，敏感点噪声最大值为53.7dB（A），满足《声环境质量标准》(GB3096-2008)2类昼间标准。项目夜间不运行。</w:t>
            </w:r>
          </w:p>
          <w:p>
            <w:pPr>
              <w:pStyle w:val="38"/>
              <w:widowControl/>
              <w:adjustRightInd/>
              <w:rPr>
                <w:rFonts w:cs="Times New Roman"/>
              </w:rPr>
            </w:pPr>
            <w:r>
              <w:rPr>
                <w:rFonts w:hint="eastAsia" w:cs="Times New Roman"/>
              </w:rPr>
              <w:t>（4）固废：</w:t>
            </w:r>
          </w:p>
          <w:p>
            <w:pPr>
              <w:pStyle w:val="38"/>
              <w:widowControl/>
              <w:adjustRightInd/>
              <w:rPr>
                <w:rFonts w:cs="Times New Roman"/>
              </w:rPr>
            </w:pPr>
            <w:r>
              <w:rPr>
                <w:rFonts w:hint="eastAsia" w:cs="Times New Roman"/>
              </w:rPr>
              <w:t>项目产生的固体废物主要是纯水机废滤芯、废RO膜、未沾染药品检测样品废包装物、废试剂瓶、实验废液、实验废物、废样本、废活性炭和生活垃圾。</w:t>
            </w:r>
          </w:p>
          <w:p>
            <w:pPr>
              <w:pStyle w:val="38"/>
              <w:widowControl/>
              <w:adjustRightInd/>
              <w:rPr>
                <w:rFonts w:hint="eastAsia" w:cs="Times New Roman"/>
              </w:rPr>
            </w:pPr>
            <w:r>
              <w:rPr>
                <w:rFonts w:hint="eastAsia" w:cs="Times New Roman"/>
              </w:rPr>
              <w:t>生活垃圾委托环卫部门定期清运；纯水机废滤芯、废RO膜由设备厂家回收处理；未沾染药品检测样品废包装物外售资源回收单位；废试剂瓶、废活性炭作为危废处理，实验废液、实验废物、废样本作为医废处理，暂存于医疗+危废暂存间，医疗废物委托济南腾笙环保科技有限公司处理；危险危废产生待转移时，委托有资质单位处置。</w:t>
            </w:r>
          </w:p>
          <w:p>
            <w:pPr>
              <w:pStyle w:val="38"/>
              <w:widowControl/>
              <w:adjustRightInd/>
              <w:rPr>
                <w:rFonts w:hint="eastAsia" w:cs="Times New Roman"/>
              </w:rPr>
            </w:pPr>
            <w:r>
              <w:rPr>
                <w:rFonts w:hint="eastAsia" w:cs="Times New Roman"/>
              </w:rPr>
              <w:t>一般固体废物处置满足《一般工业固体废物贮存和填埋污染控制标准》（GB18599-2020）要求；危险废物处置满足《危险废物贮存污染控制标准》（GB18597-2001）及修改单的规定；医疗废物处置满足《医疗废物管理条例》（国务院第380号令）、《医疗废物集中处置技术规范（试行）》、《山东省医疗机构污染物排放控制标准》（DB37/596-2020）。</w:t>
            </w:r>
          </w:p>
          <w:p>
            <w:pPr>
              <w:pStyle w:val="38"/>
              <w:widowControl/>
              <w:adjustRightInd/>
              <w:rPr>
                <w:rFonts w:cs="Times New Roman"/>
              </w:rPr>
            </w:pPr>
          </w:p>
          <w:p>
            <w:pPr>
              <w:pStyle w:val="38"/>
              <w:widowControl/>
              <w:adjustRightInd/>
              <w:rPr>
                <w:rFonts w:cs="Times New Roman"/>
              </w:rPr>
            </w:pPr>
          </w:p>
          <w:p>
            <w:pPr>
              <w:pStyle w:val="38"/>
              <w:widowControl/>
              <w:adjustRightInd/>
              <w:rPr>
                <w:rFonts w:cs="Times New Roman"/>
              </w:rPr>
            </w:pPr>
          </w:p>
          <w:p>
            <w:pPr>
              <w:pStyle w:val="38"/>
              <w:widowControl/>
              <w:adjustRightInd/>
              <w:rPr>
                <w:rFonts w:cs="Times New Roman"/>
              </w:rPr>
            </w:pPr>
          </w:p>
          <w:p>
            <w:pPr>
              <w:pStyle w:val="38"/>
              <w:widowControl/>
              <w:adjustRightInd/>
              <w:rPr>
                <w:rFonts w:cs="Times New Roman"/>
              </w:rPr>
            </w:pPr>
          </w:p>
          <w:p>
            <w:pPr>
              <w:pStyle w:val="38"/>
              <w:widowControl/>
              <w:adjustRightInd/>
              <w:rPr>
                <w:rFonts w:cs="Times New Roman"/>
              </w:rPr>
            </w:pPr>
          </w:p>
          <w:p>
            <w:pPr>
              <w:pStyle w:val="38"/>
              <w:spacing w:line="240" w:lineRule="auto"/>
              <w:ind w:firstLine="0" w:firstLineChars="0"/>
              <w:rPr>
                <w:rFonts w:cs="Times New Roman"/>
                <w:szCs w:val="24"/>
              </w:rPr>
            </w:pPr>
          </w:p>
        </w:tc>
      </w:tr>
    </w:tbl>
    <w:p>
      <w:pPr>
        <w:adjustRightInd w:val="0"/>
        <w:snapToGrid w:val="0"/>
        <w:ind w:firstLine="0" w:firstLineChars="0"/>
        <w:outlineLvl w:val="0"/>
        <w:rPr>
          <w:b/>
          <w:bCs/>
          <w:sz w:val="30"/>
          <w:szCs w:val="30"/>
        </w:rPr>
      </w:pPr>
      <w:r>
        <w:rPr>
          <w:b/>
          <w:bCs/>
          <w:sz w:val="30"/>
          <w:szCs w:val="30"/>
        </w:rPr>
        <w:br w:type="page"/>
      </w:r>
      <w:bookmarkStart w:id="326" w:name="_Toc21762"/>
      <w:bookmarkStart w:id="327" w:name="_Toc3276"/>
      <w:bookmarkStart w:id="328" w:name="_Toc18245"/>
      <w:bookmarkStart w:id="329" w:name="_Toc23621"/>
      <w:bookmarkStart w:id="330" w:name="_Toc14651"/>
      <w:bookmarkStart w:id="331" w:name="_Toc3417"/>
      <w:bookmarkStart w:id="332" w:name="_Toc12199"/>
      <w:bookmarkStart w:id="333" w:name="_Toc27430"/>
      <w:bookmarkStart w:id="334" w:name="_Toc6657"/>
      <w:bookmarkStart w:id="335" w:name="_Toc13304"/>
      <w:bookmarkStart w:id="336" w:name="_Toc20579"/>
      <w:bookmarkStart w:id="337" w:name="_Toc3003"/>
      <w:bookmarkStart w:id="338" w:name="_Toc3652"/>
      <w:bookmarkStart w:id="339" w:name="_Toc1259"/>
      <w:bookmarkStart w:id="340" w:name="_Toc3145"/>
      <w:bookmarkStart w:id="341" w:name="_Toc17099"/>
      <w:bookmarkStart w:id="342" w:name="_Toc24156"/>
      <w:bookmarkStart w:id="343" w:name="_Toc23936"/>
      <w:bookmarkStart w:id="344" w:name="_Toc19387"/>
      <w:bookmarkStart w:id="345" w:name="_Toc14130"/>
      <w:bookmarkStart w:id="346" w:name="_Toc29560"/>
      <w:bookmarkStart w:id="347" w:name="_Toc15923"/>
      <w:bookmarkStart w:id="348" w:name="_Toc18413"/>
      <w:bookmarkStart w:id="349" w:name="_Toc2036"/>
      <w:bookmarkStart w:id="350" w:name="_Toc7922"/>
      <w:bookmarkStart w:id="351" w:name="_Toc158"/>
      <w:bookmarkStart w:id="352" w:name="_Toc29236"/>
      <w:bookmarkStart w:id="353" w:name="_Toc4233"/>
      <w:bookmarkStart w:id="354" w:name="_Toc25468"/>
      <w:bookmarkStart w:id="355" w:name="_Toc7178"/>
      <w:bookmarkStart w:id="356" w:name="_Toc29431"/>
      <w:bookmarkStart w:id="357" w:name="_Toc13988"/>
      <w:bookmarkStart w:id="358" w:name="_Toc3231"/>
      <w:bookmarkStart w:id="359" w:name="_Toc20604"/>
      <w:bookmarkStart w:id="360" w:name="_Toc6919"/>
      <w:bookmarkStart w:id="361" w:name="_Toc914"/>
      <w:bookmarkStart w:id="362" w:name="_Toc32664"/>
      <w:bookmarkStart w:id="363" w:name="_Toc16913"/>
      <w:bookmarkStart w:id="364" w:name="_Toc2949"/>
      <w:bookmarkStart w:id="365" w:name="_Toc1426"/>
      <w:bookmarkStart w:id="366" w:name="_Toc4706"/>
      <w:bookmarkStart w:id="367" w:name="_Toc17725"/>
      <w:bookmarkStart w:id="368" w:name="_Toc14702"/>
      <w:bookmarkStart w:id="369" w:name="_Toc2432"/>
      <w:bookmarkStart w:id="370" w:name="_Toc26709"/>
      <w:bookmarkStart w:id="371" w:name="_Toc31577"/>
      <w:bookmarkStart w:id="372" w:name="_Toc10385"/>
      <w:r>
        <w:rPr>
          <w:b/>
          <w:bCs/>
          <w:sz w:val="30"/>
          <w:szCs w:val="30"/>
        </w:rPr>
        <w:t>表9  验收监测结论及建议</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tbl>
      <w:tblPr>
        <w:tblStyle w:val="28"/>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8"/>
              <w:ind w:firstLine="482"/>
              <w:rPr>
                <w:rFonts w:cs="Times New Roman"/>
                <w:b/>
                <w:bCs/>
                <w:szCs w:val="24"/>
              </w:rPr>
            </w:pPr>
            <w:r>
              <w:rPr>
                <w:rFonts w:cs="Times New Roman"/>
                <w:b/>
                <w:bCs/>
                <w:szCs w:val="24"/>
              </w:rPr>
              <w:t>一、</w:t>
            </w:r>
            <w:r>
              <w:rPr>
                <w:rFonts w:hint="eastAsia" w:cs="Times New Roman"/>
                <w:b/>
                <w:bCs/>
                <w:szCs w:val="24"/>
              </w:rPr>
              <w:t>基本情况</w:t>
            </w:r>
            <w:r>
              <w:rPr>
                <w:rFonts w:cs="Times New Roman"/>
                <w:b/>
                <w:bCs/>
                <w:szCs w:val="24"/>
              </w:rPr>
              <w:t>：</w:t>
            </w:r>
          </w:p>
          <w:p>
            <w:pPr>
              <w:pStyle w:val="38"/>
              <w:rPr>
                <w:rFonts w:cs="Times New Roman"/>
                <w:szCs w:val="24"/>
              </w:rPr>
            </w:pPr>
            <w:r>
              <w:rPr>
                <w:rFonts w:hint="eastAsia" w:cs="Times New Roman"/>
                <w:szCs w:val="24"/>
              </w:rPr>
              <w:t>济南中仁谊科医学检验实验室有限公司成立于2022年9月21日，注册地位于山东省济南市高新区春兰路1177号银丰国际生物城A4-101-301，法定代表人为张广荣。经营范围包括许可项目：医疗服务。一般项目：人体基因诊断与治疗技术开发；细胞技术研发和应用；技术服务、技术开发。</w:t>
            </w:r>
          </w:p>
          <w:p>
            <w:pPr>
              <w:pStyle w:val="38"/>
              <w:rPr>
                <w:rFonts w:cs="Times New Roman"/>
                <w:szCs w:val="24"/>
              </w:rPr>
            </w:pPr>
            <w:r>
              <w:rPr>
                <w:rFonts w:hint="eastAsia" w:cs="Times New Roman"/>
                <w:szCs w:val="24"/>
              </w:rPr>
              <w:t>济南中仁谊科医学检验实验室有限公司2022年11月委托山东国嘉环保科技有限公司编制完成了《济南中仁谊科医学检验实验室有限公司济南中仁谊科医学检验实验室环境影响报告表》，并于2023年1月6日经济南市生态环境局审批（济环报告表〔2022〕G108号）。</w:t>
            </w:r>
          </w:p>
          <w:p>
            <w:pPr>
              <w:pStyle w:val="38"/>
              <w:rPr>
                <w:rFonts w:cs="Times New Roman"/>
                <w:szCs w:val="24"/>
              </w:rPr>
            </w:pPr>
            <w:r>
              <w:rPr>
                <w:rFonts w:hint="eastAsia" w:cs="Times New Roman"/>
                <w:szCs w:val="24"/>
              </w:rPr>
              <w:t>济南中仁谊科医学检验实验室有限公司济南中仁谊科医学检验实验室位于山东省济南市高新区春兰路1177号银丰国际生物城A4-101-3，中心坐标经纬度为36度42分21.780秒，117度19分2.617秒。项目性质为新建，行业类别及代码为M7340医学研究和试验发展、M7451检验检疫服务。项目总投资1000万元，其中环保投资60万元，建筑面积868.72</w:t>
            </w:r>
            <w:r>
              <w:rPr>
                <w:rFonts w:hint="eastAsia" w:cs="Times New Roman"/>
                <w:szCs w:val="24"/>
                <w:lang w:eastAsia="zh-CN"/>
              </w:rPr>
              <w:t>m</w:t>
            </w:r>
            <w:r>
              <w:rPr>
                <w:rFonts w:hint="eastAsia" w:cs="Times New Roman"/>
                <w:szCs w:val="24"/>
                <w:vertAlign w:val="superscript"/>
                <w:lang w:eastAsia="zh-CN"/>
              </w:rPr>
              <w:t>2</w:t>
            </w:r>
            <w:r>
              <w:rPr>
                <w:rFonts w:hint="eastAsia" w:cs="Times New Roman"/>
                <w:szCs w:val="24"/>
              </w:rPr>
              <w:t>，建设内容为实验室、办公区及相关配套设施。项目主要对血样和细胞样本进行分子分型实验、病理TCT实验、免疫实验，其中，分子分型实验、病理TCT实验目的为筛查宫颈癌疾病，免疫实验目的为检测乙肝病毒。项目</w:t>
            </w:r>
            <w:r>
              <w:rPr>
                <w:rFonts w:hint="eastAsia" w:cs="Times New Roman"/>
                <w:szCs w:val="24"/>
                <w:lang w:eastAsia="zh-CN"/>
              </w:rPr>
              <w:t>职工</w:t>
            </w:r>
            <w:r>
              <w:rPr>
                <w:rFonts w:hint="eastAsia" w:cs="Times New Roman"/>
                <w:szCs w:val="24"/>
              </w:rPr>
              <w:t>20人，实行单班白班制，每天工作8小时，年工作250天，夜间不运行。</w:t>
            </w:r>
          </w:p>
          <w:p>
            <w:pPr>
              <w:pStyle w:val="38"/>
              <w:rPr>
                <w:rFonts w:cs="Times New Roman"/>
                <w:szCs w:val="24"/>
              </w:rPr>
            </w:pPr>
            <w:r>
              <w:rPr>
                <w:rFonts w:hint="eastAsia" w:cs="Times New Roman"/>
                <w:szCs w:val="24"/>
              </w:rPr>
              <w:t>本项目于2023年1月开工建设，2023年2月建成并进行调试，环保设施同时设计、同时施工并同时进行调试，调试期间运行状况良好，具备竣工验收条件。</w:t>
            </w:r>
          </w:p>
          <w:p>
            <w:pPr>
              <w:pStyle w:val="38"/>
              <w:rPr>
                <w:rFonts w:cs="Times New Roman"/>
                <w:szCs w:val="24"/>
              </w:rPr>
            </w:pPr>
            <w:r>
              <w:rPr>
                <w:rFonts w:hint="eastAsia" w:cs="Times New Roman"/>
                <w:szCs w:val="24"/>
              </w:rPr>
              <w:t>本次验收内容为济南中仁谊科医学检验实验室有限公司济南中仁谊科医学检验实验室建成后的全部内容。</w:t>
            </w:r>
          </w:p>
          <w:p>
            <w:pPr>
              <w:ind w:firstLine="480"/>
            </w:pPr>
            <w:r>
              <w:rPr>
                <w:rFonts w:hint="eastAsia"/>
              </w:rPr>
              <w:t>根据生态环境部＜关于发布《建设项目竣工环境保护验收技术指南 污染影响类》的公告＞（公告2018年 第9号）及《建设项目竣工环境保护验收暂行办法》（国环规环评</w:t>
            </w:r>
            <w:r>
              <w:rPr>
                <w:rFonts w:hint="eastAsia"/>
                <w:lang w:eastAsia="zh-CN"/>
              </w:rPr>
              <w:t>〔</w:t>
            </w:r>
            <w:r>
              <w:rPr>
                <w:rFonts w:hint="eastAsia"/>
              </w:rPr>
              <w:t>2017</w:t>
            </w:r>
            <w:r>
              <w:rPr>
                <w:rFonts w:hint="eastAsia"/>
                <w:lang w:eastAsia="zh-CN"/>
              </w:rPr>
              <w:t>〕</w:t>
            </w:r>
            <w:r>
              <w:rPr>
                <w:rFonts w:hint="eastAsia"/>
              </w:rPr>
              <w:t>4号）要求，需对济南中仁谊科医学检验实验室有限公司济南中仁谊科医学检验实验室进行竣工环境保护验收。济南中仁谊科医学检验实验室有限公司委托山东国嘉环保科技有限公司进行验收工作，因不具备检测能力，山东国嘉环保科技有限公司随后委托山东华晟环境检测有限公司于2023年2月23日~2023年2月24日，共计2天对本项目废气、废水、噪声进行了竣工验收监测并出具检测报告。根据项目情况及检测报告，济南中仁谊科医学检验实验室有限公司于2023年3月</w:t>
            </w:r>
            <w:r>
              <w:rPr>
                <w:rFonts w:hint="eastAsia"/>
                <w:kern w:val="21"/>
                <w:lang w:eastAsia="zh-CN"/>
              </w:rPr>
              <w:t>主导</w:t>
            </w:r>
            <w:r>
              <w:rPr>
                <w:rFonts w:hint="eastAsia"/>
              </w:rPr>
              <w:t>编制完成了《济南中仁谊科医学检验实验室有限公司济南中仁谊科医学检验实验室竣工环境保护验收监测报告表》</w:t>
            </w:r>
            <w:r>
              <w:rPr>
                <w:rFonts w:hint="eastAsia"/>
                <w:kern w:val="0"/>
              </w:rPr>
              <w:t>，</w:t>
            </w:r>
            <w:r>
              <w:rPr>
                <w:rFonts w:hint="eastAsia"/>
              </w:rPr>
              <w:t>结论如下：</w:t>
            </w:r>
          </w:p>
          <w:p>
            <w:pPr>
              <w:pStyle w:val="38"/>
              <w:ind w:firstLine="482"/>
              <w:rPr>
                <w:rFonts w:cs="Times New Roman"/>
                <w:b/>
                <w:bCs/>
                <w:szCs w:val="24"/>
              </w:rPr>
            </w:pPr>
            <w:r>
              <w:rPr>
                <w:rFonts w:hint="eastAsia" w:cs="Times New Roman"/>
                <w:b/>
                <w:bCs/>
                <w:szCs w:val="24"/>
              </w:rPr>
              <w:t>1、变更情况：</w:t>
            </w:r>
          </w:p>
          <w:p>
            <w:pPr>
              <w:pStyle w:val="38"/>
              <w:rPr>
                <w:rFonts w:cs="Times New Roman"/>
                <w:szCs w:val="24"/>
              </w:rPr>
            </w:pPr>
            <w:r>
              <w:rPr>
                <w:rFonts w:hint="eastAsia" w:cs="Times New Roman"/>
                <w:szCs w:val="24"/>
              </w:rPr>
              <w:t>项目建设过程发生的变化为：</w:t>
            </w:r>
            <w:r>
              <w:rPr>
                <w:rFonts w:hint="eastAsia" w:cs="Times New Roman"/>
                <w:szCs w:val="24"/>
                <w:lang w:eastAsia="zh-CN"/>
              </w:rPr>
              <w:t>环评设计排气筒高15m</w:t>
            </w:r>
            <w:r>
              <w:rPr>
                <w:rFonts w:hint="eastAsia" w:cs="Times New Roman"/>
                <w:szCs w:val="24"/>
              </w:rPr>
              <w:t>，实际建设排气高于楼顶5m（总高24m）；项目所在楼房楼层实际为三层，环评规划中3F和4F，实际中分别为2F和3F，项目建设地点未发生变化，楼层平面布置未变，楼房高度未变；环评规划中3F危废间用于危险废物暂存、4F危废间用于医疗废物暂存，为方便人员和物料流动的顺畅性，实际建设为2F危废间用于医疗废物暂存、3F危废间用于医疗废物和危险废物暂存，环境防护距离未发生变化且未新增敏感点。</w:t>
            </w:r>
          </w:p>
          <w:p>
            <w:pPr>
              <w:pStyle w:val="38"/>
              <w:rPr>
                <w:rFonts w:cs="Times New Roman"/>
                <w:szCs w:val="24"/>
              </w:rPr>
            </w:pPr>
            <w:r>
              <w:rPr>
                <w:rFonts w:hint="eastAsia" w:cs="Times New Roman"/>
                <w:szCs w:val="24"/>
              </w:rPr>
              <w:t>根据《中华人民共和国环境影响评价法》、《建设项目环境保护管理条例》（国务院令第682号）和关于印发《污染影响类建设项目重大变动清单（试行）》的通知（环办环评函</w:t>
            </w:r>
            <w:r>
              <w:rPr>
                <w:rFonts w:hint="eastAsia" w:cs="Times New Roman"/>
                <w:szCs w:val="24"/>
                <w:lang w:eastAsia="zh-CN"/>
              </w:rPr>
              <w:t>〔</w:t>
            </w:r>
            <w:r>
              <w:rPr>
                <w:rFonts w:hint="eastAsia" w:cs="Times New Roman"/>
                <w:szCs w:val="24"/>
              </w:rPr>
              <w:t>2020</w:t>
            </w:r>
            <w:r>
              <w:rPr>
                <w:rFonts w:hint="eastAsia" w:cs="Times New Roman"/>
                <w:szCs w:val="24"/>
                <w:lang w:eastAsia="zh-CN"/>
              </w:rPr>
              <w:t>〕</w:t>
            </w:r>
            <w:r>
              <w:rPr>
                <w:rFonts w:hint="eastAsia" w:cs="Times New Roman"/>
                <w:szCs w:val="24"/>
              </w:rPr>
              <w:t>688号）等的有关规定，项目性质、实际建设地点、工艺、防治污染的措施与环评基本一致，不属于重大变动，应纳入竣工环境保护验收管理。</w:t>
            </w:r>
          </w:p>
          <w:p>
            <w:pPr>
              <w:pStyle w:val="38"/>
              <w:ind w:firstLine="482"/>
              <w:rPr>
                <w:rFonts w:cs="Times New Roman"/>
              </w:rPr>
            </w:pPr>
            <w:r>
              <w:rPr>
                <w:rFonts w:cs="Times New Roman"/>
                <w:b/>
                <w:bCs/>
                <w:szCs w:val="24"/>
              </w:rPr>
              <w:t>2、监测期间运营工况情况：</w:t>
            </w:r>
          </w:p>
          <w:p>
            <w:pPr>
              <w:ind w:firstLine="480"/>
            </w:pPr>
            <w:r>
              <w:rPr>
                <w:rFonts w:hint="eastAsia"/>
              </w:rPr>
              <w:t>监测</w:t>
            </w:r>
            <w:r>
              <w:t>期间本项目运行正常。</w:t>
            </w:r>
          </w:p>
          <w:p>
            <w:pPr>
              <w:pStyle w:val="38"/>
              <w:ind w:firstLine="482"/>
              <w:rPr>
                <w:rFonts w:cs="Times New Roman"/>
              </w:rPr>
            </w:pPr>
            <w:r>
              <w:rPr>
                <w:rFonts w:cs="Times New Roman"/>
                <w:b/>
                <w:bCs/>
                <w:szCs w:val="24"/>
              </w:rPr>
              <w:t>3、验收</w:t>
            </w:r>
            <w:r>
              <w:rPr>
                <w:rFonts w:hint="eastAsia" w:cs="Times New Roman"/>
                <w:b/>
                <w:bCs/>
                <w:szCs w:val="24"/>
              </w:rPr>
              <w:t>检测结果</w:t>
            </w:r>
          </w:p>
          <w:p>
            <w:pPr>
              <w:pStyle w:val="38"/>
              <w:rPr>
                <w:rFonts w:cs="Times New Roman"/>
                <w:bCs/>
                <w:caps/>
                <w:kern w:val="0"/>
                <w:szCs w:val="24"/>
              </w:rPr>
            </w:pPr>
            <w:r>
              <w:rPr>
                <w:rFonts w:hint="eastAsia" w:cs="Times New Roman"/>
                <w:bCs/>
                <w:caps/>
                <w:kern w:val="0"/>
                <w:szCs w:val="24"/>
              </w:rPr>
              <w:t>（1）废气：</w:t>
            </w:r>
          </w:p>
          <w:p>
            <w:pPr>
              <w:pStyle w:val="38"/>
              <w:rPr>
                <w:rFonts w:cs="Times New Roman"/>
                <w:szCs w:val="24"/>
              </w:rPr>
            </w:pPr>
            <w:r>
              <w:rPr>
                <w:rFonts w:hint="eastAsia" w:cs="Times New Roman"/>
                <w:szCs w:val="24"/>
              </w:rPr>
              <w:t>项目废气主要是灭活样本检测实验过程中挥发的废气，主要为VOCs、二甲苯、氯化氢等。</w:t>
            </w:r>
          </w:p>
          <w:p>
            <w:pPr>
              <w:pStyle w:val="38"/>
              <w:rPr>
                <w:rFonts w:cs="Times New Roman"/>
                <w:szCs w:val="24"/>
              </w:rPr>
            </w:pPr>
            <w:r>
              <w:rPr>
                <w:rFonts w:hint="eastAsia" w:cs="Times New Roman"/>
                <w:szCs w:val="24"/>
              </w:rPr>
              <w:t>①有组织废气：</w:t>
            </w:r>
          </w:p>
          <w:p>
            <w:pPr>
              <w:pStyle w:val="38"/>
              <w:rPr>
                <w:rFonts w:cs="Times New Roman"/>
                <w:szCs w:val="24"/>
              </w:rPr>
            </w:pPr>
            <w:r>
              <w:rPr>
                <w:rFonts w:hint="eastAsia" w:cs="Times New Roman"/>
                <w:szCs w:val="24"/>
              </w:rPr>
              <w:t>项目试剂的取用以及检测时产生的废气操作均在通风橱内进行，废气经集气罩收集后，通过二级活性炭吸附装置处理后，由一根24m高排气筒DA001排放。</w:t>
            </w:r>
          </w:p>
          <w:p>
            <w:pPr>
              <w:pStyle w:val="38"/>
              <w:rPr>
                <w:rFonts w:cs="Times New Roman"/>
                <w:bCs/>
                <w:caps/>
                <w:kern w:val="0"/>
                <w:szCs w:val="24"/>
              </w:rPr>
            </w:pPr>
            <w:r>
              <w:rPr>
                <w:rFonts w:hint="eastAsia" w:cs="Times New Roman"/>
                <w:bCs/>
                <w:caps/>
                <w:kern w:val="0"/>
                <w:szCs w:val="24"/>
              </w:rPr>
              <w:t>②无组织废气：</w:t>
            </w:r>
          </w:p>
          <w:p>
            <w:pPr>
              <w:pStyle w:val="38"/>
              <w:rPr>
                <w:rFonts w:cs="Times New Roman"/>
                <w:bCs/>
                <w:caps/>
                <w:kern w:val="0"/>
                <w:szCs w:val="24"/>
              </w:rPr>
            </w:pPr>
            <w:r>
              <w:rPr>
                <w:rFonts w:hint="eastAsia" w:cs="Times New Roman"/>
                <w:bCs/>
                <w:caps/>
                <w:kern w:val="0"/>
                <w:szCs w:val="24"/>
              </w:rPr>
              <w:t>未被收集的实验废气等，车间通风后无组织排放。</w:t>
            </w:r>
          </w:p>
          <w:p>
            <w:pPr>
              <w:pStyle w:val="2"/>
              <w:spacing w:line="360" w:lineRule="auto"/>
              <w:ind w:firstLine="480" w:firstLineChars="200"/>
              <w:rPr>
                <w:rFonts w:ascii="Times New Roman"/>
                <w:color w:val="auto"/>
              </w:rPr>
            </w:pPr>
            <w:r>
              <w:rPr>
                <w:rFonts w:hint="eastAsia" w:ascii="Times New Roman"/>
                <w:color w:val="auto"/>
              </w:rPr>
              <w:t>验收监测期间，实验废气排气筒DA001出口中主要污染物VOCs最高排放浓度为1.96mg/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，最高排放速率为8.7×10</w:t>
            </w:r>
            <w:r>
              <w:rPr>
                <w:rFonts w:hint="eastAsia" w:ascii="Times New Roman"/>
                <w:color w:val="auto"/>
                <w:vertAlign w:val="superscript"/>
              </w:rPr>
              <w:t>-3</w:t>
            </w:r>
            <w:r>
              <w:rPr>
                <w:rFonts w:hint="eastAsia" w:ascii="Times New Roman"/>
                <w:color w:val="auto"/>
              </w:rPr>
              <w:t>kg/h，排放浓度和排放速率均满足《挥发性有机物排放标准第7部分：其他行业》（DB37/2801.7-2019）表1中非重点行业II时段排放限值要求；二甲苯最高排放浓度为0.454mg/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，最高排放速率为2.0×10</w:t>
            </w:r>
            <w:r>
              <w:rPr>
                <w:rFonts w:hint="eastAsia" w:ascii="Times New Roman"/>
                <w:color w:val="auto"/>
                <w:vertAlign w:val="superscript"/>
              </w:rPr>
              <w:t>-3</w:t>
            </w:r>
            <w:r>
              <w:rPr>
                <w:rFonts w:hint="eastAsia" w:ascii="Times New Roman"/>
                <w:color w:val="auto"/>
              </w:rPr>
              <w:t>kg/h，氯化氢最高排放浓度为2.5mg/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，最高排放速率为0.011kg/h，排放浓度和排放速率均满足《大气污染物综合排放标准》（GB16297-1996）表2二级限值要求。</w:t>
            </w:r>
          </w:p>
          <w:p>
            <w:pPr>
              <w:pStyle w:val="2"/>
              <w:spacing w:line="360" w:lineRule="auto"/>
              <w:ind w:firstLine="480" w:firstLineChars="200"/>
              <w:rPr>
                <w:rFonts w:ascii="Times New Roman"/>
                <w:color w:val="auto"/>
              </w:rPr>
            </w:pPr>
            <w:r>
              <w:rPr>
                <w:rFonts w:hint="eastAsia" w:ascii="Times New Roman"/>
                <w:color w:val="auto"/>
              </w:rPr>
              <w:t>验收监测期间，厂界无组织排放的VOCs周界外浓度最高点浓度为1.22mg/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，二甲苯周界外浓度最高点浓度为未检出，均满足山东省《挥发性有机物排放标准 第7部分：其他行业》（DB37/2801.7-2019）表2厂界监控点浓度限值要求；氯化氢周界外浓度最高点浓度为未检出，满足《大气污染物综合排放标准》（GB16297-1996）表2无组织排放监控浓度限值要求。</w:t>
            </w:r>
          </w:p>
          <w:p>
            <w:pPr>
              <w:pStyle w:val="2"/>
              <w:spacing w:line="360" w:lineRule="auto"/>
              <w:ind w:firstLine="480" w:firstLineChars="200"/>
              <w:rPr>
                <w:rFonts w:ascii="Times New Roman"/>
                <w:color w:val="auto"/>
              </w:rPr>
            </w:pPr>
            <w:r>
              <w:rPr>
                <w:rFonts w:hint="eastAsia" w:ascii="Times New Roman"/>
                <w:color w:val="auto"/>
              </w:rPr>
              <w:t>车间外通风口下风向1m处非甲烷总烃最大1h平均浓度值为1.23mg/</w:t>
            </w:r>
            <w:r>
              <w:rPr>
                <w:rFonts w:hint="eastAsia" w:ascii="Times New Roman"/>
                <w:color w:val="auto"/>
                <w:lang w:eastAsia="zh-CN"/>
              </w:rPr>
              <w:t>m</w:t>
            </w:r>
            <w:r>
              <w:rPr>
                <w:rFonts w:hint="eastAsia" w:ascii="Times New Roman"/>
                <w:color w:val="auto"/>
                <w:vertAlign w:val="superscript"/>
                <w:lang w:eastAsia="zh-CN"/>
              </w:rPr>
              <w:t>3</w:t>
            </w:r>
            <w:r>
              <w:rPr>
                <w:rFonts w:hint="eastAsia" w:ascii="Times New Roman"/>
                <w:color w:val="auto"/>
              </w:rPr>
              <w:t>，满足《挥发性有机物无组织排放控制标准》（GB37822-2019）的附录A中表A.1限值要求。</w:t>
            </w:r>
          </w:p>
          <w:p>
            <w:pPr>
              <w:pStyle w:val="38"/>
              <w:widowControl/>
              <w:adjustRightInd/>
              <w:rPr>
                <w:rFonts w:cs="Times New Roman"/>
                <w:lang w:bidi="ar"/>
              </w:rPr>
            </w:pPr>
            <w:r>
              <w:rPr>
                <w:rFonts w:hint="eastAsia" w:cs="Times New Roman"/>
                <w:lang w:bidi="ar"/>
              </w:rPr>
              <w:t>（2）废水：</w:t>
            </w:r>
          </w:p>
          <w:p>
            <w:pPr>
              <w:pStyle w:val="38"/>
              <w:widowControl/>
              <w:adjustRightInd/>
              <w:rPr>
                <w:rFonts w:hint="eastAsia" w:cs="Times New Roman"/>
                <w:lang w:bidi="ar"/>
              </w:rPr>
            </w:pPr>
            <w:r>
              <w:rPr>
                <w:rFonts w:hint="eastAsia" w:cs="Times New Roman"/>
                <w:lang w:bidi="ar"/>
              </w:rPr>
              <w:t>项目产生的废水主要是生活污水、地面清洁废水、实验废液（实验人员洗手废水、实验室器皿前两次清洗废水、纯水制备废水、分子分型废水、病理TCT废水、实验室器皿后两次清洗废水）。</w:t>
            </w:r>
          </w:p>
          <w:p>
            <w:pPr>
              <w:pStyle w:val="38"/>
              <w:widowControl/>
              <w:adjustRightInd/>
              <w:rPr>
                <w:rFonts w:hint="eastAsia" w:cs="Times New Roman"/>
                <w:lang w:bidi="ar"/>
              </w:rPr>
            </w:pPr>
            <w:r>
              <w:rPr>
                <w:rFonts w:hint="eastAsia" w:cs="Times New Roman"/>
                <w:lang w:bidi="ar"/>
              </w:rPr>
              <w:t>项目分子分型废水、病理TCT废水、实验器皿前两次清洗废水，统称为实验废液，作为医废，暂存于医疗+危废暂存间，医疗废物委托济南腾笙环保科技有限公司处理，不外排。项目生活污水排入化粪池预处理后与地面清洁废水、实验人员洗手废水、实验器皿后两次清洗废水和纯水制备废水，经园区污水管网进入银丰国际生物城污水处理站处理后，通过市政管污水管网排入巨野河污水处理厂，经巨野河污水处理厂深度处理，最终经西巨野河排入小清河。</w:t>
            </w:r>
          </w:p>
          <w:p>
            <w:pPr>
              <w:pStyle w:val="38"/>
              <w:widowControl/>
              <w:adjustRightInd/>
              <w:rPr>
                <w:rFonts w:cs="Times New Roman"/>
                <w:lang w:bidi="ar"/>
              </w:rPr>
            </w:pPr>
            <w:r>
              <w:rPr>
                <w:rFonts w:hint="eastAsia" w:cs="Times New Roman"/>
                <w:lang w:bidi="ar"/>
              </w:rPr>
              <w:t>验收监测期间，企业污水总排口主要污染物氨氮、化学需氧量最大日均浓度分别为42.8mg/L、326mg/L，均满足银丰国际生物城污水处理站进水水质要求；银丰国际生物城污水处理站出口主要污染物pH值在7.4-7.6之间，氨氮、化学需氧量、总磷、悬浮物、溶解性总固体、五日生化需氧量最大日均浓度分别为13.4mg/L、156mg/L、1.91mg/L、14mg/L、434mg/L、43.3mg/L，均满足《污水排入城镇下水道水质标准》（GB/T 31962-2015）A 级标准要求。</w:t>
            </w:r>
          </w:p>
          <w:p>
            <w:pPr>
              <w:pStyle w:val="38"/>
              <w:widowControl/>
              <w:adjustRightInd/>
              <w:rPr>
                <w:rFonts w:cs="Times New Roman"/>
              </w:rPr>
            </w:pPr>
            <w:r>
              <w:rPr>
                <w:rFonts w:hint="eastAsia" w:cs="Times New Roman"/>
              </w:rPr>
              <w:t>（3）噪声：</w:t>
            </w:r>
          </w:p>
          <w:p>
            <w:pPr>
              <w:pStyle w:val="38"/>
              <w:widowControl/>
              <w:rPr>
                <w:rFonts w:cs="Times New Roman"/>
              </w:rPr>
            </w:pPr>
            <w:r>
              <w:rPr>
                <w:rFonts w:hint="eastAsia" w:cs="Times New Roman"/>
              </w:rPr>
              <w:t>项目产生的噪声主要是实验室设备等的运行噪声，项目采取设备均布置于室内，采取门窗、墙体隔声，全部设备均选用低噪声设备并采取减振措施。加强管理，经常保养和维护机械设备避免设备在不良状态下运行等措施。</w:t>
            </w:r>
          </w:p>
          <w:p>
            <w:pPr>
              <w:pStyle w:val="38"/>
              <w:widowControl/>
              <w:adjustRightInd/>
              <w:rPr>
                <w:rFonts w:cs="Times New Roman"/>
              </w:rPr>
            </w:pPr>
            <w:r>
              <w:rPr>
                <w:rFonts w:hint="eastAsia" w:cs="Times New Roman"/>
              </w:rPr>
              <w:t>验收监测期间，项目1#东厂界、2#南厂界、3#北厂界，昼间厂界噪声最大值分别为53.3dB（A）、53.5dB（A）、53.6dB（A），均满足《工业企业厂界环境噪声排放标准》（GB12348-2008）2类昼间标准（项目西侧与其他企业相邻，共用一堵墙，无法进行监测）；项目东南侧100m的4#公寓A12楼，敏感点噪声最大值为53.7dB（A），满足《声环境质量标准》(GB3096-2008)2类昼间标准。项目夜间不运行。</w:t>
            </w:r>
          </w:p>
          <w:p>
            <w:pPr>
              <w:pStyle w:val="38"/>
              <w:widowControl/>
              <w:adjustRightInd/>
              <w:rPr>
                <w:rFonts w:cs="Times New Roman"/>
              </w:rPr>
            </w:pPr>
            <w:r>
              <w:rPr>
                <w:rFonts w:hint="eastAsia" w:cs="Times New Roman"/>
              </w:rPr>
              <w:t>（4）固废：</w:t>
            </w:r>
          </w:p>
          <w:p>
            <w:pPr>
              <w:pStyle w:val="38"/>
              <w:widowControl/>
              <w:adjustRightInd/>
              <w:rPr>
                <w:rFonts w:cs="Times New Roman"/>
              </w:rPr>
            </w:pPr>
            <w:r>
              <w:rPr>
                <w:rFonts w:hint="eastAsia" w:cs="Times New Roman"/>
              </w:rPr>
              <w:t>项目产生的固体废物主要是纯水机废滤芯、废RO膜、未沾染药品检测样品废包装物、废试剂瓶、实验废液、实验废物、废样本、废活性炭和生活垃圾。</w:t>
            </w:r>
          </w:p>
          <w:p>
            <w:pPr>
              <w:pStyle w:val="38"/>
              <w:widowControl/>
              <w:adjustRightInd/>
              <w:rPr>
                <w:rFonts w:hint="eastAsia" w:cs="Times New Roman"/>
              </w:rPr>
            </w:pPr>
            <w:r>
              <w:rPr>
                <w:rFonts w:hint="eastAsia" w:cs="Times New Roman"/>
              </w:rPr>
              <w:t>生活垃圾委托环卫部门定期清运；纯水机废滤芯、废RO膜由设备厂家回收处理；未沾染药品检测样品废包装物外售资源回收单位；废试剂瓶、废活性炭作为危废处理，实验废液、实验废物、废样本作为医废处理，暂存于医疗+危废暂存间，医疗废物委托济南腾笙环保科技有限公司处理；危险危废产生待转移时，委托有资质单位处置。</w:t>
            </w:r>
          </w:p>
          <w:p>
            <w:pPr>
              <w:pStyle w:val="38"/>
              <w:widowControl/>
              <w:adjustRightInd/>
              <w:rPr>
                <w:rFonts w:hint="eastAsia" w:cs="Times New Roman"/>
              </w:rPr>
            </w:pPr>
            <w:r>
              <w:rPr>
                <w:rFonts w:hint="eastAsia" w:cs="Times New Roman"/>
              </w:rPr>
              <w:t>一般固体废物处置满足《一般工业固体废物贮存和填埋污染控制标准》（GB18599-2020）要求；危险废物处置满足《危险废物贮存污染控制标准》（GB18597-2001）及修改单的规定；医疗废物处置满足《医疗废物管理条例》（国务院第380号令）、《医疗废物集中处置技术规范（试行）》、《山东省医疗机构污染物排放控制标准》（DB37/596-2020）。</w:t>
            </w:r>
          </w:p>
          <w:p>
            <w:pPr>
              <w:pStyle w:val="27"/>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4</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8"/>
              <w:ind w:firstLine="480"/>
            </w:pPr>
            <w:r>
              <w:rPr>
                <w:rFonts w:hint="eastAsia"/>
              </w:rPr>
              <w:t>废气：项目实验室废气排气筒年排气时间约为600小时，根据验收监测结果核算，项目排放量VOCs：0.0052t/a，满足环评批复总量控制要求（VOCs：0.0094t/a）。</w:t>
            </w:r>
          </w:p>
          <w:p>
            <w:pPr>
              <w:pStyle w:val="27"/>
              <w:numPr>
                <w:ilvl w:val="255"/>
                <w:numId w:val="0"/>
              </w:numPr>
              <w:ind w:firstLine="482"/>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、环保设施去除效率</w:t>
            </w:r>
          </w:p>
          <w:p>
            <w:pPr>
              <w:pStyle w:val="27"/>
              <w:ind w:firstLine="480"/>
              <w:rPr>
                <w:rFonts w:ascii="Times New Roman" w:hAnsi="Times New Roman"/>
                <w:color w:val="auto"/>
                <w:sz w:val="24"/>
              </w:rPr>
            </w:pPr>
            <w:r>
              <w:rPr>
                <w:rFonts w:ascii="Times New Roman" w:hAnsi="Times New Roman"/>
                <w:color w:val="auto"/>
                <w:sz w:val="24"/>
              </w:rPr>
              <w:t>废气：废气环保处理装置进口因管道距离过短不具备开口条件，无法验证废气环保处理装置去除效率。不具备检测条件现场照片见附件6。</w:t>
            </w:r>
          </w:p>
          <w:p>
            <w:pPr>
              <w:pStyle w:val="38"/>
              <w:ind w:firstLine="482"/>
              <w:rPr>
                <w:rFonts w:cs="Times New Roman"/>
                <w:b/>
                <w:bCs/>
                <w:szCs w:val="24"/>
              </w:rPr>
            </w:pPr>
            <w:r>
              <w:rPr>
                <w:rFonts w:hint="eastAsia" w:cs="Times New Roman"/>
                <w:b/>
                <w:bCs/>
                <w:szCs w:val="24"/>
              </w:rPr>
              <w:t>6、排污许可</w:t>
            </w:r>
          </w:p>
          <w:p>
            <w:pPr>
              <w:pStyle w:val="38"/>
              <w:jc w:val="both"/>
              <w:rPr>
                <w:rFonts w:cs="Times New Roman"/>
                <w:szCs w:val="24"/>
              </w:rPr>
            </w:pPr>
            <w:r>
              <w:rPr>
                <w:rFonts w:hint="eastAsia" w:cs="Times New Roman"/>
                <w:szCs w:val="24"/>
              </w:rPr>
              <w:t>项目行业类别属于M7340医学研究和试验发展、M7451检验检疫服务，根据《固定污染源排污许可分类管理名录（2019 年版）》，项目不在固定污染源排污许可分类管理名录之内，可不需申请排污许可证。</w:t>
            </w:r>
          </w:p>
          <w:p>
            <w:pPr>
              <w:numPr>
                <w:ilvl w:val="255"/>
                <w:numId w:val="0"/>
              </w:numPr>
              <w:ind w:firstLine="482"/>
              <w:rPr>
                <w:b/>
                <w:bCs/>
              </w:rPr>
            </w:pPr>
            <w:r>
              <w:rPr>
                <w:rFonts w:hint="eastAsia"/>
                <w:b/>
              </w:rPr>
              <w:t>7、</w:t>
            </w:r>
            <w:r>
              <w:rPr>
                <w:b/>
              </w:rPr>
              <w:t>工程建设对环境的影响</w:t>
            </w:r>
          </w:p>
          <w:p>
            <w:pPr>
              <w:pStyle w:val="38"/>
              <w:jc w:val="both"/>
              <w:rPr>
                <w:rFonts w:cs="Times New Roman"/>
                <w:szCs w:val="24"/>
              </w:rPr>
            </w:pPr>
            <w:r>
              <w:rPr>
                <w:rFonts w:cs="Times New Roman"/>
                <w:szCs w:val="24"/>
              </w:rPr>
              <w:t>本项目位于</w:t>
            </w:r>
            <w:r>
              <w:rPr>
                <w:rFonts w:hint="eastAsia" w:cs="Times New Roman"/>
                <w:szCs w:val="24"/>
              </w:rPr>
              <w:t>山东省济南市高新区春兰路1177号银丰国际生物城A4-101-3</w:t>
            </w:r>
            <w:r>
              <w:rPr>
                <w:rFonts w:cs="Times New Roman"/>
                <w:szCs w:val="24"/>
              </w:rPr>
              <w:t>，监测结果表明，本项目废气、</w:t>
            </w:r>
            <w:r>
              <w:rPr>
                <w:rFonts w:hint="eastAsia" w:cs="Times New Roman"/>
                <w:szCs w:val="24"/>
              </w:rPr>
              <w:t>废水、</w:t>
            </w:r>
            <w:r>
              <w:rPr>
                <w:rFonts w:cs="Times New Roman"/>
                <w:szCs w:val="24"/>
              </w:rPr>
              <w:t>噪声均符合国家标准要求，达标排放，固体废物均合理处置，对周围环境影响较小。</w:t>
            </w:r>
          </w:p>
          <w:p>
            <w:pPr>
              <w:pStyle w:val="38"/>
              <w:jc w:val="both"/>
              <w:rPr>
                <w:rFonts w:cs="Times New Roman"/>
                <w:szCs w:val="24"/>
              </w:rPr>
            </w:pPr>
            <w:r>
              <w:rPr>
                <w:rFonts w:cs="Times New Roman"/>
                <w:szCs w:val="24"/>
              </w:rPr>
              <w:t>根据监测及调查结果分析，项目建设对环境的影响可以接受，不会造成环境质量的恶化。</w:t>
            </w:r>
          </w:p>
          <w:p>
            <w:pPr>
              <w:pStyle w:val="38"/>
              <w:ind w:firstLine="482"/>
              <w:rPr>
                <w:rFonts w:cs="Times New Roman"/>
                <w:b/>
                <w:bCs/>
                <w:szCs w:val="24"/>
              </w:rPr>
            </w:pPr>
            <w:r>
              <w:rPr>
                <w:rFonts w:hint="eastAsia" w:cs="Times New Roman"/>
                <w:b/>
                <w:bCs/>
                <w:szCs w:val="24"/>
              </w:rPr>
              <w:t>8、</w:t>
            </w:r>
            <w:r>
              <w:rPr>
                <w:rFonts w:cs="Times New Roman"/>
                <w:b/>
                <w:bCs/>
                <w:szCs w:val="24"/>
              </w:rPr>
              <w:t>验收结论</w:t>
            </w:r>
          </w:p>
          <w:p>
            <w:pPr>
              <w:pStyle w:val="38"/>
              <w:jc w:val="both"/>
              <w:rPr>
                <w:rFonts w:cs="Times New Roman"/>
                <w:szCs w:val="24"/>
              </w:rPr>
            </w:pPr>
            <w:r>
              <w:rPr>
                <w:rFonts w:hint="eastAsia" w:cs="Times New Roman"/>
                <w:kern w:val="21"/>
                <w:szCs w:val="24"/>
              </w:rPr>
              <w:t>济南中仁谊科医学检验实验室有限公司济南中仁谊科医学检验实验室环评手续完备，技术资料基本齐全。项目主体及环境保护设施等总体按环评及批复要求建成，项目建设了完善的环保设施并能正常运行。调试期间废气污染物排放浓度和排放速率均满足有关标准要求，废水污染物浓度满足排放标准要求，固体废物贮存及处置合理、得当，噪声均达标，污染物排放总量满足要求。项目具备正常运行条件，未发生重大变动，</w:t>
            </w:r>
            <w:r>
              <w:rPr>
                <w:rFonts w:hint="eastAsia" w:cs="Times New Roman"/>
                <w:szCs w:val="24"/>
              </w:rPr>
              <w:t>符合</w:t>
            </w:r>
            <w:r>
              <w:rPr>
                <w:rFonts w:cs="Times New Roman"/>
                <w:szCs w:val="24"/>
              </w:rPr>
              <w:t>建设项目竣工环境保护验收条件</w:t>
            </w:r>
            <w:r>
              <w:rPr>
                <w:rFonts w:hint="eastAsia" w:cs="Times New Roman"/>
                <w:szCs w:val="24"/>
              </w:rPr>
              <w:t>。</w:t>
            </w:r>
          </w:p>
          <w:p>
            <w:pPr>
              <w:ind w:firstLine="482"/>
              <w:rPr>
                <w:b/>
                <w:bCs/>
              </w:rPr>
            </w:pPr>
            <w:r>
              <w:rPr>
                <w:b/>
                <w:bCs/>
              </w:rPr>
              <w:t>二、建议：</w:t>
            </w:r>
          </w:p>
          <w:p>
            <w:pPr>
              <w:snapToGrid w:val="0"/>
              <w:ind w:right="113" w:firstLine="480"/>
              <w:rPr>
                <w:kern w:val="21"/>
              </w:rPr>
            </w:pPr>
            <w:r>
              <w:rPr>
                <w:rFonts w:hint="eastAsia"/>
                <w:kern w:val="21"/>
              </w:rPr>
              <w:t>（1）加强废气处理设施的管理与维护，建立并落实日常运行管理台账，确保废气环保设施的稳定运行和污染物长期稳定达标排放；</w:t>
            </w:r>
          </w:p>
          <w:p>
            <w:pPr>
              <w:pStyle w:val="38"/>
              <w:rPr>
                <w:rFonts w:cs="Times New Roman"/>
                <w:kern w:val="21"/>
                <w:szCs w:val="24"/>
              </w:rPr>
            </w:pPr>
            <w:r>
              <w:rPr>
                <w:rFonts w:hint="eastAsia" w:cs="Times New Roman"/>
                <w:kern w:val="21"/>
                <w:szCs w:val="24"/>
              </w:rPr>
              <w:t xml:space="preserve">（2）加强高噪音设备的维修和保养，降低噪声污染，维持噪声排放达标。 </w:t>
            </w:r>
          </w:p>
          <w:p>
            <w:pPr>
              <w:pStyle w:val="38"/>
              <w:rPr>
                <w:rFonts w:cs="Times New Roman"/>
                <w:kern w:val="21"/>
                <w:szCs w:val="24"/>
              </w:rPr>
            </w:pPr>
            <w:r>
              <w:rPr>
                <w:rFonts w:hint="eastAsia" w:cs="Times New Roman"/>
                <w:kern w:val="21"/>
                <w:szCs w:val="24"/>
              </w:rPr>
              <w:t>（3）按照《危险废物贮存污染物控制标准》（GB18597-2001）及修改单中的相关要求，进一步规范危废间的建设与管理，分类存放；规范标识、台账，妥善处置，减少对环境影响。</w:t>
            </w:r>
          </w:p>
          <w:p>
            <w:pPr>
              <w:pStyle w:val="38"/>
              <w:rPr>
                <w:rFonts w:cs="Times New Roman"/>
                <w:kern w:val="21"/>
                <w:szCs w:val="24"/>
              </w:rPr>
            </w:pPr>
            <w:r>
              <w:rPr>
                <w:rFonts w:hint="eastAsia" w:cs="Times New Roman"/>
                <w:kern w:val="21"/>
                <w:szCs w:val="24"/>
              </w:rPr>
              <w:t>（4）按照企业自行监测技术指南相关要求开展企业定期自行监测工作，并按照《企事业单位环境信息公开管理办法》要求进行环境信息公开。</w:t>
            </w:r>
          </w:p>
          <w:p>
            <w:pPr>
              <w:pStyle w:val="38"/>
              <w:rPr>
                <w:rFonts w:cs="Times New Roman"/>
                <w:szCs w:val="24"/>
              </w:rPr>
            </w:pPr>
          </w:p>
          <w:p>
            <w:pPr>
              <w:pStyle w:val="38"/>
              <w:rPr>
                <w:rFonts w:cs="Times New Roman"/>
                <w:szCs w:val="24"/>
              </w:rPr>
            </w:pPr>
          </w:p>
          <w:p>
            <w:pPr>
              <w:pStyle w:val="38"/>
              <w:rPr>
                <w:rFonts w:cs="Times New Roman"/>
                <w:szCs w:val="24"/>
              </w:rPr>
            </w:pPr>
          </w:p>
          <w:p>
            <w:pPr>
              <w:pStyle w:val="38"/>
              <w:rPr>
                <w:rFonts w:cs="Times New Roman"/>
                <w:szCs w:val="24"/>
              </w:rPr>
            </w:pPr>
          </w:p>
          <w:p>
            <w:pPr>
              <w:pStyle w:val="38"/>
              <w:rPr>
                <w:rFonts w:cs="Times New Roman"/>
                <w:szCs w:val="24"/>
              </w:rPr>
            </w:pPr>
          </w:p>
          <w:p>
            <w:pPr>
              <w:pStyle w:val="38"/>
              <w:rPr>
                <w:rFonts w:cs="Times New Roman"/>
                <w:szCs w:val="24"/>
              </w:rPr>
            </w:pPr>
          </w:p>
          <w:p>
            <w:pPr>
              <w:pStyle w:val="38"/>
              <w:rPr>
                <w:rFonts w:cs="Times New Roman"/>
                <w:szCs w:val="24"/>
              </w:rPr>
            </w:pPr>
            <w:r>
              <w:rPr>
                <w:rFonts w:cs="Times New Roman"/>
                <w:szCs w:val="24"/>
              </w:rPr>
              <w:t xml:space="preserve">   </w:t>
            </w:r>
          </w:p>
        </w:tc>
      </w:tr>
    </w:tbl>
    <w:p>
      <w:pPr>
        <w:ind w:firstLine="480"/>
      </w:pPr>
    </w:p>
    <w:sectPr>
      <w:footerReference r:id="rId6"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pict>
        <v:shape id="文本框 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9"/>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9"/>
                  <w:ind w:firstLine="360"/>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9393BFF9"/>
    <w:multiLevelType w:val="singleLevel"/>
    <w:tmpl w:val="9393BFF9"/>
    <w:lvl w:ilvl="0" w:tentative="0">
      <w:start w:val="7"/>
      <w:numFmt w:val="chineseCounting"/>
      <w:suff w:val="nothing"/>
      <w:lvlText w:val="%1、"/>
      <w:lvlJc w:val="left"/>
      <w:rPr>
        <w:rFonts w:hint="eastAsia"/>
      </w:rPr>
    </w:lvl>
  </w:abstractNum>
  <w:abstractNum w:abstractNumId="2">
    <w:nsid w:val="A8758E5B"/>
    <w:multiLevelType w:val="singleLevel"/>
    <w:tmpl w:val="A8758E5B"/>
    <w:lvl w:ilvl="0" w:tentative="0">
      <w:start w:val="3"/>
      <w:numFmt w:val="decimal"/>
      <w:suff w:val="nothing"/>
      <w:lvlText w:val="（%1）"/>
      <w:lvlJc w:val="left"/>
    </w:lvl>
  </w:abstractNum>
  <w:abstractNum w:abstractNumId="3">
    <w:nsid w:val="BCC03F94"/>
    <w:multiLevelType w:val="singleLevel"/>
    <w:tmpl w:val="BCC03F94"/>
    <w:lvl w:ilvl="0" w:tentative="0">
      <w:start w:val="1"/>
      <w:numFmt w:val="decimal"/>
      <w:suff w:val="nothing"/>
      <w:lvlText w:val="（%1）"/>
      <w:lvlJc w:val="left"/>
    </w:lvl>
  </w:abstractNum>
  <w:abstractNum w:abstractNumId="4">
    <w:nsid w:val="D56789DC"/>
    <w:multiLevelType w:val="singleLevel"/>
    <w:tmpl w:val="D56789DC"/>
    <w:lvl w:ilvl="0" w:tentative="0">
      <w:start w:val="3"/>
      <w:numFmt w:val="decimal"/>
      <w:suff w:val="nothing"/>
      <w:lvlText w:val="%1、"/>
      <w:lvlJc w:val="left"/>
    </w:lvl>
  </w:abstractNum>
  <w:abstractNum w:abstractNumId="5">
    <w:nsid w:val="DE9CD2FC"/>
    <w:multiLevelType w:val="singleLevel"/>
    <w:tmpl w:val="DE9CD2FC"/>
    <w:lvl w:ilvl="0" w:tentative="0">
      <w:start w:val="1"/>
      <w:numFmt w:val="bullet"/>
      <w:pStyle w:val="11"/>
      <w:lvlText w:val=""/>
      <w:lvlJc w:val="left"/>
      <w:pPr>
        <w:tabs>
          <w:tab w:val="left" w:pos="2040"/>
        </w:tabs>
        <w:ind w:left="2040" w:hanging="360"/>
      </w:pPr>
      <w:rPr>
        <w:rFonts w:hint="default" w:ascii="Wingdings" w:hAnsi="Wingdings"/>
      </w:rPr>
    </w:lvl>
  </w:abstractNum>
  <w:abstractNum w:abstractNumId="6">
    <w:nsid w:val="1DFD6C50"/>
    <w:multiLevelType w:val="singleLevel"/>
    <w:tmpl w:val="1DFD6C50"/>
    <w:lvl w:ilvl="0" w:tentative="0">
      <w:start w:val="4"/>
      <w:numFmt w:val="decimal"/>
      <w:suff w:val="nothing"/>
      <w:lvlText w:val="%1、"/>
      <w:lvlJc w:val="left"/>
    </w:lvl>
  </w:abstractNum>
  <w:abstractNum w:abstractNumId="7">
    <w:nsid w:val="2E11BE00"/>
    <w:multiLevelType w:val="singleLevel"/>
    <w:tmpl w:val="2E11BE00"/>
    <w:lvl w:ilvl="0" w:tentative="0">
      <w:start w:val="2"/>
      <w:numFmt w:val="decimal"/>
      <w:suff w:val="nothing"/>
      <w:lvlText w:val="%1、"/>
      <w:lvlJc w:val="left"/>
    </w:lvl>
  </w:abstractNum>
  <w:abstractNum w:abstractNumId="8">
    <w:nsid w:val="44DB2C60"/>
    <w:multiLevelType w:val="singleLevel"/>
    <w:tmpl w:val="44DB2C60"/>
    <w:lvl w:ilvl="0" w:tentative="0">
      <w:start w:val="2"/>
      <w:numFmt w:val="chineseCounting"/>
      <w:suff w:val="nothing"/>
      <w:lvlText w:val="%1、"/>
      <w:lvlJc w:val="left"/>
      <w:rPr>
        <w:rFonts w:hint="eastAsia"/>
      </w:rPr>
    </w:lvl>
  </w:abstractNum>
  <w:abstractNum w:abstractNumId="9">
    <w:nsid w:val="4517F584"/>
    <w:multiLevelType w:val="singleLevel"/>
    <w:tmpl w:val="4517F584"/>
    <w:lvl w:ilvl="0" w:tentative="0">
      <w:start w:val="3"/>
      <w:numFmt w:val="chineseCounting"/>
      <w:suff w:val="nothing"/>
      <w:lvlText w:val="%1、"/>
      <w:lvlJc w:val="left"/>
      <w:rPr>
        <w:rFonts w:hint="eastAsia"/>
      </w:rPr>
    </w:lvl>
  </w:abstractNum>
  <w:num w:numId="1">
    <w:abstractNumId w:val="5"/>
  </w:num>
  <w:num w:numId="2">
    <w:abstractNumId w:val="7"/>
  </w:num>
  <w:num w:numId="3">
    <w:abstractNumId w:val="4"/>
  </w:num>
  <w:num w:numId="4">
    <w:abstractNumId w:val="6"/>
  </w:num>
  <w:num w:numId="5">
    <w:abstractNumId w:val="2"/>
  </w:num>
  <w:num w:numId="6">
    <w:abstractNumId w:val="9"/>
  </w:num>
  <w:num w:numId="7">
    <w:abstractNumId w:val="3"/>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035441"/>
    <w:rsid w:val="000E49BF"/>
    <w:rsid w:val="00133537"/>
    <w:rsid w:val="001B4065"/>
    <w:rsid w:val="0021349B"/>
    <w:rsid w:val="00216040"/>
    <w:rsid w:val="00216AFA"/>
    <w:rsid w:val="00223B27"/>
    <w:rsid w:val="00297FFC"/>
    <w:rsid w:val="003471E1"/>
    <w:rsid w:val="00377076"/>
    <w:rsid w:val="00392BCA"/>
    <w:rsid w:val="003E7510"/>
    <w:rsid w:val="003F06E7"/>
    <w:rsid w:val="00422E93"/>
    <w:rsid w:val="0043201A"/>
    <w:rsid w:val="004412C4"/>
    <w:rsid w:val="0047371B"/>
    <w:rsid w:val="0049384F"/>
    <w:rsid w:val="004F609D"/>
    <w:rsid w:val="005B5CD8"/>
    <w:rsid w:val="005F1868"/>
    <w:rsid w:val="006050AC"/>
    <w:rsid w:val="006C0C52"/>
    <w:rsid w:val="006C51A5"/>
    <w:rsid w:val="007309DE"/>
    <w:rsid w:val="00733ADA"/>
    <w:rsid w:val="007A51B4"/>
    <w:rsid w:val="007C0F2D"/>
    <w:rsid w:val="007C1C62"/>
    <w:rsid w:val="00810DEF"/>
    <w:rsid w:val="00816F1D"/>
    <w:rsid w:val="00831720"/>
    <w:rsid w:val="0093268A"/>
    <w:rsid w:val="00945C0A"/>
    <w:rsid w:val="00997FD2"/>
    <w:rsid w:val="009B6DEB"/>
    <w:rsid w:val="009E524A"/>
    <w:rsid w:val="00A0309B"/>
    <w:rsid w:val="00A9114A"/>
    <w:rsid w:val="00AC3E2D"/>
    <w:rsid w:val="00AC3EC8"/>
    <w:rsid w:val="00B75AD1"/>
    <w:rsid w:val="00B928ED"/>
    <w:rsid w:val="00BF7C4C"/>
    <w:rsid w:val="00C00EA3"/>
    <w:rsid w:val="00C11035"/>
    <w:rsid w:val="00C47914"/>
    <w:rsid w:val="00C92A4A"/>
    <w:rsid w:val="00CF248C"/>
    <w:rsid w:val="00D206F5"/>
    <w:rsid w:val="00D23031"/>
    <w:rsid w:val="00DA2FCB"/>
    <w:rsid w:val="00DE25E2"/>
    <w:rsid w:val="00DE7EF5"/>
    <w:rsid w:val="00E01766"/>
    <w:rsid w:val="00E623BE"/>
    <w:rsid w:val="00E65F23"/>
    <w:rsid w:val="00ED3A2C"/>
    <w:rsid w:val="00ED7AC1"/>
    <w:rsid w:val="00F44DA0"/>
    <w:rsid w:val="00F4599C"/>
    <w:rsid w:val="00F45F6E"/>
    <w:rsid w:val="010E11FA"/>
    <w:rsid w:val="01180920"/>
    <w:rsid w:val="01251B2E"/>
    <w:rsid w:val="013D04D4"/>
    <w:rsid w:val="013E2686"/>
    <w:rsid w:val="01400946"/>
    <w:rsid w:val="0143304E"/>
    <w:rsid w:val="01510BEF"/>
    <w:rsid w:val="015206A9"/>
    <w:rsid w:val="01662125"/>
    <w:rsid w:val="016F4F87"/>
    <w:rsid w:val="01796CFC"/>
    <w:rsid w:val="01825D28"/>
    <w:rsid w:val="01A3073B"/>
    <w:rsid w:val="01AA67C9"/>
    <w:rsid w:val="01AE5391"/>
    <w:rsid w:val="01AF70E0"/>
    <w:rsid w:val="01BE2C5A"/>
    <w:rsid w:val="01CD70A4"/>
    <w:rsid w:val="01DD59FB"/>
    <w:rsid w:val="01FD609D"/>
    <w:rsid w:val="020B604A"/>
    <w:rsid w:val="02311EFB"/>
    <w:rsid w:val="02431E27"/>
    <w:rsid w:val="024B69E8"/>
    <w:rsid w:val="02591901"/>
    <w:rsid w:val="02662CBA"/>
    <w:rsid w:val="026B3007"/>
    <w:rsid w:val="02765207"/>
    <w:rsid w:val="027A7982"/>
    <w:rsid w:val="027C3466"/>
    <w:rsid w:val="027E4268"/>
    <w:rsid w:val="028A7DFD"/>
    <w:rsid w:val="029301EE"/>
    <w:rsid w:val="029C0D07"/>
    <w:rsid w:val="029F6E8A"/>
    <w:rsid w:val="02A35F83"/>
    <w:rsid w:val="02BC789B"/>
    <w:rsid w:val="02D65E4B"/>
    <w:rsid w:val="02DD029C"/>
    <w:rsid w:val="02DD53DA"/>
    <w:rsid w:val="02DD598C"/>
    <w:rsid w:val="02E5725D"/>
    <w:rsid w:val="02E828A9"/>
    <w:rsid w:val="02ED1C6E"/>
    <w:rsid w:val="02EE4716"/>
    <w:rsid w:val="03036C83"/>
    <w:rsid w:val="03100052"/>
    <w:rsid w:val="031D70B2"/>
    <w:rsid w:val="03227C2F"/>
    <w:rsid w:val="03303A6C"/>
    <w:rsid w:val="035328CF"/>
    <w:rsid w:val="037B520E"/>
    <w:rsid w:val="037E5DCF"/>
    <w:rsid w:val="038E105D"/>
    <w:rsid w:val="03930E11"/>
    <w:rsid w:val="039E11BA"/>
    <w:rsid w:val="03A5079A"/>
    <w:rsid w:val="03B261E7"/>
    <w:rsid w:val="03C07005"/>
    <w:rsid w:val="03C21B8E"/>
    <w:rsid w:val="03C84489"/>
    <w:rsid w:val="03E73F51"/>
    <w:rsid w:val="03E868D9"/>
    <w:rsid w:val="03ED38B6"/>
    <w:rsid w:val="03F21E0D"/>
    <w:rsid w:val="03F86B1C"/>
    <w:rsid w:val="03FB1766"/>
    <w:rsid w:val="041B1A3F"/>
    <w:rsid w:val="04253689"/>
    <w:rsid w:val="04297E3C"/>
    <w:rsid w:val="043A613C"/>
    <w:rsid w:val="043E37E9"/>
    <w:rsid w:val="04557299"/>
    <w:rsid w:val="04657F2A"/>
    <w:rsid w:val="04876F6C"/>
    <w:rsid w:val="049715D3"/>
    <w:rsid w:val="04A06377"/>
    <w:rsid w:val="04C11604"/>
    <w:rsid w:val="04D8694E"/>
    <w:rsid w:val="04E62CFC"/>
    <w:rsid w:val="04E7250F"/>
    <w:rsid w:val="04E73936"/>
    <w:rsid w:val="04EB7D89"/>
    <w:rsid w:val="04F3565F"/>
    <w:rsid w:val="04F80D9E"/>
    <w:rsid w:val="051211C6"/>
    <w:rsid w:val="0535675D"/>
    <w:rsid w:val="053C11E9"/>
    <w:rsid w:val="05406729"/>
    <w:rsid w:val="0560351D"/>
    <w:rsid w:val="05746CDB"/>
    <w:rsid w:val="05AD1CED"/>
    <w:rsid w:val="05AF76AE"/>
    <w:rsid w:val="05B43FA6"/>
    <w:rsid w:val="05E22866"/>
    <w:rsid w:val="05EA345B"/>
    <w:rsid w:val="05F860E5"/>
    <w:rsid w:val="060969F4"/>
    <w:rsid w:val="060E7223"/>
    <w:rsid w:val="061544E1"/>
    <w:rsid w:val="0626507B"/>
    <w:rsid w:val="06274D10"/>
    <w:rsid w:val="06310234"/>
    <w:rsid w:val="06347FC0"/>
    <w:rsid w:val="06400C4E"/>
    <w:rsid w:val="06447DC7"/>
    <w:rsid w:val="064D7010"/>
    <w:rsid w:val="0660735B"/>
    <w:rsid w:val="06621CB5"/>
    <w:rsid w:val="0667442D"/>
    <w:rsid w:val="06720158"/>
    <w:rsid w:val="06754E26"/>
    <w:rsid w:val="067D365B"/>
    <w:rsid w:val="067E64F0"/>
    <w:rsid w:val="06805A4F"/>
    <w:rsid w:val="069536E9"/>
    <w:rsid w:val="069C613A"/>
    <w:rsid w:val="06A825F4"/>
    <w:rsid w:val="06B367A3"/>
    <w:rsid w:val="06C76C7A"/>
    <w:rsid w:val="06CA63B8"/>
    <w:rsid w:val="06CE6EF4"/>
    <w:rsid w:val="06D51D6A"/>
    <w:rsid w:val="06E412A6"/>
    <w:rsid w:val="06FE09DA"/>
    <w:rsid w:val="07090C52"/>
    <w:rsid w:val="071E2D3E"/>
    <w:rsid w:val="07296F16"/>
    <w:rsid w:val="07435A05"/>
    <w:rsid w:val="07462294"/>
    <w:rsid w:val="07490658"/>
    <w:rsid w:val="07550D30"/>
    <w:rsid w:val="07866B35"/>
    <w:rsid w:val="07911761"/>
    <w:rsid w:val="079E53C5"/>
    <w:rsid w:val="07A2026C"/>
    <w:rsid w:val="07B92DF8"/>
    <w:rsid w:val="07C35CFA"/>
    <w:rsid w:val="07D72EEC"/>
    <w:rsid w:val="07D83129"/>
    <w:rsid w:val="07DA3B6F"/>
    <w:rsid w:val="07E61381"/>
    <w:rsid w:val="07EA3C15"/>
    <w:rsid w:val="07EC732D"/>
    <w:rsid w:val="08000695"/>
    <w:rsid w:val="08154DC3"/>
    <w:rsid w:val="081859DF"/>
    <w:rsid w:val="08223887"/>
    <w:rsid w:val="082500FC"/>
    <w:rsid w:val="08336F51"/>
    <w:rsid w:val="083A2F63"/>
    <w:rsid w:val="084D0F58"/>
    <w:rsid w:val="085515D1"/>
    <w:rsid w:val="08566507"/>
    <w:rsid w:val="085C2138"/>
    <w:rsid w:val="085D4B1A"/>
    <w:rsid w:val="087807CF"/>
    <w:rsid w:val="08865107"/>
    <w:rsid w:val="08903093"/>
    <w:rsid w:val="08BA15F2"/>
    <w:rsid w:val="08BF5E5A"/>
    <w:rsid w:val="08C33BEB"/>
    <w:rsid w:val="08D515CF"/>
    <w:rsid w:val="08D922AC"/>
    <w:rsid w:val="08DA7138"/>
    <w:rsid w:val="08DD6155"/>
    <w:rsid w:val="08E81855"/>
    <w:rsid w:val="08E83851"/>
    <w:rsid w:val="08EE04EE"/>
    <w:rsid w:val="08F57415"/>
    <w:rsid w:val="08FF7AB1"/>
    <w:rsid w:val="090B3DE3"/>
    <w:rsid w:val="090D69D4"/>
    <w:rsid w:val="092A7093"/>
    <w:rsid w:val="09423105"/>
    <w:rsid w:val="094B1CC3"/>
    <w:rsid w:val="095A3DD5"/>
    <w:rsid w:val="096761A8"/>
    <w:rsid w:val="09684744"/>
    <w:rsid w:val="097275F8"/>
    <w:rsid w:val="09BA2B89"/>
    <w:rsid w:val="09C32EC2"/>
    <w:rsid w:val="09C74070"/>
    <w:rsid w:val="09CE7B1C"/>
    <w:rsid w:val="09CF4BD2"/>
    <w:rsid w:val="09D861D9"/>
    <w:rsid w:val="09DC6FDC"/>
    <w:rsid w:val="09E55D95"/>
    <w:rsid w:val="09E65607"/>
    <w:rsid w:val="09E65669"/>
    <w:rsid w:val="09E74C46"/>
    <w:rsid w:val="09E842DF"/>
    <w:rsid w:val="09FE29B2"/>
    <w:rsid w:val="0A042457"/>
    <w:rsid w:val="0A101698"/>
    <w:rsid w:val="0A1C1AFC"/>
    <w:rsid w:val="0A27015B"/>
    <w:rsid w:val="0A287A2F"/>
    <w:rsid w:val="0A2C7F98"/>
    <w:rsid w:val="0A2E0D3C"/>
    <w:rsid w:val="0A342878"/>
    <w:rsid w:val="0A474359"/>
    <w:rsid w:val="0A5B7E05"/>
    <w:rsid w:val="0A5D1981"/>
    <w:rsid w:val="0A6B4741"/>
    <w:rsid w:val="0A742C74"/>
    <w:rsid w:val="0A7A7F5F"/>
    <w:rsid w:val="0A977A73"/>
    <w:rsid w:val="0A9E263B"/>
    <w:rsid w:val="0AA82867"/>
    <w:rsid w:val="0AB143FE"/>
    <w:rsid w:val="0AF142C5"/>
    <w:rsid w:val="0AF53DBA"/>
    <w:rsid w:val="0B097A9F"/>
    <w:rsid w:val="0B116715"/>
    <w:rsid w:val="0B261896"/>
    <w:rsid w:val="0B284949"/>
    <w:rsid w:val="0B2A5B1C"/>
    <w:rsid w:val="0B2C5E24"/>
    <w:rsid w:val="0B3A2FAD"/>
    <w:rsid w:val="0B3A70C3"/>
    <w:rsid w:val="0B3D575C"/>
    <w:rsid w:val="0B3E3B14"/>
    <w:rsid w:val="0B4D5DA2"/>
    <w:rsid w:val="0B5F56D3"/>
    <w:rsid w:val="0B82583D"/>
    <w:rsid w:val="0B89325F"/>
    <w:rsid w:val="0BB35D31"/>
    <w:rsid w:val="0BBF1DEA"/>
    <w:rsid w:val="0BC638DE"/>
    <w:rsid w:val="0BCB3F2E"/>
    <w:rsid w:val="0BCC6DF7"/>
    <w:rsid w:val="0BDB7832"/>
    <w:rsid w:val="0BDC27AC"/>
    <w:rsid w:val="0BF23B46"/>
    <w:rsid w:val="0BF83554"/>
    <w:rsid w:val="0BFC1173"/>
    <w:rsid w:val="0C025BB3"/>
    <w:rsid w:val="0C0D40EB"/>
    <w:rsid w:val="0C0F22A9"/>
    <w:rsid w:val="0C1A784C"/>
    <w:rsid w:val="0C201306"/>
    <w:rsid w:val="0C4F54B4"/>
    <w:rsid w:val="0C503F46"/>
    <w:rsid w:val="0C5361FC"/>
    <w:rsid w:val="0C5E4C02"/>
    <w:rsid w:val="0C6112A5"/>
    <w:rsid w:val="0C6B725D"/>
    <w:rsid w:val="0C7565A8"/>
    <w:rsid w:val="0C7B29E0"/>
    <w:rsid w:val="0C7D381D"/>
    <w:rsid w:val="0C935C3C"/>
    <w:rsid w:val="0CB02DAF"/>
    <w:rsid w:val="0CB657C6"/>
    <w:rsid w:val="0CB93CA2"/>
    <w:rsid w:val="0CC53C5B"/>
    <w:rsid w:val="0CDD313D"/>
    <w:rsid w:val="0CE40585"/>
    <w:rsid w:val="0CE51C08"/>
    <w:rsid w:val="0CF166CC"/>
    <w:rsid w:val="0D166265"/>
    <w:rsid w:val="0D1E3B0E"/>
    <w:rsid w:val="0D605C68"/>
    <w:rsid w:val="0D7379F4"/>
    <w:rsid w:val="0D7B2AB5"/>
    <w:rsid w:val="0D880DE4"/>
    <w:rsid w:val="0D9413D8"/>
    <w:rsid w:val="0DB717F6"/>
    <w:rsid w:val="0DCF4D92"/>
    <w:rsid w:val="0DDD4478"/>
    <w:rsid w:val="0DDF35BE"/>
    <w:rsid w:val="0DF026E6"/>
    <w:rsid w:val="0DF450C4"/>
    <w:rsid w:val="0DFC1E8C"/>
    <w:rsid w:val="0E184392"/>
    <w:rsid w:val="0E3258FD"/>
    <w:rsid w:val="0E582966"/>
    <w:rsid w:val="0E6B22F4"/>
    <w:rsid w:val="0E6D6359"/>
    <w:rsid w:val="0E76520D"/>
    <w:rsid w:val="0E8536A2"/>
    <w:rsid w:val="0E927B6D"/>
    <w:rsid w:val="0E9953A0"/>
    <w:rsid w:val="0EBA38E6"/>
    <w:rsid w:val="0EBB07DB"/>
    <w:rsid w:val="0ED939EE"/>
    <w:rsid w:val="0EDD4F42"/>
    <w:rsid w:val="0EDE1763"/>
    <w:rsid w:val="0EFF52AD"/>
    <w:rsid w:val="0F222ECC"/>
    <w:rsid w:val="0F275BBC"/>
    <w:rsid w:val="0F2B795D"/>
    <w:rsid w:val="0F2F200D"/>
    <w:rsid w:val="0F4277E5"/>
    <w:rsid w:val="0F4B19BF"/>
    <w:rsid w:val="0F4C0664"/>
    <w:rsid w:val="0F4F7E54"/>
    <w:rsid w:val="0F5624FB"/>
    <w:rsid w:val="0F82537E"/>
    <w:rsid w:val="0F8C424A"/>
    <w:rsid w:val="0FA65A71"/>
    <w:rsid w:val="0FDE601F"/>
    <w:rsid w:val="0FF075FC"/>
    <w:rsid w:val="0FF131C4"/>
    <w:rsid w:val="0FFB3A06"/>
    <w:rsid w:val="0FFB6C85"/>
    <w:rsid w:val="10025E7A"/>
    <w:rsid w:val="100B2D56"/>
    <w:rsid w:val="101544EB"/>
    <w:rsid w:val="102A4B9D"/>
    <w:rsid w:val="102F49CB"/>
    <w:rsid w:val="10374E70"/>
    <w:rsid w:val="10446BCA"/>
    <w:rsid w:val="104739AC"/>
    <w:rsid w:val="105B06CE"/>
    <w:rsid w:val="10771710"/>
    <w:rsid w:val="10AD5132"/>
    <w:rsid w:val="10C85AC8"/>
    <w:rsid w:val="10CF355A"/>
    <w:rsid w:val="10E96908"/>
    <w:rsid w:val="10F63747"/>
    <w:rsid w:val="11023098"/>
    <w:rsid w:val="11034D52"/>
    <w:rsid w:val="11131A35"/>
    <w:rsid w:val="11276467"/>
    <w:rsid w:val="11493D02"/>
    <w:rsid w:val="115745DF"/>
    <w:rsid w:val="11673533"/>
    <w:rsid w:val="117417AC"/>
    <w:rsid w:val="11844D14"/>
    <w:rsid w:val="11851C0B"/>
    <w:rsid w:val="11906397"/>
    <w:rsid w:val="11991213"/>
    <w:rsid w:val="11A24424"/>
    <w:rsid w:val="11A32873"/>
    <w:rsid w:val="11AA678F"/>
    <w:rsid w:val="11AE7541"/>
    <w:rsid w:val="11BE0997"/>
    <w:rsid w:val="11C137B8"/>
    <w:rsid w:val="11C46C08"/>
    <w:rsid w:val="11CC2B0E"/>
    <w:rsid w:val="11E76422"/>
    <w:rsid w:val="11F03528"/>
    <w:rsid w:val="11FF551A"/>
    <w:rsid w:val="120325DE"/>
    <w:rsid w:val="1218482D"/>
    <w:rsid w:val="12237B08"/>
    <w:rsid w:val="12386C7D"/>
    <w:rsid w:val="123D1FC9"/>
    <w:rsid w:val="12432FFF"/>
    <w:rsid w:val="12525F91"/>
    <w:rsid w:val="125B4B29"/>
    <w:rsid w:val="126343B4"/>
    <w:rsid w:val="1264305F"/>
    <w:rsid w:val="126C71CE"/>
    <w:rsid w:val="127376A9"/>
    <w:rsid w:val="128D3425"/>
    <w:rsid w:val="12AC282E"/>
    <w:rsid w:val="12B22989"/>
    <w:rsid w:val="12B26A30"/>
    <w:rsid w:val="12C0114D"/>
    <w:rsid w:val="12C21B2E"/>
    <w:rsid w:val="12D735AB"/>
    <w:rsid w:val="12DB5F87"/>
    <w:rsid w:val="12E260AD"/>
    <w:rsid w:val="12E56E05"/>
    <w:rsid w:val="12E91559"/>
    <w:rsid w:val="12E95F2B"/>
    <w:rsid w:val="12EB513A"/>
    <w:rsid w:val="12EE0384"/>
    <w:rsid w:val="12F232D0"/>
    <w:rsid w:val="13100A76"/>
    <w:rsid w:val="131D034D"/>
    <w:rsid w:val="131F0A7F"/>
    <w:rsid w:val="13205619"/>
    <w:rsid w:val="13394A5B"/>
    <w:rsid w:val="133B4B25"/>
    <w:rsid w:val="135172E5"/>
    <w:rsid w:val="13680D28"/>
    <w:rsid w:val="136E0BA9"/>
    <w:rsid w:val="13864D18"/>
    <w:rsid w:val="138F0B1F"/>
    <w:rsid w:val="139454AD"/>
    <w:rsid w:val="139F03F6"/>
    <w:rsid w:val="13A47873"/>
    <w:rsid w:val="13B55962"/>
    <w:rsid w:val="13C61F27"/>
    <w:rsid w:val="13CA6CD3"/>
    <w:rsid w:val="13CB674A"/>
    <w:rsid w:val="13EC5F71"/>
    <w:rsid w:val="13FA41EA"/>
    <w:rsid w:val="14025795"/>
    <w:rsid w:val="14033ECF"/>
    <w:rsid w:val="14043122"/>
    <w:rsid w:val="1427351D"/>
    <w:rsid w:val="14437B44"/>
    <w:rsid w:val="14504752"/>
    <w:rsid w:val="1460135C"/>
    <w:rsid w:val="1474624F"/>
    <w:rsid w:val="14787422"/>
    <w:rsid w:val="148C21B0"/>
    <w:rsid w:val="14AD031C"/>
    <w:rsid w:val="14C33DB7"/>
    <w:rsid w:val="14DE3B0C"/>
    <w:rsid w:val="14E54E9B"/>
    <w:rsid w:val="14EC41EA"/>
    <w:rsid w:val="14F744C9"/>
    <w:rsid w:val="15194B44"/>
    <w:rsid w:val="15261ADB"/>
    <w:rsid w:val="155B350E"/>
    <w:rsid w:val="156113E2"/>
    <w:rsid w:val="15737602"/>
    <w:rsid w:val="15793835"/>
    <w:rsid w:val="15914368"/>
    <w:rsid w:val="159A3ED7"/>
    <w:rsid w:val="159E5049"/>
    <w:rsid w:val="159F2051"/>
    <w:rsid w:val="15A37B48"/>
    <w:rsid w:val="15A7091D"/>
    <w:rsid w:val="15B40634"/>
    <w:rsid w:val="15B84334"/>
    <w:rsid w:val="15BF5987"/>
    <w:rsid w:val="15C076B6"/>
    <w:rsid w:val="15C62CD0"/>
    <w:rsid w:val="15CC123F"/>
    <w:rsid w:val="15F551FE"/>
    <w:rsid w:val="15F638FB"/>
    <w:rsid w:val="15FF213F"/>
    <w:rsid w:val="16094BB9"/>
    <w:rsid w:val="16096967"/>
    <w:rsid w:val="160A0C75"/>
    <w:rsid w:val="160B0931"/>
    <w:rsid w:val="161377E5"/>
    <w:rsid w:val="163C029A"/>
    <w:rsid w:val="16414AC9"/>
    <w:rsid w:val="1641578F"/>
    <w:rsid w:val="164803CE"/>
    <w:rsid w:val="164C7AF9"/>
    <w:rsid w:val="16773610"/>
    <w:rsid w:val="16865A4A"/>
    <w:rsid w:val="16917AAF"/>
    <w:rsid w:val="169A1CB5"/>
    <w:rsid w:val="169C5A2D"/>
    <w:rsid w:val="16AD0A67"/>
    <w:rsid w:val="16D04616"/>
    <w:rsid w:val="16EF7F74"/>
    <w:rsid w:val="16F51E76"/>
    <w:rsid w:val="16FE2D5E"/>
    <w:rsid w:val="17147A18"/>
    <w:rsid w:val="17342399"/>
    <w:rsid w:val="17446A01"/>
    <w:rsid w:val="17575DF8"/>
    <w:rsid w:val="17595A97"/>
    <w:rsid w:val="175A4B41"/>
    <w:rsid w:val="1760737E"/>
    <w:rsid w:val="17793FC0"/>
    <w:rsid w:val="177A4E90"/>
    <w:rsid w:val="17A411E1"/>
    <w:rsid w:val="17A42B3E"/>
    <w:rsid w:val="17B6418E"/>
    <w:rsid w:val="17D47448"/>
    <w:rsid w:val="18235CAA"/>
    <w:rsid w:val="18406B98"/>
    <w:rsid w:val="18411CF8"/>
    <w:rsid w:val="1847039F"/>
    <w:rsid w:val="184719C8"/>
    <w:rsid w:val="18566322"/>
    <w:rsid w:val="18622CA6"/>
    <w:rsid w:val="186E33F9"/>
    <w:rsid w:val="187825D6"/>
    <w:rsid w:val="18797892"/>
    <w:rsid w:val="18957D75"/>
    <w:rsid w:val="18964FA8"/>
    <w:rsid w:val="189F35B2"/>
    <w:rsid w:val="18A0088A"/>
    <w:rsid w:val="18B85315"/>
    <w:rsid w:val="18BC23B6"/>
    <w:rsid w:val="18C718B6"/>
    <w:rsid w:val="18CB3E99"/>
    <w:rsid w:val="18D06021"/>
    <w:rsid w:val="18DC2DEE"/>
    <w:rsid w:val="18EA1E36"/>
    <w:rsid w:val="18F07354"/>
    <w:rsid w:val="18FE29CF"/>
    <w:rsid w:val="190201D6"/>
    <w:rsid w:val="190776DD"/>
    <w:rsid w:val="190A1374"/>
    <w:rsid w:val="19175ADC"/>
    <w:rsid w:val="1918427E"/>
    <w:rsid w:val="19204742"/>
    <w:rsid w:val="192D5405"/>
    <w:rsid w:val="1930525F"/>
    <w:rsid w:val="195B2DEE"/>
    <w:rsid w:val="197720A3"/>
    <w:rsid w:val="198A6E34"/>
    <w:rsid w:val="198B2AAE"/>
    <w:rsid w:val="19B062B6"/>
    <w:rsid w:val="19C71013"/>
    <w:rsid w:val="1A1A55E6"/>
    <w:rsid w:val="1A255E9D"/>
    <w:rsid w:val="1A361C8A"/>
    <w:rsid w:val="1A390616"/>
    <w:rsid w:val="1A3D7527"/>
    <w:rsid w:val="1A4B1C44"/>
    <w:rsid w:val="1A5C7316"/>
    <w:rsid w:val="1A69644B"/>
    <w:rsid w:val="1A723D6B"/>
    <w:rsid w:val="1A736AA5"/>
    <w:rsid w:val="1A7C004F"/>
    <w:rsid w:val="1A8E059C"/>
    <w:rsid w:val="1AA03F29"/>
    <w:rsid w:val="1AA43E0E"/>
    <w:rsid w:val="1AAF3571"/>
    <w:rsid w:val="1AB117E7"/>
    <w:rsid w:val="1ABC7D4E"/>
    <w:rsid w:val="1AD772FB"/>
    <w:rsid w:val="1AE53683"/>
    <w:rsid w:val="1AE55B64"/>
    <w:rsid w:val="1AF2106E"/>
    <w:rsid w:val="1AF51BD8"/>
    <w:rsid w:val="1AFB6971"/>
    <w:rsid w:val="1B140288"/>
    <w:rsid w:val="1B245F4B"/>
    <w:rsid w:val="1B28788F"/>
    <w:rsid w:val="1B2C1F36"/>
    <w:rsid w:val="1B2D12FA"/>
    <w:rsid w:val="1B3B0ABD"/>
    <w:rsid w:val="1B3D20D5"/>
    <w:rsid w:val="1B3E509E"/>
    <w:rsid w:val="1B4548E5"/>
    <w:rsid w:val="1B4555D6"/>
    <w:rsid w:val="1B4B4B89"/>
    <w:rsid w:val="1B4D5379"/>
    <w:rsid w:val="1B515572"/>
    <w:rsid w:val="1B644B05"/>
    <w:rsid w:val="1B770817"/>
    <w:rsid w:val="1B854865"/>
    <w:rsid w:val="1B854FDF"/>
    <w:rsid w:val="1B8B170E"/>
    <w:rsid w:val="1B9413C8"/>
    <w:rsid w:val="1B9803CF"/>
    <w:rsid w:val="1B98337D"/>
    <w:rsid w:val="1B993D30"/>
    <w:rsid w:val="1B9C45A8"/>
    <w:rsid w:val="1BAE0AE9"/>
    <w:rsid w:val="1BDD5651"/>
    <w:rsid w:val="1BE64BA3"/>
    <w:rsid w:val="1BF15DCA"/>
    <w:rsid w:val="1BFB4FA4"/>
    <w:rsid w:val="1C0711D4"/>
    <w:rsid w:val="1C0F399F"/>
    <w:rsid w:val="1C1B5128"/>
    <w:rsid w:val="1C316C17"/>
    <w:rsid w:val="1C360715"/>
    <w:rsid w:val="1C3C7EA9"/>
    <w:rsid w:val="1C3E7A3C"/>
    <w:rsid w:val="1C454471"/>
    <w:rsid w:val="1C582DE0"/>
    <w:rsid w:val="1C6E39C8"/>
    <w:rsid w:val="1C7A31AE"/>
    <w:rsid w:val="1C9D1DA8"/>
    <w:rsid w:val="1CB13118"/>
    <w:rsid w:val="1CB22D3B"/>
    <w:rsid w:val="1CBE3199"/>
    <w:rsid w:val="1CC63637"/>
    <w:rsid w:val="1CD049D0"/>
    <w:rsid w:val="1CD37AB5"/>
    <w:rsid w:val="1CE04199"/>
    <w:rsid w:val="1CEC2C59"/>
    <w:rsid w:val="1CED6FE2"/>
    <w:rsid w:val="1CEE104F"/>
    <w:rsid w:val="1CF332BF"/>
    <w:rsid w:val="1D0D54B9"/>
    <w:rsid w:val="1D2152F1"/>
    <w:rsid w:val="1D2F2FE7"/>
    <w:rsid w:val="1D352737"/>
    <w:rsid w:val="1D450013"/>
    <w:rsid w:val="1D6708AF"/>
    <w:rsid w:val="1D6B6159"/>
    <w:rsid w:val="1D7068D1"/>
    <w:rsid w:val="1D72568A"/>
    <w:rsid w:val="1D75191F"/>
    <w:rsid w:val="1D7B0CEF"/>
    <w:rsid w:val="1D7C7C8B"/>
    <w:rsid w:val="1D8C3E58"/>
    <w:rsid w:val="1DA94F92"/>
    <w:rsid w:val="1DBC4C07"/>
    <w:rsid w:val="1DBC7851"/>
    <w:rsid w:val="1DBE151C"/>
    <w:rsid w:val="1DC064A5"/>
    <w:rsid w:val="1DC5235E"/>
    <w:rsid w:val="1DCA10D2"/>
    <w:rsid w:val="1DCC529F"/>
    <w:rsid w:val="1DD40B7D"/>
    <w:rsid w:val="1DDA7859"/>
    <w:rsid w:val="1DE2262F"/>
    <w:rsid w:val="1DF45C16"/>
    <w:rsid w:val="1E003A05"/>
    <w:rsid w:val="1E0A05D9"/>
    <w:rsid w:val="1E1360D3"/>
    <w:rsid w:val="1E141307"/>
    <w:rsid w:val="1E2A6526"/>
    <w:rsid w:val="1E2D1954"/>
    <w:rsid w:val="1E375B49"/>
    <w:rsid w:val="1E4976CD"/>
    <w:rsid w:val="1E5310C7"/>
    <w:rsid w:val="1E804169"/>
    <w:rsid w:val="1E81685D"/>
    <w:rsid w:val="1E972595"/>
    <w:rsid w:val="1EA065D4"/>
    <w:rsid w:val="1EAC4C7B"/>
    <w:rsid w:val="1EBF06D7"/>
    <w:rsid w:val="1EFD54D7"/>
    <w:rsid w:val="1F0C3E04"/>
    <w:rsid w:val="1F1F2C34"/>
    <w:rsid w:val="1F26567D"/>
    <w:rsid w:val="1F271546"/>
    <w:rsid w:val="1F2760B0"/>
    <w:rsid w:val="1F2C7572"/>
    <w:rsid w:val="1F7F7C9A"/>
    <w:rsid w:val="1FAB6CE1"/>
    <w:rsid w:val="1FC17C12"/>
    <w:rsid w:val="1FC6340A"/>
    <w:rsid w:val="1FCB4523"/>
    <w:rsid w:val="1FDE59B1"/>
    <w:rsid w:val="1FE97116"/>
    <w:rsid w:val="1FF561AE"/>
    <w:rsid w:val="200415C4"/>
    <w:rsid w:val="2006563C"/>
    <w:rsid w:val="20280331"/>
    <w:rsid w:val="20306BD1"/>
    <w:rsid w:val="2033005C"/>
    <w:rsid w:val="20374D4E"/>
    <w:rsid w:val="205B24B5"/>
    <w:rsid w:val="20827A42"/>
    <w:rsid w:val="209E3C88"/>
    <w:rsid w:val="20A023A3"/>
    <w:rsid w:val="20B03D83"/>
    <w:rsid w:val="20BA22FC"/>
    <w:rsid w:val="20DA79B4"/>
    <w:rsid w:val="20DB53A4"/>
    <w:rsid w:val="20EA1DAD"/>
    <w:rsid w:val="20ED7432"/>
    <w:rsid w:val="20F3473B"/>
    <w:rsid w:val="20FA49EA"/>
    <w:rsid w:val="20FC0CDE"/>
    <w:rsid w:val="20FC3D8A"/>
    <w:rsid w:val="210C0DE0"/>
    <w:rsid w:val="21283172"/>
    <w:rsid w:val="213E6B87"/>
    <w:rsid w:val="21510673"/>
    <w:rsid w:val="215B468B"/>
    <w:rsid w:val="21607D16"/>
    <w:rsid w:val="21613AFB"/>
    <w:rsid w:val="216B497A"/>
    <w:rsid w:val="216D06F2"/>
    <w:rsid w:val="21870F94"/>
    <w:rsid w:val="218D668D"/>
    <w:rsid w:val="21921E72"/>
    <w:rsid w:val="21B34266"/>
    <w:rsid w:val="21B554D7"/>
    <w:rsid w:val="21BD7364"/>
    <w:rsid w:val="21BE085D"/>
    <w:rsid w:val="21C415C4"/>
    <w:rsid w:val="21D7200F"/>
    <w:rsid w:val="21D737A5"/>
    <w:rsid w:val="21DC30F5"/>
    <w:rsid w:val="21FE5AAC"/>
    <w:rsid w:val="22094132"/>
    <w:rsid w:val="220B7216"/>
    <w:rsid w:val="22160FB3"/>
    <w:rsid w:val="2240296C"/>
    <w:rsid w:val="22452CD9"/>
    <w:rsid w:val="224569D5"/>
    <w:rsid w:val="224B38F8"/>
    <w:rsid w:val="224C47AB"/>
    <w:rsid w:val="22573150"/>
    <w:rsid w:val="22600B99"/>
    <w:rsid w:val="2262184E"/>
    <w:rsid w:val="22713E52"/>
    <w:rsid w:val="22730961"/>
    <w:rsid w:val="22923C34"/>
    <w:rsid w:val="229C0074"/>
    <w:rsid w:val="22AD5281"/>
    <w:rsid w:val="22B3482A"/>
    <w:rsid w:val="22BB4EC8"/>
    <w:rsid w:val="22D447A0"/>
    <w:rsid w:val="22D762F3"/>
    <w:rsid w:val="22DC0ADE"/>
    <w:rsid w:val="22EF38AF"/>
    <w:rsid w:val="22F11CE0"/>
    <w:rsid w:val="22FE4BEA"/>
    <w:rsid w:val="231E4892"/>
    <w:rsid w:val="231E77CA"/>
    <w:rsid w:val="2322454C"/>
    <w:rsid w:val="232E5C5F"/>
    <w:rsid w:val="2339743D"/>
    <w:rsid w:val="234279B0"/>
    <w:rsid w:val="23711FEF"/>
    <w:rsid w:val="237827E2"/>
    <w:rsid w:val="239F377F"/>
    <w:rsid w:val="23AA1FE5"/>
    <w:rsid w:val="23CE6699"/>
    <w:rsid w:val="23E31D17"/>
    <w:rsid w:val="23F32A04"/>
    <w:rsid w:val="23F52A31"/>
    <w:rsid w:val="23F8626D"/>
    <w:rsid w:val="23FC31D7"/>
    <w:rsid w:val="2409047A"/>
    <w:rsid w:val="240F4A2D"/>
    <w:rsid w:val="24183A7C"/>
    <w:rsid w:val="2419690F"/>
    <w:rsid w:val="242A3464"/>
    <w:rsid w:val="242B4C10"/>
    <w:rsid w:val="243E0148"/>
    <w:rsid w:val="244260D7"/>
    <w:rsid w:val="245142FB"/>
    <w:rsid w:val="24581193"/>
    <w:rsid w:val="2460559A"/>
    <w:rsid w:val="248875F1"/>
    <w:rsid w:val="24A106B2"/>
    <w:rsid w:val="24A81235"/>
    <w:rsid w:val="24C543A1"/>
    <w:rsid w:val="24D01010"/>
    <w:rsid w:val="24E64EBF"/>
    <w:rsid w:val="2503311B"/>
    <w:rsid w:val="25067CE3"/>
    <w:rsid w:val="250E6E30"/>
    <w:rsid w:val="25165674"/>
    <w:rsid w:val="25184258"/>
    <w:rsid w:val="251B7141"/>
    <w:rsid w:val="252E1F46"/>
    <w:rsid w:val="2531151D"/>
    <w:rsid w:val="253727D0"/>
    <w:rsid w:val="255E6A17"/>
    <w:rsid w:val="257A5E34"/>
    <w:rsid w:val="259D37E8"/>
    <w:rsid w:val="25B82157"/>
    <w:rsid w:val="25C1725E"/>
    <w:rsid w:val="25DB6CBC"/>
    <w:rsid w:val="25E14C56"/>
    <w:rsid w:val="25E46E7B"/>
    <w:rsid w:val="25EB092E"/>
    <w:rsid w:val="25F25669"/>
    <w:rsid w:val="25F413E1"/>
    <w:rsid w:val="261455E0"/>
    <w:rsid w:val="261761A2"/>
    <w:rsid w:val="26215F4F"/>
    <w:rsid w:val="262670C1"/>
    <w:rsid w:val="264358A9"/>
    <w:rsid w:val="264A2E70"/>
    <w:rsid w:val="266F18AA"/>
    <w:rsid w:val="267D5105"/>
    <w:rsid w:val="267F6A10"/>
    <w:rsid w:val="268F4C66"/>
    <w:rsid w:val="269475E4"/>
    <w:rsid w:val="26B47D7B"/>
    <w:rsid w:val="26B56AD8"/>
    <w:rsid w:val="26CF4A60"/>
    <w:rsid w:val="26ED18E9"/>
    <w:rsid w:val="27003BC0"/>
    <w:rsid w:val="270F5B8F"/>
    <w:rsid w:val="27111B1F"/>
    <w:rsid w:val="272950BB"/>
    <w:rsid w:val="272C4BAB"/>
    <w:rsid w:val="273C6FE6"/>
    <w:rsid w:val="27402EAC"/>
    <w:rsid w:val="274F4A0F"/>
    <w:rsid w:val="27530017"/>
    <w:rsid w:val="275A23D1"/>
    <w:rsid w:val="27640B66"/>
    <w:rsid w:val="276E0D20"/>
    <w:rsid w:val="2780222C"/>
    <w:rsid w:val="27AC35F6"/>
    <w:rsid w:val="27B62191"/>
    <w:rsid w:val="27B80D82"/>
    <w:rsid w:val="27F03715"/>
    <w:rsid w:val="27F07786"/>
    <w:rsid w:val="28037FA1"/>
    <w:rsid w:val="280D3597"/>
    <w:rsid w:val="2810627B"/>
    <w:rsid w:val="28143990"/>
    <w:rsid w:val="281A4C67"/>
    <w:rsid w:val="282910EA"/>
    <w:rsid w:val="282E0917"/>
    <w:rsid w:val="284C045D"/>
    <w:rsid w:val="2856543A"/>
    <w:rsid w:val="285F4A1E"/>
    <w:rsid w:val="2866065C"/>
    <w:rsid w:val="28662BD3"/>
    <w:rsid w:val="287454C4"/>
    <w:rsid w:val="288A0840"/>
    <w:rsid w:val="288A7AA8"/>
    <w:rsid w:val="2892400F"/>
    <w:rsid w:val="289742A6"/>
    <w:rsid w:val="28BB2B58"/>
    <w:rsid w:val="28BB2C4F"/>
    <w:rsid w:val="28D56B7C"/>
    <w:rsid w:val="28D600E2"/>
    <w:rsid w:val="28DC5EA4"/>
    <w:rsid w:val="28DE70EB"/>
    <w:rsid w:val="28E56758"/>
    <w:rsid w:val="28E8139F"/>
    <w:rsid w:val="28F2772E"/>
    <w:rsid w:val="28F30D41"/>
    <w:rsid w:val="28FE4168"/>
    <w:rsid w:val="29211DC2"/>
    <w:rsid w:val="292F2731"/>
    <w:rsid w:val="2931260B"/>
    <w:rsid w:val="2939535D"/>
    <w:rsid w:val="293F0351"/>
    <w:rsid w:val="294778BF"/>
    <w:rsid w:val="294E364D"/>
    <w:rsid w:val="29793709"/>
    <w:rsid w:val="297E7214"/>
    <w:rsid w:val="29805BC8"/>
    <w:rsid w:val="298C18C1"/>
    <w:rsid w:val="29A2084E"/>
    <w:rsid w:val="29A7420A"/>
    <w:rsid w:val="29AF345F"/>
    <w:rsid w:val="29C323D4"/>
    <w:rsid w:val="29C56B78"/>
    <w:rsid w:val="29D44898"/>
    <w:rsid w:val="29E05209"/>
    <w:rsid w:val="2A0D172C"/>
    <w:rsid w:val="2A0F5360"/>
    <w:rsid w:val="2A1243E7"/>
    <w:rsid w:val="2A273408"/>
    <w:rsid w:val="2A390EC5"/>
    <w:rsid w:val="2A4022D4"/>
    <w:rsid w:val="2A4715CF"/>
    <w:rsid w:val="2A4D1354"/>
    <w:rsid w:val="2A580712"/>
    <w:rsid w:val="2A591E76"/>
    <w:rsid w:val="2A7406E6"/>
    <w:rsid w:val="2A7506E8"/>
    <w:rsid w:val="2A7F0B53"/>
    <w:rsid w:val="2AA53FB3"/>
    <w:rsid w:val="2AAA4924"/>
    <w:rsid w:val="2ACB7F37"/>
    <w:rsid w:val="2AD76BDC"/>
    <w:rsid w:val="2AD97A87"/>
    <w:rsid w:val="2AF20BB1"/>
    <w:rsid w:val="2B0B1799"/>
    <w:rsid w:val="2B125E66"/>
    <w:rsid w:val="2B1453E4"/>
    <w:rsid w:val="2B1D1780"/>
    <w:rsid w:val="2B2012AD"/>
    <w:rsid w:val="2B490AEE"/>
    <w:rsid w:val="2B4F38F7"/>
    <w:rsid w:val="2B5557E5"/>
    <w:rsid w:val="2B605B59"/>
    <w:rsid w:val="2B67525B"/>
    <w:rsid w:val="2B853825"/>
    <w:rsid w:val="2B893600"/>
    <w:rsid w:val="2B916CDF"/>
    <w:rsid w:val="2BA50A88"/>
    <w:rsid w:val="2BC52ED8"/>
    <w:rsid w:val="2BD93A34"/>
    <w:rsid w:val="2BEF4305"/>
    <w:rsid w:val="2BF8505C"/>
    <w:rsid w:val="2BF9498F"/>
    <w:rsid w:val="2BFB7326"/>
    <w:rsid w:val="2C081860"/>
    <w:rsid w:val="2C0B258D"/>
    <w:rsid w:val="2C0D0BE9"/>
    <w:rsid w:val="2C1313E8"/>
    <w:rsid w:val="2C183950"/>
    <w:rsid w:val="2C2461F3"/>
    <w:rsid w:val="2C2A0B96"/>
    <w:rsid w:val="2C5E2BA7"/>
    <w:rsid w:val="2C6027BC"/>
    <w:rsid w:val="2C665C67"/>
    <w:rsid w:val="2C680AA2"/>
    <w:rsid w:val="2C6A7F59"/>
    <w:rsid w:val="2CA406D6"/>
    <w:rsid w:val="2CB05936"/>
    <w:rsid w:val="2CB50DA6"/>
    <w:rsid w:val="2CB8132B"/>
    <w:rsid w:val="2CBA4A07"/>
    <w:rsid w:val="2CCF0BBF"/>
    <w:rsid w:val="2CD158B5"/>
    <w:rsid w:val="2CFD19F5"/>
    <w:rsid w:val="2CFD652B"/>
    <w:rsid w:val="2D0E3978"/>
    <w:rsid w:val="2D2212E5"/>
    <w:rsid w:val="2D3E1194"/>
    <w:rsid w:val="2D462537"/>
    <w:rsid w:val="2D532517"/>
    <w:rsid w:val="2D5428F8"/>
    <w:rsid w:val="2D636E4D"/>
    <w:rsid w:val="2DA76D39"/>
    <w:rsid w:val="2DBA7D40"/>
    <w:rsid w:val="2DC3565D"/>
    <w:rsid w:val="2DC413B6"/>
    <w:rsid w:val="2DCE2070"/>
    <w:rsid w:val="2DCF67A5"/>
    <w:rsid w:val="2DD3461D"/>
    <w:rsid w:val="2E092AA9"/>
    <w:rsid w:val="2E3F45EA"/>
    <w:rsid w:val="2E5B4739"/>
    <w:rsid w:val="2E5D4969"/>
    <w:rsid w:val="2E673156"/>
    <w:rsid w:val="2E6F1629"/>
    <w:rsid w:val="2E7078E1"/>
    <w:rsid w:val="2E76670C"/>
    <w:rsid w:val="2E7B3745"/>
    <w:rsid w:val="2E836001"/>
    <w:rsid w:val="2E864BA1"/>
    <w:rsid w:val="2E90284D"/>
    <w:rsid w:val="2E9A689E"/>
    <w:rsid w:val="2EA46655"/>
    <w:rsid w:val="2EA770E8"/>
    <w:rsid w:val="2EAF2D66"/>
    <w:rsid w:val="2ED3590C"/>
    <w:rsid w:val="2EDF4686"/>
    <w:rsid w:val="2EE203AF"/>
    <w:rsid w:val="2EE87A31"/>
    <w:rsid w:val="2EEB70FA"/>
    <w:rsid w:val="2EEE2746"/>
    <w:rsid w:val="2EF05FE7"/>
    <w:rsid w:val="2F027601"/>
    <w:rsid w:val="2F0C1127"/>
    <w:rsid w:val="2F234AE5"/>
    <w:rsid w:val="2F266266"/>
    <w:rsid w:val="2F275645"/>
    <w:rsid w:val="2F3445FD"/>
    <w:rsid w:val="2F4A6121"/>
    <w:rsid w:val="2F5C7FF7"/>
    <w:rsid w:val="2F603F3E"/>
    <w:rsid w:val="2F6D771D"/>
    <w:rsid w:val="2F8310E0"/>
    <w:rsid w:val="2F840F69"/>
    <w:rsid w:val="2F841A12"/>
    <w:rsid w:val="2F8A246F"/>
    <w:rsid w:val="2F8D6403"/>
    <w:rsid w:val="2F9C00DB"/>
    <w:rsid w:val="2FA21EAE"/>
    <w:rsid w:val="2FA459A5"/>
    <w:rsid w:val="2FAA3995"/>
    <w:rsid w:val="2FB34412"/>
    <w:rsid w:val="2FBA585A"/>
    <w:rsid w:val="2FBB4D1E"/>
    <w:rsid w:val="2FBB6ACC"/>
    <w:rsid w:val="2FCF2577"/>
    <w:rsid w:val="2FDD5A67"/>
    <w:rsid w:val="2FE853E7"/>
    <w:rsid w:val="2FF10027"/>
    <w:rsid w:val="30110DE2"/>
    <w:rsid w:val="301306B6"/>
    <w:rsid w:val="30183F1E"/>
    <w:rsid w:val="301C14C1"/>
    <w:rsid w:val="30233399"/>
    <w:rsid w:val="3038516F"/>
    <w:rsid w:val="3038636F"/>
    <w:rsid w:val="304B0B4C"/>
    <w:rsid w:val="30500089"/>
    <w:rsid w:val="3058359B"/>
    <w:rsid w:val="305947FE"/>
    <w:rsid w:val="30657BDE"/>
    <w:rsid w:val="3070722D"/>
    <w:rsid w:val="30777D25"/>
    <w:rsid w:val="307862DE"/>
    <w:rsid w:val="308556FC"/>
    <w:rsid w:val="308A178F"/>
    <w:rsid w:val="30986B93"/>
    <w:rsid w:val="30B22DD1"/>
    <w:rsid w:val="30CF2A40"/>
    <w:rsid w:val="30D10DD3"/>
    <w:rsid w:val="30FE1366"/>
    <w:rsid w:val="30FF6E8C"/>
    <w:rsid w:val="31097D0B"/>
    <w:rsid w:val="311D5D13"/>
    <w:rsid w:val="311F308B"/>
    <w:rsid w:val="311F3225"/>
    <w:rsid w:val="3122041A"/>
    <w:rsid w:val="312B7C81"/>
    <w:rsid w:val="3135465C"/>
    <w:rsid w:val="313568B9"/>
    <w:rsid w:val="31442EA9"/>
    <w:rsid w:val="314E4ADE"/>
    <w:rsid w:val="31502DEF"/>
    <w:rsid w:val="315F3BAC"/>
    <w:rsid w:val="316136A3"/>
    <w:rsid w:val="3163566D"/>
    <w:rsid w:val="31641F99"/>
    <w:rsid w:val="3168481B"/>
    <w:rsid w:val="316A5CB5"/>
    <w:rsid w:val="31717D8A"/>
    <w:rsid w:val="31730030"/>
    <w:rsid w:val="31744942"/>
    <w:rsid w:val="318B1DD8"/>
    <w:rsid w:val="318C4312"/>
    <w:rsid w:val="3195076F"/>
    <w:rsid w:val="3196159F"/>
    <w:rsid w:val="3198357D"/>
    <w:rsid w:val="319B4E07"/>
    <w:rsid w:val="31A02ABC"/>
    <w:rsid w:val="31DA602E"/>
    <w:rsid w:val="31E66087"/>
    <w:rsid w:val="31EC7BF6"/>
    <w:rsid w:val="31FC3722"/>
    <w:rsid w:val="320209E2"/>
    <w:rsid w:val="320A7AA4"/>
    <w:rsid w:val="321815DB"/>
    <w:rsid w:val="32286688"/>
    <w:rsid w:val="322A7D1F"/>
    <w:rsid w:val="322F7F00"/>
    <w:rsid w:val="323E33C3"/>
    <w:rsid w:val="324223E5"/>
    <w:rsid w:val="324A05DB"/>
    <w:rsid w:val="328B74FD"/>
    <w:rsid w:val="32A001FB"/>
    <w:rsid w:val="32D61E6F"/>
    <w:rsid w:val="33096E5B"/>
    <w:rsid w:val="330B1693"/>
    <w:rsid w:val="332E694B"/>
    <w:rsid w:val="3340186F"/>
    <w:rsid w:val="334453A4"/>
    <w:rsid w:val="334F03CF"/>
    <w:rsid w:val="3355049A"/>
    <w:rsid w:val="3360174A"/>
    <w:rsid w:val="336B25B7"/>
    <w:rsid w:val="3375198A"/>
    <w:rsid w:val="338673F1"/>
    <w:rsid w:val="33870C1A"/>
    <w:rsid w:val="338B4ADF"/>
    <w:rsid w:val="338D1111"/>
    <w:rsid w:val="339B6ADF"/>
    <w:rsid w:val="33A6015F"/>
    <w:rsid w:val="33AB50A9"/>
    <w:rsid w:val="33D57876"/>
    <w:rsid w:val="33E05FD7"/>
    <w:rsid w:val="33F13A4B"/>
    <w:rsid w:val="33F63C33"/>
    <w:rsid w:val="34094276"/>
    <w:rsid w:val="340A6274"/>
    <w:rsid w:val="34185E8E"/>
    <w:rsid w:val="341C5D39"/>
    <w:rsid w:val="342C28E4"/>
    <w:rsid w:val="342C61EA"/>
    <w:rsid w:val="34405969"/>
    <w:rsid w:val="346B74BB"/>
    <w:rsid w:val="3474329C"/>
    <w:rsid w:val="34783A2E"/>
    <w:rsid w:val="348302C0"/>
    <w:rsid w:val="349E5EEA"/>
    <w:rsid w:val="349F0EB6"/>
    <w:rsid w:val="34A61090"/>
    <w:rsid w:val="34AB6B6B"/>
    <w:rsid w:val="34AD4A64"/>
    <w:rsid w:val="34B83161"/>
    <w:rsid w:val="34BC595C"/>
    <w:rsid w:val="34BD5094"/>
    <w:rsid w:val="34D348B8"/>
    <w:rsid w:val="34DC2B4A"/>
    <w:rsid w:val="34DE156B"/>
    <w:rsid w:val="34E3550C"/>
    <w:rsid w:val="34E72111"/>
    <w:rsid w:val="34EA2E3B"/>
    <w:rsid w:val="350031D3"/>
    <w:rsid w:val="3504246A"/>
    <w:rsid w:val="35072491"/>
    <w:rsid w:val="350E307A"/>
    <w:rsid w:val="352530A9"/>
    <w:rsid w:val="352970EB"/>
    <w:rsid w:val="352E4A01"/>
    <w:rsid w:val="353214BB"/>
    <w:rsid w:val="35436D6F"/>
    <w:rsid w:val="354D5A45"/>
    <w:rsid w:val="35852C22"/>
    <w:rsid w:val="358C6C6C"/>
    <w:rsid w:val="35A95619"/>
    <w:rsid w:val="35AA241A"/>
    <w:rsid w:val="35DB6D16"/>
    <w:rsid w:val="35DE4F44"/>
    <w:rsid w:val="35E30B2B"/>
    <w:rsid w:val="35ED64F8"/>
    <w:rsid w:val="36150E2C"/>
    <w:rsid w:val="36486BE0"/>
    <w:rsid w:val="367E0853"/>
    <w:rsid w:val="36820344"/>
    <w:rsid w:val="368C1D0E"/>
    <w:rsid w:val="368E2148"/>
    <w:rsid w:val="36906FC6"/>
    <w:rsid w:val="36B6623F"/>
    <w:rsid w:val="36C07833"/>
    <w:rsid w:val="36C57E2E"/>
    <w:rsid w:val="36C715D4"/>
    <w:rsid w:val="36D67238"/>
    <w:rsid w:val="36FD5C1C"/>
    <w:rsid w:val="37013421"/>
    <w:rsid w:val="37032093"/>
    <w:rsid w:val="370571AC"/>
    <w:rsid w:val="370D763F"/>
    <w:rsid w:val="370E0375"/>
    <w:rsid w:val="370E4C82"/>
    <w:rsid w:val="37164613"/>
    <w:rsid w:val="37396C25"/>
    <w:rsid w:val="373B0455"/>
    <w:rsid w:val="373E0B7B"/>
    <w:rsid w:val="37411FAD"/>
    <w:rsid w:val="37467467"/>
    <w:rsid w:val="37531CE0"/>
    <w:rsid w:val="376E71BC"/>
    <w:rsid w:val="3790083E"/>
    <w:rsid w:val="3794778E"/>
    <w:rsid w:val="37947DDC"/>
    <w:rsid w:val="37BC5F07"/>
    <w:rsid w:val="37BE184F"/>
    <w:rsid w:val="37C52DC1"/>
    <w:rsid w:val="37D969D7"/>
    <w:rsid w:val="37DA4E64"/>
    <w:rsid w:val="38042FDA"/>
    <w:rsid w:val="38055726"/>
    <w:rsid w:val="380C1EEC"/>
    <w:rsid w:val="382A14D1"/>
    <w:rsid w:val="382A2BB6"/>
    <w:rsid w:val="382A30A3"/>
    <w:rsid w:val="38312021"/>
    <w:rsid w:val="384C6E5B"/>
    <w:rsid w:val="384D672F"/>
    <w:rsid w:val="384F16F7"/>
    <w:rsid w:val="38500654"/>
    <w:rsid w:val="385C6972"/>
    <w:rsid w:val="385E5DFF"/>
    <w:rsid w:val="3862042D"/>
    <w:rsid w:val="38665A54"/>
    <w:rsid w:val="387554F4"/>
    <w:rsid w:val="387C4DD3"/>
    <w:rsid w:val="38860B35"/>
    <w:rsid w:val="388D1922"/>
    <w:rsid w:val="388D4D7E"/>
    <w:rsid w:val="38965C74"/>
    <w:rsid w:val="38C01558"/>
    <w:rsid w:val="38D64CA0"/>
    <w:rsid w:val="38DF0934"/>
    <w:rsid w:val="38F35D01"/>
    <w:rsid w:val="38F71EDF"/>
    <w:rsid w:val="38FE152C"/>
    <w:rsid w:val="38FE416C"/>
    <w:rsid w:val="39001039"/>
    <w:rsid w:val="39023647"/>
    <w:rsid w:val="39327A82"/>
    <w:rsid w:val="3937132F"/>
    <w:rsid w:val="393D0552"/>
    <w:rsid w:val="39400042"/>
    <w:rsid w:val="395B0800"/>
    <w:rsid w:val="397A2DEC"/>
    <w:rsid w:val="39AC1DA0"/>
    <w:rsid w:val="39B22FD2"/>
    <w:rsid w:val="39D52E80"/>
    <w:rsid w:val="39E01568"/>
    <w:rsid w:val="39E56B12"/>
    <w:rsid w:val="39E6508D"/>
    <w:rsid w:val="39F160C9"/>
    <w:rsid w:val="39FE4185"/>
    <w:rsid w:val="39FE59EE"/>
    <w:rsid w:val="39FF1CFC"/>
    <w:rsid w:val="3A014B0F"/>
    <w:rsid w:val="3A0247E9"/>
    <w:rsid w:val="3A0F4B8D"/>
    <w:rsid w:val="3A12579E"/>
    <w:rsid w:val="3A250ED1"/>
    <w:rsid w:val="3A3556CD"/>
    <w:rsid w:val="3A36183C"/>
    <w:rsid w:val="3A3A1169"/>
    <w:rsid w:val="3A3E7DEE"/>
    <w:rsid w:val="3A572C4A"/>
    <w:rsid w:val="3A5E6C3C"/>
    <w:rsid w:val="3A6B3E1F"/>
    <w:rsid w:val="3A6C08F8"/>
    <w:rsid w:val="3A8214EC"/>
    <w:rsid w:val="3A8E3848"/>
    <w:rsid w:val="3A9B3770"/>
    <w:rsid w:val="3A9E028E"/>
    <w:rsid w:val="3ABB16DC"/>
    <w:rsid w:val="3AC21656"/>
    <w:rsid w:val="3ADB3B42"/>
    <w:rsid w:val="3AE93483"/>
    <w:rsid w:val="3AEC6CA1"/>
    <w:rsid w:val="3B017830"/>
    <w:rsid w:val="3B153E6E"/>
    <w:rsid w:val="3B1E418A"/>
    <w:rsid w:val="3B1E4B89"/>
    <w:rsid w:val="3B263102"/>
    <w:rsid w:val="3B2A4727"/>
    <w:rsid w:val="3B2B17FF"/>
    <w:rsid w:val="3B2F652A"/>
    <w:rsid w:val="3B420B2B"/>
    <w:rsid w:val="3B43581E"/>
    <w:rsid w:val="3B57219D"/>
    <w:rsid w:val="3B5D4EDB"/>
    <w:rsid w:val="3B6651A5"/>
    <w:rsid w:val="3B667CFC"/>
    <w:rsid w:val="3B6E6CB9"/>
    <w:rsid w:val="3B6F55C4"/>
    <w:rsid w:val="3B710987"/>
    <w:rsid w:val="3B833BB7"/>
    <w:rsid w:val="3B963EE5"/>
    <w:rsid w:val="3B993766"/>
    <w:rsid w:val="3B9D25DA"/>
    <w:rsid w:val="3BAD58D2"/>
    <w:rsid w:val="3BBB6D8F"/>
    <w:rsid w:val="3BCB3E96"/>
    <w:rsid w:val="3BDC04F6"/>
    <w:rsid w:val="3BE51A90"/>
    <w:rsid w:val="3BF3087E"/>
    <w:rsid w:val="3BFE66BE"/>
    <w:rsid w:val="3C152AF5"/>
    <w:rsid w:val="3C1D466B"/>
    <w:rsid w:val="3C20265B"/>
    <w:rsid w:val="3C236125"/>
    <w:rsid w:val="3C464A9E"/>
    <w:rsid w:val="3C4816E7"/>
    <w:rsid w:val="3C4F4E6E"/>
    <w:rsid w:val="3C597D99"/>
    <w:rsid w:val="3C5B3E6A"/>
    <w:rsid w:val="3C6F02CC"/>
    <w:rsid w:val="3C70661B"/>
    <w:rsid w:val="3C770992"/>
    <w:rsid w:val="3C7E23E0"/>
    <w:rsid w:val="3C8C471D"/>
    <w:rsid w:val="3CA01F00"/>
    <w:rsid w:val="3CB036B4"/>
    <w:rsid w:val="3CB46DFB"/>
    <w:rsid w:val="3CC814A1"/>
    <w:rsid w:val="3CC92A96"/>
    <w:rsid w:val="3CE44B09"/>
    <w:rsid w:val="3CF41FEF"/>
    <w:rsid w:val="3CFC6E71"/>
    <w:rsid w:val="3CFF37EC"/>
    <w:rsid w:val="3D011321"/>
    <w:rsid w:val="3D1D2B74"/>
    <w:rsid w:val="3D361E88"/>
    <w:rsid w:val="3D4F0C4B"/>
    <w:rsid w:val="3D5A63BA"/>
    <w:rsid w:val="3D5B369C"/>
    <w:rsid w:val="3D6C1880"/>
    <w:rsid w:val="3D6E33D0"/>
    <w:rsid w:val="3D705902"/>
    <w:rsid w:val="3D804F53"/>
    <w:rsid w:val="3D826E7B"/>
    <w:rsid w:val="3D8F5805"/>
    <w:rsid w:val="3D9E19D5"/>
    <w:rsid w:val="3DA271D2"/>
    <w:rsid w:val="3DAE0295"/>
    <w:rsid w:val="3DAF5FC2"/>
    <w:rsid w:val="3DB42DAD"/>
    <w:rsid w:val="3DCF0A88"/>
    <w:rsid w:val="3DE511B8"/>
    <w:rsid w:val="3DF276CF"/>
    <w:rsid w:val="3DF31B27"/>
    <w:rsid w:val="3DF5641B"/>
    <w:rsid w:val="3E162E51"/>
    <w:rsid w:val="3E1A2831"/>
    <w:rsid w:val="3E240386"/>
    <w:rsid w:val="3E267B22"/>
    <w:rsid w:val="3E2D5039"/>
    <w:rsid w:val="3E3637AD"/>
    <w:rsid w:val="3E374E7B"/>
    <w:rsid w:val="3E4147B1"/>
    <w:rsid w:val="3E556BA1"/>
    <w:rsid w:val="3E763C97"/>
    <w:rsid w:val="3E783652"/>
    <w:rsid w:val="3E9174FC"/>
    <w:rsid w:val="3E987E51"/>
    <w:rsid w:val="3EA352FB"/>
    <w:rsid w:val="3EAF1A23"/>
    <w:rsid w:val="3EB5668D"/>
    <w:rsid w:val="3EBE0387"/>
    <w:rsid w:val="3EBE20D4"/>
    <w:rsid w:val="3EED6C06"/>
    <w:rsid w:val="3EF766CB"/>
    <w:rsid w:val="3EFB3825"/>
    <w:rsid w:val="3F07392F"/>
    <w:rsid w:val="3F201483"/>
    <w:rsid w:val="3F285800"/>
    <w:rsid w:val="3F2C4D37"/>
    <w:rsid w:val="3F332C6E"/>
    <w:rsid w:val="3F354F9E"/>
    <w:rsid w:val="3F3E0DDA"/>
    <w:rsid w:val="3F422D66"/>
    <w:rsid w:val="3F4423E4"/>
    <w:rsid w:val="3F470C1C"/>
    <w:rsid w:val="3F753CD1"/>
    <w:rsid w:val="3F892743"/>
    <w:rsid w:val="3F8E7D59"/>
    <w:rsid w:val="3FB5734D"/>
    <w:rsid w:val="3FDA2F9E"/>
    <w:rsid w:val="40072013"/>
    <w:rsid w:val="401A09A2"/>
    <w:rsid w:val="40271B91"/>
    <w:rsid w:val="406B6EE7"/>
    <w:rsid w:val="408E5956"/>
    <w:rsid w:val="40923879"/>
    <w:rsid w:val="409A272E"/>
    <w:rsid w:val="409B315A"/>
    <w:rsid w:val="40B05AAD"/>
    <w:rsid w:val="40C63BE4"/>
    <w:rsid w:val="40D53C89"/>
    <w:rsid w:val="40E25BA0"/>
    <w:rsid w:val="410B7187"/>
    <w:rsid w:val="410F4ECA"/>
    <w:rsid w:val="410F7EE8"/>
    <w:rsid w:val="411074D3"/>
    <w:rsid w:val="41173D7E"/>
    <w:rsid w:val="411A6472"/>
    <w:rsid w:val="411B6481"/>
    <w:rsid w:val="411B7DB6"/>
    <w:rsid w:val="412D3ACB"/>
    <w:rsid w:val="413251DC"/>
    <w:rsid w:val="414564B4"/>
    <w:rsid w:val="414765CF"/>
    <w:rsid w:val="415467CA"/>
    <w:rsid w:val="416D1A8D"/>
    <w:rsid w:val="417A08B0"/>
    <w:rsid w:val="417B765E"/>
    <w:rsid w:val="418E643B"/>
    <w:rsid w:val="41AE5BA6"/>
    <w:rsid w:val="41AF35D7"/>
    <w:rsid w:val="41B373D1"/>
    <w:rsid w:val="41B45A71"/>
    <w:rsid w:val="41BE51F4"/>
    <w:rsid w:val="41BE5238"/>
    <w:rsid w:val="41BF47EC"/>
    <w:rsid w:val="41BF676C"/>
    <w:rsid w:val="41E41072"/>
    <w:rsid w:val="41F32F91"/>
    <w:rsid w:val="41FA4D4B"/>
    <w:rsid w:val="42027681"/>
    <w:rsid w:val="420C4083"/>
    <w:rsid w:val="42215E03"/>
    <w:rsid w:val="423A0989"/>
    <w:rsid w:val="423E2FD9"/>
    <w:rsid w:val="425A3900"/>
    <w:rsid w:val="42673750"/>
    <w:rsid w:val="427C5FF0"/>
    <w:rsid w:val="42891FAA"/>
    <w:rsid w:val="428A6A3E"/>
    <w:rsid w:val="42AD0832"/>
    <w:rsid w:val="42B84BCC"/>
    <w:rsid w:val="42B93B1E"/>
    <w:rsid w:val="42BC698B"/>
    <w:rsid w:val="42BE1AF7"/>
    <w:rsid w:val="42C5722F"/>
    <w:rsid w:val="42C6302C"/>
    <w:rsid w:val="42C817D4"/>
    <w:rsid w:val="42CB4E20"/>
    <w:rsid w:val="42EA6528"/>
    <w:rsid w:val="42F00D2B"/>
    <w:rsid w:val="42F55B27"/>
    <w:rsid w:val="431B55A6"/>
    <w:rsid w:val="4331199B"/>
    <w:rsid w:val="433C1AFE"/>
    <w:rsid w:val="43430E5B"/>
    <w:rsid w:val="434C41B3"/>
    <w:rsid w:val="434D3D80"/>
    <w:rsid w:val="43770B04"/>
    <w:rsid w:val="43792585"/>
    <w:rsid w:val="437B0938"/>
    <w:rsid w:val="437E1E93"/>
    <w:rsid w:val="437E52D3"/>
    <w:rsid w:val="438751EB"/>
    <w:rsid w:val="439876BD"/>
    <w:rsid w:val="439E6DDD"/>
    <w:rsid w:val="43A27485"/>
    <w:rsid w:val="43C05490"/>
    <w:rsid w:val="43CA1F96"/>
    <w:rsid w:val="43CE580F"/>
    <w:rsid w:val="43D043B4"/>
    <w:rsid w:val="43D269A9"/>
    <w:rsid w:val="43D60CB9"/>
    <w:rsid w:val="43D7416E"/>
    <w:rsid w:val="43D955EF"/>
    <w:rsid w:val="43DE6DD5"/>
    <w:rsid w:val="43DF6FF0"/>
    <w:rsid w:val="43E066A9"/>
    <w:rsid w:val="43F753F8"/>
    <w:rsid w:val="43F81C45"/>
    <w:rsid w:val="44093084"/>
    <w:rsid w:val="440C1383"/>
    <w:rsid w:val="440D6ED6"/>
    <w:rsid w:val="441445A5"/>
    <w:rsid w:val="4425531B"/>
    <w:rsid w:val="442A7E48"/>
    <w:rsid w:val="44310893"/>
    <w:rsid w:val="443F1622"/>
    <w:rsid w:val="445E28E1"/>
    <w:rsid w:val="447C4823"/>
    <w:rsid w:val="448A40A1"/>
    <w:rsid w:val="449F59C2"/>
    <w:rsid w:val="44AC69D9"/>
    <w:rsid w:val="44B11174"/>
    <w:rsid w:val="44B23C8E"/>
    <w:rsid w:val="44BD4C3D"/>
    <w:rsid w:val="44E40468"/>
    <w:rsid w:val="44E906E3"/>
    <w:rsid w:val="44F449CD"/>
    <w:rsid w:val="44FF20B3"/>
    <w:rsid w:val="45065071"/>
    <w:rsid w:val="45085EB8"/>
    <w:rsid w:val="45140D01"/>
    <w:rsid w:val="451470F8"/>
    <w:rsid w:val="453C3A68"/>
    <w:rsid w:val="453C3DB3"/>
    <w:rsid w:val="454B2248"/>
    <w:rsid w:val="45551EB3"/>
    <w:rsid w:val="45660E30"/>
    <w:rsid w:val="45842B85"/>
    <w:rsid w:val="458626FF"/>
    <w:rsid w:val="4588524B"/>
    <w:rsid w:val="45905068"/>
    <w:rsid w:val="45943BEF"/>
    <w:rsid w:val="45AA3413"/>
    <w:rsid w:val="45B25BFB"/>
    <w:rsid w:val="45B606E7"/>
    <w:rsid w:val="45BA77FF"/>
    <w:rsid w:val="45BC6CA2"/>
    <w:rsid w:val="45DF32B3"/>
    <w:rsid w:val="45E702E2"/>
    <w:rsid w:val="45F470EC"/>
    <w:rsid w:val="46001285"/>
    <w:rsid w:val="46034E21"/>
    <w:rsid w:val="46222152"/>
    <w:rsid w:val="462D6710"/>
    <w:rsid w:val="46362EF9"/>
    <w:rsid w:val="46370224"/>
    <w:rsid w:val="463B7681"/>
    <w:rsid w:val="46480463"/>
    <w:rsid w:val="464C34D6"/>
    <w:rsid w:val="46535859"/>
    <w:rsid w:val="466C0A1D"/>
    <w:rsid w:val="46715CDF"/>
    <w:rsid w:val="467474C9"/>
    <w:rsid w:val="46760ED9"/>
    <w:rsid w:val="46911EDD"/>
    <w:rsid w:val="469E39D0"/>
    <w:rsid w:val="46C07DC2"/>
    <w:rsid w:val="46CA3926"/>
    <w:rsid w:val="46E83684"/>
    <w:rsid w:val="46EB3D58"/>
    <w:rsid w:val="46F830B9"/>
    <w:rsid w:val="47282AD0"/>
    <w:rsid w:val="47301B2E"/>
    <w:rsid w:val="473304A9"/>
    <w:rsid w:val="476F66C2"/>
    <w:rsid w:val="477612F6"/>
    <w:rsid w:val="478231AF"/>
    <w:rsid w:val="4787232B"/>
    <w:rsid w:val="47B3234E"/>
    <w:rsid w:val="47B75973"/>
    <w:rsid w:val="47C02A7A"/>
    <w:rsid w:val="47CB382A"/>
    <w:rsid w:val="47CC1DDE"/>
    <w:rsid w:val="47D46525"/>
    <w:rsid w:val="47D65903"/>
    <w:rsid w:val="47D9409D"/>
    <w:rsid w:val="47DA5463"/>
    <w:rsid w:val="47DF6A6D"/>
    <w:rsid w:val="47F129F2"/>
    <w:rsid w:val="47F1446D"/>
    <w:rsid w:val="47F6304E"/>
    <w:rsid w:val="480D0CD3"/>
    <w:rsid w:val="48272AF9"/>
    <w:rsid w:val="482A4397"/>
    <w:rsid w:val="484F67FB"/>
    <w:rsid w:val="48763A80"/>
    <w:rsid w:val="48847F4B"/>
    <w:rsid w:val="488E2B78"/>
    <w:rsid w:val="48964DF5"/>
    <w:rsid w:val="4896623E"/>
    <w:rsid w:val="48C07F26"/>
    <w:rsid w:val="48C24DE3"/>
    <w:rsid w:val="48D749C7"/>
    <w:rsid w:val="48DF33D4"/>
    <w:rsid w:val="48DF33E5"/>
    <w:rsid w:val="48EE3617"/>
    <w:rsid w:val="48F36732"/>
    <w:rsid w:val="4905004E"/>
    <w:rsid w:val="4921579A"/>
    <w:rsid w:val="49281C38"/>
    <w:rsid w:val="494266EE"/>
    <w:rsid w:val="494A0752"/>
    <w:rsid w:val="49563C70"/>
    <w:rsid w:val="49575B00"/>
    <w:rsid w:val="496031C8"/>
    <w:rsid w:val="496725F4"/>
    <w:rsid w:val="496D642E"/>
    <w:rsid w:val="497B12BD"/>
    <w:rsid w:val="498E08FD"/>
    <w:rsid w:val="49927573"/>
    <w:rsid w:val="49951AB2"/>
    <w:rsid w:val="499F7D81"/>
    <w:rsid w:val="49A32653"/>
    <w:rsid w:val="49C600F0"/>
    <w:rsid w:val="49CB686E"/>
    <w:rsid w:val="49D04B10"/>
    <w:rsid w:val="49D64976"/>
    <w:rsid w:val="49DA5979"/>
    <w:rsid w:val="49E51A63"/>
    <w:rsid w:val="49E726B5"/>
    <w:rsid w:val="4A086161"/>
    <w:rsid w:val="4A10021B"/>
    <w:rsid w:val="4A121587"/>
    <w:rsid w:val="4A162A08"/>
    <w:rsid w:val="4A2C089A"/>
    <w:rsid w:val="4A2D63C1"/>
    <w:rsid w:val="4A34643C"/>
    <w:rsid w:val="4A3C67B2"/>
    <w:rsid w:val="4A420BA1"/>
    <w:rsid w:val="4A464AE8"/>
    <w:rsid w:val="4A471230"/>
    <w:rsid w:val="4A494282"/>
    <w:rsid w:val="4A4B4A9E"/>
    <w:rsid w:val="4A5871BB"/>
    <w:rsid w:val="4A690878"/>
    <w:rsid w:val="4A7257E2"/>
    <w:rsid w:val="4A854201"/>
    <w:rsid w:val="4A864349"/>
    <w:rsid w:val="4AAC21B0"/>
    <w:rsid w:val="4AB90E63"/>
    <w:rsid w:val="4ABF34BD"/>
    <w:rsid w:val="4AD172F2"/>
    <w:rsid w:val="4AD55B40"/>
    <w:rsid w:val="4AEA36E0"/>
    <w:rsid w:val="4AF173EE"/>
    <w:rsid w:val="4AF50324"/>
    <w:rsid w:val="4B032B87"/>
    <w:rsid w:val="4B0C1B34"/>
    <w:rsid w:val="4B1F3F5B"/>
    <w:rsid w:val="4B221C9D"/>
    <w:rsid w:val="4B222B26"/>
    <w:rsid w:val="4B2C6678"/>
    <w:rsid w:val="4B363E9F"/>
    <w:rsid w:val="4B6901BF"/>
    <w:rsid w:val="4B697A44"/>
    <w:rsid w:val="4B726781"/>
    <w:rsid w:val="4B773D97"/>
    <w:rsid w:val="4B7C26C9"/>
    <w:rsid w:val="4B8B3770"/>
    <w:rsid w:val="4BBC1F9B"/>
    <w:rsid w:val="4BD73229"/>
    <w:rsid w:val="4BE21160"/>
    <w:rsid w:val="4BFF088F"/>
    <w:rsid w:val="4C0B1D5F"/>
    <w:rsid w:val="4C1650A1"/>
    <w:rsid w:val="4C3126CB"/>
    <w:rsid w:val="4C341895"/>
    <w:rsid w:val="4C382E0A"/>
    <w:rsid w:val="4C3920CB"/>
    <w:rsid w:val="4C397865"/>
    <w:rsid w:val="4C3F41A4"/>
    <w:rsid w:val="4C4E7AE4"/>
    <w:rsid w:val="4C5D75CA"/>
    <w:rsid w:val="4C623CEF"/>
    <w:rsid w:val="4C6E36B7"/>
    <w:rsid w:val="4C787BB6"/>
    <w:rsid w:val="4C7F28E5"/>
    <w:rsid w:val="4C8112ED"/>
    <w:rsid w:val="4C902DF9"/>
    <w:rsid w:val="4C923FD2"/>
    <w:rsid w:val="4C9362A9"/>
    <w:rsid w:val="4C9444D5"/>
    <w:rsid w:val="4C9A68E4"/>
    <w:rsid w:val="4CA04AED"/>
    <w:rsid w:val="4CAA6A9E"/>
    <w:rsid w:val="4CB17175"/>
    <w:rsid w:val="4CC429A7"/>
    <w:rsid w:val="4CC530DC"/>
    <w:rsid w:val="4CC823D1"/>
    <w:rsid w:val="4CCB33EC"/>
    <w:rsid w:val="4CCC1953"/>
    <w:rsid w:val="4CD00D23"/>
    <w:rsid w:val="4CD72E8E"/>
    <w:rsid w:val="4CD83605"/>
    <w:rsid w:val="4CDE27F3"/>
    <w:rsid w:val="4CE948F5"/>
    <w:rsid w:val="4CF67FD1"/>
    <w:rsid w:val="4D036904"/>
    <w:rsid w:val="4D0E6A50"/>
    <w:rsid w:val="4D152F41"/>
    <w:rsid w:val="4D312C1B"/>
    <w:rsid w:val="4D365005"/>
    <w:rsid w:val="4D5E3185"/>
    <w:rsid w:val="4D642C30"/>
    <w:rsid w:val="4D821B8C"/>
    <w:rsid w:val="4D87403A"/>
    <w:rsid w:val="4D950505"/>
    <w:rsid w:val="4D9927AF"/>
    <w:rsid w:val="4DA11831"/>
    <w:rsid w:val="4DA90454"/>
    <w:rsid w:val="4DBF5001"/>
    <w:rsid w:val="4DE9191A"/>
    <w:rsid w:val="4DEC1CC7"/>
    <w:rsid w:val="4E026F85"/>
    <w:rsid w:val="4E034EB9"/>
    <w:rsid w:val="4E082271"/>
    <w:rsid w:val="4E1C4759"/>
    <w:rsid w:val="4E293CD0"/>
    <w:rsid w:val="4E372CB3"/>
    <w:rsid w:val="4E3A20BE"/>
    <w:rsid w:val="4E3B474E"/>
    <w:rsid w:val="4E4F2DA9"/>
    <w:rsid w:val="4E524648"/>
    <w:rsid w:val="4E654DB7"/>
    <w:rsid w:val="4E6F2D41"/>
    <w:rsid w:val="4E8A160E"/>
    <w:rsid w:val="4E900250"/>
    <w:rsid w:val="4E9A408E"/>
    <w:rsid w:val="4E9B4517"/>
    <w:rsid w:val="4EA56E6D"/>
    <w:rsid w:val="4EB86BA1"/>
    <w:rsid w:val="4ED41501"/>
    <w:rsid w:val="4EE6167D"/>
    <w:rsid w:val="4EFF657E"/>
    <w:rsid w:val="4F073EC1"/>
    <w:rsid w:val="4F0E2BF9"/>
    <w:rsid w:val="4F142475"/>
    <w:rsid w:val="4F195957"/>
    <w:rsid w:val="4F253FEC"/>
    <w:rsid w:val="4F2670DD"/>
    <w:rsid w:val="4F2C7590"/>
    <w:rsid w:val="4F6071CE"/>
    <w:rsid w:val="4F710059"/>
    <w:rsid w:val="4F84721C"/>
    <w:rsid w:val="4F93316A"/>
    <w:rsid w:val="4F9E4301"/>
    <w:rsid w:val="4FC13833"/>
    <w:rsid w:val="4FC52EF0"/>
    <w:rsid w:val="4FD55530"/>
    <w:rsid w:val="4FD67643"/>
    <w:rsid w:val="4FE31002"/>
    <w:rsid w:val="4FED6944"/>
    <w:rsid w:val="501E292C"/>
    <w:rsid w:val="503B41B6"/>
    <w:rsid w:val="503E20AA"/>
    <w:rsid w:val="503F05DC"/>
    <w:rsid w:val="50502C8E"/>
    <w:rsid w:val="50715259"/>
    <w:rsid w:val="50790B73"/>
    <w:rsid w:val="507C59AC"/>
    <w:rsid w:val="508703E8"/>
    <w:rsid w:val="50953C47"/>
    <w:rsid w:val="50C753C1"/>
    <w:rsid w:val="50CA4969"/>
    <w:rsid w:val="50CD1E89"/>
    <w:rsid w:val="50CE5E0A"/>
    <w:rsid w:val="50E438F6"/>
    <w:rsid w:val="50EA615E"/>
    <w:rsid w:val="50EC5FC6"/>
    <w:rsid w:val="50ED0658"/>
    <w:rsid w:val="50ED5EFD"/>
    <w:rsid w:val="511225FA"/>
    <w:rsid w:val="51130B54"/>
    <w:rsid w:val="51347367"/>
    <w:rsid w:val="515B5F7F"/>
    <w:rsid w:val="51622DF4"/>
    <w:rsid w:val="51742987"/>
    <w:rsid w:val="517767E1"/>
    <w:rsid w:val="5181771E"/>
    <w:rsid w:val="519F7BA4"/>
    <w:rsid w:val="51AE6D95"/>
    <w:rsid w:val="51AF71F5"/>
    <w:rsid w:val="51B4434E"/>
    <w:rsid w:val="51C94CD2"/>
    <w:rsid w:val="51D13AD5"/>
    <w:rsid w:val="51D2331D"/>
    <w:rsid w:val="51E6434F"/>
    <w:rsid w:val="51E952C3"/>
    <w:rsid w:val="51EF6F14"/>
    <w:rsid w:val="5206316B"/>
    <w:rsid w:val="52073B0B"/>
    <w:rsid w:val="52097713"/>
    <w:rsid w:val="520C1FBF"/>
    <w:rsid w:val="521D4F6D"/>
    <w:rsid w:val="522E2410"/>
    <w:rsid w:val="523948DD"/>
    <w:rsid w:val="524252C6"/>
    <w:rsid w:val="524B3200"/>
    <w:rsid w:val="525B0C34"/>
    <w:rsid w:val="52635075"/>
    <w:rsid w:val="52685339"/>
    <w:rsid w:val="527201F1"/>
    <w:rsid w:val="52770B21"/>
    <w:rsid w:val="529A0D8A"/>
    <w:rsid w:val="52A75789"/>
    <w:rsid w:val="52A94F25"/>
    <w:rsid w:val="52AE36F0"/>
    <w:rsid w:val="52AF406A"/>
    <w:rsid w:val="52BA4CC2"/>
    <w:rsid w:val="52C21540"/>
    <w:rsid w:val="52C56BE8"/>
    <w:rsid w:val="52C804AE"/>
    <w:rsid w:val="52C8559F"/>
    <w:rsid w:val="52C9184B"/>
    <w:rsid w:val="52D4295D"/>
    <w:rsid w:val="5305035F"/>
    <w:rsid w:val="53083527"/>
    <w:rsid w:val="5323375D"/>
    <w:rsid w:val="53243A3B"/>
    <w:rsid w:val="53254DF5"/>
    <w:rsid w:val="532708C5"/>
    <w:rsid w:val="532A5B93"/>
    <w:rsid w:val="532D11DF"/>
    <w:rsid w:val="533C5358"/>
    <w:rsid w:val="534A433C"/>
    <w:rsid w:val="534D3630"/>
    <w:rsid w:val="534E106C"/>
    <w:rsid w:val="535E2162"/>
    <w:rsid w:val="53625171"/>
    <w:rsid w:val="536D782E"/>
    <w:rsid w:val="5370717B"/>
    <w:rsid w:val="538B3BC4"/>
    <w:rsid w:val="539179C0"/>
    <w:rsid w:val="53A25729"/>
    <w:rsid w:val="53C71634"/>
    <w:rsid w:val="53C90757"/>
    <w:rsid w:val="53CB14A9"/>
    <w:rsid w:val="53E22446"/>
    <w:rsid w:val="53E61085"/>
    <w:rsid w:val="540939FA"/>
    <w:rsid w:val="541174EE"/>
    <w:rsid w:val="54120B01"/>
    <w:rsid w:val="541774AA"/>
    <w:rsid w:val="542B1BC3"/>
    <w:rsid w:val="5436281D"/>
    <w:rsid w:val="54414F42"/>
    <w:rsid w:val="544A47C4"/>
    <w:rsid w:val="546642A3"/>
    <w:rsid w:val="54664FFC"/>
    <w:rsid w:val="54802CFF"/>
    <w:rsid w:val="548F7351"/>
    <w:rsid w:val="54930906"/>
    <w:rsid w:val="54AE25C6"/>
    <w:rsid w:val="54B73C39"/>
    <w:rsid w:val="54B91A16"/>
    <w:rsid w:val="54CA05DF"/>
    <w:rsid w:val="54D5594C"/>
    <w:rsid w:val="54D65852"/>
    <w:rsid w:val="54EE7721"/>
    <w:rsid w:val="54F839CA"/>
    <w:rsid w:val="55004C94"/>
    <w:rsid w:val="550147B4"/>
    <w:rsid w:val="55057555"/>
    <w:rsid w:val="55203D5B"/>
    <w:rsid w:val="553654F1"/>
    <w:rsid w:val="55403DB8"/>
    <w:rsid w:val="55434CEA"/>
    <w:rsid w:val="55456520"/>
    <w:rsid w:val="55456D3D"/>
    <w:rsid w:val="554E7EC4"/>
    <w:rsid w:val="554F6910"/>
    <w:rsid w:val="55546084"/>
    <w:rsid w:val="55820CAC"/>
    <w:rsid w:val="55877A30"/>
    <w:rsid w:val="558A6B53"/>
    <w:rsid w:val="559B0619"/>
    <w:rsid w:val="55AF5177"/>
    <w:rsid w:val="55B54084"/>
    <w:rsid w:val="55BA11BE"/>
    <w:rsid w:val="55C51BA3"/>
    <w:rsid w:val="55C6477D"/>
    <w:rsid w:val="55D33A01"/>
    <w:rsid w:val="55D40C5C"/>
    <w:rsid w:val="55D41DE6"/>
    <w:rsid w:val="55DF4A13"/>
    <w:rsid w:val="55E77D6B"/>
    <w:rsid w:val="55EC13F4"/>
    <w:rsid w:val="55F955D4"/>
    <w:rsid w:val="55FA199E"/>
    <w:rsid w:val="56024BA5"/>
    <w:rsid w:val="56031ECA"/>
    <w:rsid w:val="561548D9"/>
    <w:rsid w:val="561E7639"/>
    <w:rsid w:val="56272AA6"/>
    <w:rsid w:val="562846B0"/>
    <w:rsid w:val="562D6C93"/>
    <w:rsid w:val="56384123"/>
    <w:rsid w:val="5641747C"/>
    <w:rsid w:val="56437F80"/>
    <w:rsid w:val="56460F02"/>
    <w:rsid w:val="565B508B"/>
    <w:rsid w:val="565F3DA6"/>
    <w:rsid w:val="566E0036"/>
    <w:rsid w:val="56715929"/>
    <w:rsid w:val="56784C3B"/>
    <w:rsid w:val="5679268D"/>
    <w:rsid w:val="56824C41"/>
    <w:rsid w:val="5683630B"/>
    <w:rsid w:val="569577C7"/>
    <w:rsid w:val="56B6186F"/>
    <w:rsid w:val="56B61E25"/>
    <w:rsid w:val="56BA722E"/>
    <w:rsid w:val="56C76E83"/>
    <w:rsid w:val="56CB0F11"/>
    <w:rsid w:val="56DA3975"/>
    <w:rsid w:val="56DC2E8E"/>
    <w:rsid w:val="56E27E0B"/>
    <w:rsid w:val="56E3313F"/>
    <w:rsid w:val="56EC6D02"/>
    <w:rsid w:val="56F4704A"/>
    <w:rsid w:val="57053291"/>
    <w:rsid w:val="57084503"/>
    <w:rsid w:val="57213057"/>
    <w:rsid w:val="57275B7E"/>
    <w:rsid w:val="57321A3A"/>
    <w:rsid w:val="57392849"/>
    <w:rsid w:val="57407733"/>
    <w:rsid w:val="57427C5A"/>
    <w:rsid w:val="574C7651"/>
    <w:rsid w:val="575A76CA"/>
    <w:rsid w:val="576D42A0"/>
    <w:rsid w:val="576E673F"/>
    <w:rsid w:val="578135A0"/>
    <w:rsid w:val="578B2DF8"/>
    <w:rsid w:val="578D0B61"/>
    <w:rsid w:val="57B8376D"/>
    <w:rsid w:val="57BE5435"/>
    <w:rsid w:val="57C044FC"/>
    <w:rsid w:val="57C53AC2"/>
    <w:rsid w:val="57E1517B"/>
    <w:rsid w:val="57E21315"/>
    <w:rsid w:val="57F52B59"/>
    <w:rsid w:val="58000968"/>
    <w:rsid w:val="580B26F7"/>
    <w:rsid w:val="58240E03"/>
    <w:rsid w:val="58263D40"/>
    <w:rsid w:val="582C64C4"/>
    <w:rsid w:val="58341026"/>
    <w:rsid w:val="584D2133"/>
    <w:rsid w:val="584E7C2E"/>
    <w:rsid w:val="584F160A"/>
    <w:rsid w:val="584F5203"/>
    <w:rsid w:val="58612827"/>
    <w:rsid w:val="586E7F61"/>
    <w:rsid w:val="58707BE8"/>
    <w:rsid w:val="58721B1C"/>
    <w:rsid w:val="587B7B5D"/>
    <w:rsid w:val="58855EB2"/>
    <w:rsid w:val="589F492D"/>
    <w:rsid w:val="58A40A98"/>
    <w:rsid w:val="58A50B7E"/>
    <w:rsid w:val="58A904F4"/>
    <w:rsid w:val="58B104E2"/>
    <w:rsid w:val="58CA2D21"/>
    <w:rsid w:val="58CD5907"/>
    <w:rsid w:val="58DA5965"/>
    <w:rsid w:val="58DE3773"/>
    <w:rsid w:val="58FF3061"/>
    <w:rsid w:val="59017396"/>
    <w:rsid w:val="591C42FE"/>
    <w:rsid w:val="591E7769"/>
    <w:rsid w:val="592F1F7D"/>
    <w:rsid w:val="59350F8E"/>
    <w:rsid w:val="59360909"/>
    <w:rsid w:val="593E233D"/>
    <w:rsid w:val="59434CD7"/>
    <w:rsid w:val="595E3400"/>
    <w:rsid w:val="5985283B"/>
    <w:rsid w:val="599C7C2F"/>
    <w:rsid w:val="59A33FA9"/>
    <w:rsid w:val="59AC7302"/>
    <w:rsid w:val="59C0225F"/>
    <w:rsid w:val="59CA7151"/>
    <w:rsid w:val="59CA7788"/>
    <w:rsid w:val="59F97B31"/>
    <w:rsid w:val="59FE715B"/>
    <w:rsid w:val="5A0828A8"/>
    <w:rsid w:val="5A187995"/>
    <w:rsid w:val="5A2E0BBE"/>
    <w:rsid w:val="5A3A2B60"/>
    <w:rsid w:val="5A771EF2"/>
    <w:rsid w:val="5A831712"/>
    <w:rsid w:val="5A8C21A3"/>
    <w:rsid w:val="5A966243"/>
    <w:rsid w:val="5A9A1850"/>
    <w:rsid w:val="5AA63D51"/>
    <w:rsid w:val="5AA64BBF"/>
    <w:rsid w:val="5AAC2124"/>
    <w:rsid w:val="5AB316B1"/>
    <w:rsid w:val="5AB3672C"/>
    <w:rsid w:val="5AB50438"/>
    <w:rsid w:val="5AC57957"/>
    <w:rsid w:val="5AD12D2F"/>
    <w:rsid w:val="5AD54636"/>
    <w:rsid w:val="5AE327BC"/>
    <w:rsid w:val="5AE84658"/>
    <w:rsid w:val="5AEE394A"/>
    <w:rsid w:val="5B1517EF"/>
    <w:rsid w:val="5B241369"/>
    <w:rsid w:val="5B24602D"/>
    <w:rsid w:val="5B277F80"/>
    <w:rsid w:val="5B2F1F99"/>
    <w:rsid w:val="5B314370"/>
    <w:rsid w:val="5B3746C2"/>
    <w:rsid w:val="5B3E176E"/>
    <w:rsid w:val="5B411CCC"/>
    <w:rsid w:val="5B452533"/>
    <w:rsid w:val="5B4B2C4D"/>
    <w:rsid w:val="5B4C501C"/>
    <w:rsid w:val="5B6A270C"/>
    <w:rsid w:val="5B6F7110"/>
    <w:rsid w:val="5B70435F"/>
    <w:rsid w:val="5B7B4262"/>
    <w:rsid w:val="5B7E082A"/>
    <w:rsid w:val="5B840D88"/>
    <w:rsid w:val="5B8C2E9B"/>
    <w:rsid w:val="5BA97D72"/>
    <w:rsid w:val="5BC1645D"/>
    <w:rsid w:val="5BC375D6"/>
    <w:rsid w:val="5BCA7EEA"/>
    <w:rsid w:val="5BD250A3"/>
    <w:rsid w:val="5BDA2511"/>
    <w:rsid w:val="5BE51D65"/>
    <w:rsid w:val="5BED3C02"/>
    <w:rsid w:val="5BF62AB6"/>
    <w:rsid w:val="5C1709E1"/>
    <w:rsid w:val="5C1A2979"/>
    <w:rsid w:val="5C1B251D"/>
    <w:rsid w:val="5C2F28D5"/>
    <w:rsid w:val="5C3369BA"/>
    <w:rsid w:val="5C494351"/>
    <w:rsid w:val="5C5679F9"/>
    <w:rsid w:val="5C595EA3"/>
    <w:rsid w:val="5C5B66E6"/>
    <w:rsid w:val="5C75020C"/>
    <w:rsid w:val="5C8619C1"/>
    <w:rsid w:val="5CA74342"/>
    <w:rsid w:val="5CBA789F"/>
    <w:rsid w:val="5CF85905"/>
    <w:rsid w:val="5CFF3B9A"/>
    <w:rsid w:val="5D0C00B7"/>
    <w:rsid w:val="5D1D3995"/>
    <w:rsid w:val="5D3564FD"/>
    <w:rsid w:val="5D39431C"/>
    <w:rsid w:val="5D423AA3"/>
    <w:rsid w:val="5D4715D6"/>
    <w:rsid w:val="5D4B75C0"/>
    <w:rsid w:val="5D5B391D"/>
    <w:rsid w:val="5D7115A7"/>
    <w:rsid w:val="5D804D2D"/>
    <w:rsid w:val="5D8607BA"/>
    <w:rsid w:val="5DA71D84"/>
    <w:rsid w:val="5DBE7604"/>
    <w:rsid w:val="5DC91D94"/>
    <w:rsid w:val="5DD26D33"/>
    <w:rsid w:val="5DE17F75"/>
    <w:rsid w:val="5E0276B2"/>
    <w:rsid w:val="5E1619CA"/>
    <w:rsid w:val="5E1C257C"/>
    <w:rsid w:val="5E203E1A"/>
    <w:rsid w:val="5E312A07"/>
    <w:rsid w:val="5E4B342A"/>
    <w:rsid w:val="5E4D094B"/>
    <w:rsid w:val="5E6122E3"/>
    <w:rsid w:val="5E630089"/>
    <w:rsid w:val="5E656280"/>
    <w:rsid w:val="5E6612E6"/>
    <w:rsid w:val="5E6D5112"/>
    <w:rsid w:val="5E6F4EF6"/>
    <w:rsid w:val="5E875C48"/>
    <w:rsid w:val="5E951601"/>
    <w:rsid w:val="5E9D546B"/>
    <w:rsid w:val="5EA11185"/>
    <w:rsid w:val="5EC9429E"/>
    <w:rsid w:val="5ECA4AF3"/>
    <w:rsid w:val="5EE17E0B"/>
    <w:rsid w:val="5EE91DD3"/>
    <w:rsid w:val="5F0266A5"/>
    <w:rsid w:val="5F0E5EA3"/>
    <w:rsid w:val="5F101C07"/>
    <w:rsid w:val="5F17147C"/>
    <w:rsid w:val="5F3722C3"/>
    <w:rsid w:val="5F374274"/>
    <w:rsid w:val="5F392EA3"/>
    <w:rsid w:val="5F414004"/>
    <w:rsid w:val="5F4D16DB"/>
    <w:rsid w:val="5F530220"/>
    <w:rsid w:val="5F5819C1"/>
    <w:rsid w:val="5F67740E"/>
    <w:rsid w:val="5F6C1D22"/>
    <w:rsid w:val="5F8108E9"/>
    <w:rsid w:val="5F854BC4"/>
    <w:rsid w:val="5F8853CD"/>
    <w:rsid w:val="5F9171DB"/>
    <w:rsid w:val="5F965876"/>
    <w:rsid w:val="5F984F2E"/>
    <w:rsid w:val="5F9B6E3F"/>
    <w:rsid w:val="5FA12D39"/>
    <w:rsid w:val="5FA315F5"/>
    <w:rsid w:val="5FC35BED"/>
    <w:rsid w:val="5FD5300A"/>
    <w:rsid w:val="60040D16"/>
    <w:rsid w:val="60097F77"/>
    <w:rsid w:val="600C1AA2"/>
    <w:rsid w:val="601B0F31"/>
    <w:rsid w:val="60255718"/>
    <w:rsid w:val="606D3CD4"/>
    <w:rsid w:val="607851F2"/>
    <w:rsid w:val="608277AE"/>
    <w:rsid w:val="608471CB"/>
    <w:rsid w:val="609603C4"/>
    <w:rsid w:val="60980B11"/>
    <w:rsid w:val="60A933D2"/>
    <w:rsid w:val="60C02C20"/>
    <w:rsid w:val="60CB71DC"/>
    <w:rsid w:val="60CC2216"/>
    <w:rsid w:val="60DA29A7"/>
    <w:rsid w:val="611773D2"/>
    <w:rsid w:val="61187462"/>
    <w:rsid w:val="611B37BA"/>
    <w:rsid w:val="613126C4"/>
    <w:rsid w:val="61354081"/>
    <w:rsid w:val="613A350F"/>
    <w:rsid w:val="614E3D64"/>
    <w:rsid w:val="615E797C"/>
    <w:rsid w:val="616E6252"/>
    <w:rsid w:val="61821144"/>
    <w:rsid w:val="61AB71C3"/>
    <w:rsid w:val="61D31BC1"/>
    <w:rsid w:val="61D91B87"/>
    <w:rsid w:val="61DE2022"/>
    <w:rsid w:val="61F63528"/>
    <w:rsid w:val="61FE0917"/>
    <w:rsid w:val="62196A1D"/>
    <w:rsid w:val="621B5F23"/>
    <w:rsid w:val="622B1E20"/>
    <w:rsid w:val="622B39A5"/>
    <w:rsid w:val="623115A4"/>
    <w:rsid w:val="62340155"/>
    <w:rsid w:val="62374AA8"/>
    <w:rsid w:val="6243676B"/>
    <w:rsid w:val="624A6D8D"/>
    <w:rsid w:val="624D42CA"/>
    <w:rsid w:val="624E604A"/>
    <w:rsid w:val="62650996"/>
    <w:rsid w:val="626A0161"/>
    <w:rsid w:val="626A4288"/>
    <w:rsid w:val="6274344D"/>
    <w:rsid w:val="62757F11"/>
    <w:rsid w:val="62800180"/>
    <w:rsid w:val="62966B4B"/>
    <w:rsid w:val="629923ED"/>
    <w:rsid w:val="629B43B7"/>
    <w:rsid w:val="62A3189F"/>
    <w:rsid w:val="62AD6DCB"/>
    <w:rsid w:val="62B270BB"/>
    <w:rsid w:val="62BB36D4"/>
    <w:rsid w:val="62E10795"/>
    <w:rsid w:val="62F6339C"/>
    <w:rsid w:val="62F72B8A"/>
    <w:rsid w:val="6314602D"/>
    <w:rsid w:val="63202BCA"/>
    <w:rsid w:val="632D25A4"/>
    <w:rsid w:val="63366A69"/>
    <w:rsid w:val="633C2632"/>
    <w:rsid w:val="633F27E5"/>
    <w:rsid w:val="633F2DD8"/>
    <w:rsid w:val="636447A5"/>
    <w:rsid w:val="63703AFF"/>
    <w:rsid w:val="63847AD9"/>
    <w:rsid w:val="639130C5"/>
    <w:rsid w:val="63927751"/>
    <w:rsid w:val="6393336B"/>
    <w:rsid w:val="63A02ED7"/>
    <w:rsid w:val="63B311D8"/>
    <w:rsid w:val="63B63F09"/>
    <w:rsid w:val="63BB49EE"/>
    <w:rsid w:val="63BF07FF"/>
    <w:rsid w:val="63D86F45"/>
    <w:rsid w:val="63DD4719"/>
    <w:rsid w:val="63E33842"/>
    <w:rsid w:val="63E43FFE"/>
    <w:rsid w:val="63ED0C43"/>
    <w:rsid w:val="63F20007"/>
    <w:rsid w:val="63F84F14"/>
    <w:rsid w:val="63F95B02"/>
    <w:rsid w:val="64032214"/>
    <w:rsid w:val="64094949"/>
    <w:rsid w:val="64151F48"/>
    <w:rsid w:val="64207BFC"/>
    <w:rsid w:val="642251FF"/>
    <w:rsid w:val="643E149E"/>
    <w:rsid w:val="64435C97"/>
    <w:rsid w:val="644B6D13"/>
    <w:rsid w:val="64881FF6"/>
    <w:rsid w:val="648A6492"/>
    <w:rsid w:val="649D783D"/>
    <w:rsid w:val="64A03E97"/>
    <w:rsid w:val="64A42F2F"/>
    <w:rsid w:val="64A8302A"/>
    <w:rsid w:val="64B058C7"/>
    <w:rsid w:val="64C623B3"/>
    <w:rsid w:val="64DB504D"/>
    <w:rsid w:val="64E262CE"/>
    <w:rsid w:val="64E4321D"/>
    <w:rsid w:val="64E576F7"/>
    <w:rsid w:val="64EB6800"/>
    <w:rsid w:val="64FC4B4F"/>
    <w:rsid w:val="65092D1D"/>
    <w:rsid w:val="6521632B"/>
    <w:rsid w:val="6530590C"/>
    <w:rsid w:val="653A1C66"/>
    <w:rsid w:val="65426D6C"/>
    <w:rsid w:val="655430EF"/>
    <w:rsid w:val="65546DF3"/>
    <w:rsid w:val="657B15F3"/>
    <w:rsid w:val="65870C23"/>
    <w:rsid w:val="65BF017A"/>
    <w:rsid w:val="65C92FEA"/>
    <w:rsid w:val="65D26342"/>
    <w:rsid w:val="65DB0D7A"/>
    <w:rsid w:val="65E816C2"/>
    <w:rsid w:val="66040158"/>
    <w:rsid w:val="661477AD"/>
    <w:rsid w:val="662704FC"/>
    <w:rsid w:val="66303069"/>
    <w:rsid w:val="664B3FFA"/>
    <w:rsid w:val="666002B1"/>
    <w:rsid w:val="66666A8A"/>
    <w:rsid w:val="66686B7C"/>
    <w:rsid w:val="667E1208"/>
    <w:rsid w:val="668F448D"/>
    <w:rsid w:val="669E0497"/>
    <w:rsid w:val="66A65663"/>
    <w:rsid w:val="66AF0431"/>
    <w:rsid w:val="66D47E98"/>
    <w:rsid w:val="66F26570"/>
    <w:rsid w:val="670B5473"/>
    <w:rsid w:val="671309C0"/>
    <w:rsid w:val="671B0AE4"/>
    <w:rsid w:val="67205C47"/>
    <w:rsid w:val="67206486"/>
    <w:rsid w:val="67226B22"/>
    <w:rsid w:val="67292D3C"/>
    <w:rsid w:val="673D3C8F"/>
    <w:rsid w:val="67486190"/>
    <w:rsid w:val="67564D51"/>
    <w:rsid w:val="67580AC9"/>
    <w:rsid w:val="67584625"/>
    <w:rsid w:val="676C5E93"/>
    <w:rsid w:val="678D1AB8"/>
    <w:rsid w:val="678F75E5"/>
    <w:rsid w:val="67900263"/>
    <w:rsid w:val="679124B9"/>
    <w:rsid w:val="679C7811"/>
    <w:rsid w:val="679D0811"/>
    <w:rsid w:val="67B6134C"/>
    <w:rsid w:val="67DC2276"/>
    <w:rsid w:val="67DD1216"/>
    <w:rsid w:val="67E1728F"/>
    <w:rsid w:val="67E43913"/>
    <w:rsid w:val="67EC244A"/>
    <w:rsid w:val="681C3A31"/>
    <w:rsid w:val="683D44EE"/>
    <w:rsid w:val="683E1CF9"/>
    <w:rsid w:val="68443B82"/>
    <w:rsid w:val="684629D3"/>
    <w:rsid w:val="685C7BC6"/>
    <w:rsid w:val="68790CF7"/>
    <w:rsid w:val="68815DFE"/>
    <w:rsid w:val="68896A60"/>
    <w:rsid w:val="688B17FA"/>
    <w:rsid w:val="689567EB"/>
    <w:rsid w:val="68957670"/>
    <w:rsid w:val="68A2071A"/>
    <w:rsid w:val="68A563A7"/>
    <w:rsid w:val="68B7339D"/>
    <w:rsid w:val="68B86AB7"/>
    <w:rsid w:val="68BA3F1C"/>
    <w:rsid w:val="68CF7B0C"/>
    <w:rsid w:val="68D371F1"/>
    <w:rsid w:val="68E30C38"/>
    <w:rsid w:val="68F16F31"/>
    <w:rsid w:val="68F35871"/>
    <w:rsid w:val="68F42324"/>
    <w:rsid w:val="68F62348"/>
    <w:rsid w:val="68F74D57"/>
    <w:rsid w:val="690804F2"/>
    <w:rsid w:val="690A4DC4"/>
    <w:rsid w:val="69392368"/>
    <w:rsid w:val="694B5DFC"/>
    <w:rsid w:val="69584481"/>
    <w:rsid w:val="69606E78"/>
    <w:rsid w:val="696B7830"/>
    <w:rsid w:val="69825ED7"/>
    <w:rsid w:val="69894F6A"/>
    <w:rsid w:val="69AF0461"/>
    <w:rsid w:val="69B23CE6"/>
    <w:rsid w:val="69BE4811"/>
    <w:rsid w:val="69C450F7"/>
    <w:rsid w:val="69CF44BC"/>
    <w:rsid w:val="69DC41CE"/>
    <w:rsid w:val="69DD2A9A"/>
    <w:rsid w:val="69DF2175"/>
    <w:rsid w:val="69F957DD"/>
    <w:rsid w:val="6A02691A"/>
    <w:rsid w:val="6A0B1E23"/>
    <w:rsid w:val="6A173D71"/>
    <w:rsid w:val="6A1E33C9"/>
    <w:rsid w:val="6A26751E"/>
    <w:rsid w:val="6A274783"/>
    <w:rsid w:val="6A296884"/>
    <w:rsid w:val="6A421040"/>
    <w:rsid w:val="6A4B66C3"/>
    <w:rsid w:val="6A4C1EF1"/>
    <w:rsid w:val="6A4F56A9"/>
    <w:rsid w:val="6A505F51"/>
    <w:rsid w:val="6A594925"/>
    <w:rsid w:val="6A5A6906"/>
    <w:rsid w:val="6A7555EA"/>
    <w:rsid w:val="6A99742E"/>
    <w:rsid w:val="6AAD7E56"/>
    <w:rsid w:val="6AD21001"/>
    <w:rsid w:val="6AD53871"/>
    <w:rsid w:val="6ADE12E5"/>
    <w:rsid w:val="6ADE7537"/>
    <w:rsid w:val="6AE91BF7"/>
    <w:rsid w:val="6AF66948"/>
    <w:rsid w:val="6AFF2CEE"/>
    <w:rsid w:val="6B023FAE"/>
    <w:rsid w:val="6B0C2534"/>
    <w:rsid w:val="6B252A70"/>
    <w:rsid w:val="6B273C97"/>
    <w:rsid w:val="6B3B6738"/>
    <w:rsid w:val="6B4D1CA7"/>
    <w:rsid w:val="6B533A81"/>
    <w:rsid w:val="6B553CF5"/>
    <w:rsid w:val="6B65177B"/>
    <w:rsid w:val="6B83675A"/>
    <w:rsid w:val="6B986B3B"/>
    <w:rsid w:val="6BAB287A"/>
    <w:rsid w:val="6BB02E29"/>
    <w:rsid w:val="6BB40298"/>
    <w:rsid w:val="6BBB51FE"/>
    <w:rsid w:val="6BD90D26"/>
    <w:rsid w:val="6BDB2664"/>
    <w:rsid w:val="6BEA55F0"/>
    <w:rsid w:val="6BEF307E"/>
    <w:rsid w:val="6BF333E5"/>
    <w:rsid w:val="6C0433FB"/>
    <w:rsid w:val="6C135683"/>
    <w:rsid w:val="6C3041B5"/>
    <w:rsid w:val="6C360CAD"/>
    <w:rsid w:val="6C4C4D83"/>
    <w:rsid w:val="6C5D03E7"/>
    <w:rsid w:val="6C5E7622"/>
    <w:rsid w:val="6C5F6456"/>
    <w:rsid w:val="6C603E6E"/>
    <w:rsid w:val="6C6D0B73"/>
    <w:rsid w:val="6C7C5D15"/>
    <w:rsid w:val="6C95591D"/>
    <w:rsid w:val="6CA62166"/>
    <w:rsid w:val="6CA63239"/>
    <w:rsid w:val="6CAF3B0B"/>
    <w:rsid w:val="6CB419CF"/>
    <w:rsid w:val="6CC25E95"/>
    <w:rsid w:val="6CD50C99"/>
    <w:rsid w:val="6CDA788A"/>
    <w:rsid w:val="6CF0092B"/>
    <w:rsid w:val="6CF04C05"/>
    <w:rsid w:val="6CFE3812"/>
    <w:rsid w:val="6D006BE4"/>
    <w:rsid w:val="6D071106"/>
    <w:rsid w:val="6D0E5786"/>
    <w:rsid w:val="6D2C3CF4"/>
    <w:rsid w:val="6D3A5127"/>
    <w:rsid w:val="6D4C4C2C"/>
    <w:rsid w:val="6D4F64CA"/>
    <w:rsid w:val="6D6E42EF"/>
    <w:rsid w:val="6D764863"/>
    <w:rsid w:val="6D77157D"/>
    <w:rsid w:val="6D7B106D"/>
    <w:rsid w:val="6D89250E"/>
    <w:rsid w:val="6D964223"/>
    <w:rsid w:val="6D9B3D30"/>
    <w:rsid w:val="6DAE66B7"/>
    <w:rsid w:val="6DC631E0"/>
    <w:rsid w:val="6DD01EAE"/>
    <w:rsid w:val="6DD318FB"/>
    <w:rsid w:val="6DFF074B"/>
    <w:rsid w:val="6E0479B3"/>
    <w:rsid w:val="6E0F7A08"/>
    <w:rsid w:val="6E184B0E"/>
    <w:rsid w:val="6E236E02"/>
    <w:rsid w:val="6E2434B3"/>
    <w:rsid w:val="6E4327AC"/>
    <w:rsid w:val="6E5A5127"/>
    <w:rsid w:val="6E7200E4"/>
    <w:rsid w:val="6E865F1C"/>
    <w:rsid w:val="6E8B3532"/>
    <w:rsid w:val="6E9B78F0"/>
    <w:rsid w:val="6EA231FC"/>
    <w:rsid w:val="6EA51209"/>
    <w:rsid w:val="6EA62288"/>
    <w:rsid w:val="6EBA3E17"/>
    <w:rsid w:val="6EBB7166"/>
    <w:rsid w:val="6ECC19F1"/>
    <w:rsid w:val="6ED6311E"/>
    <w:rsid w:val="6EE113A4"/>
    <w:rsid w:val="6EE3511C"/>
    <w:rsid w:val="6EFA2466"/>
    <w:rsid w:val="6F03756C"/>
    <w:rsid w:val="6F0F0CE1"/>
    <w:rsid w:val="6F375694"/>
    <w:rsid w:val="6F4E0CD0"/>
    <w:rsid w:val="6F4F4560"/>
    <w:rsid w:val="6F503B94"/>
    <w:rsid w:val="6F62324F"/>
    <w:rsid w:val="6F727E3E"/>
    <w:rsid w:val="6F8E34A0"/>
    <w:rsid w:val="6F9B2424"/>
    <w:rsid w:val="6F9D2209"/>
    <w:rsid w:val="6FA10AEB"/>
    <w:rsid w:val="6FA128E1"/>
    <w:rsid w:val="6FAC5870"/>
    <w:rsid w:val="6FAD2C4B"/>
    <w:rsid w:val="6FB63FF0"/>
    <w:rsid w:val="6FC43A30"/>
    <w:rsid w:val="6FC614C4"/>
    <w:rsid w:val="6FD04172"/>
    <w:rsid w:val="6FD131C7"/>
    <w:rsid w:val="6FDC2950"/>
    <w:rsid w:val="6FE42753"/>
    <w:rsid w:val="6FE56C72"/>
    <w:rsid w:val="6FE95A08"/>
    <w:rsid w:val="6FF2639F"/>
    <w:rsid w:val="6FF52413"/>
    <w:rsid w:val="6FFB5494"/>
    <w:rsid w:val="703F45D4"/>
    <w:rsid w:val="704F233D"/>
    <w:rsid w:val="7058635C"/>
    <w:rsid w:val="706031C2"/>
    <w:rsid w:val="70820965"/>
    <w:rsid w:val="709134B3"/>
    <w:rsid w:val="709E583F"/>
    <w:rsid w:val="70AD69B0"/>
    <w:rsid w:val="70BF1DFE"/>
    <w:rsid w:val="70CE5958"/>
    <w:rsid w:val="70DE4713"/>
    <w:rsid w:val="70E21BE6"/>
    <w:rsid w:val="70EB7CB3"/>
    <w:rsid w:val="710147BF"/>
    <w:rsid w:val="71015D2D"/>
    <w:rsid w:val="710363FD"/>
    <w:rsid w:val="71057760"/>
    <w:rsid w:val="71075128"/>
    <w:rsid w:val="710B2708"/>
    <w:rsid w:val="71180B52"/>
    <w:rsid w:val="71226EC2"/>
    <w:rsid w:val="71281547"/>
    <w:rsid w:val="71281B9C"/>
    <w:rsid w:val="712C1724"/>
    <w:rsid w:val="713C3656"/>
    <w:rsid w:val="713E2ADE"/>
    <w:rsid w:val="714A297D"/>
    <w:rsid w:val="714C6039"/>
    <w:rsid w:val="714F3171"/>
    <w:rsid w:val="7176608C"/>
    <w:rsid w:val="717C3606"/>
    <w:rsid w:val="717F16E3"/>
    <w:rsid w:val="718908C6"/>
    <w:rsid w:val="718C1A9B"/>
    <w:rsid w:val="719F4855"/>
    <w:rsid w:val="71A00ED1"/>
    <w:rsid w:val="71A212BE"/>
    <w:rsid w:val="71A32611"/>
    <w:rsid w:val="71AB7A47"/>
    <w:rsid w:val="71C60C26"/>
    <w:rsid w:val="71CB5A97"/>
    <w:rsid w:val="71CF76A5"/>
    <w:rsid w:val="71D522F9"/>
    <w:rsid w:val="71DB5C9D"/>
    <w:rsid w:val="71EA45B4"/>
    <w:rsid w:val="71ED6740"/>
    <w:rsid w:val="71FC2EA2"/>
    <w:rsid w:val="72084E9A"/>
    <w:rsid w:val="72150BA4"/>
    <w:rsid w:val="72172BEE"/>
    <w:rsid w:val="721D1D33"/>
    <w:rsid w:val="723139C4"/>
    <w:rsid w:val="723201D8"/>
    <w:rsid w:val="724051E8"/>
    <w:rsid w:val="724539F8"/>
    <w:rsid w:val="725B5FFD"/>
    <w:rsid w:val="725C7952"/>
    <w:rsid w:val="72640322"/>
    <w:rsid w:val="72990D92"/>
    <w:rsid w:val="72A96771"/>
    <w:rsid w:val="72AF7B7E"/>
    <w:rsid w:val="72B3764B"/>
    <w:rsid w:val="72B573A8"/>
    <w:rsid w:val="72B63417"/>
    <w:rsid w:val="72CF6314"/>
    <w:rsid w:val="72D7797A"/>
    <w:rsid w:val="72EC6569"/>
    <w:rsid w:val="72F24B59"/>
    <w:rsid w:val="732B407C"/>
    <w:rsid w:val="732D105C"/>
    <w:rsid w:val="735A7977"/>
    <w:rsid w:val="735B7378"/>
    <w:rsid w:val="73925BAA"/>
    <w:rsid w:val="73B70891"/>
    <w:rsid w:val="73C60B68"/>
    <w:rsid w:val="73CB43D1"/>
    <w:rsid w:val="73D05036"/>
    <w:rsid w:val="73DE2130"/>
    <w:rsid w:val="73EC173C"/>
    <w:rsid w:val="73ED6005"/>
    <w:rsid w:val="73F53944"/>
    <w:rsid w:val="73F80ACF"/>
    <w:rsid w:val="74177616"/>
    <w:rsid w:val="741A4AAA"/>
    <w:rsid w:val="742465B7"/>
    <w:rsid w:val="743D0984"/>
    <w:rsid w:val="744027CD"/>
    <w:rsid w:val="744D0EC6"/>
    <w:rsid w:val="745B56DF"/>
    <w:rsid w:val="746F2D2A"/>
    <w:rsid w:val="74775C58"/>
    <w:rsid w:val="747D74C9"/>
    <w:rsid w:val="748660CD"/>
    <w:rsid w:val="748A76D2"/>
    <w:rsid w:val="748D1686"/>
    <w:rsid w:val="74B97D3E"/>
    <w:rsid w:val="74C16CDF"/>
    <w:rsid w:val="74C57177"/>
    <w:rsid w:val="74CE2672"/>
    <w:rsid w:val="74DD25AD"/>
    <w:rsid w:val="74FD2A85"/>
    <w:rsid w:val="751C6B6A"/>
    <w:rsid w:val="75263FB5"/>
    <w:rsid w:val="75396923"/>
    <w:rsid w:val="75425644"/>
    <w:rsid w:val="756B7C19"/>
    <w:rsid w:val="75882C0C"/>
    <w:rsid w:val="758C7D84"/>
    <w:rsid w:val="75911FEE"/>
    <w:rsid w:val="759325C0"/>
    <w:rsid w:val="759B4699"/>
    <w:rsid w:val="759C7F87"/>
    <w:rsid w:val="75A9738B"/>
    <w:rsid w:val="75B6475D"/>
    <w:rsid w:val="75B84C9E"/>
    <w:rsid w:val="75BA51F7"/>
    <w:rsid w:val="75C31803"/>
    <w:rsid w:val="75C928D4"/>
    <w:rsid w:val="75CC26D6"/>
    <w:rsid w:val="75D27AFB"/>
    <w:rsid w:val="75E32AAA"/>
    <w:rsid w:val="75E74DD5"/>
    <w:rsid w:val="75EB2B08"/>
    <w:rsid w:val="75EB7168"/>
    <w:rsid w:val="75F201FB"/>
    <w:rsid w:val="75FA634C"/>
    <w:rsid w:val="7612284D"/>
    <w:rsid w:val="761262E7"/>
    <w:rsid w:val="7628461E"/>
    <w:rsid w:val="762C0F3E"/>
    <w:rsid w:val="762C56DD"/>
    <w:rsid w:val="76413491"/>
    <w:rsid w:val="76493E64"/>
    <w:rsid w:val="765D07B9"/>
    <w:rsid w:val="76652245"/>
    <w:rsid w:val="76685F07"/>
    <w:rsid w:val="76872831"/>
    <w:rsid w:val="7697622E"/>
    <w:rsid w:val="76AB3CFA"/>
    <w:rsid w:val="76BF1995"/>
    <w:rsid w:val="76C131A0"/>
    <w:rsid w:val="76C16F09"/>
    <w:rsid w:val="76C577FD"/>
    <w:rsid w:val="76C9109B"/>
    <w:rsid w:val="76DB492B"/>
    <w:rsid w:val="76DE5A8F"/>
    <w:rsid w:val="76E34DFB"/>
    <w:rsid w:val="76E75929"/>
    <w:rsid w:val="76F732C9"/>
    <w:rsid w:val="76F73AEE"/>
    <w:rsid w:val="76FB15A5"/>
    <w:rsid w:val="76FD33E8"/>
    <w:rsid w:val="76FD79BD"/>
    <w:rsid w:val="770548E4"/>
    <w:rsid w:val="77091498"/>
    <w:rsid w:val="77191A35"/>
    <w:rsid w:val="772757A8"/>
    <w:rsid w:val="77470212"/>
    <w:rsid w:val="775178C8"/>
    <w:rsid w:val="776F1E3B"/>
    <w:rsid w:val="777B0ED9"/>
    <w:rsid w:val="778841F7"/>
    <w:rsid w:val="778B6351"/>
    <w:rsid w:val="778C48D4"/>
    <w:rsid w:val="77970978"/>
    <w:rsid w:val="77B21BDE"/>
    <w:rsid w:val="77BB17EE"/>
    <w:rsid w:val="77C47AB5"/>
    <w:rsid w:val="77D73344"/>
    <w:rsid w:val="77E45A61"/>
    <w:rsid w:val="77F008AA"/>
    <w:rsid w:val="78004A72"/>
    <w:rsid w:val="782D5ACB"/>
    <w:rsid w:val="78452678"/>
    <w:rsid w:val="788714E8"/>
    <w:rsid w:val="78940B0A"/>
    <w:rsid w:val="789F624A"/>
    <w:rsid w:val="78AA485E"/>
    <w:rsid w:val="78B43685"/>
    <w:rsid w:val="78BC55B0"/>
    <w:rsid w:val="78D32032"/>
    <w:rsid w:val="78D44BF3"/>
    <w:rsid w:val="78D610F1"/>
    <w:rsid w:val="78E94929"/>
    <w:rsid w:val="78EA1CB2"/>
    <w:rsid w:val="790B3277"/>
    <w:rsid w:val="790E0FE8"/>
    <w:rsid w:val="79143A2E"/>
    <w:rsid w:val="7922025D"/>
    <w:rsid w:val="79277386"/>
    <w:rsid w:val="7929591E"/>
    <w:rsid w:val="795F7A95"/>
    <w:rsid w:val="79736A16"/>
    <w:rsid w:val="79843224"/>
    <w:rsid w:val="798D541A"/>
    <w:rsid w:val="79B452A3"/>
    <w:rsid w:val="79BC6C95"/>
    <w:rsid w:val="79CD61AE"/>
    <w:rsid w:val="79CF5DBB"/>
    <w:rsid w:val="79F77CCE"/>
    <w:rsid w:val="79FA59D1"/>
    <w:rsid w:val="7A033BF3"/>
    <w:rsid w:val="7A091BAF"/>
    <w:rsid w:val="7A0E7443"/>
    <w:rsid w:val="7A163075"/>
    <w:rsid w:val="7A463B18"/>
    <w:rsid w:val="7A4D5F33"/>
    <w:rsid w:val="7A4E4E1E"/>
    <w:rsid w:val="7A63392F"/>
    <w:rsid w:val="7A761AEF"/>
    <w:rsid w:val="7A8345C7"/>
    <w:rsid w:val="7A836286"/>
    <w:rsid w:val="7A93214F"/>
    <w:rsid w:val="7AB87E26"/>
    <w:rsid w:val="7ABB6C39"/>
    <w:rsid w:val="7AD26045"/>
    <w:rsid w:val="7ADB2460"/>
    <w:rsid w:val="7AE91D0C"/>
    <w:rsid w:val="7B007457"/>
    <w:rsid w:val="7B136D89"/>
    <w:rsid w:val="7B194DFF"/>
    <w:rsid w:val="7B2C39A7"/>
    <w:rsid w:val="7B2C5459"/>
    <w:rsid w:val="7B326164"/>
    <w:rsid w:val="7B354F51"/>
    <w:rsid w:val="7B36582E"/>
    <w:rsid w:val="7B454A69"/>
    <w:rsid w:val="7B4D5EC3"/>
    <w:rsid w:val="7B5B24C6"/>
    <w:rsid w:val="7B5C1712"/>
    <w:rsid w:val="7B605E1E"/>
    <w:rsid w:val="7B636133"/>
    <w:rsid w:val="7B6C15BB"/>
    <w:rsid w:val="7B727DD7"/>
    <w:rsid w:val="7B791623"/>
    <w:rsid w:val="7B7E6005"/>
    <w:rsid w:val="7B8B7D8B"/>
    <w:rsid w:val="7B9D2AF7"/>
    <w:rsid w:val="7BAB5214"/>
    <w:rsid w:val="7BD1454E"/>
    <w:rsid w:val="7BD56217"/>
    <w:rsid w:val="7BE50F06"/>
    <w:rsid w:val="7BED7766"/>
    <w:rsid w:val="7C0500F0"/>
    <w:rsid w:val="7C0D1A2A"/>
    <w:rsid w:val="7C105077"/>
    <w:rsid w:val="7C4A4251"/>
    <w:rsid w:val="7C4F3DF1"/>
    <w:rsid w:val="7C56760C"/>
    <w:rsid w:val="7C6F2B32"/>
    <w:rsid w:val="7C703AD5"/>
    <w:rsid w:val="7C7A295B"/>
    <w:rsid w:val="7C7A3690"/>
    <w:rsid w:val="7C81629E"/>
    <w:rsid w:val="7CB2612E"/>
    <w:rsid w:val="7CB47737"/>
    <w:rsid w:val="7CCA7565"/>
    <w:rsid w:val="7CCE69F7"/>
    <w:rsid w:val="7CE015FE"/>
    <w:rsid w:val="7CE338D3"/>
    <w:rsid w:val="7CE54755"/>
    <w:rsid w:val="7CEA684B"/>
    <w:rsid w:val="7CF404F4"/>
    <w:rsid w:val="7D1532D0"/>
    <w:rsid w:val="7D1C17A5"/>
    <w:rsid w:val="7D227C6F"/>
    <w:rsid w:val="7D276B1C"/>
    <w:rsid w:val="7D315F9B"/>
    <w:rsid w:val="7D3719F2"/>
    <w:rsid w:val="7D4C0330"/>
    <w:rsid w:val="7D58029C"/>
    <w:rsid w:val="7D730B4C"/>
    <w:rsid w:val="7D785951"/>
    <w:rsid w:val="7D8F5316"/>
    <w:rsid w:val="7DAD7B96"/>
    <w:rsid w:val="7DB172C4"/>
    <w:rsid w:val="7DCB454B"/>
    <w:rsid w:val="7DD02D0F"/>
    <w:rsid w:val="7DDF73F6"/>
    <w:rsid w:val="7DE36142"/>
    <w:rsid w:val="7DE642E1"/>
    <w:rsid w:val="7E153E08"/>
    <w:rsid w:val="7E344F88"/>
    <w:rsid w:val="7E38519C"/>
    <w:rsid w:val="7E3E19A2"/>
    <w:rsid w:val="7E535562"/>
    <w:rsid w:val="7E5A5D7A"/>
    <w:rsid w:val="7E5B7727"/>
    <w:rsid w:val="7E603F35"/>
    <w:rsid w:val="7E7A7D18"/>
    <w:rsid w:val="7E817ACB"/>
    <w:rsid w:val="7E864272"/>
    <w:rsid w:val="7EAD60AE"/>
    <w:rsid w:val="7EB20667"/>
    <w:rsid w:val="7EB35BF6"/>
    <w:rsid w:val="7EB641EE"/>
    <w:rsid w:val="7EC55300"/>
    <w:rsid w:val="7EC55DD4"/>
    <w:rsid w:val="7EC93BAC"/>
    <w:rsid w:val="7ECA657B"/>
    <w:rsid w:val="7ED14F91"/>
    <w:rsid w:val="7ED93E46"/>
    <w:rsid w:val="7EDB5E10"/>
    <w:rsid w:val="7EE2719E"/>
    <w:rsid w:val="7EE30820"/>
    <w:rsid w:val="7EFB200E"/>
    <w:rsid w:val="7EFB7192"/>
    <w:rsid w:val="7EFC18E2"/>
    <w:rsid w:val="7F097845"/>
    <w:rsid w:val="7F0D1D87"/>
    <w:rsid w:val="7F1232AF"/>
    <w:rsid w:val="7F147A5B"/>
    <w:rsid w:val="7F404F2D"/>
    <w:rsid w:val="7F417C68"/>
    <w:rsid w:val="7F487228"/>
    <w:rsid w:val="7F511C2E"/>
    <w:rsid w:val="7F635AE2"/>
    <w:rsid w:val="7F6B621B"/>
    <w:rsid w:val="7F6E4A7E"/>
    <w:rsid w:val="7F713C31"/>
    <w:rsid w:val="7F89002C"/>
    <w:rsid w:val="7FA02BB5"/>
    <w:rsid w:val="7FBA6FA9"/>
    <w:rsid w:val="7FD727EA"/>
    <w:rsid w:val="7FD96ABC"/>
    <w:rsid w:val="7FED0C32"/>
    <w:rsid w:val="7FEE56CF"/>
    <w:rsid w:val="7FF84535"/>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5">
    <w:name w:val="heading 1"/>
    <w:basedOn w:val="1"/>
    <w:next w:val="1"/>
    <w:qFormat/>
    <w:uiPriority w:val="0"/>
    <w:pPr>
      <w:keepNext/>
      <w:ind w:firstLine="0" w:firstLineChars="0"/>
      <w:jc w:val="center"/>
      <w:outlineLvl w:val="0"/>
    </w:pPr>
    <w:rPr>
      <w:b/>
      <w:sz w:val="28"/>
      <w:szCs w:val="20"/>
    </w:rPr>
  </w:style>
  <w:style w:type="paragraph" w:styleId="6">
    <w:name w:val="heading 2"/>
    <w:basedOn w:val="1"/>
    <w:next w:val="1"/>
    <w:qFormat/>
    <w:uiPriority w:val="0"/>
    <w:pPr>
      <w:keepNext/>
      <w:ind w:firstLine="0" w:firstLineChars="0"/>
      <w:outlineLvl w:val="1"/>
    </w:pPr>
    <w:rPr>
      <w:b/>
      <w:bCs/>
      <w:sz w:val="28"/>
    </w:rPr>
  </w:style>
  <w:style w:type="paragraph" w:styleId="7">
    <w:name w:val="heading 3"/>
    <w:basedOn w:val="1"/>
    <w:next w:val="1"/>
    <w:unhideWhenUsed/>
    <w:qFormat/>
    <w:uiPriority w:val="0"/>
    <w:pPr>
      <w:keepNext/>
      <w:keepLines/>
      <w:spacing w:before="260" w:after="260" w:line="413" w:lineRule="auto"/>
      <w:outlineLvl w:val="2"/>
    </w:pPr>
    <w:rPr>
      <w:b/>
      <w:sz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4"/>
    <w:unhideWhenUsed/>
    <w:qFormat/>
    <w:uiPriority w:val="99"/>
    <w:pPr>
      <w:autoSpaceDE w:val="0"/>
      <w:autoSpaceDN w:val="0"/>
      <w:adjustRightInd w:val="0"/>
    </w:pPr>
    <w:rPr>
      <w:rFonts w:ascii="宋体" w:hAnsi="宋体"/>
      <w:sz w:val="24"/>
    </w:rPr>
  </w:style>
  <w:style w:type="paragraph" w:customStyle="1" w:styleId="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4">
    <w:name w:val="样式35"/>
    <w:basedOn w:val="1"/>
    <w:next w:val="1"/>
    <w:qFormat/>
    <w:uiPriority w:val="0"/>
    <w:pPr>
      <w:spacing w:line="312" w:lineRule="auto"/>
      <w:ind w:firstLine="567"/>
    </w:pPr>
    <w:rPr>
      <w:rFonts w:ascii="宋体"/>
      <w:sz w:val="28"/>
    </w:rPr>
  </w:style>
  <w:style w:type="paragraph" w:styleId="8">
    <w:name w:val="Normal Indent"/>
    <w:basedOn w:val="1"/>
    <w:next w:val="1"/>
    <w:qFormat/>
    <w:uiPriority w:val="0"/>
    <w:pPr>
      <w:ind w:firstLine="420"/>
    </w:pPr>
    <w:rPr>
      <w:szCs w:val="20"/>
    </w:rPr>
  </w:style>
  <w:style w:type="paragraph" w:styleId="9">
    <w:name w:val="annotation text"/>
    <w:basedOn w:val="1"/>
    <w:link w:val="76"/>
    <w:qFormat/>
    <w:uiPriority w:val="0"/>
    <w:pPr>
      <w:jc w:val="left"/>
    </w:pPr>
  </w:style>
  <w:style w:type="paragraph" w:styleId="10">
    <w:name w:val="Body Text"/>
    <w:basedOn w:val="1"/>
    <w:next w:val="11"/>
    <w:qFormat/>
    <w:uiPriority w:val="0"/>
    <w:rPr>
      <w:rFonts w:hint="eastAsia" w:eastAsia="华文宋体"/>
      <w:szCs w:val="20"/>
    </w:rPr>
  </w:style>
  <w:style w:type="paragraph" w:styleId="11">
    <w:name w:val="List Bullet 5"/>
    <w:basedOn w:val="1"/>
    <w:qFormat/>
    <w:uiPriority w:val="0"/>
    <w:pPr>
      <w:numPr>
        <w:ilvl w:val="0"/>
        <w:numId w:val="1"/>
      </w:numPr>
    </w:pPr>
  </w:style>
  <w:style w:type="paragraph" w:styleId="12">
    <w:name w:val="Body Text Indent"/>
    <w:basedOn w:val="1"/>
    <w:next w:val="13"/>
    <w:qFormat/>
    <w:uiPriority w:val="0"/>
    <w:pPr>
      <w:ind w:firstLine="570"/>
    </w:pPr>
    <w:rPr>
      <w:rFonts w:ascii="宋体" w:hAnsi="宋体"/>
      <w:color w:val="000000"/>
      <w:sz w:val="28"/>
    </w:rPr>
  </w:style>
  <w:style w:type="paragraph" w:customStyle="1" w:styleId="13">
    <w:name w:val="样式 正文文本缩进 + 行距: 1.5 倍行距"/>
    <w:basedOn w:val="14"/>
    <w:next w:val="1"/>
    <w:qFormat/>
    <w:uiPriority w:val="0"/>
    <w:pPr>
      <w:ind w:left="90" w:leftChars="32"/>
    </w:pPr>
    <w:rPr>
      <w:rFonts w:cs="宋体"/>
    </w:rPr>
  </w:style>
  <w:style w:type="paragraph" w:customStyle="1" w:styleId="14">
    <w:name w:val="Body Text Indent"/>
    <w:basedOn w:val="1"/>
    <w:next w:val="13"/>
    <w:qFormat/>
    <w:uiPriority w:val="0"/>
    <w:pPr>
      <w:spacing w:after="120" w:afterLines="0"/>
      <w:ind w:left="420" w:leftChars="200"/>
    </w:pPr>
    <w:rPr>
      <w:rFonts w:ascii="Times New Roman" w:hAnsi="Times New Roman" w:eastAsia="宋体"/>
      <w:sz w:val="24"/>
    </w:rPr>
  </w:style>
  <w:style w:type="paragraph" w:styleId="15">
    <w:name w:val="Date"/>
    <w:basedOn w:val="1"/>
    <w:next w:val="1"/>
    <w:qFormat/>
    <w:uiPriority w:val="0"/>
    <w:pPr>
      <w:ind w:left="100" w:leftChars="2500"/>
    </w:pPr>
    <w:rPr>
      <w:kern w:val="0"/>
      <w:sz w:val="20"/>
      <w:szCs w:val="20"/>
    </w:rPr>
  </w:style>
  <w:style w:type="paragraph" w:styleId="16">
    <w:name w:val="Body Text Indent 2"/>
    <w:basedOn w:val="1"/>
    <w:next w:val="17"/>
    <w:qFormat/>
    <w:uiPriority w:val="0"/>
    <w:pPr>
      <w:spacing w:line="300" w:lineRule="auto"/>
      <w:ind w:firstLine="480"/>
    </w:pPr>
    <w:rPr>
      <w:rFonts w:ascii="仿宋体" w:eastAsia="仿宋体"/>
      <w:b/>
    </w:rPr>
  </w:style>
  <w:style w:type="paragraph" w:styleId="17">
    <w:name w:val="Body Text 2"/>
    <w:basedOn w:val="1"/>
    <w:qFormat/>
    <w:uiPriority w:val="0"/>
    <w:pPr>
      <w:spacing w:after="120" w:line="480" w:lineRule="auto"/>
    </w:pPr>
  </w:style>
  <w:style w:type="paragraph" w:styleId="18">
    <w:name w:val="Balloon Text"/>
    <w:basedOn w:val="1"/>
    <w:link w:val="74"/>
    <w:qFormat/>
    <w:uiPriority w:val="0"/>
    <w:pPr>
      <w:spacing w:line="240" w:lineRule="auto"/>
    </w:pPr>
    <w:rPr>
      <w:sz w:val="18"/>
      <w:szCs w:val="18"/>
    </w:rPr>
  </w:style>
  <w:style w:type="paragraph" w:styleId="19">
    <w:name w:val="footer"/>
    <w:basedOn w:val="1"/>
    <w:qFormat/>
    <w:uiPriority w:val="99"/>
    <w:pPr>
      <w:tabs>
        <w:tab w:val="center" w:pos="4153"/>
        <w:tab w:val="right" w:pos="8306"/>
      </w:tabs>
      <w:snapToGrid w:val="0"/>
      <w:jc w:val="left"/>
    </w:pPr>
    <w:rPr>
      <w:sz w:val="18"/>
      <w:szCs w:val="18"/>
    </w:rPr>
  </w:style>
  <w:style w:type="paragraph" w:styleId="20">
    <w:name w:val="header"/>
    <w:basedOn w:val="1"/>
    <w:next w:val="21"/>
    <w:qFormat/>
    <w:uiPriority w:val="99"/>
    <w:pPr>
      <w:pBdr>
        <w:bottom w:val="single" w:color="auto" w:sz="6" w:space="1"/>
      </w:pBdr>
      <w:tabs>
        <w:tab w:val="center" w:pos="4153"/>
        <w:tab w:val="right" w:pos="8306"/>
      </w:tabs>
      <w:snapToGrid w:val="0"/>
      <w:jc w:val="center"/>
    </w:pPr>
    <w:rPr>
      <w:sz w:val="18"/>
      <w:szCs w:val="18"/>
    </w:rPr>
  </w:style>
  <w:style w:type="paragraph" w:customStyle="1" w:styleId="21">
    <w:name w:val="样式5"/>
    <w:basedOn w:val="22"/>
    <w:next w:val="1"/>
    <w:qFormat/>
    <w:uiPriority w:val="0"/>
    <w:pPr>
      <w:spacing w:line="360" w:lineRule="auto"/>
      <w:ind w:firstLine="510"/>
    </w:pPr>
  </w:style>
  <w:style w:type="paragraph" w:customStyle="1" w:styleId="22">
    <w:name w:val="正文1"/>
    <w:basedOn w:val="1"/>
    <w:next w:val="2"/>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3">
    <w:name w:val="toc 1"/>
    <w:basedOn w:val="1"/>
    <w:next w:val="1"/>
    <w:qFormat/>
    <w:uiPriority w:val="99"/>
    <w:pPr>
      <w:tabs>
        <w:tab w:val="right" w:leader="dot" w:pos="8836"/>
      </w:tabs>
      <w:jc w:val="center"/>
    </w:pPr>
    <w:rPr>
      <w:rFonts w:ascii="宋体" w:hAnsi="宋体"/>
      <w:sz w:val="32"/>
    </w:rPr>
  </w:style>
  <w:style w:type="paragraph" w:styleId="24">
    <w:name w:val="toc 2"/>
    <w:basedOn w:val="1"/>
    <w:next w:val="1"/>
    <w:qFormat/>
    <w:uiPriority w:val="0"/>
    <w:pPr>
      <w:ind w:left="420" w:leftChars="200"/>
    </w:pPr>
  </w:style>
  <w:style w:type="paragraph" w:styleId="25">
    <w:name w:val="annotation subject"/>
    <w:basedOn w:val="9"/>
    <w:next w:val="9"/>
    <w:link w:val="77"/>
    <w:qFormat/>
    <w:uiPriority w:val="0"/>
    <w:rPr>
      <w:b/>
      <w:bCs/>
    </w:rPr>
  </w:style>
  <w:style w:type="paragraph" w:styleId="26">
    <w:name w:val="Body Text First Indent"/>
    <w:basedOn w:val="10"/>
    <w:next w:val="1"/>
    <w:qFormat/>
    <w:uiPriority w:val="0"/>
    <w:pPr>
      <w:spacing w:after="120"/>
      <w:ind w:firstLine="420" w:firstLineChars="100"/>
    </w:pPr>
  </w:style>
  <w:style w:type="paragraph" w:styleId="27">
    <w:name w:val="Body Text First Indent 2"/>
    <w:basedOn w:val="12"/>
    <w:next w:val="26"/>
    <w:qFormat/>
    <w:uiPriority w:val="0"/>
    <w:pPr>
      <w:ind w:firstLine="42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0"/>
    <w:rPr>
      <w:b/>
    </w:rPr>
  </w:style>
  <w:style w:type="character" w:styleId="32">
    <w:name w:val="annotation reference"/>
    <w:qFormat/>
    <w:uiPriority w:val="0"/>
    <w:rPr>
      <w:sz w:val="21"/>
      <w:szCs w:val="21"/>
    </w:rPr>
  </w:style>
  <w:style w:type="paragraph" w:customStyle="1" w:styleId="33">
    <w:name w:val="正文文本缩进1"/>
    <w:basedOn w:val="1"/>
    <w:next w:val="13"/>
    <w:qFormat/>
    <w:uiPriority w:val="0"/>
    <w:pPr>
      <w:spacing w:after="120"/>
      <w:ind w:left="420" w:leftChars="200"/>
    </w:pPr>
  </w:style>
  <w:style w:type="paragraph" w:customStyle="1" w:styleId="34">
    <w:name w:val="Date1"/>
    <w:basedOn w:val="1"/>
    <w:next w:val="1"/>
    <w:qFormat/>
    <w:uiPriority w:val="0"/>
    <w:rPr>
      <w:sz w:val="21"/>
      <w:szCs w:val="20"/>
    </w:rPr>
  </w:style>
  <w:style w:type="paragraph" w:customStyle="1" w:styleId="35">
    <w:name w:val="正文文本缩进111"/>
    <w:basedOn w:val="1"/>
    <w:next w:val="13"/>
    <w:qFormat/>
    <w:uiPriority w:val="0"/>
    <w:pPr>
      <w:spacing w:after="120"/>
      <w:ind w:left="420" w:leftChars="200"/>
    </w:pPr>
  </w:style>
  <w:style w:type="paragraph" w:customStyle="1" w:styleId="36">
    <w:name w:val="纯文本1"/>
    <w:basedOn w:val="1"/>
    <w:qFormat/>
    <w:uiPriority w:val="0"/>
    <w:pPr>
      <w:adjustRightInd w:val="0"/>
      <w:textAlignment w:val="baseline"/>
    </w:pPr>
    <w:rPr>
      <w:rFonts w:ascii="宋体" w:hAnsi="Courier New"/>
    </w:rPr>
  </w:style>
  <w:style w:type="paragraph" w:customStyle="1" w:styleId="37">
    <w:name w:val="正文文本缩进11"/>
    <w:basedOn w:val="1"/>
    <w:next w:val="13"/>
    <w:qFormat/>
    <w:uiPriority w:val="0"/>
    <w:pPr>
      <w:spacing w:after="120"/>
      <w:ind w:left="420" w:leftChars="200"/>
    </w:pPr>
  </w:style>
  <w:style w:type="paragraph" w:customStyle="1" w:styleId="38">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9">
    <w:name w:val="正文文本缩进2"/>
    <w:basedOn w:val="1"/>
    <w:next w:val="13"/>
    <w:qFormat/>
    <w:uiPriority w:val="0"/>
    <w:pPr>
      <w:spacing w:after="120"/>
      <w:ind w:left="420" w:leftChars="200"/>
    </w:pPr>
  </w:style>
  <w:style w:type="paragraph" w:customStyle="1" w:styleId="40">
    <w:name w:val="Body Text First Indent 21"/>
    <w:basedOn w:val="41"/>
    <w:qFormat/>
    <w:uiPriority w:val="0"/>
    <w:pPr>
      <w:ind w:firstLine="420"/>
    </w:pPr>
  </w:style>
  <w:style w:type="paragraph" w:customStyle="1" w:styleId="41">
    <w:name w:val="Body Text Indent1"/>
    <w:basedOn w:val="1"/>
    <w:qFormat/>
    <w:uiPriority w:val="0"/>
    <w:pPr>
      <w:spacing w:after="120"/>
      <w:ind w:left="420" w:leftChars="200"/>
    </w:pPr>
  </w:style>
  <w:style w:type="character" w:customStyle="1" w:styleId="42">
    <w:name w:val="font31"/>
    <w:qFormat/>
    <w:uiPriority w:val="0"/>
    <w:rPr>
      <w:rFonts w:hint="default" w:ascii="Times New Roman" w:hAnsi="Times New Roman" w:cs="Times New Roman"/>
      <w:b/>
      <w:color w:val="000000"/>
      <w:sz w:val="24"/>
      <w:szCs w:val="24"/>
      <w:u w:val="none"/>
    </w:rPr>
  </w:style>
  <w:style w:type="character" w:customStyle="1" w:styleId="43">
    <w:name w:val="font41"/>
    <w:qFormat/>
    <w:uiPriority w:val="0"/>
    <w:rPr>
      <w:rFonts w:hint="default" w:ascii="Times New Roman" w:hAnsi="Times New Roman" w:cs="Times New Roman"/>
      <w:b/>
      <w:color w:val="000000"/>
      <w:sz w:val="22"/>
      <w:szCs w:val="22"/>
      <w:u w:val="none"/>
    </w:rPr>
  </w:style>
  <w:style w:type="character" w:customStyle="1" w:styleId="44">
    <w:name w:val="font21"/>
    <w:qFormat/>
    <w:uiPriority w:val="0"/>
    <w:rPr>
      <w:rFonts w:hint="eastAsia" w:ascii="宋体" w:hAnsi="宋体" w:eastAsia="宋体" w:cs="宋体"/>
      <w:color w:val="0000FF"/>
      <w:sz w:val="18"/>
      <w:szCs w:val="18"/>
      <w:u w:val="none"/>
    </w:rPr>
  </w:style>
  <w:style w:type="paragraph" w:customStyle="1" w:styleId="45">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6">
    <w:name w:val="Table Paragraph"/>
    <w:basedOn w:val="1"/>
    <w:unhideWhenUsed/>
    <w:qFormat/>
    <w:uiPriority w:val="1"/>
    <w:pPr>
      <w:spacing w:line="240" w:lineRule="auto"/>
      <w:ind w:firstLine="0" w:firstLineChars="0"/>
      <w:jc w:val="center"/>
    </w:pPr>
    <w:rPr>
      <w:sz w:val="21"/>
    </w:rPr>
  </w:style>
  <w:style w:type="paragraph" w:customStyle="1" w:styleId="47">
    <w:name w:val="Other|1"/>
    <w:basedOn w:val="1"/>
    <w:qFormat/>
    <w:uiPriority w:val="0"/>
    <w:pPr>
      <w:spacing w:line="420" w:lineRule="auto"/>
      <w:ind w:firstLine="400"/>
    </w:pPr>
    <w:rPr>
      <w:rFonts w:ascii="宋体" w:hAnsi="宋体" w:cs="宋体"/>
      <w:lang w:val="zh-TW" w:eastAsia="zh-TW" w:bidi="zh-TW"/>
    </w:rPr>
  </w:style>
  <w:style w:type="paragraph" w:customStyle="1" w:styleId="48">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9">
    <w:name w:val="普通(网站)1"/>
    <w:basedOn w:val="1"/>
    <w:qFormat/>
    <w:uiPriority w:val="0"/>
    <w:pPr>
      <w:spacing w:before="100" w:beforeAutospacing="1" w:after="100" w:afterAutospacing="1"/>
    </w:pPr>
    <w:rPr>
      <w:rFonts w:ascii="宋体" w:hAnsi="宋体" w:cs="宋体"/>
    </w:rPr>
  </w:style>
  <w:style w:type="paragraph" w:customStyle="1" w:styleId="50">
    <w:name w:val="表格文字"/>
    <w:basedOn w:val="1"/>
    <w:next w:val="1"/>
    <w:qFormat/>
    <w:uiPriority w:val="0"/>
    <w:pPr>
      <w:spacing w:beforeLines="30" w:afterLines="30"/>
      <w:jc w:val="center"/>
    </w:pPr>
    <w:rPr>
      <w:spacing w:val="10"/>
      <w:kern w:val="0"/>
      <w:szCs w:val="21"/>
    </w:rPr>
  </w:style>
  <w:style w:type="paragraph" w:customStyle="1" w:styleId="51">
    <w:name w:val="Body text|3"/>
    <w:basedOn w:val="1"/>
    <w:qFormat/>
    <w:uiPriority w:val="0"/>
    <w:pPr>
      <w:ind w:firstLine="140"/>
    </w:pPr>
    <w:rPr>
      <w:sz w:val="20"/>
      <w:szCs w:val="20"/>
    </w:rPr>
  </w:style>
  <w:style w:type="paragraph" w:customStyle="1" w:styleId="52">
    <w:name w:val="文本内容"/>
    <w:basedOn w:val="1"/>
    <w:qFormat/>
    <w:uiPriority w:val="0"/>
    <w:pPr>
      <w:adjustRightInd w:val="0"/>
      <w:snapToGrid w:val="0"/>
      <w:ind w:firstLine="546"/>
    </w:pPr>
    <w:rPr>
      <w:rFonts w:cs="宋体"/>
      <w:sz w:val="28"/>
    </w:rPr>
  </w:style>
  <w:style w:type="paragraph" w:customStyle="1" w:styleId="53">
    <w:name w:val="表格1"/>
    <w:basedOn w:val="1"/>
    <w:qFormat/>
    <w:uiPriority w:val="0"/>
    <w:pPr>
      <w:jc w:val="center"/>
    </w:pPr>
    <w:rPr>
      <w:sz w:val="18"/>
      <w:szCs w:val="18"/>
    </w:rPr>
  </w:style>
  <w:style w:type="paragraph" w:customStyle="1" w:styleId="54">
    <w:name w:val="表格文字两端对齐"/>
    <w:basedOn w:val="1"/>
    <w:qFormat/>
    <w:uiPriority w:val="0"/>
    <w:pPr>
      <w:spacing w:line="240" w:lineRule="auto"/>
      <w:ind w:firstLine="0" w:firstLineChars="0"/>
      <w:jc w:val="center"/>
    </w:pPr>
    <w:rPr>
      <w:sz w:val="21"/>
    </w:rPr>
  </w:style>
  <w:style w:type="paragraph" w:customStyle="1" w:styleId="55">
    <w:name w:val="Body text|6"/>
    <w:basedOn w:val="1"/>
    <w:qFormat/>
    <w:uiPriority w:val="0"/>
    <w:pPr>
      <w:spacing w:after="170" w:line="317" w:lineRule="auto"/>
      <w:ind w:firstLine="370"/>
    </w:pPr>
  </w:style>
  <w:style w:type="paragraph" w:customStyle="1" w:styleId="56">
    <w:name w:val="正文小四"/>
    <w:basedOn w:val="1"/>
    <w:qFormat/>
    <w:uiPriority w:val="0"/>
    <w:pPr>
      <w:spacing w:line="460" w:lineRule="exact"/>
      <w:ind w:firstLine="600"/>
    </w:pPr>
    <w:rPr>
      <w:rFonts w:ascii="宋体" w:hAnsi="宋体" w:cs="宋体"/>
      <w:spacing w:val="30"/>
      <w:kern w:val="24"/>
    </w:rPr>
  </w:style>
  <w:style w:type="paragraph" w:customStyle="1" w:styleId="57">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8">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9">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60">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1">
    <w:name w:val="表格文字1.0"/>
    <w:basedOn w:val="1"/>
    <w:qFormat/>
    <w:uiPriority w:val="0"/>
    <w:pPr>
      <w:adjustRightInd w:val="0"/>
      <w:snapToGrid w:val="0"/>
      <w:jc w:val="center"/>
    </w:pPr>
    <w:rPr>
      <w:kern w:val="0"/>
      <w:sz w:val="21"/>
    </w:rPr>
  </w:style>
  <w:style w:type="paragraph" w:customStyle="1" w:styleId="62">
    <w:name w:val="框架内容"/>
    <w:basedOn w:val="22"/>
    <w:qFormat/>
    <w:uiPriority w:val="0"/>
  </w:style>
  <w:style w:type="character" w:customStyle="1" w:styleId="63">
    <w:name w:val="15"/>
    <w:qFormat/>
    <w:uiPriority w:val="0"/>
    <w:rPr>
      <w:rFonts w:hint="default" w:ascii="Times New Roman" w:hAnsi="Times New Roman" w:cs="Times New Roman"/>
      <w:color w:val="000000"/>
      <w:sz w:val="22"/>
      <w:szCs w:val="22"/>
    </w:rPr>
  </w:style>
  <w:style w:type="paragraph" w:customStyle="1" w:styleId="64">
    <w:name w:val="表1111111111"/>
    <w:basedOn w:val="1"/>
    <w:qFormat/>
    <w:uiPriority w:val="0"/>
    <w:pPr>
      <w:jc w:val="center"/>
    </w:pPr>
  </w:style>
  <w:style w:type="paragraph" w:customStyle="1" w:styleId="65">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6">
    <w:name w:val="内部文字"/>
    <w:basedOn w:val="1"/>
    <w:qFormat/>
    <w:uiPriority w:val="0"/>
    <w:pPr>
      <w:adjustRightInd w:val="0"/>
      <w:snapToGrid w:val="0"/>
      <w:ind w:firstLine="200"/>
    </w:pPr>
  </w:style>
  <w:style w:type="paragraph" w:customStyle="1" w:styleId="67">
    <w:name w:val="lh-表格文字-报告表"/>
    <w:basedOn w:val="1"/>
    <w:qFormat/>
    <w:uiPriority w:val="0"/>
    <w:pPr>
      <w:jc w:val="center"/>
    </w:pPr>
    <w:rPr>
      <w:kern w:val="0"/>
    </w:rPr>
  </w:style>
  <w:style w:type="paragraph" w:customStyle="1" w:styleId="68">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9">
    <w:name w:val="font01"/>
    <w:qFormat/>
    <w:uiPriority w:val="0"/>
    <w:rPr>
      <w:rFonts w:hint="default" w:ascii="Times New Roman" w:hAnsi="Times New Roman" w:cs="Times New Roman"/>
      <w:color w:val="000000"/>
      <w:sz w:val="21"/>
      <w:szCs w:val="21"/>
      <w:u w:val="none"/>
      <w:vertAlign w:val="superscript"/>
    </w:rPr>
  </w:style>
  <w:style w:type="paragraph" w:customStyle="1" w:styleId="70">
    <w:name w:val="表内容"/>
    <w:basedOn w:val="1"/>
    <w:qFormat/>
    <w:uiPriority w:val="0"/>
    <w:pPr>
      <w:adjustRightInd w:val="0"/>
      <w:snapToGrid w:val="0"/>
      <w:jc w:val="center"/>
    </w:pPr>
    <w:rPr>
      <w:snapToGrid w:val="0"/>
      <w:szCs w:val="21"/>
    </w:rPr>
  </w:style>
  <w:style w:type="paragraph" w:customStyle="1" w:styleId="71">
    <w:name w:val="li_正文"/>
    <w:basedOn w:val="1"/>
    <w:qFormat/>
    <w:uiPriority w:val="0"/>
    <w:pPr>
      <w:ind w:firstLine="200"/>
    </w:pPr>
    <w:rPr>
      <w:sz w:val="28"/>
      <w:szCs w:val="28"/>
    </w:rPr>
  </w:style>
  <w:style w:type="paragraph" w:customStyle="1" w:styleId="72">
    <w:name w:val="普通(网站)11"/>
    <w:basedOn w:val="1"/>
    <w:qFormat/>
    <w:uiPriority w:val="0"/>
    <w:pPr>
      <w:spacing w:before="100" w:beforeAutospacing="1" w:after="100" w:afterAutospacing="1"/>
    </w:pPr>
    <w:rPr>
      <w:rFonts w:ascii="宋体" w:hAnsi="宋体" w:cs="宋体"/>
    </w:rPr>
  </w:style>
  <w:style w:type="paragraph" w:customStyle="1" w:styleId="73">
    <w:name w:val="报告书表格"/>
    <w:basedOn w:val="1"/>
    <w:qFormat/>
    <w:uiPriority w:val="0"/>
    <w:pPr>
      <w:adjustRightInd w:val="0"/>
      <w:spacing w:before="60" w:after="60" w:line="240" w:lineRule="atLeast"/>
      <w:jc w:val="center"/>
      <w:textAlignment w:val="baseline"/>
    </w:pPr>
    <w:rPr>
      <w:kern w:val="0"/>
    </w:rPr>
  </w:style>
  <w:style w:type="character" w:customStyle="1" w:styleId="74">
    <w:name w:val="批注框文本 字符"/>
    <w:link w:val="18"/>
    <w:qFormat/>
    <w:uiPriority w:val="0"/>
    <w:rPr>
      <w:kern w:val="2"/>
      <w:sz w:val="18"/>
      <w:szCs w:val="18"/>
    </w:rPr>
  </w:style>
  <w:style w:type="paragraph" w:customStyle="1" w:styleId="75">
    <w:name w:val="修订1"/>
    <w:hidden/>
    <w:semiHidden/>
    <w:qFormat/>
    <w:uiPriority w:val="99"/>
    <w:rPr>
      <w:rFonts w:ascii="Times New Roman" w:hAnsi="Times New Roman" w:eastAsia="宋体" w:cs="Times New Roman"/>
      <w:kern w:val="2"/>
      <w:sz w:val="24"/>
      <w:szCs w:val="24"/>
      <w:lang w:val="en-US" w:eastAsia="zh-CN" w:bidi="ar-SA"/>
    </w:rPr>
  </w:style>
  <w:style w:type="character" w:customStyle="1" w:styleId="76">
    <w:name w:val="批注文字 字符"/>
    <w:link w:val="9"/>
    <w:qFormat/>
    <w:uiPriority w:val="0"/>
    <w:rPr>
      <w:kern w:val="2"/>
      <w:sz w:val="24"/>
      <w:szCs w:val="24"/>
    </w:rPr>
  </w:style>
  <w:style w:type="character" w:customStyle="1" w:styleId="77">
    <w:name w:val="批注主题 字符"/>
    <w:link w:val="25"/>
    <w:qFormat/>
    <w:uiPriority w:val="0"/>
    <w:rPr>
      <w:b/>
      <w:bCs/>
      <w:kern w:val="2"/>
      <w:sz w:val="24"/>
      <w:szCs w:val="24"/>
    </w:rPr>
  </w:style>
  <w:style w:type="paragraph" w:customStyle="1" w:styleId="78">
    <w:name w:val="Revision"/>
    <w:hidden/>
    <w:semiHidden/>
    <w:qFormat/>
    <w:uiPriority w:val="99"/>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8.jpeg"/><Relationship Id="rId30" Type="http://schemas.openxmlformats.org/officeDocument/2006/relationships/image" Target="media/image17.jpeg"/><Relationship Id="rId3" Type="http://schemas.openxmlformats.org/officeDocument/2006/relationships/footnotes" Target="footnotes.xml"/><Relationship Id="rId29" Type="http://schemas.openxmlformats.org/officeDocument/2006/relationships/image" Target="http://117.73.252.128:9025/company/20230224/f6d13b0b-c612-4fd1-97e7-ccacc14a177c/1677207312276_1677207319089.jpg" TargetMode="External"/><Relationship Id="rId28" Type="http://schemas.openxmlformats.org/officeDocument/2006/relationships/image" Target="media/image16.jpeg"/><Relationship Id="rId27" Type="http://schemas.openxmlformats.org/officeDocument/2006/relationships/image" Target="http://117.73.252.128:9025/company/20230223/3195786c-b7d0-47d7-80b3-5d48771e3521/1677137805545_1677137812025.jpg" TargetMode="External"/><Relationship Id="rId26" Type="http://schemas.openxmlformats.org/officeDocument/2006/relationships/image" Target="media/image15.jpeg"/><Relationship Id="rId25" Type="http://schemas.openxmlformats.org/officeDocument/2006/relationships/image" Target="http://117.73.252.128:9025/company/20230223/c9754351-7949-42a1-8c80-ac4cafc915de/1677124339737_1677124343488.jpg" TargetMode="External"/><Relationship Id="rId24" Type="http://schemas.openxmlformats.org/officeDocument/2006/relationships/image" Target="media/image14.jpeg"/><Relationship Id="rId23" Type="http://schemas.openxmlformats.org/officeDocument/2006/relationships/image" Target="http://117.73.252.128:9025/company/20230223/da45cce2-30fa-4dcf-a541-9a14ab959cdd/1677120717764_1677120723269.jpg" TargetMode="External"/><Relationship Id="rId22" Type="http://schemas.openxmlformats.org/officeDocument/2006/relationships/image" Target="media/image13.jpeg"/><Relationship Id="rId21" Type="http://schemas.openxmlformats.org/officeDocument/2006/relationships/image" Target="http://117.73.252.128:9025/company/20230224/fcd03d38-f7b0-4332-974f-c13234e60660/1677206015631_1677206019301.jpg" TargetMode="External"/><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http://117.73.252.128:9025/company/20230223/7bd9b204-54b0-4134-a39d-d10b87cb0703/1677133552666_1677133557324.jpg" TargetMode="External"/><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customShpInfo spid="_x0000_s2135"/>
    <customShpInfo spid="_x0000_s2098"/>
    <customShpInfo spid="_x0000_s2136"/>
    <customShpInfo spid="_x0000_s2134"/>
    <customShpInfo spid="_x0000_s2114"/>
    <customShpInfo spid="_x0000_s2099"/>
    <customShpInfo spid="_x0000_s2100"/>
  </customShpExts>
  <extobjs>
    <extobj name="ECB019B1-382A-4266-B25C-5B523AA43C14-1">
      <extobjdata type="ECB019B1-382A-4266-B25C-5B523AA43C14" data="ewoJIkZpbGVJZCIgOiAiMjE5MzAwODc5NDI1IiwKCSJHcm91cElkIiA6ICI0MTc4Mzk5NjciLAoJIkltYWdlIiA6ICJpVkJPUncwS0dnb0FBQUFOU1VoRVVnQUFBZklBQUFDV0NBWUFBQUFsZ3dvb0FBQUFDWEJJV1hNQUFBc1RBQUFMRXdFQW1wd1lBQUFhaGtsRVFWUjRuTzNkZVZRVVY5b0c4S2NhaklDQWdERWlnZ3pCSmU0RFJCU0pTMEFNaVNpNFJLT0EwWEZQQklubTREZHhZMFRVdUNJcXlMZ2h1QVdWcUdnNHl1QzRSRWtreUNpaW9rR1lSRFFDRWhabGFhVHIrNE9oRGkxN29qWnRQNzl6UE5KVjFWVzNtcGQ2dTI3ZEJTQ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34296</Words>
  <Characters>40454</Characters>
  <Lines>327</Lines>
  <Paragraphs>92</Paragraphs>
  <TotalTime>1</TotalTime>
  <ScaleCrop>false</ScaleCrop>
  <LinksUpToDate>false</LinksUpToDate>
  <CharactersWithSpaces>40783</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2022-10-08T05:25:00Z</cp:lastPrinted>
  <dcterms:modified xsi:type="dcterms:W3CDTF">2023-08-07T05:48:36Z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7A1B6DF1F5A749A19E8F6B429C7139C7</vt:lpwstr>
  </property>
</Properties>
</file>