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700" w:lineRule="exact"/>
        <w:jc w:val="both"/>
        <w:textAlignment w:val="auto"/>
        <w:rPr>
          <w:rFonts w:hint="eastAsia" w:ascii="仿宋" w:hAnsi="仿宋" w:eastAsia="仿宋" w:cs="仿宋"/>
          <w:b/>
          <w:color w:val="000000" w:themeColor="text1"/>
          <w:sz w:val="44"/>
          <w:szCs w:val="44"/>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700" w:lineRule="exact"/>
        <w:jc w:val="both"/>
        <w:textAlignment w:val="auto"/>
        <w:rPr>
          <w:rFonts w:hint="eastAsia" w:ascii="仿宋" w:hAnsi="仿宋" w:eastAsia="仿宋" w:cs="仿宋"/>
          <w:b/>
          <w:color w:val="181717" w:themeColor="background2" w:themeShade="1A"/>
          <w:sz w:val="44"/>
          <w:szCs w:val="44"/>
          <w:lang w:eastAsia="zh-CN"/>
        </w:rPr>
      </w:pPr>
    </w:p>
    <w:p>
      <w:pPr>
        <w:pStyle w:val="8"/>
        <w:keepNext w:val="0"/>
        <w:keepLines w:val="0"/>
        <w:pageBreakBefore w:val="0"/>
        <w:widowControl/>
        <w:kinsoku/>
        <w:wordWrap/>
        <w:overflowPunct/>
        <w:topLinePunct w:val="0"/>
        <w:autoSpaceDE/>
        <w:autoSpaceDN/>
        <w:bidi w:val="0"/>
        <w:adjustRightInd/>
        <w:snapToGrid/>
        <w:spacing w:after="0" w:line="700" w:lineRule="exact"/>
        <w:ind w:left="0" w:leftChars="0" w:firstLine="0" w:firstLineChars="0"/>
        <w:textAlignment w:val="auto"/>
        <w:rPr>
          <w:rFonts w:hint="eastAsia" w:ascii="仿宋" w:hAnsi="仿宋" w:eastAsia="仿宋" w:cs="仿宋"/>
          <w:lang w:eastAsia="zh-CN"/>
        </w:rPr>
      </w:pPr>
    </w:p>
    <w:p>
      <w:pPr>
        <w:spacing w:after="0" w:line="360" w:lineRule="auto"/>
        <w:jc w:val="center"/>
        <w:rPr>
          <w:rFonts w:hint="eastAsia" w:ascii="仿宋" w:hAnsi="仿宋" w:eastAsia="仿宋" w:cs="仿宋"/>
          <w:b/>
          <w:color w:val="181717" w:themeColor="background2" w:themeShade="1A"/>
          <w:sz w:val="72"/>
          <w:szCs w:val="72"/>
        </w:rPr>
      </w:pPr>
      <w:r>
        <w:rPr>
          <w:rFonts w:hint="eastAsia" w:ascii="仿宋" w:hAnsi="仿宋" w:eastAsia="仿宋" w:cs="仿宋"/>
          <w:b/>
          <w:color w:val="181717" w:themeColor="background2" w:themeShade="1A"/>
          <w:sz w:val="72"/>
          <w:szCs w:val="72"/>
          <w:lang w:eastAsia="zh-CN"/>
        </w:rPr>
        <w:t>建设项目</w:t>
      </w:r>
      <w:r>
        <w:rPr>
          <w:rFonts w:hint="eastAsia" w:ascii="仿宋" w:hAnsi="仿宋" w:eastAsia="仿宋" w:cs="仿宋"/>
          <w:b/>
          <w:color w:val="181717" w:themeColor="background2" w:themeShade="1A"/>
          <w:sz w:val="72"/>
          <w:szCs w:val="72"/>
        </w:rPr>
        <w:t>竣工环境保护</w:t>
      </w:r>
    </w:p>
    <w:p>
      <w:pPr>
        <w:spacing w:after="0" w:line="360" w:lineRule="auto"/>
        <w:jc w:val="center"/>
        <w:rPr>
          <w:rFonts w:hint="eastAsia" w:ascii="仿宋" w:hAnsi="仿宋" w:eastAsia="仿宋" w:cs="仿宋"/>
          <w:b/>
          <w:color w:val="181717" w:themeColor="background2" w:themeShade="1A"/>
          <w:sz w:val="72"/>
          <w:szCs w:val="72"/>
          <w:lang w:eastAsia="zh-CN"/>
        </w:rPr>
      </w:pPr>
      <w:r>
        <w:rPr>
          <w:rFonts w:hint="eastAsia" w:ascii="仿宋" w:hAnsi="仿宋" w:eastAsia="仿宋" w:cs="仿宋"/>
          <w:b/>
          <w:color w:val="181717" w:themeColor="background2" w:themeShade="1A"/>
          <w:sz w:val="72"/>
          <w:szCs w:val="72"/>
        </w:rPr>
        <w:t>验收监测报告</w:t>
      </w:r>
      <w:r>
        <w:rPr>
          <w:rFonts w:hint="eastAsia" w:ascii="仿宋" w:hAnsi="仿宋" w:eastAsia="仿宋" w:cs="仿宋"/>
          <w:b/>
          <w:color w:val="181717" w:themeColor="background2" w:themeShade="1A"/>
          <w:sz w:val="72"/>
          <w:szCs w:val="72"/>
          <w:lang w:eastAsia="zh-CN"/>
        </w:rPr>
        <w:t>表</w:t>
      </w:r>
    </w:p>
    <w:p>
      <w:pPr>
        <w:keepNext w:val="0"/>
        <w:keepLines w:val="0"/>
        <w:pageBreakBefore w:val="0"/>
        <w:widowControl/>
        <w:kinsoku/>
        <w:wordWrap/>
        <w:overflowPunct/>
        <w:topLinePunct w:val="0"/>
        <w:autoSpaceDE/>
        <w:autoSpaceDN/>
        <w:bidi w:val="0"/>
        <w:adjustRightInd/>
        <w:snapToGrid/>
        <w:spacing w:after="0" w:line="520" w:lineRule="exact"/>
        <w:jc w:val="both"/>
        <w:textAlignment w:val="auto"/>
        <w:rPr>
          <w:rFonts w:hint="eastAsia" w:ascii="仿宋" w:hAnsi="仿宋" w:eastAsia="仿宋" w:cs="仿宋"/>
          <w:color w:val="181717" w:themeColor="background2" w:themeShade="1A"/>
          <w:sz w:val="28"/>
        </w:rPr>
      </w:pPr>
    </w:p>
    <w:p>
      <w:pPr>
        <w:keepNext w:val="0"/>
        <w:keepLines w:val="0"/>
        <w:pageBreakBefore w:val="0"/>
        <w:widowControl/>
        <w:kinsoku/>
        <w:wordWrap/>
        <w:overflowPunct/>
        <w:topLinePunct w:val="0"/>
        <w:autoSpaceDE/>
        <w:autoSpaceDN/>
        <w:bidi w:val="0"/>
        <w:adjustRightInd/>
        <w:snapToGrid/>
        <w:spacing w:after="0" w:line="520" w:lineRule="exact"/>
        <w:jc w:val="both"/>
        <w:textAlignment w:val="auto"/>
        <w:rPr>
          <w:rFonts w:hint="eastAsia" w:ascii="仿宋" w:hAnsi="仿宋" w:eastAsia="仿宋" w:cs="仿宋"/>
          <w:color w:val="181717" w:themeColor="background2" w:themeShade="1A"/>
          <w:sz w:val="28"/>
        </w:rPr>
      </w:pPr>
    </w:p>
    <w:p>
      <w:pPr>
        <w:keepNext w:val="0"/>
        <w:keepLines w:val="0"/>
        <w:pageBreakBefore w:val="0"/>
        <w:widowControl/>
        <w:kinsoku/>
        <w:wordWrap/>
        <w:overflowPunct/>
        <w:topLinePunct w:val="0"/>
        <w:autoSpaceDE/>
        <w:autoSpaceDN/>
        <w:bidi w:val="0"/>
        <w:adjustRightInd/>
        <w:snapToGrid/>
        <w:spacing w:after="0" w:line="520" w:lineRule="exact"/>
        <w:jc w:val="both"/>
        <w:textAlignment w:val="auto"/>
        <w:rPr>
          <w:rFonts w:hint="eastAsia" w:ascii="仿宋" w:hAnsi="仿宋" w:eastAsia="仿宋" w:cs="仿宋"/>
          <w:color w:val="181717" w:themeColor="background2" w:themeShade="1A"/>
          <w:sz w:val="28"/>
        </w:rPr>
      </w:pPr>
    </w:p>
    <w:p>
      <w:pPr>
        <w:keepNext w:val="0"/>
        <w:keepLines w:val="0"/>
        <w:pageBreakBefore w:val="0"/>
        <w:widowControl/>
        <w:kinsoku/>
        <w:wordWrap/>
        <w:overflowPunct/>
        <w:topLinePunct w:val="0"/>
        <w:autoSpaceDE/>
        <w:autoSpaceDN/>
        <w:bidi w:val="0"/>
        <w:adjustRightInd/>
        <w:snapToGrid/>
        <w:spacing w:after="0" w:line="520" w:lineRule="exact"/>
        <w:jc w:val="both"/>
        <w:textAlignment w:val="auto"/>
        <w:rPr>
          <w:rFonts w:hint="eastAsia" w:ascii="仿宋" w:hAnsi="仿宋" w:eastAsia="仿宋" w:cs="仿宋"/>
          <w:color w:val="181717" w:themeColor="background2" w:themeShade="1A"/>
          <w:sz w:val="28"/>
        </w:rPr>
      </w:pPr>
    </w:p>
    <w:p>
      <w:pPr>
        <w:keepNext w:val="0"/>
        <w:keepLines w:val="0"/>
        <w:pageBreakBefore w:val="0"/>
        <w:widowControl/>
        <w:kinsoku/>
        <w:wordWrap/>
        <w:overflowPunct/>
        <w:topLinePunct w:val="0"/>
        <w:autoSpaceDE/>
        <w:autoSpaceDN/>
        <w:bidi w:val="0"/>
        <w:adjustRightInd/>
        <w:snapToGrid/>
        <w:spacing w:after="0" w:line="520" w:lineRule="exact"/>
        <w:jc w:val="both"/>
        <w:textAlignment w:val="auto"/>
        <w:rPr>
          <w:rFonts w:hint="eastAsia" w:ascii="仿宋" w:hAnsi="仿宋" w:eastAsia="仿宋" w:cs="仿宋"/>
          <w:color w:val="181717" w:themeColor="background2" w:themeShade="1A"/>
          <w:sz w:val="28"/>
        </w:rPr>
      </w:pPr>
    </w:p>
    <w:tbl>
      <w:tblPr>
        <w:tblStyle w:val="17"/>
        <w:tblW w:w="7816" w:type="dxa"/>
        <w:jc w:val="center"/>
        <w:tblLayout w:type="autofit"/>
        <w:tblCellMar>
          <w:top w:w="0" w:type="dxa"/>
          <w:left w:w="108" w:type="dxa"/>
          <w:bottom w:w="0" w:type="dxa"/>
          <w:right w:w="108" w:type="dxa"/>
        </w:tblCellMar>
      </w:tblPr>
      <w:tblGrid>
        <w:gridCol w:w="2205"/>
        <w:gridCol w:w="5611"/>
      </w:tblGrid>
      <w:tr>
        <w:tblPrEx>
          <w:tblCellMar>
            <w:top w:w="0" w:type="dxa"/>
            <w:left w:w="108" w:type="dxa"/>
            <w:bottom w:w="0" w:type="dxa"/>
            <w:right w:w="108" w:type="dxa"/>
          </w:tblCellMar>
        </w:tblPrEx>
        <w:trPr>
          <w:trHeight w:val="567" w:hRule="atLeast"/>
          <w:jc w:val="center"/>
        </w:trPr>
        <w:tc>
          <w:tcPr>
            <w:tcW w:w="2205" w:type="dxa"/>
            <w:vAlign w:val="top"/>
          </w:tcPr>
          <w:p>
            <w:pPr>
              <w:keepNext w:val="0"/>
              <w:keepLines w:val="0"/>
              <w:widowControl/>
              <w:suppressLineNumbers w:val="0"/>
              <w:spacing w:before="0" w:beforeAutospacing="0" w:afterAutospacing="0" w:line="360" w:lineRule="auto"/>
              <w:ind w:left="0" w:right="0"/>
              <w:jc w:val="both"/>
              <w:rPr>
                <w:rFonts w:hint="eastAsia" w:ascii="仿宋" w:hAnsi="仿宋" w:eastAsia="仿宋" w:cs="仿宋"/>
                <w:b/>
                <w:bCs/>
                <w:spacing w:val="60"/>
                <w:sz w:val="32"/>
                <w:szCs w:val="24"/>
              </w:rPr>
            </w:pPr>
            <w:r>
              <w:rPr>
                <w:rFonts w:hint="eastAsia" w:ascii="仿宋" w:hAnsi="仿宋" w:eastAsia="仿宋" w:cs="仿宋"/>
                <w:b/>
                <w:bCs/>
                <w:spacing w:val="60"/>
                <w:sz w:val="32"/>
                <w:szCs w:val="24"/>
              </w:rPr>
              <w:t>项目名称：</w:t>
            </w:r>
          </w:p>
        </w:tc>
        <w:tc>
          <w:tcPr>
            <w:tcW w:w="5611" w:type="dxa"/>
            <w:vAlign w:val="top"/>
          </w:tcPr>
          <w:p>
            <w:pPr>
              <w:keepNext w:val="0"/>
              <w:keepLines w:val="0"/>
              <w:widowControl/>
              <w:suppressLineNumbers w:val="0"/>
              <w:spacing w:before="0" w:beforeAutospacing="0" w:afterAutospacing="0" w:line="360" w:lineRule="auto"/>
              <w:ind w:left="0" w:right="0"/>
              <w:jc w:val="left"/>
              <w:rPr>
                <w:rFonts w:hint="eastAsia" w:ascii="仿宋" w:hAnsi="仿宋" w:eastAsia="仿宋" w:cs="仿宋"/>
                <w:b/>
                <w:bCs/>
                <w:sz w:val="32"/>
                <w:szCs w:val="24"/>
                <w:u w:val="single"/>
              </w:rPr>
            </w:pPr>
            <w:r>
              <w:rPr>
                <w:rFonts w:hint="eastAsia" w:ascii="仿宋" w:hAnsi="仿宋" w:eastAsia="仿宋" w:cs="仿宋"/>
                <w:b/>
                <w:bCs/>
                <w:sz w:val="32"/>
                <w:szCs w:val="24"/>
                <w:u w:val="single"/>
              </w:rPr>
              <w:t>北京首钢铁合金有限公司平定分公司</w:t>
            </w:r>
            <w:r>
              <w:rPr>
                <w:rFonts w:hint="eastAsia" w:ascii="仿宋" w:hAnsi="仿宋" w:eastAsia="仿宋" w:cs="仿宋"/>
                <w:b/>
                <w:color w:val="181717" w:themeColor="background2" w:themeShade="1A"/>
                <w:sz w:val="32"/>
                <w:szCs w:val="32"/>
                <w:u w:val="single"/>
                <w:lang w:val="en-US" w:eastAsia="zh-CN"/>
              </w:rPr>
              <w:t xml:space="preserve"> </w:t>
            </w:r>
          </w:p>
          <w:p>
            <w:pPr>
              <w:keepNext w:val="0"/>
              <w:keepLines w:val="0"/>
              <w:widowControl/>
              <w:suppressLineNumbers w:val="0"/>
              <w:spacing w:before="0" w:beforeAutospacing="0" w:afterAutospacing="0" w:line="360" w:lineRule="auto"/>
              <w:ind w:left="0" w:right="0"/>
              <w:rPr>
                <w:rFonts w:hint="eastAsia" w:ascii="仿宋" w:hAnsi="仿宋" w:eastAsia="仿宋" w:cs="仿宋"/>
                <w:b/>
                <w:bCs/>
                <w:sz w:val="32"/>
                <w:szCs w:val="24"/>
              </w:rPr>
            </w:pPr>
            <w:r>
              <w:rPr>
                <w:rFonts w:hint="eastAsia" w:ascii="仿宋" w:hAnsi="仿宋" w:eastAsia="仿宋" w:cs="仿宋"/>
                <w:b/>
                <w:bCs/>
                <w:sz w:val="32"/>
                <w:szCs w:val="24"/>
                <w:u w:val="single"/>
              </w:rPr>
              <w:t>年产50000吨钢砂铝项目</w:t>
            </w:r>
            <w:r>
              <w:rPr>
                <w:rFonts w:hint="eastAsia" w:ascii="仿宋" w:hAnsi="仿宋" w:eastAsia="仿宋" w:cs="仿宋"/>
                <w:b/>
                <w:color w:val="181717" w:themeColor="background2" w:themeShade="1A"/>
                <w:sz w:val="32"/>
                <w:szCs w:val="32"/>
                <w:u w:val="single"/>
                <w:lang w:val="en-US" w:eastAsia="zh-CN"/>
              </w:rPr>
              <w:t xml:space="preserve">           </w:t>
            </w:r>
          </w:p>
        </w:tc>
      </w:tr>
      <w:tr>
        <w:tblPrEx>
          <w:tblCellMar>
            <w:top w:w="0" w:type="dxa"/>
            <w:left w:w="108" w:type="dxa"/>
            <w:bottom w:w="0" w:type="dxa"/>
            <w:right w:w="108" w:type="dxa"/>
          </w:tblCellMar>
        </w:tblPrEx>
        <w:trPr>
          <w:trHeight w:val="567" w:hRule="atLeast"/>
          <w:jc w:val="center"/>
        </w:trPr>
        <w:tc>
          <w:tcPr>
            <w:tcW w:w="2205" w:type="dxa"/>
            <w:vAlign w:val="top"/>
          </w:tcPr>
          <w:p>
            <w:pPr>
              <w:keepNext w:val="0"/>
              <w:keepLines w:val="0"/>
              <w:widowControl/>
              <w:suppressLineNumbers w:val="0"/>
              <w:spacing w:before="0" w:beforeAutospacing="0" w:afterAutospacing="0" w:line="360" w:lineRule="auto"/>
              <w:ind w:left="0" w:right="0"/>
              <w:jc w:val="distribute"/>
              <w:rPr>
                <w:rFonts w:hint="eastAsia" w:ascii="仿宋" w:hAnsi="仿宋" w:eastAsia="仿宋" w:cs="仿宋"/>
                <w:b/>
                <w:bCs/>
                <w:spacing w:val="-10"/>
                <w:sz w:val="32"/>
                <w:szCs w:val="24"/>
              </w:rPr>
            </w:pPr>
            <w:r>
              <w:rPr>
                <w:rFonts w:hint="eastAsia" w:ascii="仿宋" w:hAnsi="仿宋" w:eastAsia="仿宋" w:cs="仿宋"/>
                <w:b/>
                <w:bCs/>
                <w:spacing w:val="-10"/>
                <w:sz w:val="32"/>
                <w:szCs w:val="24"/>
              </w:rPr>
              <w:t>建设单位：</w:t>
            </w:r>
          </w:p>
        </w:tc>
        <w:tc>
          <w:tcPr>
            <w:tcW w:w="5611" w:type="dxa"/>
            <w:vAlign w:val="top"/>
          </w:tcPr>
          <w:p>
            <w:pPr>
              <w:keepNext w:val="0"/>
              <w:keepLines w:val="0"/>
              <w:widowControl/>
              <w:suppressLineNumbers w:val="0"/>
              <w:spacing w:before="0" w:beforeAutospacing="0" w:afterAutospacing="0" w:line="360" w:lineRule="auto"/>
              <w:ind w:left="0" w:right="0"/>
              <w:rPr>
                <w:rFonts w:hint="eastAsia" w:ascii="仿宋" w:hAnsi="仿宋" w:eastAsia="仿宋" w:cs="仿宋"/>
                <w:b/>
                <w:bCs/>
                <w:sz w:val="32"/>
                <w:szCs w:val="24"/>
              </w:rPr>
            </w:pPr>
            <w:r>
              <w:rPr>
                <w:rFonts w:hint="eastAsia" w:ascii="仿宋" w:hAnsi="仿宋" w:eastAsia="仿宋" w:cs="仿宋"/>
                <w:b/>
                <w:bCs/>
                <w:sz w:val="32"/>
                <w:szCs w:val="24"/>
                <w:u w:val="single"/>
              </w:rPr>
              <w:t>北京首钢铁合金有限公司平定分公司</w:t>
            </w:r>
            <w:r>
              <w:rPr>
                <w:rFonts w:hint="eastAsia" w:ascii="仿宋" w:hAnsi="仿宋" w:eastAsia="仿宋" w:cs="仿宋"/>
                <w:b/>
                <w:color w:val="181717" w:themeColor="background2" w:themeShade="1A"/>
                <w:sz w:val="32"/>
                <w:szCs w:val="32"/>
                <w:u w:val="single"/>
                <w:lang w:val="en-US" w:eastAsia="zh-CN"/>
              </w:rPr>
              <w:t xml:space="preserve"> </w:t>
            </w:r>
          </w:p>
        </w:tc>
      </w:tr>
      <w:tr>
        <w:tblPrEx>
          <w:tblCellMar>
            <w:top w:w="0" w:type="dxa"/>
            <w:left w:w="108" w:type="dxa"/>
            <w:bottom w:w="0" w:type="dxa"/>
            <w:right w:w="108" w:type="dxa"/>
          </w:tblCellMar>
        </w:tblPrEx>
        <w:trPr>
          <w:trHeight w:val="567" w:hRule="atLeast"/>
          <w:jc w:val="center"/>
        </w:trPr>
        <w:tc>
          <w:tcPr>
            <w:tcW w:w="2205" w:type="dxa"/>
            <w:vAlign w:val="top"/>
          </w:tcPr>
          <w:p>
            <w:pPr>
              <w:keepNext w:val="0"/>
              <w:keepLines w:val="0"/>
              <w:widowControl/>
              <w:suppressLineNumbers w:val="0"/>
              <w:spacing w:before="0" w:beforeAutospacing="0" w:afterAutospacing="0" w:line="360" w:lineRule="auto"/>
              <w:ind w:left="0" w:right="0"/>
              <w:jc w:val="distribute"/>
              <w:rPr>
                <w:rFonts w:hint="eastAsia" w:ascii="仿宋" w:hAnsi="仿宋" w:eastAsia="仿宋" w:cs="仿宋"/>
                <w:b/>
                <w:bCs/>
                <w:spacing w:val="-10"/>
                <w:sz w:val="32"/>
                <w:szCs w:val="24"/>
                <w:lang w:eastAsia="zh-CN"/>
              </w:rPr>
            </w:pPr>
            <w:r>
              <w:rPr>
                <w:rFonts w:hint="eastAsia" w:ascii="仿宋" w:hAnsi="仿宋" w:eastAsia="仿宋" w:cs="仿宋"/>
                <w:b/>
                <w:bCs/>
                <w:spacing w:val="0"/>
                <w:sz w:val="32"/>
                <w:szCs w:val="24"/>
              </w:rPr>
              <w:t>编制单位</w:t>
            </w:r>
            <w:r>
              <w:rPr>
                <w:rFonts w:hint="eastAsia" w:ascii="仿宋" w:hAnsi="仿宋" w:eastAsia="仿宋" w:cs="仿宋"/>
                <w:b/>
                <w:bCs/>
                <w:spacing w:val="0"/>
                <w:sz w:val="32"/>
                <w:szCs w:val="24"/>
                <w:lang w:eastAsia="zh-CN"/>
              </w:rPr>
              <w:t>：</w:t>
            </w:r>
          </w:p>
        </w:tc>
        <w:tc>
          <w:tcPr>
            <w:tcW w:w="5611" w:type="dxa"/>
            <w:vAlign w:val="top"/>
          </w:tcPr>
          <w:p>
            <w:pPr>
              <w:keepNext w:val="0"/>
              <w:keepLines w:val="0"/>
              <w:widowControl/>
              <w:suppressLineNumbers w:val="0"/>
              <w:spacing w:before="0" w:beforeAutospacing="0" w:afterAutospacing="0" w:line="360" w:lineRule="auto"/>
              <w:ind w:left="0" w:right="0"/>
              <w:rPr>
                <w:rFonts w:hint="eastAsia" w:ascii="仿宋" w:hAnsi="仿宋" w:eastAsia="仿宋" w:cs="仿宋"/>
                <w:b/>
                <w:bCs/>
                <w:sz w:val="32"/>
                <w:szCs w:val="24"/>
                <w:u w:val="single"/>
                <w:lang w:val="en-US"/>
              </w:rPr>
            </w:pPr>
            <w:r>
              <w:rPr>
                <w:rFonts w:hint="eastAsia" w:ascii="仿宋" w:hAnsi="仿宋" w:eastAsia="仿宋" w:cs="仿宋"/>
                <w:b/>
                <w:color w:val="181717" w:themeColor="background2" w:themeShade="1A"/>
                <w:sz w:val="32"/>
                <w:szCs w:val="32"/>
                <w:u w:val="single"/>
                <w:lang w:eastAsia="zh-CN"/>
              </w:rPr>
              <w:t>山西众辉盈源科技有限公司</w:t>
            </w:r>
            <w:r>
              <w:rPr>
                <w:rFonts w:hint="eastAsia" w:ascii="仿宋" w:hAnsi="仿宋" w:eastAsia="仿宋" w:cs="仿宋"/>
                <w:b/>
                <w:color w:val="181717" w:themeColor="background2" w:themeShade="1A"/>
                <w:sz w:val="32"/>
                <w:szCs w:val="32"/>
                <w:u w:val="single"/>
                <w:lang w:val="en-US" w:eastAsia="zh-CN"/>
              </w:rPr>
              <w:t xml:space="preserve">     </w:t>
            </w:r>
          </w:p>
        </w:tc>
      </w:tr>
    </w:tbl>
    <w:p>
      <w:pPr>
        <w:spacing w:line="360" w:lineRule="auto"/>
        <w:jc w:val="center"/>
        <w:rPr>
          <w:rFonts w:hint="eastAsia" w:ascii="仿宋" w:hAnsi="仿宋" w:eastAsia="仿宋" w:cs="仿宋"/>
          <w:b/>
          <w:color w:val="000000"/>
          <w:sz w:val="32"/>
          <w:szCs w:val="32"/>
        </w:rPr>
      </w:pPr>
    </w:p>
    <w:p>
      <w:pPr>
        <w:bidi w:val="0"/>
        <w:rPr>
          <w:rFonts w:hint="eastAsia" w:ascii="仿宋" w:hAnsi="仿宋" w:eastAsia="仿宋" w:cs="仿宋"/>
          <w:lang w:val="en-US" w:eastAsia="zh-CN"/>
        </w:rPr>
      </w:pPr>
    </w:p>
    <w:p>
      <w:pPr>
        <w:keepNext w:val="0"/>
        <w:keepLines w:val="0"/>
        <w:pageBreakBefore w:val="0"/>
        <w:widowControl/>
        <w:tabs>
          <w:tab w:val="center" w:pos="4153"/>
        </w:tabs>
        <w:kinsoku/>
        <w:wordWrap/>
        <w:overflowPunct/>
        <w:topLinePunct w:val="0"/>
        <w:autoSpaceDE/>
        <w:autoSpaceDN/>
        <w:bidi w:val="0"/>
        <w:adjustRightInd/>
        <w:snapToGrid/>
        <w:spacing w:after="0"/>
        <w:jc w:val="center"/>
        <w:textAlignment w:val="auto"/>
        <w:rPr>
          <w:rFonts w:hint="eastAsia" w:ascii="仿宋" w:hAnsi="仿宋" w:eastAsia="仿宋" w:cs="仿宋"/>
          <w:b/>
          <w:bCs/>
          <w:sz w:val="32"/>
          <w:szCs w:val="32"/>
          <w:lang w:val="en-US" w:eastAsia="zh-CN"/>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upperRoman" w:start="1"/>
          <w:cols w:space="425" w:num="1"/>
          <w:docGrid w:type="lines" w:linePitch="312" w:charSpace="0"/>
        </w:sectPr>
      </w:pPr>
      <w:r>
        <w:rPr>
          <w:rFonts w:hint="eastAsia" w:ascii="仿宋" w:hAnsi="仿宋" w:eastAsia="仿宋" w:cs="仿宋"/>
          <w:b/>
          <w:bCs/>
          <w:sz w:val="32"/>
          <w:szCs w:val="32"/>
          <w:lang w:val="en-US" w:eastAsia="zh-CN"/>
        </w:rPr>
        <w:t>二〇二三年六月</w:t>
      </w:r>
    </w:p>
    <w:tbl>
      <w:tblPr>
        <w:tblStyle w:val="17"/>
        <w:tblW w:w="9071"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57" w:type="dxa"/>
          <w:left w:w="57" w:type="dxa"/>
          <w:bottom w:w="57" w:type="dxa"/>
          <w:right w:w="57" w:type="dxa"/>
        </w:tblCellMar>
      </w:tblPr>
      <w:tblGrid>
        <w:gridCol w:w="4521"/>
        <w:gridCol w:w="4550"/>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57" w:type="dxa"/>
            <w:left w:w="57" w:type="dxa"/>
            <w:bottom w:w="57" w:type="dxa"/>
            <w:right w:w="57" w:type="dxa"/>
          </w:tblCellMar>
        </w:tblPrEx>
        <w:trPr>
          <w:trHeight w:val="3685" w:hRule="exact"/>
          <w:jc w:val="center"/>
        </w:trPr>
        <w:tc>
          <w:tcPr>
            <w:tcW w:w="4521"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2797810" cy="2192655"/>
                  <wp:effectExtent l="0" t="0" r="2540" b="17145"/>
                  <wp:docPr id="24" name="图片 24" descr="f0578e846e2356b4bee246ba6c292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f0578e846e2356b4bee246ba6c292d5"/>
                          <pic:cNvPicPr>
                            <a:picLocks noChangeAspect="1"/>
                          </pic:cNvPicPr>
                        </pic:nvPicPr>
                        <pic:blipFill>
                          <a:blip r:embed="rId9"/>
                          <a:stretch>
                            <a:fillRect/>
                          </a:stretch>
                        </pic:blipFill>
                        <pic:spPr>
                          <a:xfrm>
                            <a:off x="0" y="0"/>
                            <a:ext cx="2797810" cy="2192655"/>
                          </a:xfrm>
                          <a:prstGeom prst="rect">
                            <a:avLst/>
                          </a:prstGeom>
                        </pic:spPr>
                      </pic:pic>
                    </a:graphicData>
                  </a:graphic>
                </wp:inline>
              </w:drawing>
            </w:r>
          </w:p>
        </w:tc>
        <w:tc>
          <w:tcPr>
            <w:tcW w:w="4550"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2816225" cy="3756025"/>
                  <wp:effectExtent l="0" t="0" r="3175" b="15875"/>
                  <wp:docPr id="32" name="图片 32" descr="f47d2cebe4a95aaffcef391d3d496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47d2cebe4a95aaffcef391d3d496a3"/>
                          <pic:cNvPicPr>
                            <a:picLocks noChangeAspect="1"/>
                          </pic:cNvPicPr>
                        </pic:nvPicPr>
                        <pic:blipFill>
                          <a:blip r:embed="rId10"/>
                          <a:stretch>
                            <a:fillRect/>
                          </a:stretch>
                        </pic:blipFill>
                        <pic:spPr>
                          <a:xfrm>
                            <a:off x="0" y="0"/>
                            <a:ext cx="2816225" cy="3756025"/>
                          </a:xfrm>
                          <a:prstGeom prst="rect">
                            <a:avLst/>
                          </a:prstGeom>
                        </pic:spPr>
                      </pic:pic>
                    </a:graphicData>
                  </a:graphic>
                </wp:inline>
              </w:drawing>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57" w:type="dxa"/>
            <w:left w:w="57" w:type="dxa"/>
            <w:bottom w:w="57" w:type="dxa"/>
            <w:right w:w="57" w:type="dxa"/>
          </w:tblCellMar>
        </w:tblPrEx>
        <w:trPr>
          <w:trHeight w:val="567" w:hRule="exact"/>
          <w:jc w:val="center"/>
        </w:trPr>
        <w:tc>
          <w:tcPr>
            <w:tcW w:w="4521"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连铸连轧机集气罩</w:t>
            </w:r>
          </w:p>
        </w:tc>
        <w:tc>
          <w:tcPr>
            <w:tcW w:w="4550"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保温炉集气罩</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57" w:type="dxa"/>
            <w:left w:w="57" w:type="dxa"/>
            <w:bottom w:w="57" w:type="dxa"/>
            <w:right w:w="57" w:type="dxa"/>
          </w:tblCellMar>
        </w:tblPrEx>
        <w:trPr>
          <w:trHeight w:val="3685" w:hRule="exact"/>
          <w:jc w:val="center"/>
        </w:trPr>
        <w:tc>
          <w:tcPr>
            <w:tcW w:w="4521"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2792095" cy="3723640"/>
                  <wp:effectExtent l="0" t="0" r="8255" b="10160"/>
                  <wp:docPr id="33" name="图片 33" descr="0dd91ab82da5975ecacdffb30f92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0dd91ab82da5975ecacdffb30f92e62"/>
                          <pic:cNvPicPr>
                            <a:picLocks noChangeAspect="1"/>
                          </pic:cNvPicPr>
                        </pic:nvPicPr>
                        <pic:blipFill>
                          <a:blip r:embed="rId11"/>
                          <a:stretch>
                            <a:fillRect/>
                          </a:stretch>
                        </pic:blipFill>
                        <pic:spPr>
                          <a:xfrm>
                            <a:off x="0" y="0"/>
                            <a:ext cx="2792095" cy="3723640"/>
                          </a:xfrm>
                          <a:prstGeom prst="rect">
                            <a:avLst/>
                          </a:prstGeom>
                        </pic:spPr>
                      </pic:pic>
                    </a:graphicData>
                  </a:graphic>
                </wp:inline>
              </w:drawing>
            </w:r>
          </w:p>
        </w:tc>
        <w:tc>
          <w:tcPr>
            <w:tcW w:w="4550"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2816225" cy="3756025"/>
                  <wp:effectExtent l="0" t="0" r="3175" b="15875"/>
                  <wp:docPr id="34" name="图片 34" descr="883d2d8a85e5d3a2dc55dcb24c874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883d2d8a85e5d3a2dc55dcb24c8742e"/>
                          <pic:cNvPicPr>
                            <a:picLocks noChangeAspect="1"/>
                          </pic:cNvPicPr>
                        </pic:nvPicPr>
                        <pic:blipFill>
                          <a:blip r:embed="rId12"/>
                          <a:stretch>
                            <a:fillRect/>
                          </a:stretch>
                        </pic:blipFill>
                        <pic:spPr>
                          <a:xfrm>
                            <a:off x="0" y="0"/>
                            <a:ext cx="2816225" cy="3756025"/>
                          </a:xfrm>
                          <a:prstGeom prst="rect">
                            <a:avLst/>
                          </a:prstGeom>
                        </pic:spPr>
                      </pic:pic>
                    </a:graphicData>
                  </a:graphic>
                </wp:inline>
              </w:drawing>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57" w:type="dxa"/>
            <w:left w:w="57" w:type="dxa"/>
            <w:bottom w:w="57" w:type="dxa"/>
            <w:right w:w="57" w:type="dxa"/>
          </w:tblCellMar>
        </w:tblPrEx>
        <w:trPr>
          <w:trHeight w:val="567" w:hRule="exact"/>
          <w:jc w:val="center"/>
        </w:trPr>
        <w:tc>
          <w:tcPr>
            <w:tcW w:w="4521"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油雾净化器</w:t>
            </w:r>
          </w:p>
        </w:tc>
        <w:tc>
          <w:tcPr>
            <w:tcW w:w="4550"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油雾净化器排气筒</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57" w:type="dxa"/>
            <w:left w:w="57" w:type="dxa"/>
            <w:bottom w:w="57" w:type="dxa"/>
            <w:right w:w="57" w:type="dxa"/>
          </w:tblCellMar>
        </w:tblPrEx>
        <w:trPr>
          <w:trHeight w:val="3685" w:hRule="exact"/>
          <w:jc w:val="center"/>
        </w:trPr>
        <w:tc>
          <w:tcPr>
            <w:tcW w:w="4521"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2790825" cy="2096770"/>
                  <wp:effectExtent l="0" t="0" r="9525" b="17780"/>
                  <wp:docPr id="55" name="图片 55" descr="ed445e6db48aa9afedcf17eab2669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ed445e6db48aa9afedcf17eab2669b9"/>
                          <pic:cNvPicPr>
                            <a:picLocks noChangeAspect="1"/>
                          </pic:cNvPicPr>
                        </pic:nvPicPr>
                        <pic:blipFill>
                          <a:blip r:embed="rId13"/>
                          <a:stretch>
                            <a:fillRect/>
                          </a:stretch>
                        </pic:blipFill>
                        <pic:spPr>
                          <a:xfrm>
                            <a:off x="0" y="0"/>
                            <a:ext cx="2790825" cy="2096770"/>
                          </a:xfrm>
                          <a:prstGeom prst="rect">
                            <a:avLst/>
                          </a:prstGeom>
                        </pic:spPr>
                      </pic:pic>
                    </a:graphicData>
                  </a:graphic>
                </wp:inline>
              </w:drawing>
            </w:r>
          </w:p>
        </w:tc>
        <w:tc>
          <w:tcPr>
            <w:tcW w:w="4550"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2792095" cy="3723640"/>
                  <wp:effectExtent l="0" t="0" r="8255" b="10160"/>
                  <wp:docPr id="54" name="图片 54" descr="41472688820a76439c061d17bf4c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41472688820a76439c061d17bf4c069"/>
                          <pic:cNvPicPr>
                            <a:picLocks noChangeAspect="1"/>
                          </pic:cNvPicPr>
                        </pic:nvPicPr>
                        <pic:blipFill>
                          <a:blip r:embed="rId14"/>
                          <a:stretch>
                            <a:fillRect/>
                          </a:stretch>
                        </pic:blipFill>
                        <pic:spPr>
                          <a:xfrm>
                            <a:off x="0" y="0"/>
                            <a:ext cx="2792095" cy="3723640"/>
                          </a:xfrm>
                          <a:prstGeom prst="rect">
                            <a:avLst/>
                          </a:prstGeom>
                        </pic:spPr>
                      </pic:pic>
                    </a:graphicData>
                  </a:graphic>
                </wp:inline>
              </w:drawing>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57" w:type="dxa"/>
            <w:left w:w="57" w:type="dxa"/>
            <w:bottom w:w="57" w:type="dxa"/>
            <w:right w:w="57" w:type="dxa"/>
          </w:tblCellMar>
        </w:tblPrEx>
        <w:trPr>
          <w:trHeight w:val="567" w:hRule="exact"/>
          <w:jc w:val="center"/>
        </w:trPr>
        <w:tc>
          <w:tcPr>
            <w:tcW w:w="4521"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危废暂存间1</w:t>
            </w:r>
          </w:p>
        </w:tc>
        <w:tc>
          <w:tcPr>
            <w:tcW w:w="4550" w:type="dxa"/>
            <w:noWrap w:val="0"/>
            <w:tcMar>
              <w:top w:w="57" w:type="dxa"/>
              <w:left w:w="57" w:type="dxa"/>
              <w:bottom w:w="57" w:type="dxa"/>
              <w:right w:w="57"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危废暂存间2</w:t>
            </w:r>
          </w:p>
        </w:tc>
      </w:tr>
    </w:tbl>
    <w:p>
      <w:pPr>
        <w:rPr>
          <w:rFonts w:hint="eastAsia" w:ascii="仿宋" w:hAnsi="仿宋" w:eastAsia="仿宋" w:cs="仿宋"/>
          <w:sz w:val="24"/>
          <w:szCs w:val="24"/>
          <w:vertAlign w:val="baseline"/>
          <w:lang w:eastAsia="zh-CN"/>
        </w:rPr>
      </w:pPr>
      <w:r>
        <w:rPr>
          <w:rFonts w:hint="eastAsia" w:ascii="仿宋" w:hAnsi="仿宋" w:eastAsia="仿宋" w:cs="仿宋"/>
          <w:sz w:val="24"/>
          <w:szCs w:val="24"/>
          <w:lang w:eastAsia="zh-CN"/>
        </w:rP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5" w:hRule="atLeast"/>
        </w:trPr>
        <w:tc>
          <w:tcPr>
            <w:tcW w:w="4261" w:type="dxa"/>
          </w:tcPr>
          <w:p>
            <w:pPr>
              <w:keepNext w:val="0"/>
              <w:keepLines w:val="0"/>
              <w:widowControl/>
              <w:suppressLineNumbers w:val="0"/>
              <w:spacing w:before="0" w:beforeAutospacing="0" w:afterAutospacing="0"/>
              <w:ind w:left="0" w:right="0"/>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drawing>
                <wp:inline distT="0" distB="0" distL="114300" distR="114300">
                  <wp:extent cx="2560320" cy="3414395"/>
                  <wp:effectExtent l="0" t="0" r="11430" b="14605"/>
                  <wp:docPr id="35" name="图片 35" descr="b8da2dcf4e4d1cd32cea5564f253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b8da2dcf4e4d1cd32cea5564f2537cb"/>
                          <pic:cNvPicPr>
                            <a:picLocks noChangeAspect="1"/>
                          </pic:cNvPicPr>
                        </pic:nvPicPr>
                        <pic:blipFill>
                          <a:blip r:embed="rId15"/>
                          <a:stretch>
                            <a:fillRect/>
                          </a:stretch>
                        </pic:blipFill>
                        <pic:spPr>
                          <a:xfrm>
                            <a:off x="0" y="0"/>
                            <a:ext cx="2560320" cy="3414395"/>
                          </a:xfrm>
                          <a:prstGeom prst="rect">
                            <a:avLst/>
                          </a:prstGeom>
                        </pic:spPr>
                      </pic:pic>
                    </a:graphicData>
                  </a:graphic>
                </wp:inline>
              </w:drawing>
            </w:r>
          </w:p>
        </w:tc>
        <w:tc>
          <w:tcPr>
            <w:tcW w:w="4261" w:type="dxa"/>
          </w:tcPr>
          <w:p>
            <w:pPr>
              <w:keepNext w:val="0"/>
              <w:keepLines w:val="0"/>
              <w:widowControl/>
              <w:suppressLineNumbers w:val="0"/>
              <w:spacing w:before="0" w:beforeAutospacing="0" w:afterAutospacing="0"/>
              <w:ind w:left="0" w:right="0"/>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drawing>
                <wp:inline distT="0" distB="0" distL="114300" distR="114300">
                  <wp:extent cx="2560320" cy="3430270"/>
                  <wp:effectExtent l="0" t="0" r="11430" b="17780"/>
                  <wp:docPr id="36" name="图片 36" descr="6a80c7ca1fb841e8a9afd1d709467f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6a80c7ca1fb841e8a9afd1d709467fdc"/>
                          <pic:cNvPicPr>
                            <a:picLocks noChangeAspect="1"/>
                          </pic:cNvPicPr>
                        </pic:nvPicPr>
                        <pic:blipFill>
                          <a:blip r:embed="rId16"/>
                          <a:stretch>
                            <a:fillRect/>
                          </a:stretch>
                        </pic:blipFill>
                        <pic:spPr>
                          <a:xfrm>
                            <a:off x="0" y="0"/>
                            <a:ext cx="2560320" cy="34302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widowControl/>
              <w:suppressLineNumbers w:val="0"/>
              <w:spacing w:before="0" w:beforeAutospacing="0" w:afterAutospacing="0"/>
              <w:ind w:left="0" w:right="0"/>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t>保温炉除尘器</w:t>
            </w:r>
            <w:r>
              <w:rPr>
                <w:rFonts w:hint="eastAsia" w:ascii="仿宋" w:hAnsi="仿宋" w:eastAsia="仿宋" w:cs="仿宋"/>
                <w:sz w:val="24"/>
                <w:szCs w:val="24"/>
                <w:vertAlign w:val="baseline"/>
                <w:lang w:val="en-US" w:eastAsia="zh-CN"/>
              </w:rPr>
              <w:t>及排气筒</w:t>
            </w:r>
          </w:p>
        </w:tc>
        <w:tc>
          <w:tcPr>
            <w:tcW w:w="4261" w:type="dxa"/>
          </w:tcPr>
          <w:p>
            <w:pPr>
              <w:keepNext w:val="0"/>
              <w:keepLines w:val="0"/>
              <w:widowControl/>
              <w:suppressLineNumbers w:val="0"/>
              <w:spacing w:before="0" w:beforeAutospacing="0" w:afterAutospacing="0"/>
              <w:ind w:left="0" w:right="0"/>
              <w:jc w:val="center"/>
              <w:rPr>
                <w:rFonts w:hint="default" w:ascii="仿宋" w:hAnsi="仿宋" w:eastAsia="仿宋" w:cs="仿宋"/>
                <w:b/>
                <w:bCs/>
                <w:sz w:val="24"/>
                <w:szCs w:val="24"/>
                <w:vertAlign w:val="baseline"/>
                <w:lang w:val="en-US" w:eastAsia="zh-CN"/>
              </w:rPr>
            </w:pPr>
            <w:r>
              <w:rPr>
                <w:rFonts w:hint="eastAsia" w:ascii="仿宋" w:hAnsi="仿宋" w:eastAsia="仿宋" w:cs="仿宋"/>
                <w:b w:val="0"/>
                <w:bCs w:val="0"/>
                <w:sz w:val="24"/>
                <w:szCs w:val="24"/>
                <w:vertAlign w:val="baseline"/>
                <w:lang w:val="en-US" w:eastAsia="zh-CN"/>
              </w:rPr>
              <w:t>冷却池</w:t>
            </w:r>
          </w:p>
        </w:tc>
      </w:tr>
    </w:tbl>
    <w:p>
      <w:pPr>
        <w:rPr>
          <w:rFonts w:hint="eastAsia" w:ascii="仿宋" w:hAnsi="仿宋" w:eastAsia="仿宋" w:cs="仿宋"/>
          <w:sz w:val="24"/>
          <w:szCs w:val="24"/>
          <w:lang w:eastAsia="zh-CN"/>
        </w:rPr>
      </w:pPr>
      <w:r>
        <w:rPr>
          <w:rFonts w:hint="eastAsia" w:ascii="仿宋" w:hAnsi="仿宋" w:eastAsia="仿宋" w:cs="仿宋"/>
          <w:sz w:val="24"/>
          <w:szCs w:val="24"/>
          <w:lang w:eastAsia="zh-CN"/>
        </w:rPr>
        <w:br w:type="page"/>
      </w:r>
    </w:p>
    <w:p>
      <w:pPr>
        <w:pStyle w:val="2"/>
        <w:rPr>
          <w:rFonts w:hint="eastAsia"/>
          <w:lang w:eastAsia="zh-CN"/>
        </w:rPr>
      </w:pPr>
    </w:p>
    <w:p>
      <w:pPr>
        <w:pStyle w:val="10"/>
        <w:tabs>
          <w:tab w:val="right" w:leader="dot" w:pos="8306"/>
        </w:tabs>
        <w:jc w:val="center"/>
        <w:rPr>
          <w:rFonts w:hint="eastAsia" w:ascii="仿宋" w:hAnsi="仿宋" w:eastAsia="仿宋" w:cs="仿宋"/>
          <w:sz w:val="36"/>
          <w:szCs w:val="40"/>
          <w:lang w:val="en-US" w:eastAsia="zh-CN" w:bidi="ar-SA"/>
        </w:rPr>
      </w:pPr>
      <w:r>
        <w:rPr>
          <w:rFonts w:hint="eastAsia" w:ascii="仿宋" w:hAnsi="仿宋" w:eastAsia="仿宋" w:cs="仿宋"/>
          <w:sz w:val="36"/>
          <w:szCs w:val="40"/>
          <w:lang w:val="en-US" w:eastAsia="zh-CN" w:bidi="ar-SA"/>
        </w:rPr>
        <w:t>目录</w:t>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sz w:val="21"/>
          <w:szCs w:val="22"/>
          <w:lang w:val="en-US" w:eastAsia="zh-CN" w:bidi="ar-SA"/>
        </w:rPr>
        <w:fldChar w:fldCharType="begin"/>
      </w:r>
      <w:r>
        <w:rPr>
          <w:rFonts w:hint="eastAsia" w:ascii="仿宋" w:hAnsi="仿宋" w:eastAsia="仿宋" w:cs="仿宋"/>
          <w:sz w:val="21"/>
          <w:szCs w:val="22"/>
          <w:lang w:val="en-US" w:eastAsia="zh-CN" w:bidi="ar-SA"/>
        </w:rPr>
        <w:instrText xml:space="preserve">TOC \o "1-2" \h \u </w:instrText>
      </w:r>
      <w:r>
        <w:rPr>
          <w:rFonts w:hint="eastAsia" w:ascii="仿宋" w:hAnsi="仿宋" w:eastAsia="仿宋" w:cs="仿宋"/>
          <w:sz w:val="21"/>
          <w:szCs w:val="22"/>
          <w:lang w:val="en-US" w:eastAsia="zh-CN" w:bidi="ar-SA"/>
        </w:rPr>
        <w:fldChar w:fldCharType="separate"/>
      </w: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_Toc16418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rPr>
        <w:t>表一</w:t>
      </w:r>
      <w:r>
        <w:rPr>
          <w:rFonts w:hint="eastAsia" w:ascii="仿宋" w:hAnsi="仿宋" w:eastAsia="仿宋" w:cs="仿宋"/>
          <w:b/>
          <w:bCs/>
          <w:sz w:val="24"/>
          <w:szCs w:val="24"/>
          <w:lang w:val="en-US" w:eastAsia="zh-CN"/>
        </w:rPr>
        <w:t xml:space="preserve"> 项目概况</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_Toc16418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0"/>
        <w:tabs>
          <w:tab w:val="right" w:leader="dot" w:pos="8306"/>
        </w:tabs>
        <w:rPr>
          <w:rFonts w:hint="eastAsia" w:ascii="仿宋" w:hAnsi="仿宋" w:eastAsia="仿宋" w:cs="仿宋"/>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_Toc28237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eastAsia="zh-CN"/>
        </w:rPr>
        <w:t>表二</w:t>
      </w:r>
      <w:r>
        <w:rPr>
          <w:rFonts w:hint="eastAsia" w:ascii="仿宋" w:hAnsi="仿宋" w:eastAsia="仿宋" w:cs="仿宋"/>
          <w:b/>
          <w:bCs/>
          <w:sz w:val="24"/>
          <w:szCs w:val="24"/>
          <w:lang w:val="en-US" w:eastAsia="zh-CN"/>
        </w:rPr>
        <w:t xml:space="preserve"> 项目建设内容</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_Toc28237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5</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_Toc26786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2.1 项目建设情况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_Toc26786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_Toc21201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2.2 原辅材料消耗及水平衡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_Toc21201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_Toc4525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2.3 工艺流程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_Toc4525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_Toc528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 xml:space="preserve">2.4 </w:t>
      </w:r>
      <w:r>
        <w:rPr>
          <w:rFonts w:hint="eastAsia" w:ascii="仿宋" w:hAnsi="仿宋" w:eastAsia="仿宋" w:cs="仿宋"/>
          <w:sz w:val="24"/>
          <w:szCs w:val="24"/>
        </w:rPr>
        <w:t>产污环节及污染物情况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_Toc528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_Toc31340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表三 污染物产排情况及环境保护措施</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_Toc31340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17</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_Toc894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表四 环评报告表及环评批复对本工程的环保要求及完成情况</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_Toc894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20</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_Toc26059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4.1 环评报告表完成情况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_Toc26059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_Toc2698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4.2 环评批复要求及完成情况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_Toc2698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_Toc11467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表五 验收监测质量保证及质量控制</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_Toc11467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24</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_Toc31294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5.1 现场采样质量控制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_Toc31294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_Toc1072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5.2 监测分析方法及执行标准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_Toc1072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_Toc6336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5.3 人员能力</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_Toc6336 \h </w:instrText>
      </w:r>
      <w:r>
        <w:rPr>
          <w:rFonts w:hint="eastAsia" w:ascii="仿宋" w:hAnsi="仿宋" w:eastAsia="仿宋" w:cs="仿宋"/>
          <w:sz w:val="24"/>
          <w:szCs w:val="24"/>
        </w:rPr>
        <w:fldChar w:fldCharType="separate"/>
      </w:r>
      <w:r>
        <w:rPr>
          <w:rFonts w:hint="eastAsia" w:ascii="仿宋" w:hAnsi="仿宋" w:eastAsia="仿宋" w:cs="仿宋"/>
          <w:sz w:val="24"/>
          <w:szCs w:val="24"/>
        </w:rPr>
        <w:t>25</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_Toc28323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5.4 监测过程中的质量保证和质量控制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_Toc28323 \h </w:instrText>
      </w:r>
      <w:r>
        <w:rPr>
          <w:rFonts w:hint="eastAsia" w:ascii="仿宋" w:hAnsi="仿宋" w:eastAsia="仿宋" w:cs="仿宋"/>
          <w:sz w:val="24"/>
          <w:szCs w:val="24"/>
        </w:rPr>
        <w:fldChar w:fldCharType="separate"/>
      </w:r>
      <w:r>
        <w:rPr>
          <w:rFonts w:hint="eastAsia" w:ascii="仿宋" w:hAnsi="仿宋" w:eastAsia="仿宋" w:cs="仿宋"/>
          <w:sz w:val="24"/>
          <w:szCs w:val="24"/>
        </w:rPr>
        <w:t>25</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_Toc11441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eastAsia="zh-CN"/>
        </w:rPr>
        <w:t>表六</w:t>
      </w:r>
      <w:r>
        <w:rPr>
          <w:rFonts w:hint="eastAsia" w:ascii="仿宋" w:hAnsi="仿宋" w:eastAsia="仿宋" w:cs="仿宋"/>
          <w:b/>
          <w:bCs/>
          <w:sz w:val="24"/>
          <w:szCs w:val="24"/>
          <w:lang w:val="en-US" w:eastAsia="zh-CN"/>
        </w:rPr>
        <w:t xml:space="preserve"> 验收监测内容</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_Toc11441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28</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_Toc4696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6.1 验收监测内容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_Toc4696 \h </w:instrText>
      </w:r>
      <w:r>
        <w:rPr>
          <w:rFonts w:hint="eastAsia" w:ascii="仿宋" w:hAnsi="仿宋" w:eastAsia="仿宋" w:cs="仿宋"/>
          <w:sz w:val="24"/>
          <w:szCs w:val="24"/>
        </w:rPr>
        <w:fldChar w:fldCharType="separate"/>
      </w:r>
      <w:r>
        <w:rPr>
          <w:rFonts w:hint="eastAsia" w:ascii="仿宋" w:hAnsi="仿宋" w:eastAsia="仿宋" w:cs="仿宋"/>
          <w:sz w:val="24"/>
          <w:szCs w:val="24"/>
        </w:rPr>
        <w:t>28</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_Toc13330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6.2 验收监测点位</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_Toc13330 \h </w:instrText>
      </w:r>
      <w:r>
        <w:rPr>
          <w:rFonts w:hint="eastAsia" w:ascii="仿宋" w:hAnsi="仿宋" w:eastAsia="仿宋" w:cs="仿宋"/>
          <w:sz w:val="24"/>
          <w:szCs w:val="24"/>
        </w:rPr>
        <w:fldChar w:fldCharType="separate"/>
      </w:r>
      <w:r>
        <w:rPr>
          <w:rFonts w:hint="eastAsia" w:ascii="仿宋" w:hAnsi="仿宋" w:eastAsia="仿宋" w:cs="仿宋"/>
          <w:sz w:val="24"/>
          <w:szCs w:val="24"/>
        </w:rPr>
        <w:t>28</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_Toc11203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表七 验收监测结果</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_Toc11203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30</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_Toc28483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rPr>
        <w:t>7.1 验收监测期间工况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_Toc28483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_Toc8567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rPr>
        <w:t>7.2 验收监测结果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_Toc8567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0"/>
        <w:tabs>
          <w:tab w:val="right" w:leader="dot" w:pos="8306"/>
        </w:tabs>
        <w:ind w:left="0" w:leftChars="0" w:firstLine="439" w:firstLineChars="183"/>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7.3 总量核算</w:t>
      </w:r>
      <w:r>
        <w:rPr>
          <w:rFonts w:hint="eastAsia" w:ascii="仿宋" w:hAnsi="仿宋" w:eastAsia="仿宋" w:cs="仿宋"/>
          <w:b w:val="0"/>
          <w:bCs w:val="0"/>
          <w:sz w:val="24"/>
          <w:szCs w:val="24"/>
          <w:lang w:val="en-US" w:eastAsia="zh-CN" w:bidi="ar-SA"/>
        </w:rPr>
        <w:tab/>
      </w:r>
      <w:r>
        <w:rPr>
          <w:rFonts w:hint="eastAsia" w:ascii="仿宋" w:hAnsi="仿宋" w:eastAsia="仿宋" w:cs="仿宋"/>
          <w:b w:val="0"/>
          <w:bCs w:val="0"/>
          <w:sz w:val="24"/>
          <w:szCs w:val="24"/>
          <w:lang w:val="en-US" w:eastAsia="zh-CN" w:bidi="ar-SA"/>
        </w:rPr>
        <w:fldChar w:fldCharType="begin"/>
      </w:r>
      <w:r>
        <w:rPr>
          <w:rFonts w:hint="eastAsia" w:ascii="仿宋" w:hAnsi="仿宋" w:eastAsia="仿宋" w:cs="仿宋"/>
          <w:b w:val="0"/>
          <w:bCs w:val="0"/>
          <w:sz w:val="24"/>
          <w:szCs w:val="24"/>
          <w:lang w:val="en-US" w:eastAsia="zh-CN" w:bidi="ar-SA"/>
        </w:rPr>
        <w:instrText xml:space="preserve"> PAGEREF _Toc8567 \h </w:instrText>
      </w:r>
      <w:r>
        <w:rPr>
          <w:rFonts w:hint="eastAsia" w:ascii="仿宋" w:hAnsi="仿宋" w:eastAsia="仿宋" w:cs="仿宋"/>
          <w:b w:val="0"/>
          <w:bCs w:val="0"/>
          <w:sz w:val="24"/>
          <w:szCs w:val="24"/>
          <w:lang w:val="en-US" w:eastAsia="zh-CN" w:bidi="ar-SA"/>
        </w:rPr>
        <w:fldChar w:fldCharType="separate"/>
      </w:r>
      <w:r>
        <w:rPr>
          <w:rFonts w:hint="eastAsia" w:ascii="仿宋" w:hAnsi="仿宋" w:eastAsia="仿宋" w:cs="仿宋"/>
          <w:b w:val="0"/>
          <w:bCs w:val="0"/>
          <w:sz w:val="24"/>
          <w:szCs w:val="24"/>
          <w:lang w:val="en-US" w:eastAsia="zh-CN" w:bidi="ar-SA"/>
        </w:rPr>
        <w:t>30</w:t>
      </w:r>
      <w:r>
        <w:rPr>
          <w:rFonts w:hint="eastAsia" w:ascii="仿宋" w:hAnsi="仿宋" w:eastAsia="仿宋" w:cs="仿宋"/>
          <w:b w:val="0"/>
          <w:bCs w:val="0"/>
          <w:sz w:val="24"/>
          <w:szCs w:val="24"/>
          <w:lang w:val="en-US" w:eastAsia="zh-CN" w:bidi="ar-SA"/>
        </w:rPr>
        <w:fldChar w:fldCharType="end"/>
      </w:r>
    </w:p>
    <w:p>
      <w:pPr>
        <w:pStyle w:val="10"/>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_Toc24436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表八 验收结论</w:t>
      </w:r>
      <w:r>
        <w:rPr>
          <w:rFonts w:hint="eastAsia" w:ascii="仿宋" w:hAnsi="仿宋" w:eastAsia="仿宋" w:cs="仿宋"/>
          <w:b/>
          <w:bCs/>
          <w:sz w:val="24"/>
          <w:szCs w:val="24"/>
        </w:rPr>
        <w:tab/>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PAGEREF _Toc24436 \h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rPr>
        <w:t>32</w:t>
      </w:r>
      <w:r>
        <w:rPr>
          <w:rFonts w:hint="eastAsia" w:ascii="仿宋" w:hAnsi="仿宋" w:eastAsia="仿宋" w:cs="仿宋"/>
          <w:b/>
          <w:bCs/>
          <w:sz w:val="24"/>
          <w:szCs w:val="24"/>
        </w:rPr>
        <w:fldChar w:fldCharType="end"/>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_Toc1959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rPr>
        <w:t>8.1 环保设施处理情况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_Toc1959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_Toc2238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lang w:val="en-US" w:eastAsia="zh-CN"/>
        </w:rPr>
        <w:t>8.2 环保设施运行结果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_Toc2238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_Toc30676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rPr>
        <w:t>8.3 工程建设对环境的影响</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_Toc30676 \h </w:instrText>
      </w:r>
      <w:r>
        <w:rPr>
          <w:rFonts w:hint="eastAsia" w:ascii="仿宋" w:hAnsi="仿宋" w:eastAsia="仿宋" w:cs="仿宋"/>
          <w:sz w:val="24"/>
          <w:szCs w:val="24"/>
        </w:rPr>
        <w:fldChar w:fldCharType="separate"/>
      </w:r>
      <w:r>
        <w:rPr>
          <w:rFonts w:hint="eastAsia" w:ascii="仿宋" w:hAnsi="仿宋" w:eastAsia="仿宋" w:cs="仿宋"/>
          <w:sz w:val="24"/>
          <w:szCs w:val="24"/>
        </w:rPr>
        <w:t>33</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_Toc29997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rPr>
        <w:t>8.4 公示结果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_Toc29997 \h </w:instrText>
      </w:r>
      <w:r>
        <w:rPr>
          <w:rFonts w:hint="eastAsia" w:ascii="仿宋" w:hAnsi="仿宋" w:eastAsia="仿宋" w:cs="仿宋"/>
          <w:sz w:val="24"/>
          <w:szCs w:val="24"/>
        </w:rPr>
        <w:fldChar w:fldCharType="separate"/>
      </w:r>
      <w:r>
        <w:rPr>
          <w:rFonts w:hint="eastAsia" w:ascii="仿宋" w:hAnsi="仿宋" w:eastAsia="仿宋" w:cs="仿宋"/>
          <w:sz w:val="24"/>
          <w:szCs w:val="24"/>
        </w:rPr>
        <w:t>33</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sz w:val="24"/>
          <w:szCs w:val="24"/>
        </w:rPr>
      </w:pPr>
      <w:r>
        <w:rPr>
          <w:rFonts w:hint="eastAsia" w:ascii="仿宋" w:hAnsi="仿宋" w:eastAsia="仿宋" w:cs="仿宋"/>
          <w:sz w:val="24"/>
          <w:szCs w:val="24"/>
          <w:lang w:val="en-US" w:eastAsia="zh-CN" w:bidi="ar-SA"/>
        </w:rPr>
        <w:fldChar w:fldCharType="begin"/>
      </w:r>
      <w:r>
        <w:rPr>
          <w:rFonts w:hint="eastAsia" w:ascii="仿宋" w:hAnsi="仿宋" w:eastAsia="仿宋" w:cs="仿宋"/>
          <w:sz w:val="24"/>
          <w:szCs w:val="24"/>
          <w:lang w:val="en-US" w:eastAsia="zh-CN" w:bidi="ar-SA"/>
        </w:rPr>
        <w:instrText xml:space="preserve"> HYPERLINK \l _Toc30787 </w:instrText>
      </w:r>
      <w:r>
        <w:rPr>
          <w:rFonts w:hint="eastAsia" w:ascii="仿宋" w:hAnsi="仿宋" w:eastAsia="仿宋" w:cs="仿宋"/>
          <w:sz w:val="24"/>
          <w:szCs w:val="24"/>
          <w:lang w:val="en-US" w:eastAsia="zh-CN" w:bidi="ar-SA"/>
        </w:rPr>
        <w:fldChar w:fldCharType="separate"/>
      </w:r>
      <w:r>
        <w:rPr>
          <w:rFonts w:hint="eastAsia" w:ascii="仿宋" w:hAnsi="仿宋" w:eastAsia="仿宋" w:cs="仿宋"/>
          <w:sz w:val="24"/>
          <w:szCs w:val="24"/>
        </w:rPr>
        <w:t>8.5 建议</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_Toc30787 \h </w:instrText>
      </w:r>
      <w:r>
        <w:rPr>
          <w:rFonts w:hint="eastAsia" w:ascii="仿宋" w:hAnsi="仿宋" w:eastAsia="仿宋" w:cs="仿宋"/>
          <w:sz w:val="24"/>
          <w:szCs w:val="24"/>
        </w:rPr>
        <w:fldChar w:fldCharType="separate"/>
      </w:r>
      <w:r>
        <w:rPr>
          <w:rFonts w:hint="eastAsia" w:ascii="仿宋" w:hAnsi="仿宋" w:eastAsia="仿宋" w:cs="仿宋"/>
          <w:sz w:val="24"/>
          <w:szCs w:val="24"/>
        </w:rPr>
        <w:t>33</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_Toc11468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附图1： 地理位置图</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_Toc2117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附图2： 四邻关系图</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_Toc13138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附图3： 平面布置图</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_Toc16304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附件1： 环评批复</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_Toc24628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附件4： 危废协议</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_Toc9021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附件5： 监测报告</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_Toc19478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附件6：竣工环境保护验收意见</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_Toc7327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附件7：项目竣工日期公示</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b/>
          <w:bCs/>
          <w:sz w:val="24"/>
          <w:szCs w:val="24"/>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_Toc9974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附件8：项目的设备调试起止日期公示</w:t>
      </w:r>
      <w:r>
        <w:rPr>
          <w:rFonts w:hint="eastAsia" w:ascii="仿宋" w:hAnsi="仿宋" w:eastAsia="仿宋" w:cs="仿宋"/>
          <w:b/>
          <w:bCs/>
          <w:sz w:val="24"/>
          <w:szCs w:val="24"/>
          <w:lang w:val="en-US" w:eastAsia="zh-CN" w:bidi="ar-SA"/>
        </w:rPr>
        <w:fldChar w:fldCharType="end"/>
      </w:r>
    </w:p>
    <w:p>
      <w:pPr>
        <w:pStyle w:val="14"/>
        <w:tabs>
          <w:tab w:val="right" w:leader="dot" w:pos="8306"/>
        </w:tabs>
        <w:rPr>
          <w:b/>
          <w:bCs/>
        </w:rPr>
      </w:pPr>
      <w:r>
        <w:rPr>
          <w:rFonts w:hint="eastAsia" w:ascii="仿宋" w:hAnsi="仿宋" w:eastAsia="仿宋" w:cs="仿宋"/>
          <w:b/>
          <w:bCs/>
          <w:sz w:val="24"/>
          <w:szCs w:val="24"/>
          <w:lang w:val="en-US" w:eastAsia="zh-CN" w:bidi="ar-SA"/>
        </w:rPr>
        <w:fldChar w:fldCharType="begin"/>
      </w:r>
      <w:r>
        <w:rPr>
          <w:rFonts w:hint="eastAsia" w:ascii="仿宋" w:hAnsi="仿宋" w:eastAsia="仿宋" w:cs="仿宋"/>
          <w:b/>
          <w:bCs/>
          <w:sz w:val="24"/>
          <w:szCs w:val="24"/>
          <w:lang w:val="en-US" w:eastAsia="zh-CN" w:bidi="ar-SA"/>
        </w:rPr>
        <w:instrText xml:space="preserve"> HYPERLINK \l _Toc15506 </w:instrText>
      </w:r>
      <w:r>
        <w:rPr>
          <w:rFonts w:hint="eastAsia" w:ascii="仿宋" w:hAnsi="仿宋" w:eastAsia="仿宋" w:cs="仿宋"/>
          <w:b/>
          <w:bCs/>
          <w:sz w:val="24"/>
          <w:szCs w:val="24"/>
          <w:lang w:val="en-US" w:eastAsia="zh-CN" w:bidi="ar-SA"/>
        </w:rPr>
        <w:fldChar w:fldCharType="separate"/>
      </w:r>
      <w:r>
        <w:rPr>
          <w:rFonts w:hint="eastAsia" w:ascii="仿宋" w:hAnsi="仿宋" w:eastAsia="仿宋" w:cs="仿宋"/>
          <w:b/>
          <w:bCs/>
          <w:sz w:val="24"/>
          <w:szCs w:val="24"/>
          <w:lang w:val="en-US" w:eastAsia="zh-CN"/>
        </w:rPr>
        <w:t>附件9：项目竣工验收报告公示</w:t>
      </w:r>
      <w:r>
        <w:rPr>
          <w:rFonts w:hint="eastAsia" w:ascii="仿宋" w:hAnsi="仿宋" w:eastAsia="仿宋" w:cs="仿宋"/>
          <w:b/>
          <w:bCs/>
          <w:sz w:val="24"/>
          <w:szCs w:val="24"/>
          <w:lang w:val="en-US" w:eastAsia="zh-CN" w:bidi="ar-SA"/>
        </w:rPr>
        <w:fldChar w:fldCharType="end"/>
      </w:r>
    </w:p>
    <w:p>
      <w:pPr>
        <w:pStyle w:val="14"/>
        <w:tabs>
          <w:tab w:val="right" w:leader="dot" w:pos="8306"/>
        </w:tabs>
        <w:rPr>
          <w:rFonts w:hint="eastAsia" w:ascii="仿宋" w:hAnsi="仿宋" w:eastAsia="仿宋" w:cs="仿宋"/>
          <w:sz w:val="21"/>
          <w:szCs w:val="22"/>
          <w:lang w:val="en-US" w:eastAsia="zh-CN" w:bidi="ar-SA"/>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szCs w:val="22"/>
          <w:lang w:val="en-US" w:eastAsia="zh-CN" w:bidi="ar-SA"/>
        </w:rPr>
        <w:fldChar w:fldCharType="end"/>
      </w:r>
    </w:p>
    <w:tbl>
      <w:tblPr>
        <w:tblStyle w:val="17"/>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1845"/>
        <w:gridCol w:w="1173"/>
        <w:gridCol w:w="912"/>
        <w:gridCol w:w="1159"/>
        <w:gridCol w:w="326"/>
        <w:gridCol w:w="764"/>
        <w:gridCol w:w="1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378" w:type="dxa"/>
            <w:gridSpan w:val="8"/>
            <w:tcBorders>
              <w:top w:val="nil"/>
              <w:left w:val="nil"/>
              <w:bottom w:val="single" w:color="auto" w:sz="4" w:space="0"/>
              <w:right w:val="nil"/>
            </w:tcBorders>
            <w:vAlign w:val="center"/>
          </w:tcPr>
          <w:p>
            <w:pPr>
              <w:pStyle w:val="3"/>
              <w:widowControl/>
              <w:suppressLineNumbers w:val="0"/>
              <w:bidi w:val="0"/>
              <w:spacing w:before="0" w:beforeAutospacing="0" w:afterAutospacing="0"/>
              <w:ind w:left="0" w:right="0"/>
              <w:rPr>
                <w:rFonts w:hint="eastAsia" w:ascii="仿宋" w:hAnsi="仿宋" w:eastAsia="仿宋" w:cs="仿宋"/>
                <w:color w:val="000000"/>
                <w:szCs w:val="24"/>
                <w:lang w:eastAsia="zh-CN"/>
              </w:rPr>
            </w:pPr>
            <w:bookmarkStart w:id="0" w:name="_Toc16418"/>
            <w:r>
              <w:rPr>
                <w:rFonts w:hint="eastAsia"/>
              </w:rPr>
              <w:t>表一</w:t>
            </w:r>
            <w:r>
              <w:rPr>
                <w:rFonts w:hint="eastAsia"/>
                <w:lang w:val="en-US" w:eastAsia="zh-CN"/>
              </w:rPr>
              <w:t xml:space="preserve"> 项目概况</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1847" w:type="dxa"/>
            <w:tcBorders>
              <w:top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建设项目名称</w:t>
            </w:r>
          </w:p>
        </w:tc>
        <w:tc>
          <w:tcPr>
            <w:tcW w:w="7531" w:type="dxa"/>
            <w:gridSpan w:val="7"/>
            <w:tcBorders>
              <w:top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4"/>
                <w:szCs w:val="24"/>
              </w:rPr>
            </w:pPr>
            <w:r>
              <w:rPr>
                <w:rFonts w:hint="eastAsia" w:ascii="仿宋" w:hAnsi="仿宋" w:eastAsia="仿宋" w:cs="仿宋"/>
                <w:b w:val="0"/>
                <w:bCs/>
                <w:color w:val="auto"/>
                <w:sz w:val="24"/>
                <w:szCs w:val="24"/>
                <w:highlight w:val="none"/>
              </w:rPr>
              <w:t>北京首钢铁合金有限公司平定分公司年产50000吨钢砂铝项目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建设单位名称</w:t>
            </w:r>
          </w:p>
        </w:tc>
        <w:tc>
          <w:tcPr>
            <w:tcW w:w="7531" w:type="dxa"/>
            <w:gridSpan w:val="7"/>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4"/>
                <w:szCs w:val="24"/>
              </w:rPr>
            </w:pPr>
            <w:r>
              <w:rPr>
                <w:rFonts w:hint="eastAsia" w:ascii="仿宋" w:hAnsi="仿宋" w:eastAsia="仿宋" w:cs="仿宋"/>
                <w:b w:val="0"/>
                <w:bCs/>
                <w:color w:val="auto"/>
                <w:sz w:val="24"/>
                <w:szCs w:val="24"/>
                <w:highlight w:val="none"/>
              </w:rPr>
              <w:t>北京首钢铁合金有限公司平定分公司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建设项目性质</w:t>
            </w:r>
          </w:p>
        </w:tc>
        <w:tc>
          <w:tcPr>
            <w:tcW w:w="7531" w:type="dxa"/>
            <w:gridSpan w:val="7"/>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新建</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改</w:t>
            </w:r>
            <w:r>
              <w:rPr>
                <w:rFonts w:hint="eastAsia" w:ascii="仿宋" w:hAnsi="仿宋" w:eastAsia="仿宋" w:cs="仿宋"/>
                <w:color w:val="000000"/>
                <w:sz w:val="24"/>
                <w:szCs w:val="24"/>
                <w:lang w:eastAsia="zh-CN"/>
              </w:rPr>
              <w:t>扩</w:t>
            </w:r>
            <w:r>
              <w:rPr>
                <w:rFonts w:hint="eastAsia" w:ascii="仿宋" w:hAnsi="仿宋" w:eastAsia="仿宋" w:cs="仿宋"/>
                <w:color w:val="000000"/>
                <w:sz w:val="24"/>
                <w:szCs w:val="24"/>
              </w:rPr>
              <w:t>建</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技改</w:t>
            </w:r>
            <w:r>
              <w:rPr>
                <w:rFonts w:hint="eastAsia" w:ascii="仿宋" w:hAnsi="仿宋" w:eastAsia="仿宋" w:cs="仿宋"/>
                <w:color w:val="000000"/>
                <w:sz w:val="24"/>
                <w:szCs w:val="24"/>
                <w:lang w:eastAsia="zh-CN"/>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建设地点</w:t>
            </w:r>
          </w:p>
        </w:tc>
        <w:tc>
          <w:tcPr>
            <w:tcW w:w="7531" w:type="dxa"/>
            <w:gridSpan w:val="7"/>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4"/>
                <w:szCs w:val="24"/>
                <w:lang w:eastAsia="zh-CN"/>
              </w:rPr>
            </w:pPr>
            <w:r>
              <w:rPr>
                <w:rFonts w:hint="eastAsia" w:ascii="仿宋" w:hAnsi="仿宋" w:eastAsia="仿宋" w:cs="仿宋"/>
                <w:sz w:val="24"/>
                <w:szCs w:val="24"/>
                <w:lang w:val="en-US" w:eastAsia="zh-CN"/>
              </w:rPr>
              <w:t>山西兆丰铝电有限责任公司电解铝分公司现有厂内（本企业现有车间）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建设项目环评时间</w:t>
            </w:r>
          </w:p>
        </w:tc>
        <w:tc>
          <w:tcPr>
            <w:tcW w:w="3018"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2022年9月</w:t>
            </w:r>
          </w:p>
        </w:tc>
        <w:tc>
          <w:tcPr>
            <w:tcW w:w="207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themeColor="text1"/>
                <w:sz w:val="24"/>
                <w:szCs w:val="24"/>
                <w:highlight w:val="red"/>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开工建设时间</w:t>
            </w:r>
          </w:p>
        </w:tc>
        <w:tc>
          <w:tcPr>
            <w:tcW w:w="2442" w:type="dxa"/>
            <w:gridSpan w:val="3"/>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themeColor="text1"/>
                <w:sz w:val="24"/>
                <w:szCs w:val="24"/>
                <w:highlight w:val="red"/>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2022年11月21日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调试时间</w:t>
            </w:r>
          </w:p>
        </w:tc>
        <w:tc>
          <w:tcPr>
            <w:tcW w:w="3018" w:type="dxa"/>
            <w:gridSpan w:val="2"/>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2023年5月15日-6月15日</w:t>
            </w:r>
          </w:p>
        </w:tc>
        <w:tc>
          <w:tcPr>
            <w:tcW w:w="2071" w:type="dxa"/>
            <w:gridSpan w:val="2"/>
            <w:vAlign w:val="center"/>
          </w:tcPr>
          <w:p>
            <w:pPr>
              <w:keepNext w:val="0"/>
              <w:keepLines w:val="0"/>
              <w:widowControl/>
              <w:suppressLineNumbers w:val="0"/>
              <w:spacing w:before="0" w:beforeAutospacing="0" w:after="0" w:afterAutospacing="0"/>
              <w:ind w:left="-110" w:leftChars="-50" w:right="-110" w:rightChars="-50"/>
              <w:jc w:val="center"/>
              <w:rPr>
                <w:rFonts w:hint="eastAsia" w:ascii="仿宋" w:hAnsi="仿宋" w:eastAsia="仿宋" w:cs="仿宋"/>
                <w:b w:val="0"/>
                <w:bCs w:val="0"/>
                <w:color w:val="000000" w:themeColor="text1"/>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验收现场监测时间</w:t>
            </w:r>
          </w:p>
        </w:tc>
        <w:tc>
          <w:tcPr>
            <w:tcW w:w="2442"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2023年5月21-</w:t>
            </w:r>
          </w:p>
          <w:p>
            <w:pPr>
              <w:keepNext w:val="0"/>
              <w:keepLines w:val="0"/>
              <w:widowControl/>
              <w:suppressLineNumbers w:val="0"/>
              <w:spacing w:before="0" w:beforeAutospacing="0" w:after="0" w:afterAutospacing="0"/>
              <w:ind w:left="0" w:right="0"/>
              <w:jc w:val="center"/>
              <w:rPr>
                <w:rFonts w:hint="default"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rPr>
            </w:pPr>
            <w:r>
              <w:rPr>
                <w:rFonts w:hint="eastAsia" w:ascii="仿宋" w:hAnsi="仿宋" w:eastAsia="仿宋" w:cs="仿宋"/>
                <w:b w:val="0"/>
                <w:bCs w:val="0"/>
                <w:color w:val="181717" w:themeColor="background2" w:themeShade="1A"/>
                <w:sz w:val="24"/>
                <w:szCs w:val="24"/>
              </w:rPr>
              <w:t>环评报告表审批部门</w:t>
            </w:r>
          </w:p>
        </w:tc>
        <w:tc>
          <w:tcPr>
            <w:tcW w:w="3018"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181717" w:themeColor="background2" w:themeShade="1A"/>
                <w:sz w:val="24"/>
                <w:szCs w:val="24"/>
                <w:lang w:val="en-US" w:eastAsia="zh-CN"/>
              </w:rPr>
            </w:pPr>
            <w:r>
              <w:rPr>
                <w:rFonts w:hint="eastAsia" w:ascii="仿宋" w:hAnsi="仿宋" w:eastAsia="仿宋" w:cs="仿宋"/>
                <w:color w:val="181717" w:themeColor="background2" w:themeShade="1A"/>
                <w:sz w:val="24"/>
                <w:szCs w:val="24"/>
                <w:lang w:val="en-US" w:eastAsia="zh-CN"/>
              </w:rPr>
              <w:t>平定县行政审批服务管理局</w:t>
            </w:r>
          </w:p>
        </w:tc>
        <w:tc>
          <w:tcPr>
            <w:tcW w:w="207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lang w:val="en-US" w:eastAsia="zh-CN" w:bidi="ar-SA"/>
              </w:rPr>
            </w:pPr>
            <w:r>
              <w:rPr>
                <w:rFonts w:hint="eastAsia" w:ascii="仿宋" w:hAnsi="仿宋" w:eastAsia="仿宋" w:cs="仿宋"/>
                <w:b w:val="0"/>
                <w:bCs w:val="0"/>
                <w:color w:val="181717" w:themeColor="background2" w:themeShade="1A"/>
                <w:sz w:val="24"/>
                <w:szCs w:val="24"/>
              </w:rPr>
              <w:t>环评报告表编制单位</w:t>
            </w:r>
          </w:p>
        </w:tc>
        <w:tc>
          <w:tcPr>
            <w:tcW w:w="2442"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181717" w:themeColor="background2" w:themeShade="1A"/>
                <w:sz w:val="24"/>
                <w:szCs w:val="24"/>
                <w:lang w:val="en-US" w:eastAsia="zh-CN" w:bidi="ar-SA"/>
              </w:rPr>
            </w:pPr>
            <w:r>
              <w:rPr>
                <w:rFonts w:hint="eastAsia" w:ascii="仿宋" w:hAnsi="仿宋" w:eastAsia="仿宋" w:cs="仿宋"/>
                <w:color w:val="181717" w:themeColor="background2" w:themeShade="1A"/>
                <w:sz w:val="24"/>
                <w:szCs w:val="24"/>
                <w:lang w:val="en-US" w:eastAsia="zh-CN"/>
              </w:rPr>
              <w:t>山西嘉润蓝天科技有限公司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lang w:val="en-US" w:eastAsia="zh-CN" w:bidi="ar-SA"/>
              </w:rPr>
            </w:pPr>
            <w:r>
              <w:rPr>
                <w:rFonts w:hint="eastAsia" w:ascii="仿宋" w:hAnsi="仿宋" w:eastAsia="仿宋" w:cs="仿宋"/>
                <w:b w:val="0"/>
                <w:bCs w:val="0"/>
                <w:color w:val="181717" w:themeColor="background2" w:themeShade="1A"/>
                <w:sz w:val="24"/>
                <w:szCs w:val="24"/>
              </w:rPr>
              <w:t>环保设施</w:t>
            </w:r>
            <w:r>
              <w:rPr>
                <w:rFonts w:hint="eastAsia" w:ascii="仿宋" w:hAnsi="仿宋" w:eastAsia="仿宋" w:cs="仿宋"/>
                <w:b w:val="0"/>
                <w:bCs w:val="0"/>
                <w:color w:val="181717" w:themeColor="background2" w:themeShade="1A"/>
                <w:sz w:val="24"/>
                <w:szCs w:val="24"/>
                <w:lang w:eastAsia="zh-CN"/>
              </w:rPr>
              <w:t>设计</w:t>
            </w:r>
            <w:r>
              <w:rPr>
                <w:rFonts w:hint="eastAsia" w:ascii="仿宋" w:hAnsi="仿宋" w:eastAsia="仿宋" w:cs="仿宋"/>
                <w:b w:val="0"/>
                <w:bCs w:val="0"/>
                <w:color w:val="181717" w:themeColor="background2" w:themeShade="1A"/>
                <w:sz w:val="24"/>
                <w:szCs w:val="24"/>
              </w:rPr>
              <w:t>单位</w:t>
            </w:r>
          </w:p>
        </w:tc>
        <w:tc>
          <w:tcPr>
            <w:tcW w:w="3018"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color w:val="181717" w:themeColor="background2" w:themeShade="1A"/>
                <w:sz w:val="24"/>
                <w:szCs w:val="24"/>
                <w:highlight w:val="none"/>
                <w:lang w:val="en-US" w:eastAsia="zh-CN" w:bidi="ar-SA"/>
              </w:rPr>
            </w:pPr>
            <w:r>
              <w:rPr>
                <w:rFonts w:hint="eastAsia" w:ascii="仿宋" w:hAnsi="仿宋" w:eastAsia="仿宋" w:cs="仿宋"/>
                <w:b w:val="0"/>
                <w:bCs/>
                <w:color w:val="181717" w:themeColor="background2" w:themeShade="1A"/>
                <w:sz w:val="24"/>
                <w:szCs w:val="24"/>
                <w:highlight w:val="none"/>
                <w:lang w:val="en-US" w:eastAsia="zh-CN" w:bidi="ar-SA"/>
              </w:rPr>
              <w:t>/</w:t>
            </w:r>
          </w:p>
        </w:tc>
        <w:tc>
          <w:tcPr>
            <w:tcW w:w="207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lang w:val="en-US" w:eastAsia="zh-CN" w:bidi="ar-SA"/>
              </w:rPr>
            </w:pPr>
            <w:r>
              <w:rPr>
                <w:rFonts w:hint="eastAsia" w:ascii="仿宋" w:hAnsi="仿宋" w:eastAsia="仿宋" w:cs="仿宋"/>
                <w:b w:val="0"/>
                <w:bCs w:val="0"/>
                <w:color w:val="181717" w:themeColor="background2" w:themeShade="1A"/>
                <w:sz w:val="24"/>
                <w:szCs w:val="24"/>
              </w:rPr>
              <w:t>环保设施施工单位</w:t>
            </w:r>
          </w:p>
        </w:tc>
        <w:tc>
          <w:tcPr>
            <w:tcW w:w="2442"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color w:val="181717" w:themeColor="background2" w:themeShade="1A"/>
                <w:sz w:val="24"/>
                <w:szCs w:val="24"/>
                <w:highlight w:val="none"/>
                <w:lang w:val="en-US" w:eastAsia="zh-CN" w:bidi="ar-SA"/>
              </w:rPr>
            </w:pPr>
            <w:r>
              <w:rPr>
                <w:rFonts w:hint="eastAsia" w:ascii="仿宋" w:hAnsi="仿宋" w:eastAsia="仿宋" w:cs="仿宋"/>
                <w:b w:val="0"/>
                <w:bCs/>
                <w:color w:val="auto"/>
                <w:sz w:val="24"/>
                <w:szCs w:val="24"/>
                <w:highlight w:val="none"/>
              </w:rPr>
              <w:t>北京首钢铁合金有限公司平定分公司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rPr>
            </w:pPr>
            <w:r>
              <w:rPr>
                <w:rFonts w:hint="eastAsia" w:ascii="仿宋" w:hAnsi="仿宋" w:eastAsia="仿宋" w:cs="仿宋"/>
                <w:b w:val="0"/>
                <w:bCs w:val="0"/>
                <w:color w:val="181717" w:themeColor="background2" w:themeShade="1A"/>
                <w:sz w:val="24"/>
                <w:szCs w:val="24"/>
              </w:rPr>
              <w:t>投资总概算</w:t>
            </w:r>
          </w:p>
        </w:tc>
        <w:tc>
          <w:tcPr>
            <w:tcW w:w="1845"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181717" w:themeColor="background2" w:themeShade="1A"/>
                <w:sz w:val="24"/>
                <w:szCs w:val="24"/>
                <w:lang w:val="en-US" w:eastAsia="zh-CN"/>
              </w:rPr>
            </w:pPr>
            <w:r>
              <w:rPr>
                <w:rFonts w:hint="eastAsia" w:ascii="仿宋" w:hAnsi="仿宋" w:eastAsia="仿宋" w:cs="仿宋"/>
                <w:color w:val="181717" w:themeColor="background2" w:themeShade="1A"/>
                <w:sz w:val="24"/>
                <w:szCs w:val="24"/>
                <w:lang w:val="en-US" w:eastAsia="zh-CN"/>
              </w:rPr>
              <w:t>60</w:t>
            </w:r>
          </w:p>
        </w:tc>
        <w:tc>
          <w:tcPr>
            <w:tcW w:w="2085"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rPr>
            </w:pPr>
            <w:r>
              <w:rPr>
                <w:rFonts w:hint="eastAsia" w:ascii="仿宋" w:hAnsi="仿宋" w:eastAsia="仿宋" w:cs="仿宋"/>
                <w:b w:val="0"/>
                <w:bCs w:val="0"/>
                <w:color w:val="181717" w:themeColor="background2" w:themeShade="1A"/>
                <w:sz w:val="24"/>
                <w:szCs w:val="24"/>
              </w:rPr>
              <w:t>环保投资总概算</w:t>
            </w:r>
          </w:p>
        </w:tc>
        <w:tc>
          <w:tcPr>
            <w:tcW w:w="1485"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181717" w:themeColor="background2" w:themeShade="1A"/>
                <w:sz w:val="24"/>
                <w:szCs w:val="24"/>
                <w:lang w:val="en-US" w:eastAsia="zh-CN"/>
              </w:rPr>
            </w:pPr>
            <w:r>
              <w:rPr>
                <w:rFonts w:hint="eastAsia" w:ascii="仿宋" w:hAnsi="仿宋" w:eastAsia="仿宋" w:cs="仿宋"/>
                <w:color w:val="181717" w:themeColor="background2" w:themeShade="1A"/>
                <w:sz w:val="24"/>
                <w:szCs w:val="24"/>
                <w:lang w:val="en-US" w:eastAsia="zh-CN"/>
              </w:rPr>
              <w:t>18</w:t>
            </w:r>
          </w:p>
        </w:tc>
        <w:tc>
          <w:tcPr>
            <w:tcW w:w="764" w:type="dxa"/>
            <w:vAlign w:val="center"/>
          </w:tcPr>
          <w:p>
            <w:pPr>
              <w:keepNext w:val="0"/>
              <w:keepLines w:val="0"/>
              <w:widowControl/>
              <w:suppressLineNumbers w:val="0"/>
              <w:spacing w:before="0" w:beforeAutospacing="0" w:after="0" w:afterAutospacing="0"/>
              <w:ind w:left="0" w:right="0"/>
              <w:jc w:val="both"/>
              <w:rPr>
                <w:rFonts w:hint="eastAsia" w:ascii="仿宋" w:hAnsi="仿宋" w:eastAsia="仿宋" w:cs="仿宋"/>
                <w:b w:val="0"/>
                <w:bCs w:val="0"/>
                <w:color w:val="181717" w:themeColor="background2" w:themeShade="1A"/>
                <w:sz w:val="24"/>
                <w:szCs w:val="24"/>
              </w:rPr>
            </w:pPr>
            <w:r>
              <w:rPr>
                <w:rFonts w:hint="eastAsia" w:ascii="仿宋" w:hAnsi="仿宋" w:eastAsia="仿宋" w:cs="仿宋"/>
                <w:b w:val="0"/>
                <w:bCs w:val="0"/>
                <w:color w:val="181717" w:themeColor="background2" w:themeShade="1A"/>
                <w:sz w:val="24"/>
                <w:szCs w:val="24"/>
              </w:rPr>
              <w:t>比例</w:t>
            </w:r>
          </w:p>
        </w:tc>
        <w:tc>
          <w:tcPr>
            <w:tcW w:w="135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181717" w:themeColor="background2" w:themeShade="1A"/>
                <w:sz w:val="24"/>
                <w:szCs w:val="24"/>
                <w:lang w:val="en-US" w:eastAsia="zh-CN"/>
              </w:rPr>
            </w:pPr>
            <w:r>
              <w:rPr>
                <w:rFonts w:hint="eastAsia" w:ascii="仿宋" w:hAnsi="仿宋" w:eastAsia="仿宋" w:cs="仿宋"/>
                <w:color w:val="181717" w:themeColor="background2" w:themeShade="1A"/>
                <w:sz w:val="24"/>
                <w:szCs w:val="24"/>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highlight w:val="red"/>
              </w:rPr>
            </w:pPr>
            <w:r>
              <w:rPr>
                <w:rFonts w:hint="eastAsia" w:ascii="仿宋" w:hAnsi="仿宋" w:eastAsia="仿宋" w:cs="仿宋"/>
                <w:b w:val="0"/>
                <w:bCs w:val="0"/>
                <w:color w:val="auto"/>
                <w:sz w:val="24"/>
                <w:szCs w:val="24"/>
                <w:highlight w:val="none"/>
              </w:rPr>
              <w:t>实际总概算</w:t>
            </w:r>
          </w:p>
        </w:tc>
        <w:tc>
          <w:tcPr>
            <w:tcW w:w="1845" w:type="dxa"/>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181717" w:themeColor="background2" w:themeShade="1A"/>
                <w:sz w:val="24"/>
                <w:szCs w:val="24"/>
                <w:highlight w:val="red"/>
                <w:lang w:val="en-US" w:eastAsia="zh-CN"/>
              </w:rPr>
            </w:pPr>
            <w:r>
              <w:rPr>
                <w:rFonts w:hint="eastAsia" w:ascii="仿宋" w:hAnsi="仿宋" w:eastAsia="仿宋" w:cs="仿宋"/>
                <w:color w:val="181717" w:themeColor="background2" w:themeShade="1A"/>
                <w:sz w:val="24"/>
                <w:szCs w:val="24"/>
                <w:highlight w:val="none"/>
                <w:lang w:val="en-US" w:eastAsia="zh-CN"/>
              </w:rPr>
              <w:t>60</w:t>
            </w:r>
          </w:p>
        </w:tc>
        <w:tc>
          <w:tcPr>
            <w:tcW w:w="2085"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181717" w:themeColor="background2" w:themeShade="1A"/>
                <w:sz w:val="24"/>
                <w:szCs w:val="24"/>
                <w:highlight w:val="red"/>
              </w:rPr>
            </w:pPr>
            <w:r>
              <w:rPr>
                <w:rFonts w:hint="eastAsia" w:ascii="仿宋" w:hAnsi="仿宋" w:eastAsia="仿宋" w:cs="仿宋"/>
                <w:b w:val="0"/>
                <w:bCs w:val="0"/>
                <w:color w:val="auto"/>
                <w:sz w:val="24"/>
                <w:szCs w:val="24"/>
                <w:highlight w:val="none"/>
              </w:rPr>
              <w:t>环保投资</w:t>
            </w:r>
          </w:p>
        </w:tc>
        <w:tc>
          <w:tcPr>
            <w:tcW w:w="1485" w:type="dxa"/>
            <w:gridSpan w:val="2"/>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181717" w:themeColor="background2" w:themeShade="1A"/>
                <w:sz w:val="24"/>
                <w:szCs w:val="24"/>
                <w:highlight w:val="red"/>
                <w:lang w:val="en-US" w:eastAsia="zh-CN"/>
              </w:rPr>
            </w:pPr>
            <w:r>
              <w:rPr>
                <w:rFonts w:hint="eastAsia" w:ascii="仿宋" w:hAnsi="仿宋" w:eastAsia="仿宋" w:cs="仿宋"/>
                <w:color w:val="181717" w:themeColor="background2" w:themeShade="1A"/>
                <w:sz w:val="24"/>
                <w:szCs w:val="24"/>
                <w:highlight w:val="none"/>
                <w:lang w:val="en-US" w:eastAsia="zh-CN"/>
              </w:rPr>
              <w:t>18</w:t>
            </w:r>
          </w:p>
        </w:tc>
        <w:tc>
          <w:tcPr>
            <w:tcW w:w="764" w:type="dxa"/>
            <w:vAlign w:val="center"/>
          </w:tcPr>
          <w:p>
            <w:pPr>
              <w:keepNext w:val="0"/>
              <w:keepLines w:val="0"/>
              <w:widowControl/>
              <w:suppressLineNumbers w:val="0"/>
              <w:spacing w:before="0" w:beforeAutospacing="0" w:after="0" w:afterAutospacing="0"/>
              <w:ind w:left="0" w:right="0"/>
              <w:jc w:val="both"/>
              <w:rPr>
                <w:rFonts w:hint="eastAsia" w:ascii="仿宋" w:hAnsi="仿宋" w:eastAsia="仿宋" w:cs="仿宋"/>
                <w:b w:val="0"/>
                <w:bCs w:val="0"/>
                <w:color w:val="181717" w:themeColor="background2" w:themeShade="1A"/>
                <w:sz w:val="24"/>
                <w:szCs w:val="24"/>
                <w:highlight w:val="red"/>
              </w:rPr>
            </w:pPr>
            <w:r>
              <w:rPr>
                <w:rFonts w:hint="eastAsia" w:ascii="仿宋" w:hAnsi="仿宋" w:eastAsia="仿宋" w:cs="仿宋"/>
                <w:b w:val="0"/>
                <w:bCs w:val="0"/>
                <w:color w:val="auto"/>
                <w:sz w:val="24"/>
                <w:szCs w:val="24"/>
                <w:highlight w:val="none"/>
              </w:rPr>
              <w:t>比例</w:t>
            </w:r>
          </w:p>
        </w:tc>
        <w:tc>
          <w:tcPr>
            <w:tcW w:w="1352" w:type="dxa"/>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181717" w:themeColor="background2" w:themeShade="1A"/>
                <w:sz w:val="24"/>
                <w:szCs w:val="24"/>
                <w:highlight w:val="red"/>
                <w:lang w:val="en-US" w:eastAsia="zh-CN"/>
              </w:rPr>
            </w:pPr>
            <w:r>
              <w:rPr>
                <w:rFonts w:hint="eastAsia" w:ascii="仿宋" w:hAnsi="仿宋" w:eastAsia="仿宋" w:cs="仿宋"/>
                <w:color w:val="181717" w:themeColor="background2" w:themeShade="1A"/>
                <w:sz w:val="24"/>
                <w:szCs w:val="24"/>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3" w:hRule="exact"/>
          <w:jc w:val="center"/>
        </w:trPr>
        <w:tc>
          <w:tcPr>
            <w:tcW w:w="184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验收监测依据</w:t>
            </w:r>
          </w:p>
        </w:tc>
        <w:tc>
          <w:tcPr>
            <w:tcW w:w="7531" w:type="dxa"/>
            <w:gridSpan w:val="7"/>
            <w:vAlign w:val="top"/>
          </w:tcPr>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《中华人民共和国环境保护法》（主席令第22号，2015年</w:t>
            </w:r>
            <w:r>
              <w:rPr>
                <w:rFonts w:hint="eastAsia" w:ascii="仿宋" w:hAnsi="仿宋" w:eastAsia="仿宋" w:cs="仿宋"/>
                <w:color w:val="000000" w:themeColor="text1"/>
                <w:sz w:val="24"/>
                <w:szCs w:val="24"/>
                <w:lang w:val="en-US" w:eastAsia="zh-CN"/>
                <w14:textFill>
                  <w14:solidFill>
                    <w14:schemeClr w14:val="tx1"/>
                  </w14:solidFill>
                </w14:textFill>
              </w:rPr>
              <w:t>0</w:t>
            </w:r>
            <w:r>
              <w:rPr>
                <w:rFonts w:hint="eastAsia" w:ascii="仿宋" w:hAnsi="仿宋" w:eastAsia="仿宋" w:cs="仿宋"/>
                <w:color w:val="000000" w:themeColor="text1"/>
                <w:sz w:val="24"/>
                <w:szCs w:val="24"/>
                <w14:textFill>
                  <w14:solidFill>
                    <w14:schemeClr w14:val="tx1"/>
                  </w14:solidFill>
                </w14:textFill>
              </w:rPr>
              <w:t>1月</w:t>
            </w:r>
            <w:r>
              <w:rPr>
                <w:rFonts w:hint="eastAsia" w:ascii="仿宋" w:hAnsi="仿宋" w:eastAsia="仿宋" w:cs="仿宋"/>
                <w:color w:val="000000" w:themeColor="text1"/>
                <w:sz w:val="24"/>
                <w:szCs w:val="24"/>
                <w:lang w:val="en-US" w:eastAsia="zh-CN"/>
                <w14:textFill>
                  <w14:solidFill>
                    <w14:schemeClr w14:val="tx1"/>
                  </w14:solidFill>
                </w14:textFill>
              </w:rPr>
              <w:t>0</w:t>
            </w:r>
            <w:r>
              <w:rPr>
                <w:rFonts w:hint="eastAsia" w:ascii="仿宋" w:hAnsi="仿宋" w:eastAsia="仿宋" w:cs="仿宋"/>
                <w:color w:val="000000" w:themeColor="text1"/>
                <w:sz w:val="24"/>
                <w:szCs w:val="24"/>
                <w14:textFill>
                  <w14:solidFill>
                    <w14:schemeClr w14:val="tx1"/>
                  </w14:solidFill>
                </w14:textFill>
              </w:rPr>
              <w:t>1日实施）；</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2、《建设项目环境保护管理条例》（国务院〔2017〕682号令，2017年7月16日发布，2017年10月1日实施）；</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3、《建设项目竣工环境保护验收暂行办法》（国环规环评〔2017〕4号，2017年11月20日）；</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4、《建设项目竣工环境保护验收技术指南 污染影响类》（生态环境部公告2018年第9号，2018年5月15日）；</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5、《山西省环境保护厅关于进一步简化环境影响评价工作和竣工验收监测报告程序及内容的通知》（山西省环境保护厅，晋环发86号，2013.11.3）；</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6、《关于取消建设项目环境保护试生产审批相关事项的通知》（山西省环境保护厅，晋环发〔201</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〕22号）；</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7、《北京首钢铁合金有限公司平定分公司年产50000吨钢砂铝项目环境影响报告表》（</w:t>
            </w:r>
            <w:r>
              <w:rPr>
                <w:rFonts w:hint="eastAsia" w:ascii="仿宋" w:hAnsi="仿宋" w:eastAsia="仿宋" w:cs="仿宋"/>
                <w:color w:val="000000" w:themeColor="text1"/>
                <w:sz w:val="24"/>
                <w:szCs w:val="24"/>
                <w:lang w:eastAsia="zh-CN"/>
                <w14:textFill>
                  <w14:solidFill>
                    <w14:schemeClr w14:val="tx1"/>
                  </w14:solidFill>
                </w14:textFill>
              </w:rPr>
              <w:t>山西嘉润蓝天科技有限公司</w:t>
            </w:r>
            <w:r>
              <w:rPr>
                <w:rFonts w:hint="eastAsia" w:ascii="仿宋" w:hAnsi="仿宋" w:eastAsia="仿宋" w:cs="仿宋"/>
                <w:color w:val="000000" w:themeColor="text1"/>
                <w:sz w:val="24"/>
                <w:szCs w:val="24"/>
                <w:lang w:val="en-US" w:eastAsia="zh-CN"/>
                <w14:textFill>
                  <w14:solidFill>
                    <w14:schemeClr w14:val="tx1"/>
                  </w14:solidFill>
                </w14:textFill>
              </w:rPr>
              <w:t>，2022年9月）；</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关于对北京首钢铁合金有限公司平定分公司年产50000吨钢砂铝</w:t>
            </w:r>
            <w:r>
              <w:rPr>
                <w:rFonts w:hint="eastAsia" w:ascii="仿宋" w:hAnsi="仿宋" w:eastAsia="仿宋" w:cs="仿宋"/>
                <w:color w:val="000000" w:themeColor="text1"/>
                <w:sz w:val="24"/>
                <w:szCs w:val="24"/>
                <w:highlight w:val="none"/>
                <w14:textFill>
                  <w14:solidFill>
                    <w14:schemeClr w14:val="tx1"/>
                  </w14:solidFill>
                </w14:textFill>
              </w:rPr>
              <w:t>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环境影响报告表</w:t>
            </w:r>
            <w:r>
              <w:rPr>
                <w:rFonts w:hint="eastAsia" w:ascii="仿宋" w:hAnsi="仿宋" w:eastAsia="仿宋" w:cs="仿宋"/>
                <w:color w:val="000000" w:themeColor="text1"/>
                <w:sz w:val="24"/>
                <w:szCs w:val="24"/>
                <w:highlight w:val="none"/>
                <w14:textFill>
                  <w14:solidFill>
                    <w14:schemeClr w14:val="tx1"/>
                  </w14:solidFill>
                </w14:textFill>
              </w:rPr>
              <w:t>的批复》</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平审股函</w:t>
            </w: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22</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180号），平定县行政审批服务管理局，2022年10月21日</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山西</w:t>
            </w:r>
            <w:r>
              <w:rPr>
                <w:rFonts w:hint="eastAsia" w:ascii="仿宋" w:hAnsi="仿宋" w:eastAsia="仿宋" w:cs="仿宋"/>
                <w:color w:val="000000" w:themeColor="text1"/>
                <w:sz w:val="24"/>
                <w:szCs w:val="24"/>
                <w:highlight w:val="none"/>
                <w:lang w:val="en-US" w:eastAsia="zh-CN"/>
                <w14:textFill>
                  <w14:solidFill>
                    <w14:schemeClr w14:val="tx1"/>
                  </w14:solidFill>
                </w14:textFill>
              </w:rPr>
              <w:t>碧源清欣环境检测</w:t>
            </w:r>
            <w:r>
              <w:rPr>
                <w:rFonts w:hint="eastAsia" w:ascii="仿宋" w:hAnsi="仿宋" w:eastAsia="仿宋" w:cs="仿宋"/>
                <w:color w:val="000000" w:themeColor="text1"/>
                <w:sz w:val="24"/>
                <w:szCs w:val="24"/>
                <w:highlight w:val="none"/>
                <w:lang w:eastAsia="zh-CN"/>
                <w14:textFill>
                  <w14:solidFill>
                    <w14:schemeClr w14:val="tx1"/>
                  </w14:solidFill>
                </w14:textFill>
              </w:rPr>
              <w:t>有限公司《监测报告》</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碧源清欣环监字BYQX202305202号）。</w:t>
            </w:r>
          </w:p>
        </w:tc>
      </w:tr>
    </w:tbl>
    <w:tbl>
      <w:tblPr>
        <w:tblStyle w:val="18"/>
        <w:tblW w:w="9450" w:type="dxa"/>
        <w:tblInd w:w="-5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8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1" w:hRule="atLeast"/>
        </w:trPr>
        <w:tc>
          <w:tcPr>
            <w:tcW w:w="1030" w:type="dxa"/>
            <w:vAlign w:val="center"/>
          </w:tcPr>
          <w:p>
            <w:pPr>
              <w:keepNext w:val="0"/>
              <w:keepLines w:val="0"/>
              <w:widowControl w:val="0"/>
              <w:suppressLineNumbers w:val="0"/>
              <w:spacing w:before="0" w:beforeAutospacing="0" w:afterAutospacing="0"/>
              <w:ind w:left="0" w:right="0"/>
              <w:jc w:val="center"/>
              <w:rPr>
                <w:rFonts w:hint="eastAsia" w:ascii="仿宋" w:hAnsi="仿宋" w:eastAsia="仿宋" w:cs="仿宋"/>
                <w:color w:val="000000"/>
                <w:sz w:val="24"/>
                <w:szCs w:val="24"/>
                <w:vertAlign w:val="baseline"/>
              </w:rPr>
            </w:pPr>
            <w:r>
              <w:rPr>
                <w:rFonts w:hint="eastAsia" w:ascii="仿宋" w:hAnsi="仿宋" w:eastAsia="仿宋" w:cs="仿宋"/>
                <w:sz w:val="24"/>
                <w:szCs w:val="24"/>
              </w:rPr>
              <w:t>验收监测评价标准、标号、级别、限值</w:t>
            </w:r>
          </w:p>
        </w:tc>
        <w:tc>
          <w:tcPr>
            <w:tcW w:w="8420"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2"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废气</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本项目运行期的废气主要为铝液入保温炉时投料口产生的烟尘、连轧时乳化液挥发产生的VOCs。有组织烟尘排放浓度</w:t>
            </w:r>
            <w:r>
              <w:rPr>
                <w:rFonts w:hint="eastAsia" w:ascii="仿宋" w:hAnsi="仿宋" w:eastAsia="仿宋" w:cs="仿宋"/>
                <w:color w:val="auto"/>
                <w:sz w:val="24"/>
                <w:szCs w:val="24"/>
                <w:highlight w:val="none"/>
                <w:lang w:val="en-US" w:eastAsia="zh-CN"/>
              </w:rPr>
              <w:t>参照</w:t>
            </w:r>
            <w:r>
              <w:rPr>
                <w:rFonts w:hint="eastAsia" w:ascii="仿宋" w:hAnsi="仿宋" w:eastAsia="仿宋" w:cs="仿宋"/>
                <w:color w:val="auto"/>
                <w:sz w:val="24"/>
                <w:szCs w:val="24"/>
                <w:highlight w:val="none"/>
                <w:lang w:val="zh-CN"/>
              </w:rPr>
              <w:t>执行《关于印发&lt;山西省工业炉窑大气污染综合治理实施方案&gt;的通知》（晋环大气〔2019〕164号）</w:t>
            </w:r>
            <w:r>
              <w:rPr>
                <w:rFonts w:hint="eastAsia" w:ascii="仿宋" w:hAnsi="仿宋" w:eastAsia="仿宋" w:cs="仿宋"/>
                <w:color w:val="auto"/>
                <w:sz w:val="24"/>
                <w:szCs w:val="24"/>
                <w:highlight w:val="none"/>
                <w:lang w:val="en-US" w:eastAsia="zh-CN"/>
              </w:rPr>
              <w:t>排放标准</w:t>
            </w:r>
            <w:r>
              <w:rPr>
                <w:rFonts w:hint="eastAsia" w:ascii="仿宋" w:hAnsi="仿宋" w:eastAsia="仿宋" w:cs="仿宋"/>
                <w:color w:val="auto"/>
                <w:sz w:val="24"/>
                <w:szCs w:val="24"/>
                <w:highlight w:val="none"/>
                <w:lang w:val="zh-CN"/>
              </w:rPr>
              <w:t>，厂界颗粒物</w:t>
            </w:r>
            <w:r>
              <w:rPr>
                <w:rFonts w:hint="eastAsia" w:ascii="仿宋" w:hAnsi="仿宋" w:eastAsia="仿宋" w:cs="仿宋"/>
                <w:color w:val="auto"/>
                <w:sz w:val="24"/>
                <w:szCs w:val="24"/>
                <w:highlight w:val="none"/>
                <w:lang w:val="en-US" w:eastAsia="zh-CN"/>
              </w:rPr>
              <w:t>（无组织）</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VOCs（无组织）、VOCs（有组织）</w:t>
            </w:r>
            <w:r>
              <w:rPr>
                <w:rFonts w:hint="eastAsia" w:ascii="仿宋" w:hAnsi="仿宋" w:eastAsia="仿宋" w:cs="仿宋"/>
                <w:color w:val="auto"/>
                <w:sz w:val="24"/>
                <w:szCs w:val="24"/>
                <w:highlight w:val="none"/>
                <w:lang w:val="zh-CN"/>
              </w:rPr>
              <w:t>排放浓度</w:t>
            </w:r>
            <w:r>
              <w:rPr>
                <w:rFonts w:hint="eastAsia" w:ascii="仿宋" w:hAnsi="仿宋" w:eastAsia="仿宋" w:cs="仿宋"/>
                <w:color w:val="auto"/>
                <w:sz w:val="24"/>
                <w:szCs w:val="24"/>
                <w:highlight w:val="none"/>
                <w:lang w:val="en-US" w:eastAsia="zh-CN"/>
              </w:rPr>
              <w:t>参照</w:t>
            </w:r>
            <w:r>
              <w:rPr>
                <w:rFonts w:hint="eastAsia" w:ascii="仿宋" w:hAnsi="仿宋" w:eastAsia="仿宋" w:cs="仿宋"/>
                <w:color w:val="auto"/>
                <w:sz w:val="24"/>
                <w:szCs w:val="24"/>
                <w:highlight w:val="none"/>
                <w:lang w:val="zh-CN"/>
              </w:rPr>
              <w:t>执行《大气污染物综合排放标准》（GB16297-1996）中表2标准限值要求，具体排放标准限值见表</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val="zh-CN"/>
              </w:rPr>
              <w:t>。</w:t>
            </w:r>
          </w:p>
          <w:p>
            <w:pPr>
              <w:pStyle w:val="16"/>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0" w:afterAutospacing="0"/>
              <w:ind w:left="0" w:leftChars="0" w:right="0" w:firstLine="0" w:firstLineChars="0"/>
              <w:jc w:val="center"/>
              <w:textAlignment w:val="auto"/>
              <w:rPr>
                <w:rFonts w:hint="eastAsia" w:ascii="仿宋" w:hAnsi="仿宋" w:eastAsia="仿宋" w:cs="仿宋"/>
                <w:sz w:val="21"/>
                <w:szCs w:val="21"/>
                <w:lang w:val="zh-CN"/>
              </w:rPr>
            </w:pPr>
            <w:r>
              <w:rPr>
                <w:rFonts w:hint="eastAsia" w:ascii="仿宋" w:hAnsi="仿宋" w:eastAsia="仿宋" w:cs="仿宋"/>
                <w:b/>
                <w:bCs w:val="0"/>
                <w:snapToGrid w:val="0"/>
                <w:kern w:val="0"/>
                <w:sz w:val="21"/>
                <w:szCs w:val="21"/>
                <w:lang w:val="zh-CN"/>
              </w:rPr>
              <w:t>表</w:t>
            </w:r>
            <w:r>
              <w:rPr>
                <w:rFonts w:hint="eastAsia" w:ascii="仿宋" w:hAnsi="仿宋" w:eastAsia="仿宋" w:cs="仿宋"/>
                <w:b/>
                <w:bCs w:val="0"/>
                <w:snapToGrid w:val="0"/>
                <w:kern w:val="0"/>
                <w:sz w:val="21"/>
                <w:szCs w:val="21"/>
                <w:lang w:val="en-US" w:eastAsia="zh-CN"/>
              </w:rPr>
              <w:t>1-1</w:t>
            </w:r>
            <w:r>
              <w:rPr>
                <w:rFonts w:hint="eastAsia" w:ascii="仿宋" w:hAnsi="仿宋" w:eastAsia="仿宋" w:cs="仿宋"/>
                <w:b/>
                <w:bCs w:val="0"/>
                <w:snapToGrid w:val="0"/>
                <w:kern w:val="0"/>
                <w:sz w:val="21"/>
                <w:szCs w:val="21"/>
                <w:lang w:val="zh-CN"/>
              </w:rPr>
              <w:t xml:space="preserve">  废气污染物排放标准一览表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1245"/>
              <w:gridCol w:w="1140"/>
              <w:gridCol w:w="3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767"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生产系统及设备</w:t>
                  </w:r>
                </w:p>
              </w:tc>
              <w:tc>
                <w:tcPr>
                  <w:tcW w:w="1245"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污染物</w:t>
                  </w:r>
                </w:p>
              </w:tc>
              <w:tc>
                <w:tcPr>
                  <w:tcW w:w="1140"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标准限值</w:t>
                  </w:r>
                </w:p>
              </w:tc>
              <w:tc>
                <w:tcPr>
                  <w:tcW w:w="3645"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1767"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zh-CN"/>
                    </w:rPr>
                  </w:pPr>
                  <w:r>
                    <w:rPr>
                      <w:rFonts w:hint="eastAsia" w:ascii="仿宋" w:hAnsi="仿宋" w:eastAsia="仿宋" w:cs="仿宋"/>
                      <w:sz w:val="21"/>
                      <w:szCs w:val="21"/>
                      <w:vertAlign w:val="baseline"/>
                      <w:lang w:val="zh-CN"/>
                    </w:rPr>
                    <w:t>热处理炉</w:t>
                  </w:r>
                </w:p>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zh-CN"/>
                    </w:rPr>
                  </w:pPr>
                  <w:r>
                    <w:rPr>
                      <w:rFonts w:hint="eastAsia" w:ascii="仿宋" w:hAnsi="仿宋" w:eastAsia="仿宋" w:cs="仿宋"/>
                      <w:sz w:val="21"/>
                      <w:szCs w:val="21"/>
                      <w:vertAlign w:val="baseline"/>
                      <w:lang w:val="zh-CN"/>
                    </w:rPr>
                    <w:t>（保温炉）</w:t>
                  </w:r>
                </w:p>
              </w:tc>
              <w:tc>
                <w:tcPr>
                  <w:tcW w:w="1245"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颗粒物</w:t>
                  </w:r>
                </w:p>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rPr>
                    <w:t>（有组织）</w:t>
                  </w:r>
                </w:p>
              </w:tc>
              <w:tc>
                <w:tcPr>
                  <w:tcW w:w="1140" w:type="dxa"/>
                  <w:vAlign w:val="center"/>
                </w:tcPr>
                <w:p>
                  <w:pPr>
                    <w:pStyle w:val="36"/>
                    <w:keepNext w:val="0"/>
                    <w:keepLines w:val="0"/>
                    <w:widowControl/>
                    <w:suppressLineNumbers w:val="0"/>
                    <w:adjustRightInd/>
                    <w:snapToGrid/>
                    <w:spacing w:before="0" w:beforeAutospacing="0" w:after="0" w:afterAutospacing="0" w:line="240" w:lineRule="auto"/>
                    <w:ind w:left="0" w:right="0" w:firstLine="0" w:firstLineChars="0"/>
                    <w:rPr>
                      <w:rFonts w:hint="eastAsia" w:ascii="仿宋" w:hAnsi="仿宋" w:eastAsia="仿宋" w:cs="仿宋"/>
                      <w:kern w:val="0"/>
                      <w:sz w:val="21"/>
                      <w:szCs w:val="21"/>
                      <w:lang w:val="zh-CN" w:eastAsia="zh-CN" w:bidi="ar-SA"/>
                    </w:rPr>
                  </w:pPr>
                  <w:r>
                    <w:rPr>
                      <w:rFonts w:hint="eastAsia" w:ascii="仿宋" w:hAnsi="仿宋" w:eastAsia="仿宋" w:cs="仿宋"/>
                      <w:kern w:val="0"/>
                      <w:sz w:val="21"/>
                      <w:szCs w:val="21"/>
                      <w:lang w:val="en-US" w:eastAsia="zh-CN" w:bidi="ar-SA"/>
                    </w:rPr>
                    <w:t>30mg/m</w:t>
                  </w:r>
                  <w:r>
                    <w:rPr>
                      <w:rFonts w:hint="eastAsia" w:ascii="仿宋" w:hAnsi="仿宋" w:eastAsia="仿宋" w:cs="仿宋"/>
                      <w:kern w:val="0"/>
                      <w:sz w:val="21"/>
                      <w:szCs w:val="21"/>
                      <w:vertAlign w:val="superscript"/>
                      <w:lang w:val="en-US" w:eastAsia="zh-CN" w:bidi="ar-SA"/>
                    </w:rPr>
                    <w:t>3</w:t>
                  </w:r>
                </w:p>
              </w:tc>
              <w:tc>
                <w:tcPr>
                  <w:tcW w:w="3645" w:type="dxa"/>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sz w:val="21"/>
                      <w:szCs w:val="21"/>
                      <w:vertAlign w:val="baseline"/>
                      <w:lang w:val="zh-CN"/>
                    </w:rPr>
                  </w:pPr>
                  <w:r>
                    <w:rPr>
                      <w:rFonts w:hint="eastAsia" w:ascii="仿宋" w:hAnsi="仿宋" w:eastAsia="仿宋" w:cs="仿宋"/>
                      <w:color w:val="auto"/>
                      <w:kern w:val="0"/>
                      <w:sz w:val="21"/>
                      <w:szCs w:val="21"/>
                      <w:highlight w:val="none"/>
                      <w:lang w:val="zh-CN" w:eastAsia="zh-CN" w:bidi="ar-SA"/>
                    </w:rPr>
                    <w:t>《关于印发&lt;山西省工业炉窑大气污染综合治理实施方案&gt;的通知》（晋环大气〔2019〕164号）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7"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企业边界</w:t>
                  </w:r>
                </w:p>
              </w:tc>
              <w:tc>
                <w:tcPr>
                  <w:tcW w:w="1245"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颗粒物</w:t>
                  </w:r>
                </w:p>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（无组织）</w:t>
                  </w:r>
                </w:p>
              </w:tc>
              <w:tc>
                <w:tcPr>
                  <w:tcW w:w="1140"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1.0mg/m</w:t>
                  </w:r>
                  <w:r>
                    <w:rPr>
                      <w:rFonts w:hint="eastAsia" w:ascii="仿宋" w:hAnsi="仿宋" w:eastAsia="仿宋" w:cs="仿宋"/>
                      <w:kern w:val="0"/>
                      <w:sz w:val="21"/>
                      <w:szCs w:val="21"/>
                      <w:vertAlign w:val="superscript"/>
                      <w:lang w:val="en-US" w:eastAsia="zh-CN" w:bidi="ar-SA"/>
                    </w:rPr>
                    <w:t>3</w:t>
                  </w:r>
                </w:p>
              </w:tc>
              <w:tc>
                <w:tcPr>
                  <w:tcW w:w="3645" w:type="dxa"/>
                  <w:vMerge w:val="restart"/>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auto"/>
                      <w:kern w:val="0"/>
                      <w:sz w:val="21"/>
                      <w:szCs w:val="21"/>
                      <w:highlight w:val="none"/>
                      <w:lang w:val="zh-CN" w:eastAsia="zh-CN" w:bidi="ar-SA"/>
                    </w:rPr>
                  </w:pPr>
                  <w:r>
                    <w:rPr>
                      <w:rFonts w:hint="eastAsia" w:ascii="仿宋" w:hAnsi="仿宋" w:eastAsia="仿宋" w:cs="仿宋"/>
                      <w:color w:val="auto"/>
                      <w:kern w:val="0"/>
                      <w:sz w:val="21"/>
                      <w:szCs w:val="21"/>
                      <w:highlight w:val="none"/>
                      <w:lang w:val="zh-CN" w:eastAsia="zh-CN" w:bidi="ar-SA"/>
                    </w:rPr>
                    <w:t>《大气污染物综合排放标准》（GB16297-1996）中表2标准限值要求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7"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连轧机</w:t>
                  </w:r>
                </w:p>
              </w:tc>
              <w:tc>
                <w:tcPr>
                  <w:tcW w:w="1245"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VOCs</w:t>
                  </w:r>
                </w:p>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（有组织）</w:t>
                  </w:r>
                </w:p>
              </w:tc>
              <w:tc>
                <w:tcPr>
                  <w:tcW w:w="1140"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120mg/m</w:t>
                  </w:r>
                  <w:r>
                    <w:rPr>
                      <w:rFonts w:hint="eastAsia" w:ascii="仿宋" w:hAnsi="仿宋" w:eastAsia="仿宋" w:cs="仿宋"/>
                      <w:kern w:val="0"/>
                      <w:sz w:val="21"/>
                      <w:szCs w:val="21"/>
                      <w:vertAlign w:val="superscript"/>
                      <w:lang w:val="en-US" w:eastAsia="zh-CN" w:bidi="ar-SA"/>
                    </w:rPr>
                    <w:t>3</w:t>
                  </w:r>
                </w:p>
              </w:tc>
              <w:tc>
                <w:tcPr>
                  <w:tcW w:w="3645" w:type="dxa"/>
                  <w:vMerge w:val="continue"/>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auto"/>
                      <w:kern w:val="0"/>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7"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企业边界</w:t>
                  </w:r>
                </w:p>
              </w:tc>
              <w:tc>
                <w:tcPr>
                  <w:tcW w:w="1245"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VOCs</w:t>
                  </w:r>
                </w:p>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（无组织）</w:t>
                  </w:r>
                </w:p>
              </w:tc>
              <w:tc>
                <w:tcPr>
                  <w:tcW w:w="1140" w:type="dxa"/>
                  <w:vAlign w:val="center"/>
                </w:tcPr>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4.0mg/m</w:t>
                  </w:r>
                  <w:r>
                    <w:rPr>
                      <w:rFonts w:hint="eastAsia" w:ascii="仿宋" w:hAnsi="仿宋" w:eastAsia="仿宋" w:cs="仿宋"/>
                      <w:kern w:val="0"/>
                      <w:sz w:val="21"/>
                      <w:szCs w:val="21"/>
                      <w:vertAlign w:val="superscript"/>
                      <w:lang w:val="en-US" w:eastAsia="zh-CN" w:bidi="ar-SA"/>
                    </w:rPr>
                    <w:t>3</w:t>
                  </w:r>
                </w:p>
              </w:tc>
              <w:tc>
                <w:tcPr>
                  <w:tcW w:w="3645" w:type="dxa"/>
                  <w:vMerge w:val="continue"/>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仿宋" w:hAnsi="仿宋" w:eastAsia="仿宋" w:cs="仿宋"/>
                      <w:color w:val="auto"/>
                      <w:kern w:val="0"/>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97" w:type="dxa"/>
                  <w:gridSpan w:val="4"/>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仿宋" w:hAnsi="仿宋" w:eastAsia="仿宋" w:cs="仿宋"/>
                      <w:kern w:val="0"/>
                      <w:sz w:val="21"/>
                      <w:szCs w:val="21"/>
                      <w:lang w:val="zh-CN" w:eastAsia="zh-CN" w:bidi="ar-SA"/>
                    </w:rPr>
                  </w:pPr>
                  <w:r>
                    <w:rPr>
                      <w:rFonts w:hint="eastAsia" w:ascii="仿宋" w:hAnsi="仿宋" w:eastAsia="仿宋" w:cs="仿宋"/>
                      <w:kern w:val="0"/>
                      <w:sz w:val="21"/>
                      <w:szCs w:val="21"/>
                      <w:vertAlign w:val="baseline"/>
                      <w:lang w:val="zh-CN" w:eastAsia="zh-CN" w:bidi="ar-SA"/>
                    </w:rPr>
                    <w:t>*连轧机处排气筒高度设置为15m，非甲烷总烃最高允许排放速率10kg/h。</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2" w:firstLineChars="200"/>
              <w:jc w:val="both"/>
              <w:textAlignment w:val="auto"/>
              <w:outlineLvl w:val="9"/>
              <w:rPr>
                <w:rFonts w:hint="eastAsia" w:ascii="仿宋" w:hAnsi="仿宋" w:eastAsia="仿宋" w:cs="仿宋"/>
                <w:b/>
                <w:color w:val="auto"/>
                <w:sz w:val="24"/>
                <w:szCs w:val="24"/>
                <w:highlight w:val="none"/>
                <w:lang w:val="en-US" w:eastAsia="zh-CN"/>
              </w:rPr>
            </w:pPr>
            <w:bookmarkStart w:id="1" w:name="_Hlk82872543"/>
            <w:r>
              <w:rPr>
                <w:rFonts w:hint="eastAsia" w:ascii="仿宋" w:hAnsi="仿宋" w:eastAsia="仿宋" w:cs="仿宋"/>
                <w:b/>
                <w:color w:val="auto"/>
                <w:sz w:val="24"/>
                <w:szCs w:val="24"/>
                <w:highlight w:val="none"/>
                <w:lang w:val="en-US" w:eastAsia="zh-CN"/>
              </w:rPr>
              <w:t>2、废水</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本项目产生的铸件冷却废水均在采取适宜的处理后循环使用</w:t>
            </w:r>
            <w:bookmarkEnd w:id="1"/>
            <w:r>
              <w:rPr>
                <w:rFonts w:hint="eastAsia" w:ascii="仿宋" w:hAnsi="仿宋" w:eastAsia="仿宋" w:cs="仿宋"/>
                <w:color w:val="auto"/>
                <w:sz w:val="24"/>
                <w:szCs w:val="24"/>
                <w:highlight w:val="none"/>
                <w:lang w:val="zh-CN"/>
              </w:rPr>
              <w:t>，回用水质执行《城市污水再生利用工业用水水质》（GB/T19923-2005）表1“再生用作工业用水水源的水质标准”中“工艺与产品用水”水质标准，具体标准限值见表</w:t>
            </w:r>
            <w:r>
              <w:rPr>
                <w:rFonts w:hint="eastAsia" w:ascii="仿宋" w:hAnsi="仿宋" w:eastAsia="仿宋" w:cs="仿宋"/>
                <w:color w:val="auto"/>
                <w:sz w:val="24"/>
                <w:szCs w:val="24"/>
                <w:highlight w:val="none"/>
                <w:lang w:val="en-US" w:eastAsia="zh-CN"/>
              </w:rPr>
              <w:t>1-2：</w:t>
            </w:r>
          </w:p>
          <w:p>
            <w:pPr>
              <w:keepNext w:val="0"/>
              <w:keepLines w:val="0"/>
              <w:pageBreakBefore w:val="0"/>
              <w:widowControl w:val="0"/>
              <w:suppressLineNumbers w:val="0"/>
              <w:kinsoku/>
              <w:wordWrap/>
              <w:overflowPunct/>
              <w:topLinePunct w:val="0"/>
              <w:autoSpaceDE/>
              <w:autoSpaceDN/>
              <w:bidi w:val="0"/>
              <w:adjustRightInd/>
              <w:snapToGrid/>
              <w:spacing w:before="95" w:beforeLines="30" w:beforeAutospacing="0" w:after="0" w:afterAutospacing="0" w:line="520" w:lineRule="exact"/>
              <w:ind w:left="0" w:right="0"/>
              <w:jc w:val="center"/>
              <w:textAlignment w:val="auto"/>
              <w:outlineLvl w:val="9"/>
              <w:rPr>
                <w:rFonts w:hint="eastAsia" w:ascii="仿宋" w:hAnsi="仿宋" w:eastAsia="仿宋" w:cs="仿宋"/>
                <w:b/>
                <w:bCs w:val="0"/>
                <w:snapToGrid w:val="0"/>
                <w:kern w:val="0"/>
                <w:sz w:val="21"/>
                <w:szCs w:val="21"/>
                <w:lang w:val="zh-CN" w:eastAsia="zh-CN" w:bidi="ar-SA"/>
              </w:rPr>
            </w:pPr>
            <w:r>
              <w:rPr>
                <w:rFonts w:hint="eastAsia" w:ascii="仿宋" w:hAnsi="仿宋" w:eastAsia="仿宋" w:cs="仿宋"/>
                <w:b/>
                <w:bCs w:val="0"/>
                <w:snapToGrid w:val="0"/>
                <w:kern w:val="0"/>
                <w:sz w:val="21"/>
                <w:szCs w:val="21"/>
                <w:lang w:val="zh-CN" w:eastAsia="zh-CN" w:bidi="ar-SA"/>
              </w:rPr>
              <w:t>表</w:t>
            </w:r>
            <w:r>
              <w:rPr>
                <w:rFonts w:hint="eastAsia" w:ascii="仿宋" w:hAnsi="仿宋" w:eastAsia="仿宋" w:cs="仿宋"/>
                <w:b/>
                <w:bCs w:val="0"/>
                <w:snapToGrid w:val="0"/>
                <w:kern w:val="0"/>
                <w:sz w:val="21"/>
                <w:szCs w:val="21"/>
                <w:lang w:val="en-US" w:eastAsia="zh-CN" w:bidi="ar-SA"/>
              </w:rPr>
              <w:t>1-2</w:t>
            </w:r>
            <w:r>
              <w:rPr>
                <w:rFonts w:hint="eastAsia" w:ascii="仿宋" w:hAnsi="仿宋" w:eastAsia="仿宋" w:cs="仿宋"/>
                <w:b/>
                <w:bCs w:val="0"/>
                <w:snapToGrid w:val="0"/>
                <w:kern w:val="0"/>
                <w:sz w:val="21"/>
                <w:szCs w:val="21"/>
                <w:lang w:val="zh-CN" w:eastAsia="zh-CN" w:bidi="ar-SA"/>
              </w:rPr>
              <w:t xml:space="preserve">  《城市污水再生利用工业用水水质》（GB/T19923-2005）</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597"/>
              <w:gridCol w:w="1538"/>
              <w:gridCol w:w="1167"/>
              <w:gridCol w:w="1589"/>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控制项目</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总硬度（以</w:t>
                  </w:r>
                  <w:r>
                    <w:rPr>
                      <w:rFonts w:hint="eastAsia" w:ascii="仿宋" w:hAnsi="仿宋" w:eastAsia="仿宋" w:cs="仿宋"/>
                      <w:color w:val="000000"/>
                      <w:sz w:val="21"/>
                      <w:szCs w:val="21"/>
                    </w:rPr>
                    <w:t>CaCO</w:t>
                  </w:r>
                  <w:r>
                    <w:rPr>
                      <w:rFonts w:hint="eastAsia" w:ascii="仿宋" w:hAnsi="仿宋" w:eastAsia="仿宋" w:cs="仿宋"/>
                      <w:color w:val="000000"/>
                      <w:sz w:val="21"/>
                      <w:szCs w:val="21"/>
                      <w:vertAlign w:val="subscript"/>
                    </w:rPr>
                    <w:t>3</w:t>
                  </w:r>
                  <w:r>
                    <w:rPr>
                      <w:rFonts w:hint="eastAsia" w:ascii="仿宋" w:hAnsi="仿宋" w:eastAsia="仿宋" w:cs="仿宋"/>
                      <w:sz w:val="21"/>
                      <w:szCs w:val="21"/>
                      <w:vertAlign w:val="baseline"/>
                      <w:lang w:val="en-US" w:eastAsia="zh-CN" w:bidi="ar-SA"/>
                    </w:rPr>
                    <w:t>计）</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化学需氧量</w:t>
                  </w:r>
                </w:p>
              </w:tc>
              <w:tc>
                <w:tcPr>
                  <w:tcW w:w="71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色度</w:t>
                  </w:r>
                </w:p>
              </w:tc>
              <w:tc>
                <w:tcPr>
                  <w:tcW w:w="96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溶解性总固体</w:t>
                  </w:r>
                </w:p>
              </w:tc>
              <w:tc>
                <w:tcPr>
                  <w:tcW w:w="74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pH值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标准限值</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≤450mg/L</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≤60mg/L</w:t>
                  </w:r>
                </w:p>
              </w:tc>
              <w:tc>
                <w:tcPr>
                  <w:tcW w:w="71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≤30度</w:t>
                  </w:r>
                </w:p>
              </w:tc>
              <w:tc>
                <w:tcPr>
                  <w:tcW w:w="96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≤1000mg/L</w:t>
                  </w:r>
                </w:p>
              </w:tc>
              <w:tc>
                <w:tcPr>
                  <w:tcW w:w="74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6.5</w:t>
                  </w:r>
                  <w:r>
                    <w:rPr>
                      <w:rFonts w:hint="eastAsia" w:ascii="微软雅黑" w:hAnsi="微软雅黑" w:eastAsia="微软雅黑" w:cs="微软雅黑"/>
                      <w:sz w:val="21"/>
                      <w:szCs w:val="21"/>
                      <w:vertAlign w:val="baseline"/>
                      <w:lang w:val="en-US" w:eastAsia="zh-CN" w:bidi="ar-SA"/>
                    </w:rPr>
                    <w:t>～</w:t>
                  </w:r>
                  <w:r>
                    <w:rPr>
                      <w:rFonts w:hint="eastAsia" w:ascii="仿宋" w:hAnsi="仿宋" w:eastAsia="仿宋" w:cs="仿宋"/>
                      <w:sz w:val="21"/>
                      <w:szCs w:val="21"/>
                      <w:vertAlign w:val="baseline"/>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控制项目</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总碱度（以CaCO</w:t>
                  </w:r>
                  <w:r>
                    <w:rPr>
                      <w:rFonts w:hint="eastAsia" w:ascii="仿宋" w:hAnsi="仿宋" w:eastAsia="仿宋" w:cs="仿宋"/>
                      <w:sz w:val="21"/>
                      <w:szCs w:val="21"/>
                      <w:vertAlign w:val="subscript"/>
                      <w:lang w:val="en-US" w:eastAsia="zh-CN" w:bidi="ar-SA"/>
                    </w:rPr>
                    <w:t>3</w:t>
                  </w:r>
                  <w:r>
                    <w:rPr>
                      <w:rFonts w:hint="eastAsia" w:ascii="仿宋" w:hAnsi="仿宋" w:eastAsia="仿宋" w:cs="仿宋"/>
                      <w:sz w:val="21"/>
                      <w:szCs w:val="21"/>
                      <w:vertAlign w:val="baseline"/>
                      <w:lang w:val="en-US" w:eastAsia="zh-CN" w:bidi="ar-SA"/>
                    </w:rPr>
                    <w:t>计）</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硫酸盐</w:t>
                  </w:r>
                </w:p>
              </w:tc>
              <w:tc>
                <w:tcPr>
                  <w:tcW w:w="71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铁</w:t>
                  </w:r>
                </w:p>
              </w:tc>
              <w:tc>
                <w:tcPr>
                  <w:tcW w:w="96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粪大肠菌群</w:t>
                  </w:r>
                </w:p>
              </w:tc>
              <w:tc>
                <w:tcPr>
                  <w:tcW w:w="74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氯离子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标准限值</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≤350mg/L</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≤250mg/L</w:t>
                  </w:r>
                </w:p>
              </w:tc>
              <w:tc>
                <w:tcPr>
                  <w:tcW w:w="71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≤0.3mg/L</w:t>
                  </w:r>
                </w:p>
              </w:tc>
              <w:tc>
                <w:tcPr>
                  <w:tcW w:w="96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≤2000个/L</w:t>
                  </w:r>
                </w:p>
              </w:tc>
              <w:tc>
                <w:tcPr>
                  <w:tcW w:w="74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≤250mg/L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控制项目</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阴离子表面活性剂（mg/L）</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总磷（以P计mg/L）</w:t>
                  </w:r>
                </w:p>
              </w:tc>
              <w:tc>
                <w:tcPr>
                  <w:tcW w:w="71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石油类（mg/L）</w:t>
                  </w:r>
                </w:p>
              </w:tc>
              <w:tc>
                <w:tcPr>
                  <w:tcW w:w="96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氨氮（以N计mg/L）</w:t>
                  </w:r>
                </w:p>
              </w:tc>
              <w:tc>
                <w:tcPr>
                  <w:tcW w:w="74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二氧化硅（SiO</w:t>
                  </w:r>
                  <w:r>
                    <w:rPr>
                      <w:rFonts w:hint="eastAsia" w:ascii="仿宋" w:hAnsi="仿宋" w:eastAsia="仿宋" w:cs="仿宋"/>
                      <w:sz w:val="21"/>
                      <w:szCs w:val="21"/>
                      <w:vertAlign w:val="subscript"/>
                      <w:lang w:val="en-US" w:eastAsia="zh-CN" w:bidi="ar-SA"/>
                    </w:rPr>
                    <w:t>2</w:t>
                  </w:r>
                  <w:r>
                    <w:rPr>
                      <w:rFonts w:hint="eastAsia" w:ascii="仿宋" w:hAnsi="仿宋" w:eastAsia="仿宋" w:cs="仿宋"/>
                      <w:sz w:val="21"/>
                      <w:szCs w:val="21"/>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标准限值</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≤0.5</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≤1</w:t>
                  </w:r>
                </w:p>
              </w:tc>
              <w:tc>
                <w:tcPr>
                  <w:tcW w:w="71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≤1</w:t>
                  </w:r>
                </w:p>
              </w:tc>
              <w:tc>
                <w:tcPr>
                  <w:tcW w:w="969"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≤10</w:t>
                  </w:r>
                </w:p>
              </w:tc>
              <w:tc>
                <w:tcPr>
                  <w:tcW w:w="742"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控制项目</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生化需氧量（BOD</w:t>
                  </w:r>
                  <w:r>
                    <w:rPr>
                      <w:rFonts w:hint="eastAsia" w:ascii="仿宋" w:hAnsi="仿宋" w:eastAsia="仿宋" w:cs="仿宋"/>
                      <w:sz w:val="21"/>
                      <w:szCs w:val="21"/>
                      <w:vertAlign w:val="subscript"/>
                      <w:lang w:val="en-US" w:eastAsia="zh-CN" w:bidi="ar-SA"/>
                    </w:rPr>
                    <w:t>5</w:t>
                  </w:r>
                  <w:r>
                    <w:rPr>
                      <w:rFonts w:hint="eastAsia" w:ascii="仿宋" w:hAnsi="仿宋" w:eastAsia="仿宋" w:cs="仿宋"/>
                      <w:sz w:val="21"/>
                      <w:szCs w:val="21"/>
                      <w:vertAlign w:val="baseline"/>
                      <w:lang w:val="en-US" w:eastAsia="zh-CN" w:bidi="ar-SA"/>
                    </w:rPr>
                    <w:t>）</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锰</w:t>
                  </w:r>
                </w:p>
              </w:tc>
              <w:tc>
                <w:tcPr>
                  <w:tcW w:w="2424" w:type="pct"/>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余氯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3"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sz w:val="21"/>
                      <w:szCs w:val="21"/>
                      <w:vertAlign w:val="baseline"/>
                      <w:lang w:val="en-US" w:eastAsia="zh-CN" w:bidi="ar-SA"/>
                    </w:rPr>
                  </w:pPr>
                  <w:r>
                    <w:rPr>
                      <w:rFonts w:hint="eastAsia" w:ascii="仿宋" w:hAnsi="仿宋" w:eastAsia="仿宋" w:cs="仿宋"/>
                      <w:b/>
                      <w:bCs/>
                      <w:sz w:val="21"/>
                      <w:szCs w:val="21"/>
                      <w:vertAlign w:val="baseline"/>
                      <w:lang w:val="en-US" w:eastAsia="zh-CN" w:bidi="ar-SA"/>
                    </w:rPr>
                    <w:t>标准限值</w:t>
                  </w:r>
                </w:p>
              </w:tc>
              <w:tc>
                <w:tcPr>
                  <w:tcW w:w="974"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≤10mg/L</w:t>
                  </w:r>
                </w:p>
              </w:tc>
              <w:tc>
                <w:tcPr>
                  <w:tcW w:w="938" w:type="pc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≤0.1mg/L</w:t>
                  </w:r>
                </w:p>
              </w:tc>
              <w:tc>
                <w:tcPr>
                  <w:tcW w:w="2424" w:type="pct"/>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vertAlign w:val="baseline"/>
                      <w:lang w:val="en-US" w:eastAsia="zh-CN" w:bidi="ar-SA"/>
                    </w:rPr>
                    <w:t>≥0.05mg/L（加氯消毒时管末梢值）</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2" w:firstLineChars="200"/>
              <w:jc w:val="both"/>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、噪声</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lef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厂区边界噪声排放执行《工业企业厂界环境噪声排放标准》（GB12348-2008）中2类标准，具体标准限值见表</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lang w:val="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outlineLvl w:val="9"/>
              <w:rPr>
                <w:rFonts w:hint="eastAsia" w:ascii="仿宋" w:hAnsi="仿宋" w:eastAsia="仿宋" w:cs="仿宋"/>
                <w:b/>
                <w:bCs w:val="0"/>
                <w:snapToGrid w:val="0"/>
                <w:kern w:val="0"/>
                <w:sz w:val="21"/>
                <w:szCs w:val="21"/>
                <w:lang w:val="en-US" w:eastAsia="zh-CN" w:bidi="ar-SA"/>
              </w:rPr>
            </w:pPr>
            <w:r>
              <w:rPr>
                <w:rFonts w:hint="eastAsia" w:ascii="仿宋" w:hAnsi="仿宋" w:eastAsia="仿宋" w:cs="仿宋"/>
                <w:b/>
                <w:bCs w:val="0"/>
                <w:snapToGrid w:val="0"/>
                <w:kern w:val="0"/>
                <w:sz w:val="21"/>
                <w:szCs w:val="21"/>
                <w:lang w:val="en-US" w:eastAsia="zh-CN" w:bidi="ar-SA"/>
              </w:rPr>
              <w:t>表1-3  工业企业厂界环境噪声排放标准</w:t>
            </w:r>
          </w:p>
          <w:tbl>
            <w:tblPr>
              <w:tblStyle w:val="17"/>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13"/>
              <w:gridCol w:w="1913"/>
              <w:gridCol w:w="2013"/>
              <w:gridCol w:w="191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913" w:type="dxa"/>
                  <w:tcBorders>
                    <w:tl2br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1160" w:firstLineChars="55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时段</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类别</w:t>
                  </w:r>
                </w:p>
              </w:tc>
              <w:tc>
                <w:tcPr>
                  <w:tcW w:w="19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昼间</w:t>
                  </w:r>
                </w:p>
              </w:tc>
              <w:tc>
                <w:tcPr>
                  <w:tcW w:w="20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夜间</w:t>
                  </w:r>
                </w:p>
              </w:tc>
              <w:tc>
                <w:tcPr>
                  <w:tcW w:w="19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9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2类</w:t>
                  </w:r>
                </w:p>
              </w:tc>
              <w:tc>
                <w:tcPr>
                  <w:tcW w:w="19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60dB(A)</w:t>
                  </w:r>
                </w:p>
              </w:tc>
              <w:tc>
                <w:tcPr>
                  <w:tcW w:w="20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50dB(A)</w:t>
                  </w:r>
                </w:p>
              </w:tc>
              <w:tc>
                <w:tcPr>
                  <w:tcW w:w="1913"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厂界</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2" w:firstLineChars="200"/>
              <w:jc w:val="both"/>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、固废</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vertAlign w:val="baseline"/>
              </w:rPr>
            </w:pPr>
            <w:r>
              <w:rPr>
                <w:rFonts w:hint="eastAsia" w:ascii="仿宋" w:hAnsi="仿宋" w:eastAsia="仿宋" w:cs="仿宋"/>
                <w:color w:val="auto"/>
                <w:sz w:val="24"/>
                <w:szCs w:val="24"/>
                <w:highlight w:val="none"/>
                <w:lang w:val="zh-CN"/>
              </w:rPr>
              <w:t>一般工业固体废物执行《一般工业固体废物贮存和填埋污染控制标准》（GB18599-2020），危险废物执行《危险废物贮存污染控制标准》（GB18597-2001）及修改单（环境保护部公告2013年第36号）。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9" w:hRule="atLeast"/>
        </w:trPr>
        <w:tc>
          <w:tcPr>
            <w:tcW w:w="1030" w:type="dxa"/>
            <w:vAlign w:val="top"/>
          </w:tcPr>
          <w:p>
            <w:pPr>
              <w:keepNext w:val="0"/>
              <w:keepLines w:val="0"/>
              <w:widowControl w:val="0"/>
              <w:suppressLineNumbers w:val="0"/>
              <w:adjustRightInd w:val="0"/>
              <w:snapToGrid w:val="0"/>
              <w:spacing w:before="0" w:beforeAutospacing="0" w:afterAutospacing="0"/>
              <w:ind w:left="0" w:right="0"/>
              <w:jc w:val="both"/>
              <w:rPr>
                <w:rFonts w:hint="eastAsia" w:ascii="仿宋" w:hAnsi="仿宋" w:eastAsia="仿宋" w:cs="仿宋"/>
                <w:color w:val="auto"/>
                <w:kern w:val="0"/>
                <w:sz w:val="21"/>
                <w:szCs w:val="21"/>
                <w:highlight w:val="none"/>
              </w:rPr>
            </w:pPr>
          </w:p>
          <w:p>
            <w:pPr>
              <w:keepNext w:val="0"/>
              <w:keepLines w:val="0"/>
              <w:widowControl w:val="0"/>
              <w:suppressLineNumbers w:val="0"/>
              <w:adjustRightInd w:val="0"/>
              <w:snapToGrid w:val="0"/>
              <w:spacing w:before="0" w:beforeAutospacing="0" w:afterAutospacing="0"/>
              <w:ind w:left="0" w:right="0"/>
              <w:jc w:val="both"/>
              <w:rPr>
                <w:rFonts w:hint="eastAsia" w:ascii="仿宋" w:hAnsi="仿宋" w:eastAsia="仿宋" w:cs="仿宋"/>
                <w:color w:val="auto"/>
                <w:kern w:val="0"/>
                <w:sz w:val="21"/>
                <w:szCs w:val="21"/>
                <w:highlight w:val="none"/>
              </w:rPr>
            </w:pPr>
          </w:p>
          <w:p>
            <w:pPr>
              <w:keepNext w:val="0"/>
              <w:keepLines w:val="0"/>
              <w:widowControl w:val="0"/>
              <w:suppressLineNumbers w:val="0"/>
              <w:adjustRightInd w:val="0"/>
              <w:snapToGrid w:val="0"/>
              <w:spacing w:before="0" w:beforeAutospacing="0" w:afterAutospacing="0"/>
              <w:ind w:left="0" w:right="0"/>
              <w:jc w:val="both"/>
              <w:rPr>
                <w:rFonts w:hint="eastAsia" w:ascii="仿宋" w:hAnsi="仿宋" w:eastAsia="仿宋" w:cs="仿宋"/>
                <w:color w:val="auto"/>
                <w:kern w:val="0"/>
                <w:sz w:val="21"/>
                <w:szCs w:val="21"/>
                <w:highlight w:val="none"/>
              </w:rPr>
            </w:pPr>
          </w:p>
          <w:p>
            <w:pPr>
              <w:keepNext w:val="0"/>
              <w:keepLines w:val="0"/>
              <w:widowControl w:val="0"/>
              <w:suppressLineNumbers w:val="0"/>
              <w:adjustRightInd w:val="0"/>
              <w:snapToGrid w:val="0"/>
              <w:spacing w:before="0" w:beforeAutospacing="0" w:afterAutospacing="0"/>
              <w:ind w:left="0" w:right="0"/>
              <w:jc w:val="both"/>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总量</w:t>
            </w:r>
          </w:p>
          <w:p>
            <w:pPr>
              <w:keepNext w:val="0"/>
              <w:keepLines w:val="0"/>
              <w:widowControl w:val="0"/>
              <w:suppressLineNumbers w:val="0"/>
              <w:adjustRightInd w:val="0"/>
              <w:snapToGrid w:val="0"/>
              <w:spacing w:before="0" w:beforeAutospacing="0" w:afterAutospacing="0"/>
              <w:ind w:left="0" w:right="0"/>
              <w:jc w:val="both"/>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控制</w:t>
            </w:r>
          </w:p>
          <w:p>
            <w:pPr>
              <w:keepNext w:val="0"/>
              <w:keepLines w:val="0"/>
              <w:widowControl w:val="0"/>
              <w:suppressLineNumbers w:val="0"/>
              <w:adjustRightInd w:val="0"/>
              <w:snapToGrid w:val="0"/>
              <w:spacing w:before="0" w:beforeAutospacing="0" w:afterAutospacing="0"/>
              <w:ind w:left="0" w:right="0"/>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4"/>
                <w:szCs w:val="24"/>
                <w:highlight w:val="none"/>
              </w:rPr>
              <w:t>指标</w:t>
            </w:r>
          </w:p>
        </w:tc>
        <w:tc>
          <w:tcPr>
            <w:tcW w:w="8420" w:type="dxa"/>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山西省环境保护厅关于印发&lt;山西省环境保护厅建设项目主要污染物排放总量核定办法&gt;的通知》（晋环发〔2015〕25号）中的第三条规定：属于环境统计重点工业源调查行业范围内（《国民经济行业分类》（GB/T 4754）中采矿业、制造业，电力、燃气及水的生产和供应业，3个门类39个行业）新增主要污染物排放总量的建设项目。</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2022年9月19日，阳泉市生态环境局平定分局以阳环平函〔2022〕40号下发《关于核定&lt;北京首钢铁合金有限公司平定分公司年产50000万吨钢砂铝项目&gt;污染物排放总量的函》批复内容如下：本项目污染物排放总量控制指标为烟尘0.792吨/年、VOCs0.961吨/年。</w:t>
            </w:r>
          </w:p>
        </w:tc>
      </w:tr>
    </w:tbl>
    <w:p>
      <w:pPr>
        <w:rPr>
          <w:rFonts w:hint="eastAsia" w:ascii="仿宋" w:hAnsi="仿宋" w:eastAsia="仿宋" w:cs="仿宋"/>
          <w:color w:val="000000"/>
          <w:sz w:val="24"/>
          <w:szCs w:val="24"/>
        </w:rPr>
      </w:pPr>
    </w:p>
    <w:p>
      <w:pPr>
        <w:rPr>
          <w:rFonts w:hint="eastAsia" w:ascii="仿宋" w:hAnsi="仿宋" w:eastAsia="仿宋" w:cs="仿宋"/>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tbl>
      <w:tblPr>
        <w:tblStyle w:val="18"/>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8" w:type="dxa"/>
            <w:tcBorders>
              <w:top w:val="nil"/>
              <w:left w:val="nil"/>
              <w:bottom w:val="single" w:color="auto" w:sz="4" w:space="0"/>
              <w:right w:val="nil"/>
            </w:tcBorders>
          </w:tcPr>
          <w:p>
            <w:pPr>
              <w:pStyle w:val="3"/>
              <w:widowControl/>
              <w:suppressLineNumbers w:val="0"/>
              <w:bidi w:val="0"/>
              <w:spacing w:before="0" w:beforeAutospacing="0" w:afterAutospacing="0"/>
              <w:ind w:left="0" w:right="0"/>
              <w:rPr>
                <w:rFonts w:hint="eastAsia" w:ascii="仿宋" w:hAnsi="仿宋" w:eastAsia="仿宋" w:cs="仿宋"/>
                <w:vertAlign w:val="baseline"/>
              </w:rPr>
            </w:pPr>
            <w:bookmarkStart w:id="2" w:name="_Toc28237"/>
            <w:r>
              <w:rPr>
                <w:rFonts w:hint="eastAsia"/>
                <w:lang w:eastAsia="zh-CN"/>
              </w:rPr>
              <w:t>表二</w:t>
            </w:r>
            <w:r>
              <w:rPr>
                <w:rFonts w:hint="eastAsia"/>
                <w:lang w:val="en-US" w:eastAsia="zh-CN"/>
              </w:rPr>
              <w:t xml:space="preserve"> 项目建设内容</w:t>
            </w:r>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8" w:hRule="atLeast"/>
        </w:trPr>
        <w:tc>
          <w:tcPr>
            <w:tcW w:w="8528" w:type="dxa"/>
            <w:tcBorders>
              <w:top w:val="single" w:color="auto" w:sz="4" w:space="0"/>
            </w:tcBorders>
          </w:tcPr>
          <w:p>
            <w:pPr>
              <w:pStyle w:val="4"/>
              <w:pageBreakBefore w:val="0"/>
              <w:widowControl/>
              <w:suppressLineNumbers w:val="0"/>
              <w:kinsoku/>
              <w:wordWrap/>
              <w:overflowPunct/>
              <w:topLinePunct w:val="0"/>
              <w:autoSpaceDE/>
              <w:autoSpaceDN/>
              <w:bidi w:val="0"/>
              <w:adjustRightInd w:val="0"/>
              <w:snapToGrid w:val="0"/>
              <w:spacing w:before="0" w:after="0" w:afterLines="0" w:line="480" w:lineRule="exact"/>
              <w:ind w:left="0" w:right="0"/>
              <w:textAlignment w:val="auto"/>
              <w:rPr>
                <w:rFonts w:hint="eastAsia"/>
                <w:lang w:val="en-US" w:eastAsia="zh-CN"/>
              </w:rPr>
            </w:pPr>
            <w:bookmarkStart w:id="3" w:name="_Toc26786"/>
            <w:r>
              <w:rPr>
                <w:rFonts w:hint="eastAsia" w:ascii="仿宋" w:hAnsi="仿宋" w:eastAsia="仿宋" w:cs="仿宋"/>
                <w:lang w:val="en-US" w:eastAsia="zh-CN"/>
              </w:rPr>
              <w:t>2.1</w:t>
            </w:r>
            <w:r>
              <w:rPr>
                <w:rFonts w:hint="eastAsia"/>
                <w:lang w:val="en-US" w:eastAsia="zh-CN"/>
              </w:rPr>
              <w:t xml:space="preserve"> 项目建设情况</w:t>
            </w:r>
            <w:bookmarkEnd w:id="3"/>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2"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2.1.1 项目背景</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0" w:firstLineChars="200"/>
              <w:jc w:val="both"/>
              <w:textAlignment w:val="auto"/>
              <w:rPr>
                <w:rFonts w:hint="eastAsia" w:ascii="仿宋" w:hAnsi="仿宋" w:eastAsia="仿宋" w:cs="仿宋"/>
                <w:b w:val="0"/>
                <w:bCs/>
                <w:color w:val="FF0000"/>
                <w:sz w:val="24"/>
                <w:szCs w:val="24"/>
                <w:highlight w:val="none"/>
                <w:lang w:eastAsia="zh-CN"/>
              </w:rPr>
            </w:pPr>
            <w:r>
              <w:rPr>
                <w:rFonts w:hint="eastAsia" w:ascii="仿宋" w:hAnsi="仿宋" w:eastAsia="仿宋" w:cs="仿宋"/>
                <w:b w:val="0"/>
                <w:bCs/>
                <w:color w:val="auto"/>
                <w:sz w:val="24"/>
                <w:szCs w:val="24"/>
                <w:highlight w:val="none"/>
                <w:lang w:eastAsia="zh-CN"/>
              </w:rPr>
              <w:t>北京首钢铁合金有限公司平定分公司年产50000吨钢砂铝项目位于</w:t>
            </w:r>
            <w:r>
              <w:rPr>
                <w:rFonts w:hint="eastAsia" w:ascii="仿宋" w:hAnsi="仿宋" w:eastAsia="仿宋" w:cs="仿宋"/>
                <w:color w:val="auto"/>
                <w:sz w:val="24"/>
                <w:szCs w:val="24"/>
                <w:highlight w:val="none"/>
              </w:rPr>
              <w:t>北京首钢铁合金有限公司平定分公司现有车间内（山西兆丰铝电有限责任公司电解铝分公司现有厂内）</w:t>
            </w:r>
            <w:r>
              <w:rPr>
                <w:rFonts w:hint="eastAsia" w:ascii="仿宋" w:hAnsi="仿宋" w:eastAsia="仿宋" w:cs="仿宋"/>
                <w:color w:val="auto"/>
                <w:sz w:val="24"/>
                <w:szCs w:val="24"/>
                <w:highlight w:val="none"/>
                <w:lang w:eastAsia="zh-CN"/>
              </w:rPr>
              <w:t>。20</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公司</w:t>
            </w:r>
            <w:r>
              <w:rPr>
                <w:rFonts w:hint="eastAsia" w:ascii="仿宋" w:hAnsi="仿宋" w:eastAsia="仿宋" w:cs="仿宋"/>
                <w:color w:val="auto"/>
                <w:sz w:val="24"/>
                <w:szCs w:val="24"/>
                <w:highlight w:val="none"/>
                <w:lang w:eastAsia="zh-CN"/>
              </w:rPr>
              <w:t>委托</w:t>
            </w:r>
            <w:r>
              <w:rPr>
                <w:rFonts w:hint="eastAsia" w:ascii="仿宋" w:hAnsi="仿宋" w:eastAsia="仿宋" w:cs="仿宋"/>
                <w:color w:val="auto"/>
                <w:sz w:val="24"/>
                <w:szCs w:val="24"/>
                <w:highlight w:val="none"/>
                <w:lang w:val="en-US" w:eastAsia="zh-CN"/>
              </w:rPr>
              <w:t>山西嘉润蓝天科技有限公司</w:t>
            </w:r>
            <w:r>
              <w:rPr>
                <w:rFonts w:hint="eastAsia" w:ascii="仿宋" w:hAnsi="仿宋" w:eastAsia="仿宋" w:cs="仿宋"/>
                <w:color w:val="auto"/>
                <w:sz w:val="24"/>
                <w:szCs w:val="24"/>
                <w:highlight w:val="none"/>
                <w:lang w:eastAsia="zh-CN"/>
              </w:rPr>
              <w:t>编制完成</w:t>
            </w:r>
            <w:r>
              <w:rPr>
                <w:rFonts w:hint="eastAsia" w:ascii="仿宋" w:hAnsi="仿宋" w:eastAsia="仿宋" w:cs="仿宋"/>
                <w:color w:val="auto"/>
                <w:sz w:val="24"/>
                <w:szCs w:val="24"/>
                <w:highlight w:val="none"/>
                <w:lang w:val="en-US" w:eastAsia="zh-CN"/>
              </w:rPr>
              <w:t>了</w:t>
            </w:r>
            <w:r>
              <w:rPr>
                <w:rFonts w:hint="eastAsia" w:ascii="仿宋" w:hAnsi="仿宋" w:eastAsia="仿宋" w:cs="仿宋"/>
                <w:color w:val="auto"/>
                <w:sz w:val="24"/>
                <w:szCs w:val="24"/>
                <w:highlight w:val="none"/>
                <w:lang w:eastAsia="zh-CN"/>
              </w:rPr>
              <w:t>《北京首钢铁合金有限公司平定分公司年</w:t>
            </w:r>
            <w:r>
              <w:rPr>
                <w:rFonts w:hint="eastAsia" w:ascii="仿宋" w:hAnsi="仿宋" w:eastAsia="仿宋" w:cs="仿宋"/>
                <w:color w:val="auto"/>
                <w:sz w:val="24"/>
                <w:szCs w:val="24"/>
                <w:highlight w:val="none"/>
                <w:lang w:val="en-US" w:eastAsia="zh-CN"/>
              </w:rPr>
              <w:t>产50000吨钢砂铝项目环境影响报告表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月2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平定县行政审批服务管理局以平审股函</w:t>
            </w:r>
            <w:r>
              <w:rPr>
                <w:rFonts w:hint="eastAsia" w:ascii="仿宋" w:hAnsi="仿宋" w:eastAsia="仿宋" w:cs="仿宋"/>
                <w:color w:val="000000" w:themeColor="text1"/>
                <w:sz w:val="24"/>
                <w:szCs w:val="24"/>
                <w:highlight w:val="none"/>
                <w:lang w:val="en-US" w:eastAsia="zh-CN"/>
                <w14:textFill>
                  <w14:solidFill>
                    <w14:schemeClr w14:val="tx1"/>
                  </w14:solidFill>
                </w14:textFill>
              </w:rPr>
              <w:t>〔2022〕180</w:t>
            </w:r>
            <w:r>
              <w:rPr>
                <w:rFonts w:hint="eastAsia" w:ascii="仿宋" w:hAnsi="仿宋" w:eastAsia="仿宋" w:cs="仿宋"/>
                <w:color w:val="000000" w:themeColor="text1"/>
                <w:sz w:val="24"/>
                <w:szCs w:val="24"/>
                <w:highlight w:val="none"/>
                <w14:textFill>
                  <w14:solidFill>
                    <w14:schemeClr w14:val="tx1"/>
                  </w14:solidFill>
                </w14:textFill>
              </w:rPr>
              <w:t>号对</w:t>
            </w:r>
            <w:r>
              <w:rPr>
                <w:rFonts w:hint="eastAsia" w:ascii="仿宋" w:hAnsi="仿宋" w:eastAsia="仿宋" w:cs="仿宋"/>
                <w:b w:val="0"/>
                <w:bCs/>
                <w:color w:val="000000" w:themeColor="text1"/>
                <w:sz w:val="24"/>
                <w:szCs w:val="24"/>
                <w:highlight w:val="none"/>
                <w14:textFill>
                  <w14:solidFill>
                    <w14:schemeClr w14:val="tx1"/>
                  </w14:solidFill>
                </w14:textFill>
              </w:rPr>
              <w:t>该项目进行了批复</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2023年5月11日重新登了排污许可证，登记编号：91140321MAOK3D3T36001Q，登记有效期2023年5月11日至2028年05月10日。</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0" w:firstLineChars="200"/>
              <w:jc w:val="both"/>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本项目于2022年11月21日开工建设，2023年5月10日建设完成，5月15日至6月15日调试，2023年5月21日至5月22日委托山西碧源清欣环境检测有限公司对本项目进行竣工环境保护验收监测，并出具监测报告(碧源清欣环监字BYQX202305202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2" w:firstLineChars="200"/>
              <w:jc w:val="both"/>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2.1.2、主要建设内容</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本项目工程于生产车间南部现成品区东区上进行建设，占地面积约994m</w:t>
            </w:r>
            <w:r>
              <w:rPr>
                <w:rFonts w:hint="eastAsia" w:ascii="仿宋" w:hAnsi="仿宋" w:eastAsia="仿宋" w:cs="仿宋"/>
                <w:color w:val="auto"/>
                <w:sz w:val="24"/>
                <w:szCs w:val="24"/>
                <w:vertAlign w:val="superscript"/>
                <w:lang w:val="en-US" w:eastAsia="zh-CN"/>
              </w:rPr>
              <w:t>2</w:t>
            </w:r>
            <w:r>
              <w:rPr>
                <w:rFonts w:hint="eastAsia" w:ascii="仿宋" w:hAnsi="仿宋" w:eastAsia="仿宋" w:cs="仿宋"/>
                <w:color w:val="auto"/>
                <w:sz w:val="24"/>
                <w:szCs w:val="24"/>
                <w:lang w:val="en-US" w:eastAsia="zh-CN"/>
              </w:rPr>
              <w:t>。主要建设内容为1条铝杆连铸连轧生产线及配套设施，本项目生产线的钢砂铝产能25000吨/年，最终形成全厂年产50000吨钢砂铝生产能力。同时完成本次评价提出的环保工程要求。</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本次扩建工程主要建设内容见下表：</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22" w:firstLineChars="200"/>
              <w:jc w:val="center"/>
              <w:textAlignment w:val="auto"/>
              <w:rPr>
                <w:rFonts w:hint="eastAsia" w:ascii="仿宋" w:hAnsi="仿宋" w:eastAsia="仿宋" w:cs="仿宋"/>
                <w:vertAlign w:val="baseline"/>
              </w:rPr>
            </w:pPr>
            <w:r>
              <w:rPr>
                <w:rFonts w:hint="eastAsia" w:ascii="仿宋" w:hAnsi="仿宋" w:eastAsia="仿宋" w:cs="仿宋"/>
                <w:b/>
                <w:bCs/>
                <w:color w:val="auto"/>
                <w:sz w:val="21"/>
                <w:szCs w:val="21"/>
                <w:lang w:val="en-US" w:eastAsia="zh-CN"/>
              </w:rPr>
              <w:t>表2-1  主要建设内容</w:t>
            </w:r>
          </w:p>
          <w:tbl>
            <w:tblPr>
              <w:tblStyle w:val="17"/>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45" w:type="dxa"/>
                <w:bottom w:w="0" w:type="dxa"/>
                <w:right w:w="45" w:type="dxa"/>
              </w:tblCellMar>
            </w:tblPr>
            <w:tblGrid>
              <w:gridCol w:w="544"/>
              <w:gridCol w:w="358"/>
              <w:gridCol w:w="773"/>
              <w:gridCol w:w="3268"/>
              <w:gridCol w:w="2735"/>
              <w:gridCol w:w="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61" w:hRule="atLeast"/>
                <w:jc w:val="center"/>
              </w:trPr>
              <w:tc>
                <w:tcPr>
                  <w:tcW w:w="32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类别</w:t>
                  </w: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名称</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环评建设内容</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实际建设内容</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完成</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085" w:hRule="atLeast"/>
                <w:jc w:val="center"/>
              </w:trPr>
              <w:tc>
                <w:tcPr>
                  <w:tcW w:w="32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主体工程</w:t>
                  </w: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生产车间</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新建1台15t保温炉，1条铝杆连铸连轧生产线及配套设备（置于车间南部现成品区东区）。</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red"/>
                      <w:lang w:val="en-US" w:eastAsia="zh-CN" w:bidi="ar-SA"/>
                    </w:rPr>
                  </w:pPr>
                  <w:r>
                    <w:rPr>
                      <w:rFonts w:hint="eastAsia" w:ascii="仿宋" w:hAnsi="仿宋" w:eastAsia="仿宋" w:cs="仿宋"/>
                      <w:sz w:val="21"/>
                      <w:szCs w:val="21"/>
                      <w:highlight w:val="none"/>
                      <w:lang w:val="en-US" w:eastAsia="zh-CN" w:bidi="ar-SA"/>
                    </w:rPr>
                    <w:t>已新建成，1台15t保温炉，1条铝杆连铸连轧生产线及配套设备（置于车间南部现成品区东区）。</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90" w:hRule="atLeast"/>
                <w:jc w:val="center"/>
              </w:trPr>
              <w:tc>
                <w:tcPr>
                  <w:tcW w:w="32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储运工程</w:t>
                  </w: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成品区</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lang w:val="en-US" w:eastAsia="zh-CN" w:bidi="ar-SA"/>
                    </w:rPr>
                    <w:t>2块成品区，分别位于车间西南部和东部，长*宽分别为30m*12m、25m*8m，占地面积分别为360m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lang w:val="en-US" w:eastAsia="zh-CN" w:bidi="ar-SA"/>
                    </w:rPr>
                    <w:t>、200m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vertAlign w:val="baseline"/>
                      <w:lang w:val="en-US" w:eastAsia="zh-CN" w:bidi="ar-SA"/>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highlight w:val="red"/>
                      <w:vertAlign w:val="baseline"/>
                      <w:lang w:val="en-US" w:eastAsia="zh-CN" w:bidi="ar-SA"/>
                    </w:rPr>
                  </w:pPr>
                  <w:r>
                    <w:rPr>
                      <w:rFonts w:hint="eastAsia" w:ascii="仿宋" w:hAnsi="仿宋" w:eastAsia="仿宋" w:cs="仿宋"/>
                      <w:color w:val="181717" w:themeColor="background2" w:themeShade="1A"/>
                      <w:sz w:val="21"/>
                      <w:szCs w:val="21"/>
                      <w:highlight w:val="none"/>
                      <w:lang w:val="en-US" w:eastAsia="zh-CN" w:bidi="ar-SA"/>
                    </w:rPr>
                    <w:t>已改造，2块成品区，分别位于车间西南部和东部，长*宽分别为30m*12m、25m*8m，占地面积分别为360m</w:t>
                  </w:r>
                  <w:r>
                    <w:rPr>
                      <w:rFonts w:hint="eastAsia" w:ascii="仿宋" w:hAnsi="仿宋" w:eastAsia="仿宋" w:cs="仿宋"/>
                      <w:color w:val="181717" w:themeColor="background2" w:themeShade="1A"/>
                      <w:sz w:val="21"/>
                      <w:szCs w:val="21"/>
                      <w:highlight w:val="none"/>
                      <w:vertAlign w:val="superscript"/>
                      <w:lang w:val="en-US" w:eastAsia="zh-CN" w:bidi="ar-SA"/>
                    </w:rPr>
                    <w:t>2</w:t>
                  </w:r>
                  <w:r>
                    <w:rPr>
                      <w:rFonts w:hint="eastAsia" w:ascii="仿宋" w:hAnsi="仿宋" w:eastAsia="仿宋" w:cs="仿宋"/>
                      <w:color w:val="181717" w:themeColor="background2" w:themeShade="1A"/>
                      <w:sz w:val="21"/>
                      <w:szCs w:val="21"/>
                      <w:highlight w:val="none"/>
                      <w:lang w:val="en-US" w:eastAsia="zh-CN" w:bidi="ar-SA"/>
                    </w:rPr>
                    <w:t>、200m</w:t>
                  </w:r>
                  <w:r>
                    <w:rPr>
                      <w:rFonts w:hint="eastAsia" w:ascii="仿宋" w:hAnsi="仿宋" w:eastAsia="仿宋" w:cs="仿宋"/>
                      <w:color w:val="181717" w:themeColor="background2" w:themeShade="1A"/>
                      <w:sz w:val="21"/>
                      <w:szCs w:val="21"/>
                      <w:highlight w:val="none"/>
                      <w:vertAlign w:val="superscript"/>
                      <w:lang w:val="en-US" w:eastAsia="zh-CN" w:bidi="ar-SA"/>
                    </w:rPr>
                    <w:t>2</w:t>
                  </w:r>
                  <w:r>
                    <w:rPr>
                      <w:rFonts w:hint="eastAsia" w:ascii="仿宋" w:hAnsi="仿宋" w:eastAsia="仿宋" w:cs="仿宋"/>
                      <w:color w:val="181717" w:themeColor="background2" w:themeShade="1A"/>
                      <w:sz w:val="21"/>
                      <w:szCs w:val="21"/>
                      <w:highlight w:val="none"/>
                      <w:vertAlign w:val="baseline"/>
                      <w:lang w:val="en-US" w:eastAsia="zh-CN" w:bidi="ar-SA"/>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233"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辅料库房</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vertAlign w:val="baseline"/>
                      <w:lang w:val="en-US" w:eastAsia="zh-CN" w:bidi="ar-SA"/>
                    </w:rPr>
                  </w:pPr>
                  <w:r>
                    <w:rPr>
                      <w:rFonts w:hint="eastAsia" w:ascii="仿宋" w:hAnsi="仿宋" w:eastAsia="仿宋" w:cs="仿宋"/>
                      <w:sz w:val="21"/>
                      <w:szCs w:val="21"/>
                      <w:lang w:val="en-US" w:eastAsia="zh-CN" w:bidi="ar-SA"/>
                    </w:rPr>
                    <w:t>1座辅料库房，位于车间西部，长*宽：26m*8m，占地面积为206m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vertAlign w:val="baseline"/>
                      <w:lang w:val="en-US" w:eastAsia="zh-CN" w:bidi="ar-SA"/>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highlight w:val="none"/>
                      <w:vertAlign w:val="baseline"/>
                      <w:lang w:val="en-US" w:eastAsia="zh-CN" w:bidi="ar-SA"/>
                    </w:rPr>
                  </w:pPr>
                  <w:r>
                    <w:rPr>
                      <w:rFonts w:hint="eastAsia" w:ascii="仿宋" w:hAnsi="仿宋" w:eastAsia="仿宋" w:cs="仿宋"/>
                      <w:color w:val="181717" w:themeColor="background2" w:themeShade="1A"/>
                      <w:sz w:val="21"/>
                      <w:szCs w:val="21"/>
                      <w:highlight w:val="none"/>
                      <w:lang w:val="en-US" w:eastAsia="zh-CN" w:bidi="ar-SA"/>
                    </w:rPr>
                    <w:t>利旧，1座辅料库房，位于车间西部，长*宽：26m*8m，占地面积为206m</w:t>
                  </w:r>
                  <w:r>
                    <w:rPr>
                      <w:rFonts w:hint="eastAsia" w:ascii="仿宋" w:hAnsi="仿宋" w:eastAsia="仿宋" w:cs="仿宋"/>
                      <w:color w:val="181717" w:themeColor="background2" w:themeShade="1A"/>
                      <w:sz w:val="21"/>
                      <w:szCs w:val="21"/>
                      <w:highlight w:val="none"/>
                      <w:vertAlign w:val="superscript"/>
                      <w:lang w:val="en-US" w:eastAsia="zh-CN" w:bidi="ar-SA"/>
                    </w:rPr>
                    <w:t>2</w:t>
                  </w:r>
                  <w:r>
                    <w:rPr>
                      <w:rFonts w:hint="eastAsia" w:ascii="仿宋" w:hAnsi="仿宋" w:eastAsia="仿宋" w:cs="仿宋"/>
                      <w:color w:val="181717" w:themeColor="background2" w:themeShade="1A"/>
                      <w:sz w:val="21"/>
                      <w:szCs w:val="21"/>
                      <w:highlight w:val="none"/>
                      <w:vertAlign w:val="baseline"/>
                      <w:lang w:val="en-US" w:eastAsia="zh-CN" w:bidi="ar-SA"/>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085"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循环水系统</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1座3000m</w:t>
                  </w:r>
                  <w:r>
                    <w:rPr>
                      <w:rFonts w:hint="eastAsia" w:ascii="仿宋" w:hAnsi="仿宋" w:eastAsia="仿宋" w:cs="仿宋"/>
                      <w:sz w:val="21"/>
                      <w:szCs w:val="21"/>
                      <w:vertAlign w:val="superscript"/>
                      <w:lang w:val="en-US" w:eastAsia="zh-CN" w:bidi="ar-SA"/>
                    </w:rPr>
                    <w:t>3</w:t>
                  </w:r>
                  <w:r>
                    <w:rPr>
                      <w:rFonts w:hint="eastAsia" w:ascii="仿宋" w:hAnsi="仿宋" w:eastAsia="仿宋" w:cs="仿宋"/>
                      <w:sz w:val="21"/>
                      <w:szCs w:val="21"/>
                      <w:lang w:val="en-US" w:eastAsia="zh-CN" w:bidi="ar-SA"/>
                    </w:rPr>
                    <w:t>的循环冷却水池，位于车间外西侧，直径*深：21.9m*2m；循环水量为200m</w:t>
                  </w:r>
                  <w:r>
                    <w:rPr>
                      <w:rFonts w:hint="eastAsia" w:ascii="仿宋" w:hAnsi="仿宋" w:eastAsia="仿宋" w:cs="仿宋"/>
                      <w:sz w:val="21"/>
                      <w:szCs w:val="21"/>
                      <w:vertAlign w:val="superscript"/>
                      <w:lang w:val="en-US" w:eastAsia="zh-CN" w:bidi="ar-SA"/>
                    </w:rPr>
                    <w:t>3</w:t>
                  </w:r>
                  <w:r>
                    <w:rPr>
                      <w:rFonts w:hint="eastAsia" w:ascii="仿宋" w:hAnsi="仿宋" w:eastAsia="仿宋" w:cs="仿宋"/>
                      <w:sz w:val="21"/>
                      <w:szCs w:val="21"/>
                      <w:lang w:val="en-US" w:eastAsia="zh-CN" w:bidi="ar-SA"/>
                    </w:rPr>
                    <w:t>/d。</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highlight w:val="none"/>
                      <w:lang w:val="en-US" w:eastAsia="zh-CN" w:bidi="ar-SA"/>
                    </w:rPr>
                  </w:pPr>
                  <w:r>
                    <w:rPr>
                      <w:rFonts w:hint="eastAsia" w:ascii="仿宋" w:hAnsi="仿宋" w:eastAsia="仿宋" w:cs="仿宋"/>
                      <w:color w:val="181717" w:themeColor="background2" w:themeShade="1A"/>
                      <w:sz w:val="21"/>
                      <w:szCs w:val="21"/>
                      <w:highlight w:val="none"/>
                      <w:lang w:val="en-US" w:eastAsia="zh-CN" w:bidi="ar-SA"/>
                    </w:rPr>
                    <w:t>利旧，1座3000m</w:t>
                  </w:r>
                  <w:r>
                    <w:rPr>
                      <w:rFonts w:hint="eastAsia" w:ascii="仿宋" w:hAnsi="仿宋" w:eastAsia="仿宋" w:cs="仿宋"/>
                      <w:color w:val="181717" w:themeColor="background2" w:themeShade="1A"/>
                      <w:sz w:val="21"/>
                      <w:szCs w:val="21"/>
                      <w:highlight w:val="none"/>
                      <w:vertAlign w:val="superscript"/>
                      <w:lang w:val="en-US" w:eastAsia="zh-CN" w:bidi="ar-SA"/>
                    </w:rPr>
                    <w:t>3</w:t>
                  </w:r>
                  <w:r>
                    <w:rPr>
                      <w:rFonts w:hint="eastAsia" w:ascii="仿宋" w:hAnsi="仿宋" w:eastAsia="仿宋" w:cs="仿宋"/>
                      <w:color w:val="181717" w:themeColor="background2" w:themeShade="1A"/>
                      <w:sz w:val="21"/>
                      <w:szCs w:val="21"/>
                      <w:highlight w:val="none"/>
                      <w:lang w:val="en-US" w:eastAsia="zh-CN" w:bidi="ar-SA"/>
                    </w:rPr>
                    <w:t>的循环冷却水池，位于车间外西侧，直径*深：21.9m*2m；循环水量为200m</w:t>
                  </w:r>
                  <w:r>
                    <w:rPr>
                      <w:rFonts w:hint="eastAsia" w:ascii="仿宋" w:hAnsi="仿宋" w:eastAsia="仿宋" w:cs="仿宋"/>
                      <w:color w:val="181717" w:themeColor="background2" w:themeShade="1A"/>
                      <w:sz w:val="21"/>
                      <w:szCs w:val="21"/>
                      <w:highlight w:val="none"/>
                      <w:vertAlign w:val="superscript"/>
                      <w:lang w:val="en-US" w:eastAsia="zh-CN" w:bidi="ar-SA"/>
                    </w:rPr>
                    <w:t>3</w:t>
                  </w:r>
                  <w:r>
                    <w:rPr>
                      <w:rFonts w:hint="eastAsia" w:ascii="仿宋" w:hAnsi="仿宋" w:eastAsia="仿宋" w:cs="仿宋"/>
                      <w:color w:val="181717" w:themeColor="background2" w:themeShade="1A"/>
                      <w:sz w:val="21"/>
                      <w:szCs w:val="21"/>
                      <w:highlight w:val="none"/>
                      <w:lang w:val="en-US" w:eastAsia="zh-CN" w:bidi="ar-SA"/>
                    </w:rPr>
                    <w:t>/d。</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823" w:hRule="atLeast"/>
                <w:jc w:val="center"/>
              </w:trPr>
              <w:tc>
                <w:tcPr>
                  <w:tcW w:w="32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公用工程</w:t>
                  </w: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供水</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rPr>
                    <w:t>用水取自电解铝分公司厂内供水管网，经管道将水分配至各个用水单元</w:t>
                  </w:r>
                  <w:r>
                    <w:rPr>
                      <w:rFonts w:hint="eastAsia" w:ascii="仿宋" w:hAnsi="仿宋" w:eastAsia="仿宋" w:cs="仿宋"/>
                      <w:sz w:val="21"/>
                      <w:szCs w:val="21"/>
                      <w:lang w:eastAsia="zh-CN"/>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highlight w:val="red"/>
                      <w:lang w:val="en-US" w:eastAsia="zh-CN" w:bidi="ar-SA"/>
                    </w:rPr>
                  </w:pPr>
                  <w:r>
                    <w:rPr>
                      <w:rFonts w:hint="eastAsia" w:ascii="仿宋" w:hAnsi="仿宋" w:eastAsia="仿宋" w:cs="仿宋"/>
                      <w:sz w:val="21"/>
                      <w:szCs w:val="21"/>
                      <w:lang w:eastAsia="zh-CN"/>
                    </w:rPr>
                    <w:t>利旧，</w:t>
                  </w:r>
                  <w:r>
                    <w:rPr>
                      <w:rFonts w:hint="eastAsia" w:ascii="仿宋" w:hAnsi="仿宋" w:eastAsia="仿宋" w:cs="仿宋"/>
                      <w:sz w:val="21"/>
                      <w:szCs w:val="21"/>
                    </w:rPr>
                    <w:t>用水取自电解铝分公司厂内供水管网，经管道将水分配至各个用水单元</w:t>
                  </w:r>
                  <w:r>
                    <w:rPr>
                      <w:rFonts w:hint="eastAsia" w:ascii="仿宋" w:hAnsi="仿宋" w:eastAsia="仿宋" w:cs="仿宋"/>
                      <w:sz w:val="21"/>
                      <w:szCs w:val="21"/>
                      <w:lang w:eastAsia="zh-CN"/>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red"/>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346"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排水</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rPr>
                    <w:t>厂内雨污分流，</w:t>
                  </w:r>
                  <w:r>
                    <w:rPr>
                      <w:rFonts w:hint="eastAsia" w:ascii="仿宋" w:hAnsi="仿宋" w:eastAsia="仿宋" w:cs="仿宋"/>
                      <w:sz w:val="21"/>
                      <w:szCs w:val="21"/>
                      <w:lang w:val="zh-CN"/>
                    </w:rPr>
                    <w:t>生活污水由办公生活区现有下水系统收集并引至电解铝分公司厂内污水处理设施处理后回用，不外排。</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highlight w:val="red"/>
                      <w:lang w:val="en-US" w:eastAsia="zh-CN" w:bidi="ar-SA"/>
                    </w:rPr>
                  </w:pPr>
                  <w:r>
                    <w:rPr>
                      <w:rFonts w:hint="eastAsia" w:ascii="仿宋" w:hAnsi="仿宋" w:eastAsia="仿宋" w:cs="仿宋"/>
                      <w:sz w:val="21"/>
                      <w:szCs w:val="21"/>
                      <w:lang w:eastAsia="zh-CN"/>
                    </w:rPr>
                    <w:t>利旧，</w:t>
                  </w:r>
                  <w:r>
                    <w:rPr>
                      <w:rFonts w:hint="eastAsia" w:ascii="仿宋" w:hAnsi="仿宋" w:eastAsia="仿宋" w:cs="仿宋"/>
                      <w:sz w:val="21"/>
                      <w:szCs w:val="21"/>
                    </w:rPr>
                    <w:t>厂内雨污分流，</w:t>
                  </w:r>
                  <w:r>
                    <w:rPr>
                      <w:rFonts w:hint="eastAsia" w:ascii="仿宋" w:hAnsi="仿宋" w:eastAsia="仿宋" w:cs="仿宋"/>
                      <w:sz w:val="21"/>
                      <w:szCs w:val="21"/>
                      <w:lang w:val="zh-CN"/>
                    </w:rPr>
                    <w:t>生活污水由办公生活区现有下水系统收集并引至电解铝分公司厂内污水处理设施处理后回用，不外排。</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red"/>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61"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供电</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rPr>
                    <w:t>由电解铝分公司厂内供电系统供给</w:t>
                  </w:r>
                  <w:r>
                    <w:rPr>
                      <w:rFonts w:hint="eastAsia" w:ascii="仿宋" w:hAnsi="仿宋" w:eastAsia="仿宋" w:cs="仿宋"/>
                      <w:sz w:val="21"/>
                      <w:szCs w:val="21"/>
                      <w:lang w:eastAsia="zh-CN"/>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highlight w:val="red"/>
                      <w:lang w:val="en-US" w:eastAsia="zh-CN" w:bidi="ar-SA"/>
                    </w:rPr>
                  </w:pPr>
                  <w:r>
                    <w:rPr>
                      <w:rFonts w:hint="eastAsia" w:ascii="仿宋" w:hAnsi="仿宋" w:eastAsia="仿宋" w:cs="仿宋"/>
                      <w:sz w:val="21"/>
                      <w:szCs w:val="21"/>
                      <w:lang w:eastAsia="zh-CN"/>
                    </w:rPr>
                    <w:t>利旧，</w:t>
                  </w:r>
                  <w:r>
                    <w:rPr>
                      <w:rFonts w:hint="eastAsia" w:ascii="仿宋" w:hAnsi="仿宋" w:eastAsia="仿宋" w:cs="仿宋"/>
                      <w:sz w:val="21"/>
                      <w:szCs w:val="21"/>
                    </w:rPr>
                    <w:t>由电解铝分公司厂内供电系统供给</w:t>
                  </w:r>
                  <w:r>
                    <w:rPr>
                      <w:rFonts w:hint="eastAsia" w:ascii="仿宋" w:hAnsi="仿宋" w:eastAsia="仿宋" w:cs="仿宋"/>
                      <w:sz w:val="21"/>
                      <w:szCs w:val="21"/>
                      <w:lang w:eastAsia="zh-CN"/>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red"/>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823"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670" w:type="pct"/>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供暖</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rPr>
                    <w:t>依托电解铝分公司厂内现有办公生活设施，生产车间不采暖</w:t>
                  </w:r>
                  <w:r>
                    <w:rPr>
                      <w:rFonts w:hint="eastAsia" w:ascii="仿宋" w:hAnsi="仿宋" w:eastAsia="仿宋" w:cs="仿宋"/>
                      <w:sz w:val="21"/>
                      <w:szCs w:val="21"/>
                      <w:lang w:eastAsia="zh-CN"/>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highlight w:val="red"/>
                      <w:lang w:val="en-US" w:eastAsia="zh-CN" w:bidi="ar-SA"/>
                    </w:rPr>
                  </w:pPr>
                  <w:r>
                    <w:rPr>
                      <w:rFonts w:hint="eastAsia" w:ascii="仿宋" w:hAnsi="仿宋" w:eastAsia="仿宋" w:cs="仿宋"/>
                      <w:sz w:val="21"/>
                      <w:szCs w:val="21"/>
                    </w:rPr>
                    <w:t>依托</w:t>
                  </w:r>
                  <w:r>
                    <w:rPr>
                      <w:rFonts w:hint="eastAsia" w:ascii="仿宋" w:hAnsi="仿宋" w:eastAsia="仿宋" w:cs="仿宋"/>
                      <w:sz w:val="21"/>
                      <w:szCs w:val="21"/>
                      <w:lang w:eastAsia="zh-CN"/>
                    </w:rPr>
                    <w:t>，</w:t>
                  </w:r>
                  <w:r>
                    <w:rPr>
                      <w:rFonts w:hint="eastAsia" w:ascii="仿宋" w:hAnsi="仿宋" w:eastAsia="仿宋" w:cs="仿宋"/>
                      <w:sz w:val="21"/>
                      <w:szCs w:val="21"/>
                    </w:rPr>
                    <w:t>电解铝分公司厂内现有办公生活设施，生产车间不采暖</w:t>
                  </w:r>
                  <w:r>
                    <w:rPr>
                      <w:rFonts w:hint="eastAsia" w:ascii="仿宋" w:hAnsi="仿宋" w:eastAsia="仿宋" w:cs="仿宋"/>
                      <w:sz w:val="21"/>
                      <w:szCs w:val="21"/>
                      <w:lang w:eastAsia="zh-CN"/>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red"/>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82" w:hRule="atLeast"/>
                <w:jc w:val="center"/>
              </w:trPr>
              <w:tc>
                <w:tcPr>
                  <w:tcW w:w="32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废气</w:t>
                  </w: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eastAsia="zh-CN"/>
                    </w:rPr>
                    <w:t>原</w:t>
                  </w:r>
                  <w:r>
                    <w:rPr>
                      <w:rFonts w:hint="eastAsia" w:ascii="仿宋" w:hAnsi="仿宋" w:eastAsia="仿宋" w:cs="仿宋"/>
                      <w:sz w:val="21"/>
                      <w:szCs w:val="21"/>
                    </w:rPr>
                    <w:t>有）保温炉投料口</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投料口设置集气罩，产生的烟尘收集后经1套布袋除尘器进行处理，引风机风量为10000m</w:t>
                  </w:r>
                  <w:r>
                    <w:rPr>
                      <w:rFonts w:hint="eastAsia" w:ascii="仿宋" w:hAnsi="仿宋" w:eastAsia="仿宋" w:cs="仿宋"/>
                      <w:sz w:val="21"/>
                      <w:szCs w:val="21"/>
                      <w:vertAlign w:val="superscript"/>
                      <w:lang w:val="en-US" w:eastAsia="zh-CN" w:bidi="ar-SA"/>
                    </w:rPr>
                    <w:t>3</w:t>
                  </w:r>
                  <w:r>
                    <w:rPr>
                      <w:rFonts w:hint="eastAsia" w:ascii="仿宋" w:hAnsi="仿宋" w:eastAsia="仿宋" w:cs="仿宋"/>
                      <w:sz w:val="21"/>
                      <w:szCs w:val="21"/>
                      <w:lang w:val="en-US" w:eastAsia="zh-CN" w:bidi="ar-SA"/>
                    </w:rPr>
                    <w:t>/h，过滤面积280m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lang w:val="en-US" w:eastAsia="zh-CN" w:bidi="ar-SA"/>
                    </w:rPr>
                    <w:t>，处理后由高15m排气筒排放（DA001）。</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利旧，投料口设置集气罩，产生的烟尘收集后经1套布袋除尘器进行处理，引风机风量为10000m</w:t>
                  </w:r>
                  <w:r>
                    <w:rPr>
                      <w:rFonts w:hint="eastAsia" w:ascii="仿宋" w:hAnsi="仿宋" w:eastAsia="仿宋" w:cs="仿宋"/>
                      <w:sz w:val="21"/>
                      <w:szCs w:val="21"/>
                      <w:highlight w:val="none"/>
                      <w:vertAlign w:val="superscript"/>
                      <w:lang w:val="en-US" w:eastAsia="zh-CN" w:bidi="ar-SA"/>
                    </w:rPr>
                    <w:t>3</w:t>
                  </w:r>
                  <w:r>
                    <w:rPr>
                      <w:rFonts w:hint="eastAsia" w:ascii="仿宋" w:hAnsi="仿宋" w:eastAsia="仿宋" w:cs="仿宋"/>
                      <w:sz w:val="21"/>
                      <w:szCs w:val="21"/>
                      <w:highlight w:val="none"/>
                      <w:lang w:val="en-US" w:eastAsia="zh-CN" w:bidi="ar-SA"/>
                    </w:rPr>
                    <w:t>/h，过滤面积280m</w:t>
                  </w:r>
                  <w:r>
                    <w:rPr>
                      <w:rFonts w:hint="eastAsia" w:ascii="仿宋" w:hAnsi="仿宋" w:eastAsia="仿宋" w:cs="仿宋"/>
                      <w:sz w:val="21"/>
                      <w:szCs w:val="21"/>
                      <w:highlight w:val="none"/>
                      <w:vertAlign w:val="superscript"/>
                      <w:lang w:val="en-US" w:eastAsia="zh-CN" w:bidi="ar-SA"/>
                    </w:rPr>
                    <w:t>2</w:t>
                  </w:r>
                  <w:r>
                    <w:rPr>
                      <w:rFonts w:hint="eastAsia" w:ascii="仿宋" w:hAnsi="仿宋" w:eastAsia="仿宋" w:cs="仿宋"/>
                      <w:sz w:val="21"/>
                      <w:szCs w:val="21"/>
                      <w:highlight w:val="none"/>
                      <w:lang w:val="en-US" w:eastAsia="zh-CN" w:bidi="ar-SA"/>
                    </w:rPr>
                    <w:t>，处理后由高15m排气筒排放（DA001）。</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187"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（新建）保温炉投料口</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在新建保温炉投料口上方设置圆形升降螺旋伞形罩（顶吸式），引风机风量设置为15000m</w:t>
                  </w:r>
                  <w:r>
                    <w:rPr>
                      <w:rFonts w:hint="eastAsia" w:ascii="仿宋" w:hAnsi="仿宋" w:eastAsia="仿宋" w:cs="仿宋"/>
                      <w:sz w:val="21"/>
                      <w:szCs w:val="21"/>
                      <w:vertAlign w:val="superscript"/>
                      <w:lang w:val="en-US" w:eastAsia="zh-CN" w:bidi="ar-SA"/>
                    </w:rPr>
                    <w:t>3</w:t>
                  </w:r>
                  <w:r>
                    <w:rPr>
                      <w:rFonts w:hint="eastAsia" w:ascii="仿宋" w:hAnsi="仿宋" w:eastAsia="仿宋" w:cs="仿宋"/>
                      <w:sz w:val="21"/>
                      <w:szCs w:val="21"/>
                      <w:lang w:val="en-US" w:eastAsia="zh-CN" w:bidi="ar-SA"/>
                    </w:rPr>
                    <w:t>/h，集气效率按90%计，废气在引风机作用下由集气罩上方连接的管道引至1套脉冲式布袋除尘器进行处理，除尘器过滤面积为240m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lang w:val="en-US" w:eastAsia="zh-CN" w:bidi="ar-SA"/>
                    </w:rPr>
                    <w:t>，过滤风速为0.6m/min，废气最终通过1根15m高的排气筒排放（DA002）。</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bidi="ar-SA"/>
                    </w:rPr>
                    <w:t>新建，保温炉投料口上方已设置圆形升降螺旋伞形罩（顶吸式），废气由集气罩上方连接的管道引至1套脉冲式布袋除尘器进行处理，废气最终通过1根15m高的排气筒排放（DA002）。</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143"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连轧机</w:t>
                  </w:r>
                </w:p>
              </w:tc>
              <w:tc>
                <w:tcPr>
                  <w:tcW w:w="1936"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原有连轧机工位上方设1个顶吸式固定集气罩，废气在1台风量为12000m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h的引风机作用下由集气罩上方连接的管道引至1套油雾净化器进行处理，油雾净化工艺为蜂窝油网过滤板+板式丝网除雾过滤器+双极静电吸附除烟器，设备功率（静电）2.4kW，废气最终通过1根15m高的排气筒排放（DA003）;</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新建连轧机工位上方设1个顶吸式固定集气罩，废气在1台风量为12000m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h的引风机作用下由集气罩上方连接的管道引至1套油雾净化器进行处理，油雾净化工艺为蜂窝油网过滤板+板式丝网除雾过滤器+双极静电吸附除烟器，设备功率（静电）2.4kW，废气最终通过1根15m高的排气筒排放（DA003）。</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原有连轧机工位上方与</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新建连轧机工位上方各设1个顶吸式固定集气罩，废气在引风机作用下由集气罩上方连接的管道引至1套油雾净化器进行处理，油雾净化工艺为蜂窝油网过滤板+板式丝网除雾过滤器+双极静电吸附除烟器，设备功率（静电）2.4kW，废气最终通过1根15m高的排气筒排放（DA003）。</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red"/>
                      <w:lang w:eastAsia="zh-CN"/>
                    </w:rPr>
                  </w:pPr>
                  <w:r>
                    <w:rPr>
                      <w:rFonts w:hint="eastAsia" w:ascii="仿宋" w:hAnsi="仿宋" w:eastAsia="仿宋" w:cs="仿宋"/>
                      <w:color w:val="000000" w:themeColor="text1"/>
                      <w:sz w:val="21"/>
                      <w:szCs w:val="21"/>
                      <w:highlight w:val="none"/>
                      <w:shd w:val="clear"/>
                      <w:lang w:eastAsia="zh-CN"/>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4043"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废水</w:t>
                  </w:r>
                </w:p>
              </w:tc>
              <w:tc>
                <w:tcPr>
                  <w:tcW w:w="458"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zh-CN"/>
                    </w:rPr>
                    <w:t>循环冷却</w:t>
                  </w:r>
                </w:p>
              </w:tc>
              <w:tc>
                <w:tcPr>
                  <w:tcW w:w="1936"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需定期更换少部分循环水，并补充新水，排水经现有下水系统收集并引至五矿污水处理厂，污水处理厂主体工艺采用A2/O处理工艺，处理达标后排放。</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w:t>
                  </w:r>
                  <w:r>
                    <w:rPr>
                      <w:rFonts w:hint="eastAsia" w:ascii="仿宋" w:hAnsi="仿宋" w:eastAsia="仿宋" w:cs="仿宋"/>
                      <w:sz w:val="21"/>
                      <w:szCs w:val="21"/>
                      <w:highlight w:val="none"/>
                      <w:lang w:val="en-US" w:eastAsia="zh-CN"/>
                    </w:rPr>
                    <w:t>由于循环冷却水蒸发，所以定期补充新水，废水不外排。</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循环冷却水不外排，</w:t>
                  </w:r>
                  <w:r>
                    <w:rPr>
                      <w:rFonts w:hint="eastAsia" w:ascii="仿宋" w:hAnsi="仿宋" w:eastAsia="仿宋" w:cs="仿宋"/>
                      <w:sz w:val="21"/>
                      <w:szCs w:val="21"/>
                      <w:highlight w:val="none"/>
                      <w:lang w:eastAsia="zh-CN"/>
                    </w:rPr>
                    <w:t>与环评</w:t>
                  </w:r>
                  <w:r>
                    <w:rPr>
                      <w:rFonts w:hint="eastAsia" w:ascii="仿宋" w:hAnsi="仿宋" w:eastAsia="仿宋" w:cs="仿宋"/>
                      <w:sz w:val="21"/>
                      <w:szCs w:val="21"/>
                      <w:highlight w:val="none"/>
                      <w:lang w:val="en-US" w:eastAsia="zh-CN"/>
                    </w:rPr>
                    <w:t>不</w:t>
                  </w:r>
                  <w:r>
                    <w:rPr>
                      <w:rFonts w:hint="eastAsia" w:ascii="仿宋" w:hAnsi="仿宋" w:eastAsia="仿宋" w:cs="仿宋"/>
                      <w:sz w:val="21"/>
                      <w:szCs w:val="21"/>
                      <w:highlight w:val="none"/>
                      <w:lang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085"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p>
              </w:tc>
              <w:tc>
                <w:tcPr>
                  <w:tcW w:w="458"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zh-CN"/>
                    </w:rPr>
                    <w:t>生活污水</w:t>
                  </w:r>
                </w:p>
              </w:tc>
              <w:tc>
                <w:tcPr>
                  <w:tcW w:w="1936"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生活污水由办公生活区现有下水系统收集并引至电解铝分公司厂内污水处理设施处理后回用，不外排</w:t>
                  </w:r>
                  <w:r>
                    <w:rPr>
                      <w:rFonts w:hint="eastAsia" w:ascii="仿宋" w:hAnsi="仿宋" w:eastAsia="仿宋" w:cs="仿宋"/>
                      <w:sz w:val="21"/>
                      <w:szCs w:val="21"/>
                      <w:lang w:eastAsia="zh-CN"/>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生活污水由办公生活区现有下水系统收集并引至电解铝分公司厂内污水处理设施处理后回用，不外排</w:t>
                  </w:r>
                  <w:r>
                    <w:rPr>
                      <w:rFonts w:hint="eastAsia" w:ascii="仿宋" w:hAnsi="仿宋" w:eastAsia="仿宋" w:cs="仿宋"/>
                      <w:sz w:val="21"/>
                      <w:szCs w:val="21"/>
                      <w:highlight w:val="none"/>
                      <w:lang w:eastAsia="zh-CN"/>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525"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噪声</w:t>
                  </w:r>
                </w:p>
              </w:tc>
              <w:tc>
                <w:tcPr>
                  <w:tcW w:w="458"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产噪设备</w:t>
                  </w:r>
                </w:p>
              </w:tc>
              <w:tc>
                <w:tcPr>
                  <w:tcW w:w="1936" w:type="pct"/>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设备选择：在满足生产工艺的前提下，优先选择低噪声设备或具有消音隔声装置的设备，从源头降低噪声；设备布局：综合考虑地形、声源方向性和噪声强弱等因素，充分利用厂内建筑物的隔声作用合理布置设备，高噪设备尽量远离声环境保护目标；设备安装：采取减震措施；设备维护：定期维护设备，确保设备处于良好的运行状态，杜绝因设备不正常运转产生高噪声的现象</w:t>
                  </w:r>
                  <w:r>
                    <w:rPr>
                      <w:rFonts w:hint="eastAsia" w:ascii="仿宋" w:hAnsi="仿宋" w:eastAsia="仿宋" w:cs="仿宋"/>
                      <w:sz w:val="21"/>
                      <w:szCs w:val="21"/>
                      <w:lang w:eastAsia="zh-CN"/>
                    </w:rPr>
                    <w:t>。</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设备选择：在满足生产工艺的前提下，</w:t>
                  </w:r>
                  <w:r>
                    <w:rPr>
                      <w:rFonts w:hint="eastAsia" w:ascii="仿宋" w:hAnsi="仿宋" w:eastAsia="仿宋" w:cs="仿宋"/>
                      <w:sz w:val="21"/>
                      <w:szCs w:val="21"/>
                      <w:highlight w:val="none"/>
                      <w:lang w:eastAsia="zh-CN"/>
                    </w:rPr>
                    <w:t>已</w:t>
                  </w:r>
                  <w:r>
                    <w:rPr>
                      <w:rFonts w:hint="eastAsia" w:ascii="仿宋" w:hAnsi="仿宋" w:eastAsia="仿宋" w:cs="仿宋"/>
                      <w:sz w:val="21"/>
                      <w:szCs w:val="21"/>
                      <w:highlight w:val="none"/>
                    </w:rPr>
                    <w:t>优先选择低噪声设备或具有消音隔声装置的设备，从源头降低噪声；设备布局：综合考虑地形、声源方向性和噪声强弱等因素，充分利用厂内建筑物的隔声作用合理布置设备，高噪设备尽量远离声环境保护目标；设备安装：采取减震措施；设备维护：定期维护设备，确保设备处于良好的运行状态，杜绝因设备不正常运转产生高噪声的现象</w:t>
                  </w:r>
                  <w:r>
                    <w:rPr>
                      <w:rFonts w:hint="eastAsia" w:ascii="仿宋" w:hAnsi="仿宋" w:eastAsia="仿宋" w:cs="仿宋"/>
                      <w:sz w:val="21"/>
                      <w:szCs w:val="21"/>
                      <w:highlight w:val="none"/>
                      <w:lang w:eastAsia="zh-CN"/>
                    </w:rPr>
                    <w:t>。</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617"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固体废物</w:t>
                  </w: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沉积物</w:t>
                  </w:r>
                </w:p>
              </w:tc>
              <w:tc>
                <w:tcPr>
                  <w:tcW w:w="1936"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外售于电解铝分公司综合利用。</w:t>
                  </w:r>
                </w:p>
              </w:tc>
              <w:tc>
                <w:tcPr>
                  <w:tcW w:w="1620"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rPr>
                  </w:pPr>
                  <w:r>
                    <w:rPr>
                      <w:rFonts w:hint="eastAsia" w:ascii="仿宋" w:hAnsi="仿宋" w:eastAsia="仿宋" w:cs="仿宋"/>
                      <w:kern w:val="0"/>
                      <w:sz w:val="21"/>
                      <w:szCs w:val="21"/>
                      <w:highlight w:val="none"/>
                      <w:lang w:val="en-US" w:eastAsia="zh-CN" w:bidi="ar-SA"/>
                    </w:rPr>
                    <w:t>外售于电解铝分公司综合利用。</w:t>
                  </w:r>
                </w:p>
              </w:tc>
              <w:tc>
                <w:tcPr>
                  <w:tcW w:w="450"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61"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不合格产品</w:t>
                  </w:r>
                </w:p>
              </w:tc>
              <w:tc>
                <w:tcPr>
                  <w:tcW w:w="193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p>
              </w:tc>
              <w:tc>
                <w:tcPr>
                  <w:tcW w:w="162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p>
              </w:tc>
              <w:tc>
                <w:tcPr>
                  <w:tcW w:w="45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346"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除尘灰</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清灰时启动除尘器脉冲反吹装置将设备内除尘灰吹引至除尘器下方设置的收集袋内，定期更换收集袋。除尘灰分区暂存危废间，并定期清运。</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清灰时启动除尘器脉冲反吹装置将设备内除尘灰吹引至除尘器下方设置的收集袋内，定期更换收集袋。除尘灰分区暂存危废间，并定期清运。</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00"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铝灰</w:t>
                  </w:r>
                </w:p>
              </w:tc>
              <w:tc>
                <w:tcPr>
                  <w:tcW w:w="1936"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暂存于厂内1座140m</w:t>
                  </w:r>
                  <w:r>
                    <w:rPr>
                      <w:rFonts w:hint="eastAsia" w:ascii="仿宋" w:hAnsi="仿宋" w:eastAsia="仿宋" w:cs="仿宋"/>
                      <w:kern w:val="0"/>
                      <w:sz w:val="21"/>
                      <w:szCs w:val="21"/>
                      <w:vertAlign w:val="superscript"/>
                      <w:lang w:val="en-US" w:eastAsia="zh-CN" w:bidi="ar-SA"/>
                    </w:rPr>
                    <w:t>2</w:t>
                  </w:r>
                  <w:r>
                    <w:rPr>
                      <w:rFonts w:hint="eastAsia" w:ascii="仿宋" w:hAnsi="仿宋" w:eastAsia="仿宋" w:cs="仿宋"/>
                      <w:kern w:val="0"/>
                      <w:sz w:val="21"/>
                      <w:szCs w:val="21"/>
                      <w:lang w:val="en-US" w:eastAsia="zh-CN" w:bidi="ar-SA"/>
                    </w:rPr>
                    <w:t>的危废暂存间内，长*宽*高：22m*6.4m*3m，位于车间（北跨）东北角，按规范设置了围堰、导流渠及收集井等，库内危险废物分区暂存，定期委托资质单位进行协同处置</w:t>
                  </w:r>
                </w:p>
              </w:tc>
              <w:tc>
                <w:tcPr>
                  <w:tcW w:w="1620"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实际</w:t>
                  </w:r>
                  <w:r>
                    <w:rPr>
                      <w:rFonts w:hint="eastAsia" w:ascii="仿宋" w:hAnsi="仿宋" w:eastAsia="仿宋" w:cs="仿宋"/>
                      <w:color w:val="181717" w:themeColor="background2" w:themeShade="1A"/>
                      <w:kern w:val="0"/>
                      <w:sz w:val="21"/>
                      <w:szCs w:val="21"/>
                      <w:highlight w:val="none"/>
                      <w:lang w:val="en-US" w:eastAsia="zh-CN" w:bidi="ar-SA"/>
                    </w:rPr>
                    <w:t>建设2座危废间</w:t>
                  </w:r>
                  <w:r>
                    <w:rPr>
                      <w:rFonts w:hint="eastAsia" w:ascii="仿宋" w:hAnsi="仿宋" w:eastAsia="仿宋" w:cs="仿宋"/>
                      <w:kern w:val="0"/>
                      <w:sz w:val="21"/>
                      <w:szCs w:val="21"/>
                      <w:highlight w:val="none"/>
                      <w:lang w:val="en-US" w:eastAsia="zh-CN" w:bidi="ar-SA"/>
                    </w:rPr>
                    <w:t>，危废间1（140㎡），危废间2（20㎡），库内危险废物分区暂存，定期委托资质单位进行协同处置。</w:t>
                  </w:r>
                </w:p>
              </w:tc>
              <w:tc>
                <w:tcPr>
                  <w:tcW w:w="450"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color w:val="181717" w:themeColor="background2" w:themeShade="1A"/>
                      <w:sz w:val="21"/>
                      <w:szCs w:val="21"/>
                      <w:highlight w:val="none"/>
                      <w:lang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61"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废乳</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化油</w:t>
                  </w:r>
                </w:p>
              </w:tc>
              <w:tc>
                <w:tcPr>
                  <w:tcW w:w="193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p>
              </w:tc>
              <w:tc>
                <w:tcPr>
                  <w:tcW w:w="162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p>
              </w:tc>
              <w:tc>
                <w:tcPr>
                  <w:tcW w:w="45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00"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油泥</w:t>
                  </w:r>
                </w:p>
              </w:tc>
              <w:tc>
                <w:tcPr>
                  <w:tcW w:w="193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p>
              </w:tc>
              <w:tc>
                <w:tcPr>
                  <w:tcW w:w="162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p>
              </w:tc>
              <w:tc>
                <w:tcPr>
                  <w:tcW w:w="45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61"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废润</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rPr>
                    <w:t>滑油</w:t>
                  </w:r>
                </w:p>
              </w:tc>
              <w:tc>
                <w:tcPr>
                  <w:tcW w:w="193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p>
              </w:tc>
              <w:tc>
                <w:tcPr>
                  <w:tcW w:w="162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p>
              </w:tc>
              <w:tc>
                <w:tcPr>
                  <w:tcW w:w="45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00"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lang w:val="zh-CN"/>
                    </w:rPr>
                    <w:t>废棉纱</w:t>
                  </w:r>
                </w:p>
              </w:tc>
              <w:tc>
                <w:tcPr>
                  <w:tcW w:w="193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p>
              </w:tc>
              <w:tc>
                <w:tcPr>
                  <w:tcW w:w="162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p>
              </w:tc>
              <w:tc>
                <w:tcPr>
                  <w:tcW w:w="45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561"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废包</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装桶</w:t>
                  </w:r>
                </w:p>
              </w:tc>
              <w:tc>
                <w:tcPr>
                  <w:tcW w:w="193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废包装桶由厂家回收</w:t>
                  </w:r>
                </w:p>
              </w:tc>
              <w:tc>
                <w:tcPr>
                  <w:tcW w:w="45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338" w:hRule="atLeast"/>
                <w:jc w:val="center"/>
              </w:trPr>
              <w:tc>
                <w:tcPr>
                  <w:tcW w:w="32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21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p>
              </w:tc>
              <w:tc>
                <w:tcPr>
                  <w:tcW w:w="45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生活</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sz w:val="21"/>
                      <w:szCs w:val="21"/>
                      <w:lang w:val="zh-CN"/>
                    </w:rPr>
                    <w:t>垃圾</w:t>
                  </w:r>
                </w:p>
              </w:tc>
              <w:tc>
                <w:tcPr>
                  <w:tcW w:w="193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厂内指定地点设带盖垃圾桶，集中后由厂内垃圾运输车转运至平定县生活垃圾处理厂进行处理</w:t>
                  </w:r>
                </w:p>
              </w:tc>
              <w:tc>
                <w:tcPr>
                  <w:tcW w:w="162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厂内指定地点设带盖垃圾桶，集中后由厂内垃圾运输车转运至平定县生活垃圾处理厂进行处理</w:t>
                  </w:r>
                </w:p>
              </w:tc>
              <w:tc>
                <w:tcPr>
                  <w:tcW w:w="45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与环评一致</w:t>
                  </w:r>
                </w:p>
              </w:tc>
            </w:tr>
          </w:tbl>
          <w:p>
            <w:pPr>
              <w:keepNext w:val="0"/>
              <w:keepLines w:val="0"/>
              <w:widowControl w:val="0"/>
              <w:suppressLineNumbers w:val="0"/>
              <w:autoSpaceDE w:val="0"/>
              <w:autoSpaceDN/>
              <w:adjustRightInd w:val="0"/>
              <w:snapToGrid w:val="0"/>
              <w:spacing w:before="0" w:beforeAutospacing="0" w:after="0" w:afterAutospacing="0" w:line="520" w:lineRule="exact"/>
              <w:ind w:left="0" w:right="0" w:firstLine="482" w:firstLineChars="200"/>
              <w:jc w:val="both"/>
              <w:rPr>
                <w:rFonts w:hint="eastAsia" w:ascii="仿宋" w:hAnsi="仿宋" w:eastAsia="仿宋" w:cs="仿宋"/>
                <w:sz w:val="24"/>
                <w:szCs w:val="24"/>
              </w:rPr>
            </w:pPr>
            <w:r>
              <w:rPr>
                <w:rFonts w:hint="eastAsia" w:ascii="仿宋" w:hAnsi="仿宋" w:eastAsia="仿宋" w:cs="仿宋"/>
                <w:b/>
                <w:bCs/>
                <w:snapToGrid/>
                <w:kern w:val="0"/>
                <w:sz w:val="24"/>
                <w:szCs w:val="24"/>
                <w:lang w:val="en-US" w:eastAsia="zh-CN" w:bidi="ar"/>
              </w:rPr>
              <w:t>2.1.3</w:t>
            </w:r>
            <w:r>
              <w:rPr>
                <w:rFonts w:hint="eastAsia" w:ascii="仿宋" w:hAnsi="仿宋" w:eastAsia="仿宋" w:cs="仿宋"/>
                <w:b/>
                <w:bCs/>
                <w:snapToGrid/>
                <w:color w:val="000000"/>
                <w:kern w:val="0"/>
                <w:sz w:val="24"/>
                <w:szCs w:val="24"/>
                <w:lang w:val="en-US" w:eastAsia="zh-CN" w:bidi="ar"/>
              </w:rPr>
              <w:t xml:space="preserve"> 地理位置</w:t>
            </w:r>
          </w:p>
          <w:p>
            <w:pPr>
              <w:keepNext w:val="0"/>
              <w:keepLines w:val="0"/>
              <w:widowControl w:val="0"/>
              <w:suppressLineNumbers w:val="0"/>
              <w:autoSpaceDE w:val="0"/>
              <w:autoSpaceDN/>
              <w:adjustRightInd w:val="0"/>
              <w:snapToGrid w:val="0"/>
              <w:spacing w:before="0" w:beforeAutospacing="0" w:after="0" w:afterAutospacing="0" w:line="520" w:lineRule="exact"/>
              <w:ind w:left="0" w:right="0" w:firstLine="480" w:firstLineChars="200"/>
              <w:jc w:val="both"/>
              <w:rPr>
                <w:rFonts w:hint="eastAsia" w:ascii="仿宋" w:hAnsi="仿宋" w:eastAsia="仿宋" w:cs="仿宋"/>
                <w:sz w:val="24"/>
                <w:szCs w:val="24"/>
              </w:rPr>
            </w:pPr>
            <w:r>
              <w:rPr>
                <w:rFonts w:hint="eastAsia" w:ascii="仿宋" w:hAnsi="仿宋" w:eastAsia="仿宋" w:cs="仿宋"/>
                <w:snapToGrid/>
                <w:kern w:val="0"/>
                <w:sz w:val="24"/>
                <w:szCs w:val="24"/>
                <w:lang w:val="en-US" w:eastAsia="zh-CN" w:bidi="ar"/>
              </w:rPr>
              <w:t>本公司位于山西省阳泉市平定县冠山镇宋家庄村（电解铝厂内），厂址坐标为东经113°33'55.203"，北纬37°45'30.728"，本项目位于生产车间南部现成品区东区上进行建设，占地面积约994m</w:t>
            </w:r>
            <w:r>
              <w:rPr>
                <w:rFonts w:hint="eastAsia" w:ascii="仿宋" w:hAnsi="仿宋" w:eastAsia="仿宋" w:cs="仿宋"/>
                <w:snapToGrid/>
                <w:kern w:val="0"/>
                <w:sz w:val="24"/>
                <w:szCs w:val="24"/>
                <w:vertAlign w:val="superscript"/>
                <w:lang w:val="en-US" w:eastAsia="zh-CN" w:bidi="ar"/>
              </w:rPr>
              <w:t>2</w:t>
            </w:r>
            <w:r>
              <w:rPr>
                <w:rFonts w:hint="eastAsia" w:ascii="仿宋" w:hAnsi="仿宋" w:eastAsia="仿宋" w:cs="仿宋"/>
                <w:snapToGrid/>
                <w:kern w:val="0"/>
                <w:sz w:val="24"/>
                <w:szCs w:val="24"/>
                <w:lang w:val="en-US" w:eastAsia="zh-CN" w:bidi="ar"/>
              </w:rPr>
              <w:t>。</w:t>
            </w:r>
          </w:p>
          <w:p>
            <w:pPr>
              <w:pStyle w:val="15"/>
              <w:keepNext w:val="0"/>
              <w:keepLines w:val="0"/>
              <w:widowControl w:val="0"/>
              <w:suppressLineNumbers w:val="0"/>
              <w:autoSpaceDE w:val="0"/>
              <w:autoSpaceDN w:val="0"/>
              <w:adjustRightInd w:val="0"/>
              <w:snapToGrid/>
              <w:spacing w:before="0" w:beforeAutospacing="0" w:after="0" w:afterAutospacing="0" w:line="520" w:lineRule="exact"/>
              <w:ind w:left="0" w:right="0" w:firstLine="482" w:firstLineChars="200"/>
              <w:jc w:val="both"/>
              <w:rPr>
                <w:rFonts w:hint="eastAsia" w:ascii="仿宋" w:hAnsi="仿宋" w:eastAsia="仿宋" w:cs="仿宋"/>
                <w:b/>
                <w:bCs/>
                <w:color w:val="000000"/>
                <w:sz w:val="24"/>
                <w:szCs w:val="24"/>
              </w:rPr>
            </w:pPr>
            <w:r>
              <w:rPr>
                <w:rFonts w:hint="eastAsia" w:ascii="仿宋" w:hAnsi="仿宋" w:eastAsia="仿宋" w:cs="仿宋"/>
                <w:b/>
                <w:bCs/>
                <w:snapToGrid/>
                <w:color w:val="000000"/>
                <w:kern w:val="0"/>
                <w:sz w:val="24"/>
                <w:szCs w:val="24"/>
                <w:lang w:val="en-US" w:eastAsia="zh-CN" w:bidi="ar"/>
              </w:rPr>
              <w:t>2.1.4 总平面布置</w:t>
            </w:r>
          </w:p>
          <w:p>
            <w:pPr>
              <w:keepNext w:val="0"/>
              <w:keepLines w:val="0"/>
              <w:widowControl w:val="0"/>
              <w:suppressLineNumbers w:val="0"/>
              <w:autoSpaceDE w:val="0"/>
              <w:autoSpaceDN/>
              <w:adjustRightInd w:val="0"/>
              <w:snapToGrid w:val="0"/>
              <w:spacing w:before="0" w:beforeAutospacing="0" w:after="0" w:afterAutospacing="0" w:line="520" w:lineRule="exact"/>
              <w:ind w:left="0" w:right="0" w:firstLine="480" w:firstLineChars="200"/>
              <w:jc w:val="both"/>
              <w:rPr>
                <w:rFonts w:hint="eastAsia" w:ascii="仿宋" w:hAnsi="仿宋" w:eastAsia="仿宋" w:cs="仿宋"/>
                <w:sz w:val="24"/>
                <w:szCs w:val="24"/>
              </w:rPr>
            </w:pPr>
            <w:r>
              <w:rPr>
                <w:rFonts w:hint="eastAsia" w:ascii="仿宋" w:hAnsi="仿宋" w:eastAsia="仿宋" w:cs="仿宋"/>
                <w:snapToGrid/>
                <w:kern w:val="0"/>
                <w:sz w:val="24"/>
                <w:szCs w:val="24"/>
                <w:lang w:val="en-US" w:eastAsia="zh-CN" w:bidi="ar"/>
              </w:rPr>
              <w:t>本项目建于北京首钢铁合金有限公司平定分公司现有车间内（山西兆丰铝电有限责任公司电解铝分公司现有厂内）进行。</w:t>
            </w:r>
          </w:p>
          <w:p>
            <w:pPr>
              <w:keepNext w:val="0"/>
              <w:keepLines w:val="0"/>
              <w:widowControl w:val="0"/>
              <w:suppressLineNumbers w:val="0"/>
              <w:autoSpaceDE w:val="0"/>
              <w:autoSpaceDN/>
              <w:adjustRightInd w:val="0"/>
              <w:snapToGrid w:val="0"/>
              <w:spacing w:before="0" w:beforeAutospacing="0" w:after="0" w:afterAutospacing="0" w:line="520" w:lineRule="exact"/>
              <w:ind w:left="0" w:right="0" w:firstLine="480" w:firstLineChars="200"/>
              <w:jc w:val="both"/>
              <w:rPr>
                <w:rFonts w:hint="eastAsia" w:ascii="仿宋" w:hAnsi="仿宋" w:eastAsia="仿宋" w:cs="仿宋"/>
                <w:sz w:val="24"/>
                <w:szCs w:val="24"/>
              </w:rPr>
            </w:pPr>
            <w:r>
              <w:rPr>
                <w:rFonts w:hint="eastAsia" w:ascii="仿宋" w:hAnsi="仿宋" w:eastAsia="仿宋" w:cs="仿宋"/>
                <w:snapToGrid/>
                <w:kern w:val="0"/>
                <w:sz w:val="24"/>
                <w:szCs w:val="24"/>
                <w:lang w:val="en-US" w:eastAsia="zh-CN" w:bidi="ar"/>
              </w:rPr>
              <w:t>本项目建设于1座全封闭钢结构厂房内（北跨），占地长*宽为108m*27m，面积为2916m</w:t>
            </w:r>
            <w:r>
              <w:rPr>
                <w:rFonts w:hint="eastAsia" w:ascii="仿宋" w:hAnsi="仿宋" w:eastAsia="仿宋" w:cs="仿宋"/>
                <w:snapToGrid/>
                <w:kern w:val="0"/>
                <w:sz w:val="24"/>
                <w:szCs w:val="24"/>
                <w:vertAlign w:val="superscript"/>
                <w:lang w:val="en-US" w:eastAsia="zh-CN" w:bidi="ar"/>
              </w:rPr>
              <w:t>2</w:t>
            </w:r>
            <w:r>
              <w:rPr>
                <w:rFonts w:hint="eastAsia" w:ascii="仿宋" w:hAnsi="仿宋" w:eastAsia="仿宋" w:cs="仿宋"/>
                <w:snapToGrid/>
                <w:kern w:val="0"/>
                <w:sz w:val="24"/>
                <w:szCs w:val="24"/>
                <w:lang w:val="en-US" w:eastAsia="zh-CN" w:bidi="ar"/>
              </w:rPr>
              <w:t>。车间内自西向东依次为辅料库房、切棒机区（北）/成品西南区（南）、连铸连轧生产线、保温炉区、成品东区、危废暂存间。车间外西侧为1座占地1500m</w:t>
            </w:r>
            <w:r>
              <w:rPr>
                <w:rFonts w:hint="eastAsia" w:ascii="仿宋" w:hAnsi="仿宋" w:eastAsia="仿宋" w:cs="仿宋"/>
                <w:snapToGrid/>
                <w:kern w:val="0"/>
                <w:sz w:val="24"/>
                <w:szCs w:val="24"/>
                <w:vertAlign w:val="superscript"/>
                <w:lang w:val="en-US" w:eastAsia="zh-CN" w:bidi="ar"/>
              </w:rPr>
              <w:t>2</w:t>
            </w:r>
            <w:r>
              <w:rPr>
                <w:rFonts w:hint="eastAsia" w:ascii="仿宋" w:hAnsi="仿宋" w:eastAsia="仿宋" w:cs="仿宋"/>
                <w:snapToGrid/>
                <w:kern w:val="0"/>
                <w:sz w:val="24"/>
                <w:szCs w:val="24"/>
                <w:lang w:val="en-US" w:eastAsia="zh-CN" w:bidi="ar"/>
              </w:rPr>
              <w:t>的循环冷却水池，北侧为依托大厂现有的办公室。厂区总平面布置图见附图2。</w:t>
            </w:r>
          </w:p>
          <w:p>
            <w:pPr>
              <w:keepNext w:val="0"/>
              <w:keepLines w:val="0"/>
              <w:widowControl w:val="0"/>
              <w:suppressLineNumbers w:val="0"/>
              <w:autoSpaceDE w:val="0"/>
              <w:autoSpaceDN/>
              <w:adjustRightInd w:val="0"/>
              <w:snapToGrid w:val="0"/>
              <w:spacing w:before="0" w:beforeAutospacing="0" w:after="0" w:afterAutospacing="0" w:line="520" w:lineRule="exact"/>
              <w:ind w:left="0" w:right="0" w:firstLine="480" w:firstLineChars="200"/>
              <w:jc w:val="both"/>
              <w:rPr>
                <w:rFonts w:hint="eastAsia" w:ascii="仿宋" w:hAnsi="仿宋" w:eastAsia="仿宋" w:cs="仿宋"/>
                <w:sz w:val="24"/>
                <w:szCs w:val="24"/>
              </w:rPr>
            </w:pPr>
            <w:r>
              <w:rPr>
                <w:rFonts w:hint="eastAsia" w:ascii="仿宋" w:hAnsi="仿宋" w:eastAsia="仿宋" w:cs="仿宋"/>
                <w:snapToGrid/>
                <w:kern w:val="0"/>
                <w:sz w:val="24"/>
                <w:szCs w:val="24"/>
                <w:lang w:val="en-US" w:eastAsia="zh-CN" w:bidi="ar"/>
              </w:rPr>
              <w:t>本项目布局合理性：新增连铸连轧生产线布置于车间内中部空闲区域，位于现有连铸连轧生产线南侧，设置为东西走向，生产线两侧为2个成品区，减少产品入库的运输距离，同时可减少在运输途中的污染影响。</w:t>
            </w:r>
          </w:p>
          <w:p>
            <w:pPr>
              <w:pStyle w:val="15"/>
              <w:keepNext w:val="0"/>
              <w:keepLines w:val="0"/>
              <w:widowControl w:val="0"/>
              <w:suppressLineNumbers w:val="0"/>
              <w:autoSpaceDE w:val="0"/>
              <w:autoSpaceDN w:val="0"/>
              <w:adjustRightInd w:val="0"/>
              <w:snapToGrid/>
              <w:spacing w:before="0" w:beforeAutospacing="0" w:after="0" w:afterAutospacing="0" w:line="520" w:lineRule="exact"/>
              <w:ind w:left="0" w:leftChars="0" w:right="0" w:firstLine="482" w:firstLineChars="200"/>
              <w:jc w:val="both"/>
              <w:rPr>
                <w:rFonts w:hint="eastAsia" w:ascii="仿宋" w:hAnsi="仿宋" w:eastAsia="仿宋" w:cs="仿宋"/>
                <w:b/>
                <w:bCs/>
                <w:color w:val="000000"/>
                <w:sz w:val="24"/>
                <w:szCs w:val="24"/>
              </w:rPr>
            </w:pPr>
            <w:r>
              <w:rPr>
                <w:rFonts w:hint="eastAsia" w:ascii="仿宋" w:hAnsi="仿宋" w:eastAsia="仿宋" w:cs="仿宋"/>
                <w:b/>
                <w:bCs/>
                <w:snapToGrid/>
                <w:color w:val="000000"/>
                <w:kern w:val="0"/>
                <w:sz w:val="24"/>
                <w:szCs w:val="24"/>
                <w:lang w:val="en-US" w:eastAsia="zh-CN" w:bidi="ar"/>
              </w:rPr>
              <w:t>2.1.5 主要生产设备</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42" w:firstLineChars="200"/>
              <w:jc w:val="center"/>
              <w:textAlignment w:val="auto"/>
              <w:rPr>
                <w:rFonts w:hint="eastAsia" w:ascii="仿宋" w:hAnsi="仿宋" w:eastAsia="仿宋" w:cs="仿宋"/>
                <w:vertAlign w:val="baseline"/>
              </w:rPr>
            </w:pPr>
            <w:r>
              <w:rPr>
                <w:rFonts w:hint="eastAsia" w:ascii="仿宋" w:hAnsi="仿宋" w:eastAsia="仿宋" w:cs="仿宋"/>
                <w:b/>
                <w:bCs/>
                <w:vertAlign w:val="baseline"/>
                <w:lang w:val="zh-CN" w:eastAsia="zh-CN"/>
              </w:rPr>
              <w:t>表</w:t>
            </w:r>
            <w:r>
              <w:rPr>
                <w:rFonts w:hint="eastAsia" w:ascii="仿宋" w:hAnsi="仿宋" w:eastAsia="仿宋" w:cs="仿宋"/>
                <w:b/>
                <w:bCs/>
                <w:vertAlign w:val="baseline"/>
                <w:lang w:val="en-US" w:eastAsia="zh-CN"/>
              </w:rPr>
              <w:t xml:space="preserve">2-2  </w:t>
            </w:r>
            <w:r>
              <w:rPr>
                <w:rFonts w:hint="eastAsia" w:ascii="仿宋" w:hAnsi="仿宋" w:eastAsia="仿宋" w:cs="仿宋"/>
                <w:b/>
                <w:bCs/>
                <w:vertAlign w:val="baseline"/>
                <w:lang w:val="zh-CN" w:eastAsia="zh-CN"/>
              </w:rPr>
              <w:t>主要生产设备明细表</w:t>
            </w:r>
          </w:p>
          <w:tbl>
            <w:tblPr>
              <w:tblStyle w:val="17"/>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1" w:type="dxa"/>
                <w:bottom w:w="0" w:type="dxa"/>
                <w:right w:w="51" w:type="dxa"/>
              </w:tblCellMar>
            </w:tblPr>
            <w:tblGrid>
              <w:gridCol w:w="723"/>
              <w:gridCol w:w="1327"/>
              <w:gridCol w:w="4082"/>
              <w:gridCol w:w="681"/>
              <w:gridCol w:w="831"/>
              <w:gridCol w:w="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54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val="en-US" w:eastAsia="zh-CN" w:bidi="ar"/>
                    </w:rPr>
                  </w:pPr>
                  <w:r>
                    <w:rPr>
                      <w:rFonts w:hint="eastAsia" w:ascii="仿宋" w:hAnsi="仿宋" w:eastAsia="仿宋" w:cs="仿宋"/>
                      <w:b/>
                      <w:bCs/>
                      <w:sz w:val="21"/>
                      <w:szCs w:val="21"/>
                    </w:rPr>
                    <w:t>序号</w:t>
                  </w:r>
                </w:p>
              </w:tc>
              <w:tc>
                <w:tcPr>
                  <w:tcW w:w="13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val="en-US" w:eastAsia="zh-CN" w:bidi="ar"/>
                    </w:rPr>
                  </w:pPr>
                  <w:r>
                    <w:rPr>
                      <w:rFonts w:hint="eastAsia" w:ascii="仿宋" w:hAnsi="仿宋" w:eastAsia="仿宋" w:cs="仿宋"/>
                      <w:b/>
                      <w:bCs/>
                      <w:sz w:val="21"/>
                      <w:szCs w:val="21"/>
                    </w:rPr>
                    <w:t>名称</w:t>
                  </w:r>
                </w:p>
              </w:tc>
              <w:tc>
                <w:tcPr>
                  <w:tcW w:w="408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val="en-US" w:eastAsia="zh-CN" w:bidi="ar"/>
                    </w:rPr>
                  </w:pPr>
                  <w:r>
                    <w:rPr>
                      <w:rFonts w:hint="eastAsia" w:ascii="仿宋" w:hAnsi="仿宋" w:eastAsia="仿宋" w:cs="仿宋"/>
                      <w:b/>
                      <w:bCs/>
                      <w:kern w:val="2"/>
                      <w:sz w:val="21"/>
                      <w:szCs w:val="21"/>
                      <w:lang w:val="en-US" w:eastAsia="zh-CN" w:bidi="ar"/>
                    </w:rPr>
                    <w:t>型号及规格</w:t>
                  </w:r>
                </w:p>
              </w:tc>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单位</w:t>
                  </w:r>
                </w:p>
              </w:tc>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环评</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数量</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kern w:val="2"/>
                      <w:sz w:val="21"/>
                      <w:szCs w:val="21"/>
                      <w:lang w:eastAsia="zh-CN"/>
                    </w:rPr>
                  </w:pPr>
                  <w:r>
                    <w:rPr>
                      <w:rFonts w:hint="eastAsia" w:ascii="仿宋" w:hAnsi="仿宋" w:eastAsia="仿宋" w:cs="仿宋"/>
                      <w:b/>
                      <w:bCs/>
                      <w:kern w:val="2"/>
                      <w:sz w:val="21"/>
                      <w:szCs w:val="21"/>
                      <w:lang w:eastAsia="zh-CN"/>
                    </w:rPr>
                    <w:t>实际</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仿宋" w:hAnsi="仿宋" w:eastAsia="仿宋" w:cs="仿宋"/>
                      <w:b/>
                      <w:bCs/>
                      <w:kern w:val="2"/>
                      <w:sz w:val="21"/>
                      <w:szCs w:val="21"/>
                      <w:lang w:val="en-US" w:eastAsia="zh-CN"/>
                    </w:rPr>
                  </w:pPr>
                  <w:r>
                    <w:rPr>
                      <w:rFonts w:hint="eastAsia" w:ascii="仿宋" w:hAnsi="仿宋" w:eastAsia="仿宋" w:cs="仿宋"/>
                      <w:b/>
                      <w:bCs/>
                      <w:kern w:val="2"/>
                      <w:sz w:val="21"/>
                      <w:szCs w:val="21"/>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409"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1</w:t>
                  </w:r>
                </w:p>
              </w:tc>
              <w:tc>
                <w:tcPr>
                  <w:tcW w:w="13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保温炉</w:t>
                  </w:r>
                </w:p>
              </w:tc>
              <w:tc>
                <w:tcPr>
                  <w:tcW w:w="408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15吨</w:t>
                  </w:r>
                </w:p>
              </w:tc>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台</w:t>
                  </w:r>
                </w:p>
              </w:tc>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3115"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2</w:t>
                  </w:r>
                </w:p>
              </w:tc>
              <w:tc>
                <w:tcPr>
                  <w:tcW w:w="13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铝杆连铸连轧生产线</w:t>
                  </w:r>
                </w:p>
              </w:tc>
              <w:tc>
                <w:tcPr>
                  <w:tcW w:w="408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UL+Z-1600+255/15</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结晶轮直径φ1600mm</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结晶轮截形式：H型</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铝锭截面形状：梯形</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vertAlign w:val="superscript"/>
                    </w:rPr>
                  </w:pPr>
                  <w:r>
                    <w:rPr>
                      <w:rFonts w:hint="eastAsia" w:ascii="仿宋" w:hAnsi="仿宋" w:eastAsia="仿宋" w:cs="仿宋"/>
                      <w:kern w:val="2"/>
                      <w:sz w:val="21"/>
                      <w:szCs w:val="21"/>
                      <w:lang w:val="en-US" w:eastAsia="zh-CN" w:bidi="ar"/>
                    </w:rPr>
                    <w:t>截面积：2400mm</w:t>
                  </w:r>
                  <w:r>
                    <w:rPr>
                      <w:rFonts w:hint="eastAsia" w:ascii="仿宋" w:hAnsi="仿宋" w:eastAsia="仿宋" w:cs="仿宋"/>
                      <w:kern w:val="2"/>
                      <w:sz w:val="21"/>
                      <w:szCs w:val="21"/>
                      <w:vertAlign w:val="superscript"/>
                      <w:lang w:val="en-US" w:eastAsia="zh-CN" w:bidi="ar"/>
                    </w:rPr>
                    <w:t>2</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浇注速度：11.7~23.4m/min</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轧制形式：Y型三辊</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轧制道次：15道</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轧辊名义直径：φ255mm</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终轧最大理论速度：7.665m/s</w:t>
                  </w:r>
                </w:p>
                <w:p>
                  <w:pPr>
                    <w:keepNext w:val="0"/>
                    <w:keepLines w:val="0"/>
                    <w:widowControl/>
                    <w:suppressLineNumbers w:val="0"/>
                    <w:spacing w:before="0" w:beforeAutospacing="0" w:after="0" w:afterAutospacing="0" w:line="240" w:lineRule="auto"/>
                    <w:ind w:left="0" w:right="0"/>
                    <w:jc w:val="left"/>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（φ9.5mm终轧最大理论产量5.278t/h）</w:t>
                  </w:r>
                </w:p>
              </w:tc>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台</w:t>
                  </w:r>
                </w:p>
              </w:tc>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78"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3</w:t>
                  </w:r>
                </w:p>
              </w:tc>
              <w:tc>
                <w:tcPr>
                  <w:tcW w:w="13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滚剪机</w:t>
                  </w:r>
                </w:p>
              </w:tc>
              <w:tc>
                <w:tcPr>
                  <w:tcW w:w="408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剪切长度：~700mm</w:t>
                  </w:r>
                </w:p>
              </w:tc>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eastAsia="zh-CN"/>
                    </w:rPr>
                  </w:pPr>
                  <w:r>
                    <w:rPr>
                      <w:rFonts w:hint="eastAsia" w:ascii="仿宋" w:hAnsi="仿宋" w:eastAsia="仿宋" w:cs="仿宋"/>
                      <w:kern w:val="2"/>
                      <w:sz w:val="21"/>
                      <w:szCs w:val="21"/>
                      <w:lang w:eastAsia="zh-CN"/>
                    </w:rPr>
                    <w:t>台</w:t>
                  </w:r>
                </w:p>
              </w:tc>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32"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4</w:t>
                  </w:r>
                </w:p>
              </w:tc>
              <w:tc>
                <w:tcPr>
                  <w:tcW w:w="13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铝棒切断机</w:t>
                  </w:r>
                </w:p>
              </w:tc>
              <w:tc>
                <w:tcPr>
                  <w:tcW w:w="408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切断长度：60~65mm</w:t>
                  </w:r>
                </w:p>
              </w:tc>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eastAsia="zh-CN"/>
                    </w:rPr>
                  </w:pPr>
                  <w:r>
                    <w:rPr>
                      <w:rFonts w:hint="eastAsia" w:ascii="仿宋" w:hAnsi="仿宋" w:eastAsia="仿宋" w:cs="仿宋"/>
                      <w:kern w:val="2"/>
                      <w:sz w:val="21"/>
                      <w:szCs w:val="21"/>
                      <w:lang w:eastAsia="zh-CN"/>
                    </w:rPr>
                    <w:t>台</w:t>
                  </w:r>
                </w:p>
              </w:tc>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3</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tLeast"/>
                    <w:ind w:left="0" w:right="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3</w:t>
                  </w:r>
                </w:p>
              </w:tc>
            </w:tr>
          </w:tbl>
          <w:p>
            <w:pPr>
              <w:pStyle w:val="7"/>
              <w:keepNext w:val="0"/>
              <w:keepLines w:val="0"/>
              <w:pageBreakBefore w:val="0"/>
              <w:widowControl w:val="0"/>
              <w:suppressLineNumbers w:val="0"/>
              <w:kinsoku/>
              <w:wordWrap/>
              <w:overflowPunct/>
              <w:topLinePunct w:val="0"/>
              <w:autoSpaceDE/>
              <w:autoSpaceDN/>
              <w:bidi w:val="0"/>
              <w:adjustRightInd w:val="0"/>
              <w:snapToGrid w:val="0"/>
              <w:spacing w:before="251" w:beforeLines="80" w:after="0"/>
              <w:ind w:left="0" w:leftChars="0" w:firstLine="482" w:firstLineChars="200"/>
              <w:jc w:val="both"/>
              <w:textAlignment w:val="auto"/>
              <w:rPr>
                <w:rFonts w:hint="eastAsia" w:ascii="仿宋" w:hAnsi="仿宋" w:eastAsia="仿宋" w:cs="仿宋"/>
                <w:b/>
                <w:bCs/>
                <w:sz w:val="24"/>
                <w:lang w:val="en-US" w:eastAsia="zh-CN"/>
              </w:rPr>
            </w:pPr>
            <w:r>
              <w:rPr>
                <w:rFonts w:hint="eastAsia" w:ascii="仿宋" w:hAnsi="仿宋" w:eastAsia="仿宋" w:cs="仿宋"/>
                <w:b/>
                <w:bCs/>
                <w:sz w:val="24"/>
                <w:lang w:val="en-US" w:eastAsia="zh-CN"/>
              </w:rPr>
              <w:t>2.1.6 环境保护目标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1、大气环境保护目标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经现场踏勘了解，厂区边界向外延伸500m范围敏感目标有小河滩社区、苏村。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2、声环境保护目标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经现场踏勘了解，厂区边界向外延伸50m范围内无声环境保护目标。</w:t>
            </w:r>
          </w:p>
          <w:p>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生态环境保护目标</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440" w:leftChars="200" w:right="0" w:rightChars="0"/>
              <w:jc w:val="both"/>
              <w:textAlignment w:val="auto"/>
              <w:rPr>
                <w:rFonts w:hint="eastAsia" w:ascii="仿宋" w:hAnsi="仿宋" w:eastAsia="仿宋" w:cs="仿宋"/>
                <w:sz w:val="24"/>
                <w:szCs w:val="24"/>
              </w:rPr>
            </w:pPr>
            <w:r>
              <w:rPr>
                <w:rFonts w:hint="eastAsia" w:ascii="仿宋" w:hAnsi="仿宋" w:eastAsia="仿宋" w:cs="仿宋"/>
                <w:sz w:val="24"/>
                <w:szCs w:val="24"/>
              </w:rPr>
              <w:t>经现场踏勘了解，本项目用地范围内不涉及生态环境保护目标。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4、地下水环境保护目标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经现场踏勘了解，厂区边界向外延伸500m范围内无地下水型集中式饮用水水源和热水、矿泉水、温泉等特殊地下水资源。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具体</w:t>
            </w:r>
            <w:r>
              <w:rPr>
                <w:rFonts w:hint="eastAsia" w:ascii="仿宋" w:hAnsi="仿宋" w:eastAsia="仿宋" w:cs="仿宋"/>
                <w:sz w:val="24"/>
                <w:szCs w:val="24"/>
              </w:rPr>
              <w:t>环境保护目标</w:t>
            </w:r>
            <w:r>
              <w:rPr>
                <w:rFonts w:hint="eastAsia" w:ascii="仿宋" w:hAnsi="仿宋" w:eastAsia="仿宋" w:cs="仿宋"/>
                <w:sz w:val="24"/>
                <w:szCs w:val="24"/>
                <w:lang w:val="en-US" w:eastAsia="zh-CN"/>
              </w:rPr>
              <w:t>内容见下表：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firstLine="440" w:firstLineChars="200"/>
              <w:jc w:val="both"/>
              <w:textAlignment w:val="auto"/>
              <w:rPr>
                <w:rFonts w:hint="eastAsia" w:ascii="仿宋" w:hAnsi="仿宋" w:eastAsia="仿宋" w:cs="仿宋"/>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1" w:hRule="atLeast"/>
        </w:trPr>
        <w:tc>
          <w:tcPr>
            <w:tcW w:w="8522" w:type="dxa"/>
          </w:tcPr>
          <w:p>
            <w:pPr>
              <w:keepNext w:val="0"/>
              <w:keepLines w:val="0"/>
              <w:pageBreakBefore w:val="0"/>
              <w:widowControl w:val="0"/>
              <w:suppressLineNumbers w:val="0"/>
              <w:kinsoku/>
              <w:wordWrap/>
              <w:overflowPunct/>
              <w:topLinePunct w:val="0"/>
              <w:autoSpaceDE/>
              <w:autoSpaceDN/>
              <w:bidi w:val="0"/>
              <w:adjustRightInd/>
              <w:snapToGrid/>
              <w:spacing w:before="251" w:beforeLines="80" w:beforeAutospacing="0" w:after="0" w:afterAutospacing="0" w:line="240" w:lineRule="auto"/>
              <w:ind w:left="0" w:right="0"/>
              <w:jc w:val="center"/>
              <w:textAlignment w:val="auto"/>
              <w:outlineLvl w:val="9"/>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snapToGrid w:val="0"/>
                <w:kern w:val="0"/>
                <w:sz w:val="21"/>
                <w:szCs w:val="21"/>
              </w:rPr>
              <w:t>表2</w:t>
            </w:r>
            <w:r>
              <w:rPr>
                <w:rFonts w:hint="eastAsia" w:ascii="仿宋" w:hAnsi="仿宋" w:eastAsia="仿宋" w:cs="仿宋"/>
                <w:b/>
                <w:bCs w:val="0"/>
                <w:snapToGrid w:val="0"/>
                <w:kern w:val="0"/>
                <w:sz w:val="21"/>
                <w:szCs w:val="21"/>
                <w:lang w:val="en-US" w:eastAsia="zh-CN"/>
              </w:rPr>
              <w:t>-3</w:t>
            </w:r>
            <w:r>
              <w:rPr>
                <w:rFonts w:hint="eastAsia" w:ascii="仿宋" w:hAnsi="仿宋" w:eastAsia="仿宋" w:cs="仿宋"/>
                <w:b/>
                <w:bCs w:val="0"/>
                <w:snapToGrid w:val="0"/>
                <w:kern w:val="0"/>
                <w:sz w:val="21"/>
                <w:szCs w:val="21"/>
              </w:rPr>
              <w:t xml:space="preserve"> </w:t>
            </w:r>
            <w:r>
              <w:rPr>
                <w:rFonts w:hint="eastAsia" w:ascii="仿宋" w:hAnsi="仿宋" w:eastAsia="仿宋" w:cs="仿宋"/>
                <w:b/>
                <w:bCs w:val="0"/>
                <w:snapToGrid w:val="0"/>
                <w:kern w:val="0"/>
                <w:sz w:val="21"/>
                <w:szCs w:val="21"/>
                <w:lang w:val="en-US" w:eastAsia="zh-CN"/>
              </w:rPr>
              <w:t xml:space="preserve"> </w:t>
            </w:r>
            <w:r>
              <w:rPr>
                <w:rFonts w:hint="eastAsia" w:ascii="仿宋" w:hAnsi="仿宋" w:eastAsia="仿宋" w:cs="仿宋"/>
                <w:b/>
                <w:bCs w:val="0"/>
                <w:color w:val="auto"/>
                <w:sz w:val="21"/>
                <w:szCs w:val="21"/>
                <w:highlight w:val="none"/>
              </w:rPr>
              <w:t>环境保护目标</w:t>
            </w:r>
            <w:r>
              <w:rPr>
                <w:rFonts w:hint="eastAsia" w:ascii="仿宋" w:hAnsi="仿宋" w:eastAsia="仿宋" w:cs="仿宋"/>
                <w:b/>
                <w:bCs w:val="0"/>
                <w:color w:val="auto"/>
                <w:sz w:val="21"/>
                <w:szCs w:val="21"/>
                <w:highlight w:val="none"/>
                <w:lang w:val="en-US" w:eastAsia="zh-CN"/>
              </w:rPr>
              <w:t>一览表</w:t>
            </w:r>
          </w:p>
          <w:tbl>
            <w:tblPr>
              <w:tblStyle w:val="18"/>
              <w:tblW w:w="8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1" w:type="dxa"/>
                <w:bottom w:w="0" w:type="dxa"/>
                <w:right w:w="51" w:type="dxa"/>
              </w:tblCellMar>
            </w:tblPr>
            <w:tblGrid>
              <w:gridCol w:w="1003"/>
              <w:gridCol w:w="1323"/>
              <w:gridCol w:w="2264"/>
              <w:gridCol w:w="749"/>
              <w:gridCol w:w="933"/>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342" w:hRule="atLeast"/>
                <w:jc w:val="center"/>
              </w:trPr>
              <w:tc>
                <w:tcPr>
                  <w:tcW w:w="6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环境要素</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保护目标</w:t>
                  </w:r>
                </w:p>
              </w:tc>
              <w:tc>
                <w:tcPr>
                  <w:tcW w:w="136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中心坐标</w:t>
                  </w:r>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方位</w:t>
                  </w: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距离</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b/>
                      <w:bCs/>
                      <w:kern w:val="2"/>
                      <w:sz w:val="21"/>
                      <w:szCs w:val="21"/>
                    </w:rPr>
                  </w:pPr>
                  <w:r>
                    <w:rPr>
                      <w:rFonts w:hint="eastAsia" w:ascii="仿宋" w:hAnsi="仿宋" w:eastAsia="仿宋" w:cs="仿宋"/>
                      <w:b/>
                      <w:bCs/>
                      <w:kern w:val="2"/>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830" w:hRule="atLeast"/>
                <w:jc w:val="center"/>
              </w:trPr>
              <w:tc>
                <w:tcPr>
                  <w:tcW w:w="604" w:type="pct"/>
                  <w:vMerge w:val="restart"/>
                  <w:tcBorders>
                    <w:top w:val="nil"/>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环境空气</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小河滩社区</w:t>
                  </w:r>
                </w:p>
              </w:tc>
              <w:tc>
                <w:tcPr>
                  <w:tcW w:w="136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113°34′25.158″E</w:t>
                  </w:r>
                </w:p>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37°46′7.805″N</w:t>
                  </w:r>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NE</w:t>
                  </w: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0.30km</w:t>
                  </w:r>
                </w:p>
              </w:tc>
              <w:tc>
                <w:tcPr>
                  <w:tcW w:w="1220" w:type="pct"/>
                  <w:vMerge w:val="restart"/>
                  <w:tcBorders>
                    <w:top w:val="nil"/>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《环境空气质量标准》（GB3095-2012）及修改单-二级标准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646" w:hRule="atLeast"/>
                <w:jc w:val="center"/>
              </w:trPr>
              <w:tc>
                <w:tcPr>
                  <w:tcW w:w="604"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eastAsia" w:ascii="仿宋" w:hAnsi="仿宋" w:eastAsia="仿宋" w:cs="仿宋"/>
                      <w:sz w:val="21"/>
                      <w:szCs w:val="21"/>
                    </w:rPr>
                  </w:pP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苏村</w:t>
                  </w:r>
                </w:p>
              </w:tc>
              <w:tc>
                <w:tcPr>
                  <w:tcW w:w="136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113°34′40.029″E</w:t>
                  </w:r>
                </w:p>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37°45′36.481″N</w:t>
                  </w:r>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S-SE</w:t>
                  </w: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0.24km</w:t>
                  </w:r>
                </w:p>
              </w:tc>
              <w:tc>
                <w:tcPr>
                  <w:tcW w:w="122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Autospacing="0"/>
                    <w:ind w:left="0" w:right="0"/>
                    <w:rPr>
                      <w:rFonts w:hint="eastAsia"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951" w:hRule="atLeast"/>
                <w:jc w:val="center"/>
              </w:trPr>
              <w:tc>
                <w:tcPr>
                  <w:tcW w:w="6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地表水</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南川河</w:t>
                  </w:r>
                </w:p>
              </w:tc>
              <w:tc>
                <w:tcPr>
                  <w:tcW w:w="136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w:t>
                  </w:r>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NW</w:t>
                  </w:r>
                </w:p>
              </w:tc>
              <w:tc>
                <w:tcPr>
                  <w:tcW w:w="56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0.22km</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《地表水环境质量标准》（GB3838-2002）Ⅳ类标准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1254" w:hRule="atLeast"/>
                <w:jc w:val="center"/>
              </w:trPr>
              <w:tc>
                <w:tcPr>
                  <w:tcW w:w="6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地下水</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饮用水源</w:t>
                  </w:r>
                </w:p>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特殊水资源</w:t>
                  </w:r>
                </w:p>
              </w:tc>
              <w:tc>
                <w:tcPr>
                  <w:tcW w:w="237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rPr>
                      <w:rFonts w:hint="eastAsia" w:ascii="仿宋" w:hAnsi="仿宋" w:eastAsia="仿宋" w:cs="仿宋"/>
                      <w:kern w:val="2"/>
                      <w:sz w:val="21"/>
                      <w:szCs w:val="21"/>
                    </w:rPr>
                  </w:pPr>
                  <w:r>
                    <w:rPr>
                      <w:rFonts w:hint="eastAsia" w:ascii="仿宋" w:hAnsi="仿宋" w:eastAsia="仿宋" w:cs="仿宋"/>
                      <w:kern w:val="2"/>
                      <w:sz w:val="21"/>
                      <w:szCs w:val="21"/>
                    </w:rPr>
                    <w:t>①厂界外500m无地下水集中式饮用水水源及其他特殊地下水资源；</w:t>
                  </w:r>
                </w:p>
                <w:p>
                  <w:pPr>
                    <w:pStyle w:val="7"/>
                    <w:keepNext w:val="0"/>
                    <w:keepLines w:val="0"/>
                    <w:widowControl/>
                    <w:suppressLineNumbers w:val="0"/>
                    <w:ind w:left="0" w:firstLine="0" w:firstLineChars="0"/>
                    <w:rPr>
                      <w:rFonts w:hint="eastAsia" w:ascii="仿宋" w:hAnsi="仿宋" w:eastAsia="仿宋" w:cs="仿宋"/>
                      <w:kern w:val="2"/>
                      <w:sz w:val="21"/>
                      <w:szCs w:val="21"/>
                    </w:rPr>
                  </w:pPr>
                  <w:r>
                    <w:rPr>
                      <w:rFonts w:hint="eastAsia" w:ascii="仿宋" w:hAnsi="仿宋" w:eastAsia="仿宋" w:cs="仿宋"/>
                      <w:kern w:val="2"/>
                      <w:sz w:val="21"/>
                      <w:szCs w:val="21"/>
                    </w:rPr>
                    <w:t>②距项目厂界最近的饮用水源地为正西方向4.83km外的平定尚怡水库饮用水源地</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2" w:hRule="atLeast"/>
                <w:jc w:val="center"/>
              </w:trPr>
              <w:tc>
                <w:tcPr>
                  <w:tcW w:w="6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声环境</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0"/>
                      <w:sz w:val="21"/>
                      <w:szCs w:val="21"/>
                    </w:rPr>
                    <w:t>噪声</w:t>
                  </w:r>
                </w:p>
              </w:tc>
              <w:tc>
                <w:tcPr>
                  <w:tcW w:w="237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bCs/>
                      <w:kern w:val="2"/>
                      <w:sz w:val="21"/>
                      <w:szCs w:val="21"/>
                    </w:rPr>
                    <w:t>厂界外50m无声环境敏感保护目标</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98" w:hRule="atLeast"/>
                <w:jc w:val="center"/>
              </w:trPr>
              <w:tc>
                <w:tcPr>
                  <w:tcW w:w="6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生态环境</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0"/>
                      <w:sz w:val="21"/>
                      <w:szCs w:val="21"/>
                    </w:rPr>
                    <w:t>保护目标</w:t>
                  </w:r>
                </w:p>
              </w:tc>
              <w:tc>
                <w:tcPr>
                  <w:tcW w:w="237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0"/>
                      <w:sz w:val="21"/>
                      <w:szCs w:val="21"/>
                    </w:rPr>
                    <w:t>不涉及</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firstLine="0" w:firstLineChars="0"/>
                    <w:jc w:val="center"/>
                    <w:rPr>
                      <w:rFonts w:hint="eastAsia" w:ascii="仿宋" w:hAnsi="仿宋" w:eastAsia="仿宋" w:cs="仿宋"/>
                      <w:kern w:val="2"/>
                      <w:sz w:val="21"/>
                      <w:szCs w:val="21"/>
                    </w:rPr>
                  </w:pPr>
                  <w:r>
                    <w:rPr>
                      <w:rFonts w:hint="eastAsia" w:ascii="仿宋" w:hAnsi="仿宋" w:eastAsia="仿宋" w:cs="仿宋"/>
                      <w:kern w:val="2"/>
                      <w:sz w:val="21"/>
                      <w:szCs w:val="21"/>
                    </w:rPr>
                    <w:t>/</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251" w:beforeLines="80" w:beforeAutospacing="0" w:after="0" w:afterAutospacing="0" w:line="520" w:lineRule="exact"/>
              <w:ind w:left="0" w:right="0" w:firstLine="482" w:firstLineChars="200"/>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2.1.7 环保投资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本项目</w:t>
            </w:r>
            <w:r>
              <w:rPr>
                <w:rFonts w:hint="eastAsia" w:ascii="仿宋" w:hAnsi="仿宋" w:eastAsia="仿宋" w:cs="仿宋"/>
                <w:color w:val="auto"/>
                <w:sz w:val="24"/>
                <w:szCs w:val="24"/>
                <w:highlight w:val="none"/>
              </w:rPr>
              <w:t>项目总投资</w:t>
            </w:r>
            <w:r>
              <w:rPr>
                <w:rFonts w:hint="eastAsia" w:ascii="仿宋" w:hAnsi="仿宋" w:eastAsia="仿宋" w:cs="仿宋"/>
                <w:color w:val="auto"/>
                <w:sz w:val="24"/>
                <w:szCs w:val="24"/>
                <w:highlight w:val="none"/>
                <w:lang w:val="en-US" w:eastAsia="zh-CN"/>
              </w:rPr>
              <w:t>60</w:t>
            </w:r>
            <w:r>
              <w:rPr>
                <w:rFonts w:hint="eastAsia" w:ascii="仿宋" w:hAnsi="仿宋" w:eastAsia="仿宋" w:cs="仿宋"/>
                <w:color w:val="auto"/>
                <w:sz w:val="24"/>
                <w:szCs w:val="24"/>
                <w:highlight w:val="none"/>
              </w:rPr>
              <w:t>万元，其中环保投资约1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万元，占总投资比例为</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，项目环保措施及投资详见表</w:t>
            </w:r>
            <w:r>
              <w:rPr>
                <w:rFonts w:hint="eastAsia" w:ascii="仿宋" w:hAnsi="仿宋" w:eastAsia="仿宋" w:cs="仿宋"/>
                <w:color w:val="auto"/>
                <w:sz w:val="24"/>
                <w:szCs w:val="24"/>
                <w:highlight w:val="none"/>
                <w:lang w:val="en-US" w:eastAsia="zh-CN"/>
              </w:rPr>
              <w:t>2-4。</w:t>
            </w:r>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2"/>
                <w:sz w:val="21"/>
                <w:szCs w:val="21"/>
                <w:lang w:val="en-US" w:eastAsia="zh-CN" w:bidi="ar-SA"/>
                <w14:textFill>
                  <w14:solidFill>
                    <w14:schemeClr w14:val="tx1"/>
                  </w14:solidFill>
                </w14:textFill>
              </w:rPr>
              <w:t>表2-4  环保措施及投资一览表</w:t>
            </w:r>
          </w:p>
          <w:tbl>
            <w:tblPr>
              <w:tblStyle w:val="18"/>
              <w:tblW w:w="8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
              <w:gridCol w:w="1286"/>
              <w:gridCol w:w="4234"/>
              <w:gridCol w:w="1099"/>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69"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color w:val="181717" w:themeColor="background2" w:themeShade="1A"/>
                      <w:sz w:val="21"/>
                      <w:szCs w:val="21"/>
                      <w:lang w:val="en-US" w:eastAsia="zh-CN" w:bidi="ar-SA"/>
                    </w:rPr>
                  </w:pPr>
                  <w:r>
                    <w:rPr>
                      <w:rFonts w:hint="eastAsia" w:ascii="仿宋" w:hAnsi="仿宋" w:eastAsia="仿宋" w:cs="仿宋"/>
                      <w:b/>
                      <w:bCs/>
                      <w:color w:val="181717" w:themeColor="background2" w:themeShade="1A"/>
                      <w:sz w:val="21"/>
                      <w:szCs w:val="21"/>
                    </w:rPr>
                    <w:t>类别</w:t>
                  </w:r>
                </w:p>
              </w:tc>
              <w:tc>
                <w:tcPr>
                  <w:tcW w:w="1286"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color w:val="181717" w:themeColor="background2" w:themeShade="1A"/>
                      <w:sz w:val="21"/>
                      <w:szCs w:val="21"/>
                      <w:lang w:val="en-US" w:eastAsia="zh-CN" w:bidi="ar-SA"/>
                    </w:rPr>
                  </w:pPr>
                  <w:r>
                    <w:rPr>
                      <w:rFonts w:hint="eastAsia" w:ascii="仿宋" w:hAnsi="仿宋" w:eastAsia="仿宋" w:cs="仿宋"/>
                      <w:b/>
                      <w:bCs/>
                      <w:color w:val="181717" w:themeColor="background2" w:themeShade="1A"/>
                      <w:sz w:val="21"/>
                      <w:szCs w:val="21"/>
                      <w:lang w:eastAsia="zh-CN"/>
                    </w:rPr>
                    <w:t>名称</w:t>
                  </w:r>
                </w:p>
              </w:tc>
              <w:tc>
                <w:tcPr>
                  <w:tcW w:w="4234"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color w:val="181717" w:themeColor="background2" w:themeShade="1A"/>
                      <w:sz w:val="21"/>
                      <w:szCs w:val="21"/>
                      <w:lang w:val="en-US" w:eastAsia="zh-CN" w:bidi="ar-SA"/>
                    </w:rPr>
                  </w:pPr>
                  <w:r>
                    <w:rPr>
                      <w:rFonts w:hint="eastAsia" w:ascii="仿宋" w:hAnsi="仿宋" w:eastAsia="仿宋" w:cs="仿宋"/>
                      <w:b/>
                      <w:bCs/>
                      <w:color w:val="181717" w:themeColor="background2" w:themeShade="1A"/>
                      <w:sz w:val="21"/>
                      <w:szCs w:val="21"/>
                    </w:rPr>
                    <w:t>防治措施</w:t>
                  </w:r>
                </w:p>
              </w:tc>
              <w:tc>
                <w:tcPr>
                  <w:tcW w:w="1099"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color w:val="181717" w:themeColor="background2" w:themeShade="1A"/>
                      <w:sz w:val="21"/>
                      <w:szCs w:val="21"/>
                      <w:lang w:val="en-US" w:eastAsia="zh-CN" w:bidi="ar-SA"/>
                    </w:rPr>
                  </w:pPr>
                  <w:r>
                    <w:rPr>
                      <w:rFonts w:hint="eastAsia" w:ascii="仿宋" w:hAnsi="仿宋" w:eastAsia="仿宋" w:cs="仿宋"/>
                      <w:b/>
                      <w:bCs/>
                      <w:color w:val="181717" w:themeColor="background2" w:themeShade="1A"/>
                      <w:sz w:val="21"/>
                      <w:szCs w:val="21"/>
                      <w:lang w:eastAsia="zh-CN"/>
                    </w:rPr>
                    <w:t>环评</w:t>
                  </w:r>
                  <w:r>
                    <w:rPr>
                      <w:rFonts w:hint="eastAsia" w:ascii="仿宋" w:hAnsi="仿宋" w:eastAsia="仿宋" w:cs="仿宋"/>
                      <w:b/>
                      <w:bCs/>
                      <w:color w:val="181717" w:themeColor="background2" w:themeShade="1A"/>
                      <w:sz w:val="21"/>
                      <w:szCs w:val="21"/>
                    </w:rPr>
                    <w:t>投资（万元</w:t>
                  </w:r>
                  <w:r>
                    <w:rPr>
                      <w:rFonts w:hint="eastAsia" w:ascii="仿宋" w:hAnsi="仿宋" w:eastAsia="仿宋" w:cs="仿宋"/>
                      <w:b/>
                      <w:bCs/>
                      <w:color w:val="181717" w:themeColor="background2" w:themeShade="1A"/>
                      <w:sz w:val="21"/>
                      <w:szCs w:val="21"/>
                      <w:lang w:eastAsia="zh-CN"/>
                    </w:rPr>
                    <w:t>）</w:t>
                  </w:r>
                </w:p>
              </w:tc>
              <w:tc>
                <w:tcPr>
                  <w:tcW w:w="11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b/>
                      <w:bCs/>
                      <w:color w:val="181717" w:themeColor="background2" w:themeShade="1A"/>
                      <w:sz w:val="21"/>
                      <w:szCs w:val="21"/>
                      <w:lang w:val="en-US" w:eastAsia="zh-CN" w:bidi="ar-SA"/>
                    </w:rPr>
                  </w:pPr>
                  <w:r>
                    <w:rPr>
                      <w:rFonts w:hint="eastAsia" w:ascii="仿宋" w:hAnsi="仿宋" w:eastAsia="仿宋" w:cs="仿宋"/>
                      <w:b/>
                      <w:bCs/>
                      <w:color w:val="181717" w:themeColor="background2" w:themeShade="1A"/>
                      <w:sz w:val="21"/>
                      <w:szCs w:val="21"/>
                      <w:lang w:eastAsia="zh-CN"/>
                    </w:rPr>
                    <w:t>实际</w:t>
                  </w:r>
                  <w:r>
                    <w:rPr>
                      <w:rFonts w:hint="eastAsia" w:ascii="仿宋" w:hAnsi="仿宋" w:eastAsia="仿宋" w:cs="仿宋"/>
                      <w:b/>
                      <w:bCs/>
                      <w:color w:val="181717" w:themeColor="background2" w:themeShade="1A"/>
                      <w:sz w:val="21"/>
                      <w:szCs w:val="21"/>
                    </w:rPr>
                    <w:t>投资（万元</w:t>
                  </w:r>
                  <w:r>
                    <w:rPr>
                      <w:rFonts w:hint="eastAsia" w:ascii="仿宋" w:hAnsi="仿宋" w:eastAsia="仿宋" w:cs="仿宋"/>
                      <w:b/>
                      <w:bCs/>
                      <w:color w:val="181717" w:themeColor="background2" w:themeShade="1A"/>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469" w:type="dxa"/>
                  <w:vMerge w:val="restar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废气</w:t>
                  </w:r>
                </w:p>
              </w:tc>
              <w:tc>
                <w:tcPr>
                  <w:tcW w:w="1286" w:type="dxa"/>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240" w:lineRule="auto"/>
                    <w:ind w:left="0" w:right="0"/>
                    <w:jc w:val="center"/>
                    <w:textAlignment w:val="auto"/>
                    <w:rPr>
                      <w:rFonts w:hint="eastAsia" w:ascii="仿宋" w:hAnsi="仿宋" w:eastAsia="仿宋" w:cs="仿宋"/>
                      <w:color w:val="181717" w:themeColor="background2" w:themeShade="1A"/>
                      <w:kern w:val="0"/>
                      <w:sz w:val="21"/>
                      <w:szCs w:val="21"/>
                      <w:highlight w:val="none"/>
                      <w:lang w:val="en-US" w:eastAsia="zh-CN" w:bidi="ar-SA"/>
                    </w:rPr>
                  </w:pPr>
                  <w:r>
                    <w:rPr>
                      <w:rFonts w:hint="eastAsia" w:ascii="仿宋" w:hAnsi="仿宋" w:eastAsia="仿宋" w:cs="仿宋"/>
                      <w:color w:val="181717" w:themeColor="background2" w:themeShade="1A"/>
                      <w:kern w:val="0"/>
                      <w:sz w:val="21"/>
                      <w:szCs w:val="21"/>
                      <w:highlight w:val="none"/>
                      <w:lang w:val="en-US" w:eastAsia="zh-CN" w:bidi="ar-SA"/>
                    </w:rPr>
                    <w:t>保温炉投料口</w:t>
                  </w:r>
                </w:p>
              </w:tc>
              <w:tc>
                <w:tcPr>
                  <w:tcW w:w="4234" w:type="dxa"/>
                  <w:vAlign w:val="center"/>
                </w:tcPr>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在新建保温炉投料口上方设置矩形升降螺旋伞形罩（顶吸式），废气在引风机作用下由集气罩上方连接的管道引至脉冲式布袋除尘器进行处理，最终通过1根15m高的排气筒排放（DA002）</w:t>
                  </w:r>
                </w:p>
              </w:tc>
              <w:tc>
                <w:tcPr>
                  <w:tcW w:w="1099"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240" w:lineRule="auto"/>
                    <w:ind w:left="0" w:right="0"/>
                    <w:jc w:val="center"/>
                    <w:textAlignment w:val="auto"/>
                    <w:rPr>
                      <w:rFonts w:hint="default" w:ascii="仿宋" w:hAnsi="仿宋" w:eastAsia="仿宋" w:cs="仿宋"/>
                      <w:b/>
                      <w:bCs/>
                      <w:color w:val="181717" w:themeColor="background2" w:themeShade="1A"/>
                      <w:sz w:val="21"/>
                      <w:szCs w:val="21"/>
                      <w:lang w:val="en-US" w:eastAsia="zh-CN"/>
                    </w:rPr>
                  </w:pPr>
                  <w:r>
                    <w:rPr>
                      <w:rFonts w:hint="eastAsia" w:ascii="仿宋" w:hAnsi="仿宋" w:eastAsia="仿宋" w:cs="仿宋"/>
                      <w:b w:val="0"/>
                      <w:bCs w:val="0"/>
                      <w:i w:val="0"/>
                      <w:iCs w:val="0"/>
                      <w:color w:val="181717" w:themeColor="background2" w:themeShade="1A"/>
                      <w:sz w:val="21"/>
                      <w:szCs w:val="21"/>
                      <w:lang w:val="en-US" w:eastAsia="zh-CN"/>
                    </w:rPr>
                    <w:t>8</w:t>
                  </w:r>
                </w:p>
              </w:tc>
              <w:tc>
                <w:tcPr>
                  <w:tcW w:w="11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240" w:lineRule="auto"/>
                    <w:ind w:left="0" w:leftChars="0" w:right="0" w:rightChars="0"/>
                    <w:jc w:val="center"/>
                    <w:textAlignment w:val="auto"/>
                    <w:rPr>
                      <w:rFonts w:hint="default" w:ascii="仿宋" w:hAnsi="仿宋" w:eastAsia="仿宋" w:cs="仿宋"/>
                      <w:b w:val="0"/>
                      <w:bCs w:val="0"/>
                      <w:color w:val="181717" w:themeColor="background2" w:themeShade="1A"/>
                      <w:sz w:val="21"/>
                      <w:szCs w:val="21"/>
                      <w:lang w:val="en-US" w:eastAsia="zh-CN"/>
                    </w:rPr>
                  </w:pPr>
                  <w:r>
                    <w:rPr>
                      <w:rFonts w:hint="eastAsia" w:ascii="仿宋" w:hAnsi="仿宋" w:eastAsia="仿宋" w:cs="仿宋"/>
                      <w:b w:val="0"/>
                      <w:bCs w:val="0"/>
                      <w:i w:val="0"/>
                      <w:iCs w:val="0"/>
                      <w:color w:val="181717" w:themeColor="background2" w:themeShade="1A"/>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469"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仿宋" w:hAnsi="仿宋" w:eastAsia="仿宋" w:cs="仿宋"/>
                      <w:color w:val="181717" w:themeColor="background2" w:themeShade="1A"/>
                      <w:sz w:val="21"/>
                      <w:szCs w:val="21"/>
                      <w:lang w:val="en-US" w:eastAsia="zh-CN"/>
                    </w:rPr>
                  </w:pPr>
                </w:p>
              </w:tc>
              <w:tc>
                <w:tcPr>
                  <w:tcW w:w="1286" w:type="dxa"/>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181717" w:themeColor="background2" w:themeShade="1A"/>
                      <w:kern w:val="0"/>
                      <w:sz w:val="21"/>
                      <w:szCs w:val="21"/>
                      <w:highlight w:val="none"/>
                      <w:lang w:val="en-US" w:eastAsia="zh-CN" w:bidi="ar-SA"/>
                    </w:rPr>
                  </w:pPr>
                  <w:r>
                    <w:rPr>
                      <w:rFonts w:hint="eastAsia" w:ascii="仿宋" w:hAnsi="仿宋" w:eastAsia="仿宋" w:cs="仿宋"/>
                      <w:color w:val="181717" w:themeColor="background2" w:themeShade="1A"/>
                      <w:sz w:val="21"/>
                      <w:szCs w:val="21"/>
                      <w:highlight w:val="none"/>
                    </w:rPr>
                    <w:t>连轧机</w:t>
                  </w:r>
                </w:p>
              </w:tc>
              <w:tc>
                <w:tcPr>
                  <w:tcW w:w="4234"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181717" w:themeColor="background2" w:themeShade="1A"/>
                      <w:sz w:val="21"/>
                      <w:szCs w:val="21"/>
                      <w:lang w:val="en-US" w:eastAsia="zh-CN" w:bidi="ar-SA"/>
                    </w:rPr>
                  </w:pPr>
                  <w:r>
                    <w:rPr>
                      <w:rFonts w:hint="eastAsia" w:ascii="仿宋" w:hAnsi="仿宋" w:eastAsia="仿宋" w:cs="仿宋"/>
                      <w:color w:val="181717" w:themeColor="background2" w:themeShade="1A"/>
                      <w:sz w:val="21"/>
                      <w:szCs w:val="21"/>
                      <w:lang w:val="en-US" w:eastAsia="zh-CN" w:bidi="ar-SA"/>
                    </w:rPr>
                    <w:t>在新建连轧机工位上方设置顶吸式固定集气罩，并将罩口与设备的间隙尽量封闭，废气在引风机作用下被引至油雾净化器进行处理，最终通过1根15m高的排气筒排放（DA003）</w:t>
                  </w:r>
                </w:p>
              </w:tc>
              <w:tc>
                <w:tcPr>
                  <w:tcW w:w="1099"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240" w:lineRule="auto"/>
                    <w:ind w:left="0" w:right="0"/>
                    <w:jc w:val="center"/>
                    <w:textAlignment w:val="auto"/>
                    <w:rPr>
                      <w:rFonts w:hint="default" w:ascii="仿宋" w:hAnsi="仿宋" w:eastAsia="仿宋" w:cs="仿宋"/>
                      <w:b/>
                      <w:bCs/>
                      <w:color w:val="181717" w:themeColor="background2" w:themeShade="1A"/>
                      <w:sz w:val="21"/>
                      <w:szCs w:val="21"/>
                      <w:lang w:val="en-US" w:eastAsia="zh-CN"/>
                    </w:rPr>
                  </w:pPr>
                  <w:r>
                    <w:rPr>
                      <w:rFonts w:hint="eastAsia" w:ascii="仿宋" w:hAnsi="仿宋" w:eastAsia="仿宋" w:cs="仿宋"/>
                      <w:b w:val="0"/>
                      <w:bCs w:val="0"/>
                      <w:color w:val="181717" w:themeColor="background2" w:themeShade="1A"/>
                      <w:sz w:val="21"/>
                      <w:szCs w:val="21"/>
                      <w:lang w:val="en-US" w:eastAsia="zh-CN"/>
                    </w:rPr>
                    <w:t>6</w:t>
                  </w:r>
                </w:p>
              </w:tc>
              <w:tc>
                <w:tcPr>
                  <w:tcW w:w="11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240" w:lineRule="auto"/>
                    <w:ind w:left="0" w:leftChars="0" w:right="0" w:rightChars="0"/>
                    <w:jc w:val="center"/>
                    <w:textAlignment w:val="auto"/>
                    <w:rPr>
                      <w:rFonts w:hint="default" w:ascii="仿宋" w:hAnsi="仿宋" w:eastAsia="仿宋" w:cs="仿宋"/>
                      <w:b w:val="0"/>
                      <w:bCs w:val="0"/>
                      <w:color w:val="181717" w:themeColor="background2" w:themeShade="1A"/>
                      <w:sz w:val="21"/>
                      <w:szCs w:val="21"/>
                      <w:lang w:val="en-US" w:eastAsia="zh-CN"/>
                    </w:rPr>
                  </w:pPr>
                  <w:r>
                    <w:rPr>
                      <w:rFonts w:hint="eastAsia" w:ascii="仿宋" w:hAnsi="仿宋" w:eastAsia="仿宋" w:cs="仿宋"/>
                      <w:b w:val="0"/>
                      <w:bCs w:val="0"/>
                      <w:color w:val="181717" w:themeColor="background2" w:themeShade="1A"/>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469" w:type="dxa"/>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color w:val="181717" w:themeColor="background2" w:themeShade="1A"/>
                      <w:sz w:val="21"/>
                      <w:szCs w:val="21"/>
                      <w:lang w:val="en-US" w:eastAsia="zh-CN"/>
                    </w:rPr>
                  </w:pPr>
                  <w:r>
                    <w:rPr>
                      <w:rFonts w:hint="eastAsia" w:ascii="仿宋" w:hAnsi="仿宋" w:eastAsia="仿宋" w:cs="仿宋"/>
                      <w:sz w:val="21"/>
                      <w:szCs w:val="21"/>
                      <w:lang w:val="zh-CN"/>
                    </w:rPr>
                    <w:t>噪声</w:t>
                  </w:r>
                </w:p>
              </w:tc>
              <w:tc>
                <w:tcPr>
                  <w:tcW w:w="1286" w:type="dxa"/>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color w:val="181717" w:themeColor="background2" w:themeShade="1A"/>
                      <w:sz w:val="21"/>
                      <w:szCs w:val="21"/>
                      <w:highlight w:val="none"/>
                    </w:rPr>
                  </w:pPr>
                  <w:r>
                    <w:rPr>
                      <w:rFonts w:hint="eastAsia" w:ascii="仿宋" w:hAnsi="仿宋" w:eastAsia="仿宋" w:cs="仿宋"/>
                      <w:sz w:val="21"/>
                      <w:szCs w:val="21"/>
                      <w:lang w:val="zh-CN"/>
                    </w:rPr>
                    <w:t>/</w:t>
                  </w:r>
                </w:p>
              </w:tc>
              <w:tc>
                <w:tcPr>
                  <w:tcW w:w="42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181717" w:themeColor="background2" w:themeShade="1A"/>
                      <w:sz w:val="21"/>
                      <w:szCs w:val="21"/>
                      <w:lang w:val="en-US" w:eastAsia="zh-CN" w:bidi="ar-SA"/>
                    </w:rPr>
                  </w:pPr>
                  <w:r>
                    <w:rPr>
                      <w:rFonts w:hint="eastAsia" w:ascii="仿宋" w:hAnsi="仿宋" w:eastAsia="仿宋" w:cs="仿宋"/>
                      <w:sz w:val="21"/>
                      <w:szCs w:val="21"/>
                    </w:rPr>
                    <w:t>设备选择：在满足生产工艺的前提下，优先选择低噪声设备或具有消音隔声装置的设备，从源头降低噪声；设备布局：综合考虑地形、声源方向性和噪声强弱等因素，充分利用厂内建筑物的隔声作用合理布置设备；设备安装：采取减震措施；设备维护：定期维护设备，确保设备处于良好的运行状态，杜绝因设备不正常运转产生高噪声的现象</w:t>
                  </w:r>
                </w:p>
              </w:tc>
              <w:tc>
                <w:tcPr>
                  <w:tcW w:w="1099" w:type="dxa"/>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b/>
                      <w:bCs/>
                      <w:color w:val="181717" w:themeColor="background2" w:themeShade="1A"/>
                      <w:sz w:val="21"/>
                      <w:szCs w:val="21"/>
                      <w:lang w:val="en-US" w:eastAsia="zh-CN"/>
                    </w:rPr>
                  </w:pPr>
                  <w:r>
                    <w:rPr>
                      <w:rFonts w:hint="eastAsia" w:ascii="仿宋" w:hAnsi="仿宋" w:eastAsia="仿宋" w:cs="仿宋"/>
                      <w:sz w:val="21"/>
                      <w:szCs w:val="21"/>
                      <w:lang w:val="en-US" w:eastAsia="zh-CN"/>
                    </w:rPr>
                    <w:t>2</w:t>
                  </w:r>
                </w:p>
              </w:tc>
              <w:tc>
                <w:tcPr>
                  <w:tcW w:w="1170" w:type="dxa"/>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leftChars="0" w:right="0" w:rightChars="0"/>
                    <w:jc w:val="center"/>
                    <w:textAlignment w:val="auto"/>
                    <w:rPr>
                      <w:rFonts w:hint="default" w:ascii="仿宋" w:hAnsi="仿宋" w:eastAsia="仿宋" w:cs="仿宋"/>
                      <w:b w:val="0"/>
                      <w:bCs w:val="0"/>
                      <w:color w:val="181717" w:themeColor="background2" w:themeShade="1A"/>
                      <w:sz w:val="21"/>
                      <w:szCs w:val="21"/>
                      <w:lang w:val="en-US" w:eastAsia="zh-CN"/>
                    </w:rPr>
                  </w:pPr>
                  <w:r>
                    <w:rPr>
                      <w:rFonts w:hint="eastAsia" w:ascii="仿宋" w:hAnsi="仿宋" w:eastAsia="仿宋" w:cs="仿宋"/>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9" w:type="dxa"/>
                  <w:vMerge w:val="restart"/>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固废</w:t>
                  </w: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zh-CN"/>
                    </w:rPr>
                  </w:pPr>
                  <w:r>
                    <w:rPr>
                      <w:rFonts w:hint="eastAsia" w:ascii="仿宋" w:hAnsi="仿宋" w:eastAsia="仿宋" w:cs="仿宋"/>
                      <w:kern w:val="0"/>
                      <w:sz w:val="21"/>
                      <w:szCs w:val="21"/>
                      <w:lang w:val="en-US" w:eastAsia="zh-CN" w:bidi="ar-SA"/>
                    </w:rPr>
                    <w:t>沉积物</w:t>
                  </w:r>
                </w:p>
              </w:tc>
              <w:tc>
                <w:tcPr>
                  <w:tcW w:w="4234"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kern w:val="0"/>
                      <w:sz w:val="21"/>
                      <w:szCs w:val="21"/>
                      <w:lang w:val="en-US" w:eastAsia="zh-CN" w:bidi="ar-SA"/>
                    </w:rPr>
                    <w:t>外售于电解铝分公司综合利用</w:t>
                  </w:r>
                </w:p>
              </w:tc>
              <w:tc>
                <w:tcPr>
                  <w:tcW w:w="1099" w:type="dxa"/>
                  <w:vMerge w:val="restart"/>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1170" w:type="dxa"/>
                  <w:vMerge w:val="restart"/>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default" w:ascii="仿宋" w:hAnsi="仿宋" w:eastAsia="仿宋" w:cs="仿宋"/>
                      <w:b w:val="0"/>
                      <w:bCs w:val="0"/>
                      <w:color w:val="181717" w:themeColor="background2" w:themeShade="1A"/>
                      <w:sz w:val="21"/>
                      <w:szCs w:val="21"/>
                      <w:lang w:val="en-US" w:eastAsia="zh-CN"/>
                    </w:rPr>
                  </w:pPr>
                  <w:r>
                    <w:rPr>
                      <w:rFonts w:hint="eastAsia" w:ascii="仿宋" w:hAnsi="仿宋" w:eastAsia="仿宋" w:cs="仿宋"/>
                      <w:b w:val="0"/>
                      <w:bCs w:val="0"/>
                      <w:color w:val="181717" w:themeColor="background2" w:themeShade="1A"/>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default"/>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zh-CN"/>
                    </w:rPr>
                  </w:pPr>
                  <w:r>
                    <w:rPr>
                      <w:rFonts w:hint="eastAsia" w:ascii="仿宋" w:hAnsi="仿宋" w:eastAsia="仿宋" w:cs="仿宋"/>
                      <w:kern w:val="0"/>
                      <w:sz w:val="21"/>
                      <w:szCs w:val="21"/>
                      <w:lang w:val="en-US" w:eastAsia="zh-CN" w:bidi="ar-SA"/>
                    </w:rPr>
                    <w:t>不合格产品</w:t>
                  </w:r>
                </w:p>
              </w:tc>
              <w:tc>
                <w:tcPr>
                  <w:tcW w:w="4234"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kern w:val="0"/>
                      <w:sz w:val="21"/>
                      <w:szCs w:val="21"/>
                      <w:lang w:val="en-US" w:eastAsia="zh-CN" w:bidi="ar-SA"/>
                    </w:rPr>
                    <w:t>除尘灰</w:t>
                  </w:r>
                </w:p>
              </w:tc>
              <w:tc>
                <w:tcPr>
                  <w:tcW w:w="42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zh-CN"/>
                    </w:rPr>
                  </w:pPr>
                  <w:r>
                    <w:rPr>
                      <w:rFonts w:hint="eastAsia" w:ascii="仿宋" w:hAnsi="仿宋" w:eastAsia="仿宋" w:cs="仿宋"/>
                      <w:kern w:val="0"/>
                      <w:sz w:val="21"/>
                      <w:szCs w:val="21"/>
                      <w:lang w:val="en-US" w:eastAsia="zh-CN" w:bidi="ar-SA"/>
                    </w:rPr>
                    <w:t>清灰时启动除尘器脉冲反吹装置将设备内除尘灰吹引至除尘器下方设置的收集袋内，定期更换收集袋。除尘灰分区暂存危废间，并定期清运</w:t>
                  </w: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val="zh-CN"/>
                    </w:rPr>
                  </w:pPr>
                  <w:r>
                    <w:rPr>
                      <w:rFonts w:hint="eastAsia" w:ascii="仿宋" w:hAnsi="仿宋" w:eastAsia="仿宋" w:cs="仿宋"/>
                      <w:sz w:val="21"/>
                      <w:szCs w:val="21"/>
                    </w:rPr>
                    <w:t>铝灰</w:t>
                  </w:r>
                </w:p>
              </w:tc>
              <w:tc>
                <w:tcPr>
                  <w:tcW w:w="4234" w:type="dxa"/>
                  <w:vMerge w:val="restart"/>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color w:val="181717" w:themeColor="background2" w:themeShade="1A"/>
                      <w:kern w:val="0"/>
                      <w:sz w:val="21"/>
                      <w:szCs w:val="21"/>
                      <w:highlight w:val="none"/>
                      <w:lang w:val="en-US" w:eastAsia="zh-CN" w:bidi="ar-SA"/>
                    </w:rPr>
                    <w:t>2座危废间</w:t>
                  </w:r>
                  <w:r>
                    <w:rPr>
                      <w:rFonts w:hint="eastAsia" w:ascii="仿宋" w:hAnsi="仿宋" w:eastAsia="仿宋" w:cs="仿宋"/>
                      <w:kern w:val="0"/>
                      <w:sz w:val="21"/>
                      <w:szCs w:val="21"/>
                      <w:highlight w:val="none"/>
                      <w:lang w:val="en-US" w:eastAsia="zh-CN" w:bidi="ar-SA"/>
                    </w:rPr>
                    <w:t>，危废间1（140㎡），危废间2（20㎡），库内危险废物分区暂存，定期委托资质单位进行协同处置</w:t>
                  </w: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sz w:val="21"/>
                      <w:szCs w:val="21"/>
                    </w:rPr>
                    <w:t>废乳化油</w:t>
                  </w:r>
                </w:p>
              </w:tc>
              <w:tc>
                <w:tcPr>
                  <w:tcW w:w="4234"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val="zh-CN"/>
                    </w:rPr>
                  </w:pPr>
                  <w:r>
                    <w:rPr>
                      <w:rFonts w:hint="eastAsia" w:ascii="仿宋" w:hAnsi="仿宋" w:eastAsia="仿宋" w:cs="仿宋"/>
                      <w:sz w:val="21"/>
                      <w:szCs w:val="21"/>
                    </w:rPr>
                    <w:t>油泥</w:t>
                  </w:r>
                </w:p>
              </w:tc>
              <w:tc>
                <w:tcPr>
                  <w:tcW w:w="4234"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sz w:val="21"/>
                      <w:szCs w:val="21"/>
                    </w:rPr>
                    <w:t>废润滑油</w:t>
                  </w:r>
                </w:p>
              </w:tc>
              <w:tc>
                <w:tcPr>
                  <w:tcW w:w="4234"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废棉纱</w:t>
                  </w:r>
                </w:p>
              </w:tc>
              <w:tc>
                <w:tcPr>
                  <w:tcW w:w="4234"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46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2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生活垃圾</w:t>
                  </w:r>
                </w:p>
              </w:tc>
              <w:tc>
                <w:tcPr>
                  <w:tcW w:w="4234" w:type="dxa"/>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kern w:val="0"/>
                      <w:sz w:val="21"/>
                      <w:szCs w:val="21"/>
                      <w:highlight w:val="none"/>
                      <w:lang w:val="en-US" w:eastAsia="zh-CN" w:bidi="ar-SA"/>
                    </w:rPr>
                    <w:t>厂内指定地点设带盖垃圾桶，集中后由厂内垃圾运输车转运至平定县生活垃圾处理厂进行处理</w:t>
                  </w:r>
                </w:p>
              </w:tc>
              <w:tc>
                <w:tcPr>
                  <w:tcW w:w="1099"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c>
                <w:tcPr>
                  <w:tcW w:w="1170" w:type="dxa"/>
                  <w:vMerge w:val="continue"/>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Autospacing="0" w:line="240" w:lineRule="auto"/>
                    <w:ind w:left="0" w:right="0"/>
                    <w:jc w:val="center"/>
                    <w:textAlignment w:val="auto"/>
                    <w:rPr>
                      <w:rFonts w:hint="eastAsia" w:ascii="仿宋" w:hAnsi="仿宋" w:eastAsia="仿宋" w:cs="仿宋"/>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755"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总计</w:t>
                  </w:r>
                </w:p>
              </w:tc>
              <w:tc>
                <w:tcPr>
                  <w:tcW w:w="42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109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18</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仿宋" w:hAnsi="仿宋" w:eastAsia="仿宋" w:cs="仿宋"/>
                      <w:b w:val="0"/>
                      <w:bCs w:val="0"/>
                      <w:color w:val="181717" w:themeColor="background2" w:themeShade="1A"/>
                      <w:sz w:val="21"/>
                      <w:szCs w:val="21"/>
                      <w:lang w:val="en-US" w:eastAsia="zh-CN"/>
                    </w:rPr>
                  </w:pPr>
                  <w:r>
                    <w:rPr>
                      <w:rFonts w:hint="eastAsia" w:ascii="仿宋" w:hAnsi="仿宋" w:eastAsia="仿宋" w:cs="仿宋"/>
                      <w:b w:val="0"/>
                      <w:bCs w:val="0"/>
                      <w:color w:val="181717" w:themeColor="background2" w:themeShade="1A"/>
                      <w:sz w:val="21"/>
                      <w:szCs w:val="21"/>
                      <w:lang w:val="en-US" w:eastAsia="zh-CN"/>
                    </w:rPr>
                    <w:t>18</w:t>
                  </w:r>
                </w:p>
              </w:tc>
            </w:tr>
          </w:tbl>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right="0" w:firstLine="482" w:firstLineChars="200"/>
              <w:jc w:val="both"/>
              <w:textAlignment w:val="auto"/>
              <w:rPr>
                <w:rFonts w:hint="eastAsia" w:ascii="仿宋" w:hAnsi="仿宋" w:eastAsia="仿宋" w:cs="仿宋"/>
                <w:b/>
                <w:bCs/>
                <w:color w:val="181717" w:themeColor="background2" w:themeShade="1A"/>
                <w:sz w:val="24"/>
                <w:szCs w:val="24"/>
                <w:lang w:val="en-US" w:eastAsia="zh-CN"/>
              </w:rPr>
            </w:pPr>
            <w:r>
              <w:rPr>
                <w:rFonts w:hint="eastAsia" w:ascii="仿宋" w:hAnsi="仿宋" w:eastAsia="仿宋" w:cs="仿宋"/>
                <w:b/>
                <w:bCs/>
                <w:color w:val="181717" w:themeColor="background2" w:themeShade="1A"/>
                <w:sz w:val="24"/>
                <w:szCs w:val="24"/>
                <w:lang w:val="en-US" w:eastAsia="zh-CN"/>
              </w:rPr>
              <w:t>2.1.8 项目变动情况</w:t>
            </w:r>
          </w:p>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right="0" w:firstLine="480" w:firstLineChars="200"/>
              <w:jc w:val="both"/>
              <w:textAlignment w:val="auto"/>
              <w:rPr>
                <w:rFonts w:hint="eastAsia" w:ascii="仿宋" w:hAnsi="仿宋" w:eastAsia="仿宋" w:cs="仿宋"/>
                <w:b w:val="0"/>
                <w:bCs w:val="0"/>
                <w:color w:val="181717" w:themeColor="background2" w:themeShade="1A"/>
                <w:sz w:val="24"/>
                <w:szCs w:val="24"/>
                <w:lang w:val="en-US" w:eastAsia="zh-CN"/>
              </w:rPr>
            </w:pPr>
            <w:r>
              <w:rPr>
                <w:rFonts w:hint="eastAsia" w:ascii="仿宋" w:hAnsi="仿宋" w:eastAsia="仿宋" w:cs="仿宋"/>
                <w:b w:val="0"/>
                <w:bCs w:val="0"/>
                <w:color w:val="181717" w:themeColor="background2" w:themeShade="1A"/>
                <w:sz w:val="24"/>
                <w:szCs w:val="24"/>
                <w:lang w:val="en-US" w:eastAsia="zh-CN"/>
              </w:rPr>
              <w:t>经现场踏勘，与环评及环评批复对照，变动如下：</w:t>
            </w:r>
          </w:p>
          <w:p>
            <w:pPr>
              <w:pStyle w:val="2"/>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仿宋" w:hAnsi="仿宋" w:eastAsia="仿宋" w:cs="仿宋"/>
                <w:b w:val="0"/>
                <w:bCs w:val="0"/>
                <w:color w:val="181717" w:themeColor="background2" w:themeShade="1A"/>
                <w:sz w:val="24"/>
                <w:szCs w:val="24"/>
                <w:lang w:val="en-US" w:eastAsia="zh-CN"/>
              </w:rPr>
            </w:pPr>
            <w:r>
              <w:rPr>
                <w:rFonts w:hint="eastAsia" w:ascii="仿宋" w:hAnsi="仿宋" w:eastAsia="仿宋" w:cs="仿宋"/>
                <w:b/>
                <w:bCs/>
                <w:color w:val="000000" w:themeColor="text1"/>
                <w:kern w:val="2"/>
                <w:sz w:val="21"/>
                <w:szCs w:val="21"/>
                <w:lang w:val="en-US" w:eastAsia="zh-CN" w:bidi="ar-SA"/>
                <w14:textFill>
                  <w14:solidFill>
                    <w14:schemeClr w14:val="tx1"/>
                  </w14:solidFill>
                </w14:textFill>
              </w:rPr>
              <w:t>表2-5  项目变动一览表</w:t>
            </w:r>
          </w:p>
          <w:tbl>
            <w:tblPr>
              <w:tblStyle w:val="18"/>
              <w:tblW w:w="8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1079"/>
              <w:gridCol w:w="3636"/>
              <w:gridCol w:w="2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69"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序号</w:t>
                  </w:r>
                </w:p>
              </w:tc>
              <w:tc>
                <w:tcPr>
                  <w:tcW w:w="1079"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变更项目</w:t>
                  </w:r>
                </w:p>
              </w:tc>
              <w:tc>
                <w:tcPr>
                  <w:tcW w:w="3636"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环评阶段</w:t>
                  </w:r>
                </w:p>
              </w:tc>
              <w:tc>
                <w:tcPr>
                  <w:tcW w:w="2894"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6" w:hRule="atLeast"/>
              </w:trPr>
              <w:tc>
                <w:tcPr>
                  <w:tcW w:w="669" w:type="dxa"/>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1</w:t>
                  </w:r>
                </w:p>
              </w:tc>
              <w:tc>
                <w:tcPr>
                  <w:tcW w:w="1079" w:type="dxa"/>
                  <w:noWrap w:val="0"/>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lang w:val="en-US" w:eastAsia="zh-CN"/>
                    </w:rPr>
                  </w:pPr>
                  <w:r>
                    <w:rPr>
                      <w:rFonts w:hint="eastAsia" w:ascii="仿宋" w:hAnsi="仿宋" w:eastAsia="仿宋" w:cs="仿宋"/>
                      <w:sz w:val="21"/>
                      <w:szCs w:val="21"/>
                      <w:lang w:val="zh-CN"/>
                    </w:rPr>
                    <w:t>循环冷却</w:t>
                  </w:r>
                  <w:r>
                    <w:rPr>
                      <w:rFonts w:hint="eastAsia" w:ascii="仿宋" w:hAnsi="仿宋" w:eastAsia="仿宋" w:cs="仿宋"/>
                      <w:sz w:val="21"/>
                      <w:szCs w:val="21"/>
                      <w:lang w:val="en-US" w:eastAsia="zh-CN"/>
                    </w:rPr>
                    <w:t>水</w:t>
                  </w:r>
                </w:p>
              </w:tc>
              <w:tc>
                <w:tcPr>
                  <w:tcW w:w="3636" w:type="dxa"/>
                  <w:noWrap w:val="0"/>
                  <w:vAlign w:val="center"/>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sz w:val="21"/>
                      <w:szCs w:val="21"/>
                      <w:lang w:val="en-US" w:eastAsia="zh-CN"/>
                    </w:rPr>
                  </w:pPr>
                  <w:r>
                    <w:rPr>
                      <w:rFonts w:hint="eastAsia" w:ascii="仿宋" w:hAnsi="仿宋" w:eastAsia="仿宋" w:cs="仿宋"/>
                      <w:sz w:val="21"/>
                      <w:szCs w:val="21"/>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需定期更换少部分循环水，并补充新水，排水经现有下水系统收集并引至五矿污水处理厂，污水处理厂主体工艺采用A2/O处理工艺，处理达标后排放。</w:t>
                  </w:r>
                </w:p>
              </w:tc>
              <w:tc>
                <w:tcPr>
                  <w:tcW w:w="2894"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b/>
                      <w:bCs/>
                      <w:sz w:val="21"/>
                      <w:szCs w:val="21"/>
                      <w:lang w:val="en-US" w:eastAsia="zh-CN"/>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w:t>
                  </w:r>
                  <w:r>
                    <w:rPr>
                      <w:rFonts w:hint="eastAsia" w:ascii="仿宋" w:hAnsi="仿宋" w:eastAsia="仿宋" w:cs="仿宋"/>
                      <w:sz w:val="21"/>
                      <w:szCs w:val="21"/>
                      <w:highlight w:val="none"/>
                      <w:lang w:val="en-US" w:eastAsia="zh-CN"/>
                    </w:rPr>
                    <w:t>由于循环冷却水蒸发，所以定期补充新水，废水不外排。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669" w:type="dxa"/>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2</w:t>
                  </w:r>
                </w:p>
              </w:tc>
              <w:tc>
                <w:tcPr>
                  <w:tcW w:w="1079" w:type="dxa"/>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废包装桶</w:t>
                  </w:r>
                </w:p>
              </w:tc>
              <w:tc>
                <w:tcPr>
                  <w:tcW w:w="3636" w:type="dxa"/>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 w:val="21"/>
                      <w:szCs w:val="21"/>
                      <w:lang w:val="en-US" w:eastAsia="zh-CN"/>
                    </w:rPr>
                  </w:pPr>
                  <w:r>
                    <w:rPr>
                      <w:rFonts w:hint="eastAsia" w:ascii="仿宋" w:hAnsi="仿宋" w:eastAsia="仿宋" w:cs="仿宋"/>
                      <w:kern w:val="0"/>
                      <w:sz w:val="21"/>
                      <w:szCs w:val="21"/>
                      <w:lang w:val="en-US" w:eastAsia="zh-CN" w:bidi="ar-SA"/>
                    </w:rPr>
                    <w:t>暂存于危废暂存间，定期委托资质单位进行协同处置</w:t>
                  </w:r>
                </w:p>
              </w:tc>
              <w:tc>
                <w:tcPr>
                  <w:tcW w:w="2894" w:type="dxa"/>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废包装桶由厂家回收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69" w:type="dxa"/>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3</w:t>
                  </w:r>
                </w:p>
              </w:tc>
              <w:tc>
                <w:tcPr>
                  <w:tcW w:w="1079" w:type="dxa"/>
                  <w:noWrap w:val="0"/>
                  <w:vAlign w:val="center"/>
                </w:tcPr>
                <w:p>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危废间</w:t>
                  </w:r>
                </w:p>
              </w:tc>
              <w:tc>
                <w:tcPr>
                  <w:tcW w:w="3636" w:type="dxa"/>
                  <w:noWrap w:val="0"/>
                  <w:vAlign w:val="center"/>
                </w:tcPr>
                <w:p>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1座危废间</w:t>
                  </w:r>
                </w:p>
              </w:tc>
              <w:tc>
                <w:tcPr>
                  <w:tcW w:w="2894" w:type="dxa"/>
                  <w:noWrap w:val="0"/>
                  <w:vAlign w:val="center"/>
                </w:tcPr>
                <w:p>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2座危废间，危废间1（140㎡），危废间2（20㎡）</w:t>
                  </w:r>
                </w:p>
              </w:tc>
            </w:tr>
          </w:tbl>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right="0" w:firstLine="480" w:firstLineChars="200"/>
              <w:jc w:val="both"/>
              <w:textAlignment w:val="auto"/>
              <w:rPr>
                <w:rFonts w:hint="eastAsia" w:ascii="仿宋" w:hAnsi="仿宋" w:eastAsia="仿宋" w:cs="仿宋"/>
                <w:b w:val="0"/>
                <w:bCs w:val="0"/>
                <w:color w:val="181717" w:themeColor="background2" w:themeShade="1A"/>
                <w:sz w:val="24"/>
                <w:szCs w:val="24"/>
                <w:lang w:val="en-US" w:eastAsia="zh-CN"/>
              </w:rPr>
            </w:pPr>
            <w:r>
              <w:rPr>
                <w:rFonts w:hint="eastAsia" w:ascii="仿宋" w:hAnsi="仿宋" w:eastAsia="仿宋" w:cs="仿宋"/>
                <w:b w:val="0"/>
                <w:bCs w:val="0"/>
                <w:color w:val="181717" w:themeColor="background2" w:themeShade="1A"/>
                <w:sz w:val="24"/>
                <w:szCs w:val="24"/>
                <w:lang w:val="en-US" w:eastAsia="zh-CN"/>
              </w:rPr>
              <w:t>根据《建设项目竣工环境保护验收技术指南 污染影响类》和2020年12月16日环境保护部办公厅文件《污染影响类建设项目重大变动清单（试行）》（环办环评函〔2020〕688号），即“建设项目的性质、规模、地点、生产工艺和环境保护措施五个因素中的一项或一项以上发生重大变动，且可能导致环境影响显著变化（特别是不利环境影响加重）的，界定为重大变更，属于重大变动的应当重新报批环境影响评价文件，不属于重大变动的纳入竣工环境保护验收管理”。   本项目无重大变动。</w:t>
            </w:r>
          </w:p>
          <w:p>
            <w:pPr>
              <w:pStyle w:val="4"/>
              <w:pageBreakBefore w:val="0"/>
              <w:widowControl/>
              <w:suppressLineNumbers w:val="0"/>
              <w:kinsoku/>
              <w:wordWrap/>
              <w:overflowPunct/>
              <w:topLinePunct w:val="0"/>
              <w:bidi w:val="0"/>
              <w:adjustRightInd w:val="0"/>
              <w:spacing w:after="0" w:afterLines="0" w:line="480" w:lineRule="exact"/>
              <w:ind w:left="0" w:right="0"/>
              <w:textAlignment w:val="auto"/>
              <w:rPr>
                <w:rFonts w:hint="eastAsia"/>
                <w:lang w:val="en-US" w:eastAsia="zh-CN"/>
              </w:rPr>
            </w:pPr>
            <w:bookmarkStart w:id="4" w:name="_Toc21201"/>
            <w:r>
              <w:rPr>
                <w:rFonts w:hint="eastAsia"/>
                <w:lang w:val="en-US" w:eastAsia="zh-CN"/>
              </w:rPr>
              <w:t>2.2 原辅材料消耗及水平衡</w:t>
            </w:r>
            <w:bookmarkEnd w:id="4"/>
          </w:p>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480" w:lineRule="exact"/>
              <w:ind w:left="0" w:right="0" w:firstLine="482" w:firstLineChars="200"/>
              <w:jc w:val="both"/>
              <w:textAlignment w:val="auto"/>
              <w:rPr>
                <w:rFonts w:hint="eastAsia" w:ascii="仿宋" w:hAnsi="仿宋" w:eastAsia="仿宋" w:cs="仿宋"/>
                <w:b/>
                <w:bCs/>
                <w:color w:val="181717" w:themeColor="background2" w:themeShade="1A"/>
                <w:sz w:val="24"/>
                <w:szCs w:val="24"/>
                <w:highlight w:val="none"/>
                <w:lang w:val="en-US" w:eastAsia="zh-CN"/>
              </w:rPr>
            </w:pPr>
            <w:r>
              <w:rPr>
                <w:rFonts w:hint="eastAsia" w:ascii="仿宋" w:hAnsi="仿宋" w:eastAsia="仿宋" w:cs="仿宋"/>
                <w:b/>
                <w:bCs/>
                <w:color w:val="181717" w:themeColor="background2" w:themeShade="1A"/>
                <w:sz w:val="24"/>
                <w:szCs w:val="24"/>
                <w:highlight w:val="none"/>
                <w:lang w:val="en-US" w:eastAsia="zh-CN"/>
              </w:rPr>
              <w:t>2.2.1 项目主要原辅材料消耗见表2-6</w:t>
            </w:r>
          </w:p>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480" w:lineRule="exact"/>
              <w:ind w:left="0" w:right="0" w:firstLine="422" w:firstLineChars="200"/>
              <w:jc w:val="center"/>
              <w:textAlignment w:val="auto"/>
              <w:rPr>
                <w:rFonts w:hint="eastAsia" w:ascii="仿宋" w:hAnsi="仿宋" w:eastAsia="仿宋" w:cs="仿宋"/>
                <w:b/>
                <w:bCs/>
                <w:color w:val="181717" w:themeColor="background2" w:themeShade="1A"/>
                <w:sz w:val="21"/>
                <w:szCs w:val="21"/>
                <w:highlight w:val="none"/>
                <w:lang w:val="en-US" w:eastAsia="zh-CN"/>
              </w:rPr>
            </w:pPr>
            <w:r>
              <w:rPr>
                <w:rFonts w:hint="eastAsia" w:ascii="仿宋" w:hAnsi="仿宋" w:eastAsia="仿宋" w:cs="仿宋"/>
                <w:b/>
                <w:bCs/>
                <w:color w:val="181717" w:themeColor="background2" w:themeShade="1A"/>
                <w:sz w:val="21"/>
                <w:szCs w:val="21"/>
                <w:highlight w:val="none"/>
                <w:lang w:val="en-US" w:eastAsia="zh-CN"/>
              </w:rPr>
              <w:t>表2-6  主要原辅材料消耗一览表</w:t>
            </w:r>
          </w:p>
          <w:tbl>
            <w:tblPr>
              <w:tblStyle w:val="17"/>
              <w:tblW w:w="4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1" w:type="dxa"/>
                <w:bottom w:w="0" w:type="dxa"/>
                <w:right w:w="51" w:type="dxa"/>
              </w:tblCellMar>
            </w:tblPr>
            <w:tblGrid>
              <w:gridCol w:w="1132"/>
              <w:gridCol w:w="1154"/>
              <w:gridCol w:w="4216"/>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1" w:type="dxa"/>
                  <w:bottom w:w="0" w:type="dxa"/>
                  <w:right w:w="51" w:type="dxa"/>
                </w:tblCellMar>
              </w:tblPrEx>
              <w:trPr>
                <w:trHeight w:val="486" w:hRule="atLeast"/>
                <w:jc w:val="center"/>
              </w:trPr>
              <w:tc>
                <w:tcPr>
                  <w:tcW w:w="7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b/>
                      <w:bCs/>
                      <w:kern w:val="2"/>
                      <w:sz w:val="21"/>
                      <w:szCs w:val="21"/>
                    </w:rPr>
                  </w:pPr>
                  <w:r>
                    <w:rPr>
                      <w:rFonts w:hint="eastAsia" w:ascii="仿宋" w:hAnsi="仿宋" w:eastAsia="仿宋" w:cs="仿宋"/>
                      <w:b/>
                      <w:bCs/>
                      <w:kern w:val="2"/>
                      <w:sz w:val="21"/>
                      <w:szCs w:val="21"/>
                      <w:lang w:val="en-US" w:eastAsia="zh-CN" w:bidi="ar"/>
                    </w:rPr>
                    <w:t>序号</w:t>
                  </w:r>
                </w:p>
              </w:tc>
              <w:tc>
                <w:tcPr>
                  <w:tcW w:w="7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b/>
                      <w:bCs/>
                      <w:kern w:val="2"/>
                      <w:sz w:val="21"/>
                      <w:szCs w:val="21"/>
                    </w:rPr>
                  </w:pPr>
                  <w:r>
                    <w:rPr>
                      <w:rFonts w:hint="eastAsia" w:ascii="仿宋" w:hAnsi="仿宋" w:eastAsia="仿宋" w:cs="仿宋"/>
                      <w:b/>
                      <w:bCs/>
                      <w:kern w:val="2"/>
                      <w:sz w:val="21"/>
                      <w:szCs w:val="21"/>
                      <w:lang w:val="en-US" w:eastAsia="zh-CN" w:bidi="ar"/>
                    </w:rPr>
                    <w:t>名称</w:t>
                  </w:r>
                </w:p>
              </w:tc>
              <w:tc>
                <w:tcPr>
                  <w:tcW w:w="26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b/>
                      <w:bCs/>
                      <w:kern w:val="2"/>
                      <w:sz w:val="21"/>
                      <w:szCs w:val="21"/>
                      <w:lang w:val="en-US" w:eastAsia="zh-CN" w:bidi="ar"/>
                    </w:rPr>
                  </w:pPr>
                  <w:r>
                    <w:rPr>
                      <w:rFonts w:hint="eastAsia" w:ascii="仿宋" w:hAnsi="仿宋" w:eastAsia="仿宋" w:cs="仿宋"/>
                      <w:b/>
                      <w:bCs/>
                      <w:kern w:val="2"/>
                      <w:sz w:val="21"/>
                      <w:szCs w:val="21"/>
                      <w:lang w:val="en-US" w:eastAsia="zh-CN" w:bidi="ar"/>
                    </w:rPr>
                    <w:t>规格</w:t>
                  </w:r>
                </w:p>
              </w:tc>
              <w:tc>
                <w:tcPr>
                  <w:tcW w:w="86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b/>
                      <w:bCs/>
                      <w:kern w:val="2"/>
                      <w:sz w:val="21"/>
                      <w:szCs w:val="21"/>
                      <w:lang w:val="en-US" w:eastAsia="zh-CN" w:bidi="ar"/>
                    </w:rPr>
                  </w:pPr>
                  <w:r>
                    <w:rPr>
                      <w:rFonts w:hint="eastAsia" w:ascii="仿宋" w:hAnsi="仿宋" w:eastAsia="仿宋" w:cs="仿宋"/>
                      <w:b/>
                      <w:bCs/>
                      <w:kern w:val="2"/>
                      <w:sz w:val="21"/>
                      <w:szCs w:val="21"/>
                      <w:lang w:val="en-US" w:eastAsia="zh-CN" w:bidi="ar"/>
                    </w:rPr>
                    <w:t>环评数量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30" w:hRule="atLeast"/>
                <w:jc w:val="center"/>
              </w:trPr>
              <w:tc>
                <w:tcPr>
                  <w:tcW w:w="7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1</w:t>
                  </w:r>
                </w:p>
              </w:tc>
              <w:tc>
                <w:tcPr>
                  <w:tcW w:w="7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铝液</w:t>
                  </w:r>
                </w:p>
              </w:tc>
              <w:tc>
                <w:tcPr>
                  <w:tcW w:w="26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电解铝分公司提供</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
                    </w:rPr>
                  </w:pPr>
                  <w:r>
                    <w:rPr>
                      <w:rFonts w:hint="eastAsia" w:ascii="仿宋" w:hAnsi="仿宋" w:eastAsia="仿宋" w:cs="仿宋"/>
                      <w:sz w:val="21"/>
                      <w:szCs w:val="21"/>
                    </w:rPr>
                    <w:t>电解铝液Al含量大于≥99%</w:t>
                  </w:r>
                </w:p>
              </w:tc>
              <w:tc>
                <w:tcPr>
                  <w:tcW w:w="86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
                    </w:rPr>
                  </w:pPr>
                  <w:r>
                    <w:rPr>
                      <w:rFonts w:hint="eastAsia" w:ascii="仿宋" w:hAnsi="仿宋" w:eastAsia="仿宋" w:cs="仿宋"/>
                      <w:sz w:val="21"/>
                      <w:szCs w:val="21"/>
                    </w:rPr>
                    <w:t>43800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92" w:hRule="atLeast"/>
                <w:jc w:val="center"/>
              </w:trPr>
              <w:tc>
                <w:tcPr>
                  <w:tcW w:w="7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2</w:t>
                  </w:r>
                </w:p>
              </w:tc>
              <w:tc>
                <w:tcPr>
                  <w:tcW w:w="7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钢砂</w:t>
                  </w:r>
                </w:p>
              </w:tc>
              <w:tc>
                <w:tcPr>
                  <w:tcW w:w="26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外购</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
                    </w:rPr>
                  </w:pPr>
                  <w:r>
                    <w:rPr>
                      <w:rFonts w:hint="eastAsia" w:ascii="仿宋" w:hAnsi="仿宋" w:eastAsia="仿宋" w:cs="仿宋"/>
                      <w:sz w:val="21"/>
                      <w:szCs w:val="21"/>
                    </w:rPr>
                    <w:t>Fe含量≥98%，直径约φ3mm</w:t>
                  </w:r>
                </w:p>
              </w:tc>
              <w:tc>
                <w:tcPr>
                  <w:tcW w:w="86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
                    </w:rPr>
                  </w:pPr>
                  <w:r>
                    <w:rPr>
                      <w:rFonts w:hint="eastAsia" w:ascii="仿宋" w:hAnsi="仿宋" w:eastAsia="仿宋" w:cs="仿宋"/>
                      <w:sz w:val="21"/>
                      <w:szCs w:val="21"/>
                    </w:rPr>
                    <w:t>8760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47" w:hRule="atLeast"/>
                <w:jc w:val="center"/>
              </w:trPr>
              <w:tc>
                <w:tcPr>
                  <w:tcW w:w="72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3</w:t>
                  </w:r>
                </w:p>
              </w:tc>
              <w:tc>
                <w:tcPr>
                  <w:tcW w:w="7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tLeast"/>
                    <w:ind w:left="0" w:right="0"/>
                    <w:jc w:val="center"/>
                    <w:textAlignment w:val="auto"/>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乳化油</w:t>
                  </w:r>
                </w:p>
              </w:tc>
              <w:tc>
                <w:tcPr>
                  <w:tcW w:w="268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
                    </w:rPr>
                  </w:pPr>
                  <w:r>
                    <w:rPr>
                      <w:rFonts w:hint="eastAsia" w:ascii="仿宋" w:hAnsi="仿宋" w:eastAsia="仿宋" w:cs="仿宋"/>
                      <w:sz w:val="21"/>
                      <w:szCs w:val="21"/>
                    </w:rPr>
                    <w:t>外购</w:t>
                  </w:r>
                </w:p>
              </w:tc>
              <w:tc>
                <w:tcPr>
                  <w:tcW w:w="86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仿宋" w:hAnsi="仿宋" w:eastAsia="仿宋" w:cs="仿宋"/>
                      <w:kern w:val="2"/>
                      <w:sz w:val="21"/>
                      <w:szCs w:val="21"/>
                      <w:lang w:val="en-US" w:eastAsia="zh-CN" w:bidi="ar"/>
                    </w:rPr>
                  </w:pPr>
                  <w:r>
                    <w:rPr>
                      <w:rFonts w:hint="eastAsia" w:ascii="仿宋" w:hAnsi="仿宋" w:eastAsia="仿宋" w:cs="仿宋"/>
                      <w:sz w:val="21"/>
                      <w:szCs w:val="21"/>
                    </w:rPr>
                    <w:t>60</w:t>
                  </w:r>
                </w:p>
              </w:tc>
            </w:tr>
          </w:tbl>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right="0" w:firstLine="482" w:firstLineChars="200"/>
              <w:jc w:val="both"/>
              <w:textAlignment w:val="auto"/>
              <w:rPr>
                <w:rFonts w:hint="eastAsia" w:ascii="仿宋" w:hAnsi="仿宋" w:eastAsia="仿宋" w:cs="仿宋"/>
                <w:b/>
                <w:bCs/>
                <w:color w:val="181717" w:themeColor="background2" w:themeShade="1A"/>
                <w:sz w:val="24"/>
                <w:szCs w:val="24"/>
                <w:highlight w:val="none"/>
                <w:lang w:val="en-US" w:eastAsia="zh-CN"/>
              </w:rPr>
            </w:pPr>
            <w:r>
              <w:rPr>
                <w:rFonts w:hint="eastAsia" w:ascii="仿宋" w:hAnsi="仿宋" w:eastAsia="仿宋" w:cs="仿宋"/>
                <w:b/>
                <w:bCs/>
                <w:color w:val="181717" w:themeColor="background2" w:themeShade="1A"/>
                <w:sz w:val="24"/>
                <w:szCs w:val="24"/>
                <w:highlight w:val="none"/>
                <w:lang w:val="en-US" w:eastAsia="zh-CN"/>
              </w:rPr>
              <w:t>2.2.2 水源及水平衡</w:t>
            </w:r>
          </w:p>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right="0" w:firstLine="480" w:firstLineChars="200"/>
              <w:jc w:val="both"/>
              <w:textAlignment w:val="auto"/>
              <w:rPr>
                <w:rFonts w:hint="eastAsia" w:ascii="仿宋" w:hAnsi="仿宋" w:eastAsia="仿宋" w:cs="仿宋"/>
                <w:b w:val="0"/>
                <w:bCs w:val="0"/>
                <w:color w:val="181717" w:themeColor="background2" w:themeShade="1A"/>
                <w:sz w:val="24"/>
                <w:szCs w:val="24"/>
                <w:highlight w:val="none"/>
                <w:lang w:val="en-US" w:eastAsia="zh-CN"/>
              </w:rPr>
            </w:pPr>
            <w:r>
              <w:rPr>
                <w:rFonts w:hint="eastAsia" w:ascii="仿宋" w:hAnsi="仿宋" w:eastAsia="仿宋" w:cs="仿宋"/>
                <w:b w:val="0"/>
                <w:bCs w:val="0"/>
                <w:color w:val="181717" w:themeColor="background2" w:themeShade="1A"/>
                <w:sz w:val="24"/>
                <w:szCs w:val="24"/>
                <w:highlight w:val="none"/>
                <w:lang w:val="en-US" w:eastAsia="zh-CN"/>
              </w:rPr>
              <w:t>①给水</w:t>
            </w:r>
          </w:p>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right="0" w:firstLine="480" w:firstLineChars="200"/>
              <w:jc w:val="both"/>
              <w:textAlignment w:val="auto"/>
              <w:rPr>
                <w:rFonts w:hint="eastAsia" w:ascii="仿宋" w:hAnsi="仿宋" w:eastAsia="仿宋" w:cs="仿宋"/>
                <w:b w:val="0"/>
                <w:bCs w:val="0"/>
                <w:color w:val="181717" w:themeColor="background2" w:themeShade="1A"/>
                <w:sz w:val="24"/>
                <w:szCs w:val="24"/>
                <w:highlight w:val="none"/>
                <w:lang w:val="en-US" w:eastAsia="zh-CN"/>
              </w:rPr>
            </w:pPr>
            <w:r>
              <w:rPr>
                <w:rFonts w:hint="eastAsia" w:ascii="仿宋" w:hAnsi="仿宋" w:eastAsia="仿宋" w:cs="仿宋"/>
                <w:b w:val="0"/>
                <w:bCs w:val="0"/>
                <w:color w:val="181717" w:themeColor="background2" w:themeShade="1A"/>
                <w:sz w:val="24"/>
                <w:szCs w:val="24"/>
                <w:highlight w:val="none"/>
                <w:lang w:val="en-US" w:eastAsia="zh-CN"/>
              </w:rPr>
              <w:t>本项目水源为本地自来水市政管网供给。</w:t>
            </w:r>
          </w:p>
          <w:p>
            <w:pPr>
              <w:pStyle w:val="20"/>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520" w:lineRule="exact"/>
              <w:ind w:left="0" w:leftChars="0" w:right="0" w:firstLine="480" w:firstLineChars="200"/>
              <w:jc w:val="both"/>
              <w:textAlignment w:val="auto"/>
              <w:rPr>
                <w:rFonts w:hint="eastAsia" w:ascii="仿宋" w:hAnsi="仿宋" w:eastAsia="仿宋" w:cs="仿宋"/>
                <w:b w:val="0"/>
                <w:bCs w:val="0"/>
                <w:color w:val="181717" w:themeColor="background2" w:themeShade="1A"/>
                <w:sz w:val="24"/>
                <w:szCs w:val="24"/>
                <w:highlight w:val="none"/>
                <w:lang w:val="en-US" w:eastAsia="zh-CN"/>
              </w:rPr>
            </w:pPr>
            <w:r>
              <w:rPr>
                <w:rFonts w:hint="eastAsia" w:ascii="仿宋" w:hAnsi="仿宋" w:eastAsia="仿宋" w:cs="仿宋"/>
                <w:b w:val="0"/>
                <w:bCs w:val="0"/>
                <w:color w:val="181717" w:themeColor="background2" w:themeShade="1A"/>
                <w:sz w:val="24"/>
                <w:szCs w:val="24"/>
                <w:highlight w:val="none"/>
                <w:lang w:val="en-US" w:eastAsia="zh-CN"/>
              </w:rPr>
              <w:t>②用水水量</w:t>
            </w:r>
          </w:p>
          <w:p>
            <w:pPr>
              <w:pStyle w:val="20"/>
              <w:keepNext w:val="0"/>
              <w:keepLines w:val="0"/>
              <w:pageBreakBefore w:val="0"/>
              <w:widowControl w:val="0"/>
              <w:numPr>
                <w:ilvl w:val="0"/>
                <w:numId w:val="2"/>
              </w:numPr>
              <w:suppressLineNumbers w:val="0"/>
              <w:kinsoku/>
              <w:wordWrap/>
              <w:overflowPunct/>
              <w:topLinePunct w:val="0"/>
              <w:autoSpaceDE w:val="0"/>
              <w:autoSpaceDN w:val="0"/>
              <w:bidi w:val="0"/>
              <w:adjustRightInd w:val="0"/>
              <w:snapToGrid/>
              <w:spacing w:before="0" w:beforeAutospacing="0" w:after="0" w:afterAutospacing="0" w:line="520" w:lineRule="exact"/>
              <w:ind w:left="0" w:leftChars="0" w:right="0" w:firstLine="480" w:firstLineChars="200"/>
              <w:jc w:val="both"/>
              <w:textAlignment w:val="auto"/>
              <w:rPr>
                <w:rFonts w:hint="eastAsia" w:ascii="仿宋" w:hAnsi="仿宋" w:eastAsia="仿宋" w:cs="仿宋"/>
                <w:b w:val="0"/>
                <w:bCs w:val="0"/>
                <w:color w:val="181717" w:themeColor="background2" w:themeShade="1A"/>
                <w:sz w:val="24"/>
                <w:szCs w:val="24"/>
                <w:highlight w:val="none"/>
                <w:lang w:val="en-US" w:eastAsia="zh-CN"/>
              </w:rPr>
            </w:pPr>
            <w:r>
              <w:rPr>
                <w:rFonts w:hint="eastAsia" w:ascii="仿宋" w:hAnsi="仿宋" w:eastAsia="仿宋" w:cs="仿宋"/>
                <w:b w:val="0"/>
                <w:bCs w:val="0"/>
                <w:color w:val="181717" w:themeColor="background2" w:themeShade="1A"/>
                <w:sz w:val="24"/>
                <w:szCs w:val="24"/>
                <w:highlight w:val="none"/>
                <w:lang w:val="en-US" w:eastAsia="zh-CN"/>
              </w:rPr>
              <w:t>生产用水：本项目连续铸造时铸件冷却需要用水，现有工程将废水根据冷却方式分为间接冷却水、直接冷却水。其中，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本项目循环冷却水量为200m</w:t>
            </w:r>
            <w:r>
              <w:rPr>
                <w:rFonts w:hint="eastAsia" w:ascii="仿宋" w:hAnsi="仿宋" w:eastAsia="仿宋" w:cs="仿宋"/>
                <w:b w:val="0"/>
                <w:bCs w:val="0"/>
                <w:color w:val="181717" w:themeColor="background2" w:themeShade="1A"/>
                <w:sz w:val="24"/>
                <w:szCs w:val="24"/>
                <w:highlight w:val="none"/>
                <w:vertAlign w:val="superscript"/>
                <w:lang w:val="en-US" w:eastAsia="zh-CN"/>
              </w:rPr>
              <w:t>3</w:t>
            </w:r>
            <w:r>
              <w:rPr>
                <w:rFonts w:hint="eastAsia" w:ascii="仿宋" w:hAnsi="仿宋" w:eastAsia="仿宋" w:cs="仿宋"/>
                <w:b w:val="0"/>
                <w:bCs w:val="0"/>
                <w:color w:val="181717" w:themeColor="background2" w:themeShade="1A"/>
                <w:sz w:val="24"/>
                <w:szCs w:val="24"/>
                <w:highlight w:val="none"/>
                <w:lang w:val="en-US" w:eastAsia="zh-CN"/>
              </w:rPr>
              <w:t>/d，同时因蒸发损耗、排补水等，仍需补充新水4.0m</w:t>
            </w:r>
            <w:r>
              <w:rPr>
                <w:rFonts w:hint="eastAsia" w:ascii="仿宋" w:hAnsi="仿宋" w:eastAsia="仿宋" w:cs="仿宋"/>
                <w:b w:val="0"/>
                <w:bCs w:val="0"/>
                <w:color w:val="181717" w:themeColor="background2" w:themeShade="1A"/>
                <w:sz w:val="24"/>
                <w:szCs w:val="24"/>
                <w:highlight w:val="none"/>
                <w:vertAlign w:val="superscript"/>
                <w:lang w:val="en-US" w:eastAsia="zh-CN"/>
              </w:rPr>
              <w:t>3</w:t>
            </w:r>
            <w:r>
              <w:rPr>
                <w:rFonts w:hint="eastAsia" w:ascii="仿宋" w:hAnsi="仿宋" w:eastAsia="仿宋" w:cs="仿宋"/>
                <w:b w:val="0"/>
                <w:bCs w:val="0"/>
                <w:color w:val="181717" w:themeColor="background2" w:themeShade="1A"/>
                <w:sz w:val="24"/>
                <w:szCs w:val="24"/>
                <w:highlight w:val="none"/>
                <w:lang w:val="en-US" w:eastAsia="zh-CN"/>
              </w:rPr>
              <w:t>/d，3300m</w:t>
            </w:r>
            <w:r>
              <w:rPr>
                <w:rFonts w:hint="eastAsia" w:ascii="仿宋" w:hAnsi="仿宋" w:eastAsia="仿宋" w:cs="仿宋"/>
                <w:b w:val="0"/>
                <w:bCs w:val="0"/>
                <w:color w:val="181717" w:themeColor="background2" w:themeShade="1A"/>
                <w:sz w:val="24"/>
                <w:szCs w:val="24"/>
                <w:highlight w:val="none"/>
                <w:vertAlign w:val="superscript"/>
                <w:lang w:val="en-US" w:eastAsia="zh-CN"/>
              </w:rPr>
              <w:t>3</w:t>
            </w:r>
            <w:r>
              <w:rPr>
                <w:rFonts w:hint="eastAsia" w:ascii="仿宋" w:hAnsi="仿宋" w:eastAsia="仿宋" w:cs="仿宋"/>
                <w:b w:val="0"/>
                <w:bCs w:val="0"/>
                <w:color w:val="181717" w:themeColor="background2" w:themeShade="1A"/>
                <w:sz w:val="24"/>
                <w:szCs w:val="24"/>
                <w:highlight w:val="none"/>
                <w:lang w:val="en-US" w:eastAsia="zh-CN"/>
              </w:rPr>
              <w:t>/a。</w:t>
            </w:r>
          </w:p>
          <w:p>
            <w:pPr>
              <w:pStyle w:val="20"/>
              <w:keepNext w:val="0"/>
              <w:keepLines w:val="0"/>
              <w:pageBreakBefore w:val="0"/>
              <w:widowControl w:val="0"/>
              <w:numPr>
                <w:ilvl w:val="0"/>
                <w:numId w:val="2"/>
              </w:numPr>
              <w:suppressLineNumbers w:val="0"/>
              <w:kinsoku/>
              <w:wordWrap/>
              <w:overflowPunct/>
              <w:topLinePunct w:val="0"/>
              <w:autoSpaceDE w:val="0"/>
              <w:autoSpaceDN w:val="0"/>
              <w:bidi w:val="0"/>
              <w:adjustRightInd w:val="0"/>
              <w:snapToGrid/>
              <w:spacing w:before="0" w:beforeAutospacing="0" w:after="0" w:afterAutospacing="0" w:line="520" w:lineRule="exact"/>
              <w:ind w:left="0" w:leftChars="0" w:right="0" w:rightChars="0" w:firstLine="480" w:firstLineChars="200"/>
              <w:jc w:val="both"/>
              <w:textAlignment w:val="auto"/>
              <w:rPr>
                <w:rFonts w:hint="eastAsia" w:ascii="仿宋" w:hAnsi="仿宋" w:eastAsia="仿宋" w:cs="仿宋"/>
                <w:b w:val="0"/>
                <w:bCs w:val="0"/>
                <w:color w:val="181717" w:themeColor="background2" w:themeShade="1A"/>
                <w:sz w:val="24"/>
                <w:szCs w:val="24"/>
                <w:highlight w:val="none"/>
                <w:lang w:val="en-US" w:eastAsia="zh-CN"/>
              </w:rPr>
            </w:pPr>
            <w:r>
              <w:rPr>
                <w:rFonts w:hint="eastAsia" w:ascii="仿宋" w:hAnsi="仿宋" w:eastAsia="仿宋" w:cs="仿宋"/>
                <w:b w:val="0"/>
                <w:bCs w:val="0"/>
                <w:color w:val="181717" w:themeColor="background2" w:themeShade="1A"/>
                <w:sz w:val="24"/>
                <w:szCs w:val="24"/>
                <w:highlight w:val="none"/>
                <w:lang w:val="en-US" w:eastAsia="zh-CN"/>
              </w:rPr>
              <w:t>生活用水：本项目不新增劳动定员，现有工人生活依托电解铝分公司已建生活设施，参照《山西省用水定额第4部分：居民生活用水定额》（DB14/T1049.4-2021）中“农村分散式供水”用水定额，生活用水定额按70L/（人·d）计，生活用水量为1.4m</w:t>
            </w:r>
            <w:r>
              <w:rPr>
                <w:rFonts w:hint="eastAsia" w:ascii="仿宋" w:hAnsi="仿宋" w:eastAsia="仿宋" w:cs="仿宋"/>
                <w:b w:val="0"/>
                <w:bCs w:val="0"/>
                <w:color w:val="181717" w:themeColor="background2" w:themeShade="1A"/>
                <w:sz w:val="24"/>
                <w:szCs w:val="24"/>
                <w:highlight w:val="none"/>
                <w:vertAlign w:val="superscript"/>
                <w:lang w:val="en-US" w:eastAsia="zh-CN"/>
              </w:rPr>
              <w:t>3</w:t>
            </w:r>
            <w:r>
              <w:rPr>
                <w:rFonts w:hint="eastAsia" w:ascii="仿宋" w:hAnsi="仿宋" w:eastAsia="仿宋" w:cs="仿宋"/>
                <w:b w:val="0"/>
                <w:bCs w:val="0"/>
                <w:color w:val="181717" w:themeColor="background2" w:themeShade="1A"/>
                <w:sz w:val="24"/>
                <w:szCs w:val="24"/>
                <w:highlight w:val="none"/>
                <w:lang w:val="en-US" w:eastAsia="zh-CN"/>
              </w:rPr>
              <w:t>/d，462m</w:t>
            </w:r>
            <w:r>
              <w:rPr>
                <w:rFonts w:hint="eastAsia" w:ascii="仿宋" w:hAnsi="仿宋" w:eastAsia="仿宋" w:cs="仿宋"/>
                <w:b w:val="0"/>
                <w:bCs w:val="0"/>
                <w:color w:val="181717" w:themeColor="background2" w:themeShade="1A"/>
                <w:sz w:val="24"/>
                <w:szCs w:val="24"/>
                <w:highlight w:val="none"/>
                <w:vertAlign w:val="superscript"/>
                <w:lang w:val="en-US" w:eastAsia="zh-CN"/>
              </w:rPr>
              <w:t>3</w:t>
            </w:r>
            <w:r>
              <w:rPr>
                <w:rFonts w:hint="eastAsia" w:ascii="仿宋" w:hAnsi="仿宋" w:eastAsia="仿宋" w:cs="仿宋"/>
                <w:b w:val="0"/>
                <w:bCs w:val="0"/>
                <w:color w:val="181717" w:themeColor="background2" w:themeShade="1A"/>
                <w:sz w:val="24"/>
                <w:szCs w:val="24"/>
                <w:highlight w:val="none"/>
                <w:lang w:val="en-US" w:eastAsia="zh-CN"/>
              </w:rPr>
              <w:t>/a。</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rPr>
            </w:pPr>
            <w:r>
              <w:rPr>
                <w:rFonts w:hint="eastAsia" w:ascii="仿宋" w:hAnsi="仿宋" w:eastAsia="仿宋" w:cs="仿宋"/>
                <w:color w:val="000000"/>
                <w:sz w:val="24"/>
              </w:rPr>
              <w:t>③排水系统</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lang w:val="en-US" w:eastAsia="zh-CN"/>
              </w:rPr>
            </w:pPr>
            <w:r>
              <w:rPr>
                <w:rFonts w:hint="eastAsia" w:ascii="仿宋" w:hAnsi="仿宋" w:eastAsia="仿宋" w:cs="仿宋"/>
                <w:sz w:val="24"/>
              </w:rPr>
              <w:t>A.</w:t>
            </w:r>
            <w:r>
              <w:rPr>
                <w:rFonts w:hint="eastAsia" w:ascii="仿宋" w:hAnsi="仿宋" w:eastAsia="仿宋" w:cs="仿宋"/>
                <w:sz w:val="24"/>
                <w:u w:val="single"/>
                <w:lang w:val="en-US" w:eastAsia="zh-CN"/>
              </w:rPr>
              <w:t>生产用</w:t>
            </w:r>
            <w:r>
              <w:rPr>
                <w:rFonts w:hint="eastAsia" w:ascii="仿宋" w:hAnsi="仿宋" w:eastAsia="仿宋" w:cs="仿宋"/>
                <w:sz w:val="24"/>
                <w:u w:val="single"/>
              </w:rPr>
              <w:t>水</w:t>
            </w:r>
            <w:r>
              <w:rPr>
                <w:rFonts w:hint="eastAsia" w:ascii="仿宋" w:hAnsi="仿宋" w:eastAsia="仿宋" w:cs="仿宋"/>
                <w:sz w:val="24"/>
              </w:rPr>
              <w:t>：本项目循环冷却系统产生的排污水水质单一，可以重复使用，</w:t>
            </w:r>
            <w:r>
              <w:rPr>
                <w:rFonts w:hint="eastAsia" w:ascii="仿宋" w:hAnsi="仿宋" w:eastAsia="仿宋" w:cs="仿宋"/>
                <w:sz w:val="24"/>
                <w:lang w:val="en-US" w:eastAsia="zh-CN"/>
              </w:rPr>
              <w:t>由于循环冷却水蒸发，所以定期补充新水，废水不外排。</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lang w:val="en-US"/>
              </w:rPr>
            </w:pPr>
            <w:r>
              <w:rPr>
                <w:rFonts w:hint="eastAsia" w:ascii="仿宋" w:hAnsi="仿宋" w:eastAsia="仿宋" w:cs="仿宋"/>
                <w:sz w:val="24"/>
              </w:rPr>
              <w:t>B.</w:t>
            </w:r>
            <w:r>
              <w:rPr>
                <w:rFonts w:hint="eastAsia" w:ascii="仿宋" w:hAnsi="仿宋" w:eastAsia="仿宋" w:cs="仿宋"/>
                <w:sz w:val="24"/>
                <w:u w:val="single"/>
              </w:rPr>
              <w:t>生活污水</w:t>
            </w:r>
            <w:r>
              <w:rPr>
                <w:rFonts w:hint="eastAsia" w:ascii="仿宋" w:hAnsi="仿宋" w:eastAsia="仿宋" w:cs="仿宋"/>
                <w:sz w:val="24"/>
              </w:rPr>
              <w:t>：本项目生活污水量按用水量的80%计，即</w:t>
            </w:r>
            <w:r>
              <w:rPr>
                <w:rFonts w:hint="eastAsia" w:ascii="仿宋" w:hAnsi="仿宋" w:eastAsia="仿宋" w:cs="仿宋"/>
                <w:sz w:val="24"/>
                <w:lang w:val="en-US" w:eastAsia="zh-CN"/>
              </w:rPr>
              <w:t>1.12</w:t>
            </w:r>
            <w:r>
              <w:rPr>
                <w:rFonts w:hint="eastAsia" w:ascii="仿宋" w:hAnsi="仿宋" w:eastAsia="仿宋" w:cs="仿宋"/>
                <w:sz w:val="24"/>
              </w:rPr>
              <w:t>m</w:t>
            </w:r>
            <w:r>
              <w:rPr>
                <w:rFonts w:hint="eastAsia" w:ascii="仿宋" w:hAnsi="仿宋" w:eastAsia="仿宋" w:cs="仿宋"/>
                <w:sz w:val="24"/>
                <w:vertAlign w:val="superscript"/>
              </w:rPr>
              <w:t>3</w:t>
            </w:r>
            <w:r>
              <w:rPr>
                <w:rFonts w:hint="eastAsia" w:ascii="仿宋" w:hAnsi="仿宋" w:eastAsia="仿宋" w:cs="仿宋"/>
                <w:sz w:val="24"/>
              </w:rPr>
              <w:t>/d，</w:t>
            </w:r>
            <w:r>
              <w:rPr>
                <w:rFonts w:hint="eastAsia" w:ascii="仿宋" w:hAnsi="仿宋" w:eastAsia="仿宋" w:cs="仿宋"/>
                <w:sz w:val="24"/>
                <w:lang w:val="en-US" w:eastAsia="zh-CN"/>
              </w:rPr>
              <w:t>369.6</w:t>
            </w:r>
            <w:r>
              <w:rPr>
                <w:rFonts w:hint="eastAsia" w:ascii="仿宋" w:hAnsi="仿宋" w:eastAsia="仿宋" w:cs="仿宋"/>
                <w:sz w:val="24"/>
              </w:rPr>
              <w:t>m</w:t>
            </w:r>
            <w:r>
              <w:rPr>
                <w:rFonts w:hint="eastAsia" w:ascii="仿宋" w:hAnsi="仿宋" w:eastAsia="仿宋" w:cs="仿宋"/>
                <w:sz w:val="24"/>
                <w:vertAlign w:val="superscript"/>
              </w:rPr>
              <w:t>3</w:t>
            </w:r>
            <w:r>
              <w:rPr>
                <w:rFonts w:hint="eastAsia" w:ascii="仿宋" w:hAnsi="仿宋" w:eastAsia="仿宋" w:cs="仿宋"/>
                <w:sz w:val="24"/>
              </w:rPr>
              <w:t>/a，生活污水通过办公生活区现有下水系统收集</w:t>
            </w:r>
            <w:r>
              <w:rPr>
                <w:rFonts w:hint="eastAsia" w:ascii="仿宋" w:hAnsi="仿宋" w:eastAsia="仿宋" w:cs="仿宋"/>
                <w:sz w:val="24"/>
                <w:lang w:eastAsia="zh-CN"/>
              </w:rPr>
              <w:t>并引至五矿污水处理厂，污水处理厂主体工艺采用A</w:t>
            </w:r>
            <w:r>
              <w:rPr>
                <w:rFonts w:hint="eastAsia" w:ascii="仿宋" w:hAnsi="仿宋" w:eastAsia="仿宋" w:cs="仿宋"/>
                <w:sz w:val="24"/>
                <w:vertAlign w:val="superscript"/>
                <w:lang w:eastAsia="zh-CN"/>
              </w:rPr>
              <w:t>2</w:t>
            </w:r>
            <w:r>
              <w:rPr>
                <w:rFonts w:hint="eastAsia" w:ascii="仿宋" w:hAnsi="仿宋" w:eastAsia="仿宋" w:cs="仿宋"/>
                <w:sz w:val="24"/>
                <w:lang w:eastAsia="zh-CN"/>
              </w:rPr>
              <w:t>/O处理工艺，处理规模为7000m</w:t>
            </w:r>
            <w:r>
              <w:rPr>
                <w:rFonts w:hint="eastAsia" w:ascii="仿宋" w:hAnsi="仿宋" w:eastAsia="仿宋" w:cs="仿宋"/>
                <w:sz w:val="24"/>
                <w:vertAlign w:val="superscript"/>
                <w:lang w:eastAsia="zh-CN"/>
              </w:rPr>
              <w:t>3</w:t>
            </w:r>
            <w:r>
              <w:rPr>
                <w:rFonts w:hint="eastAsia" w:ascii="仿宋" w:hAnsi="仿宋" w:eastAsia="仿宋" w:cs="仿宋"/>
                <w:sz w:val="24"/>
                <w:lang w:eastAsia="zh-CN"/>
              </w:rPr>
              <w:t>/d，处理达标后尾水排入南川河。</w:t>
            </w:r>
          </w:p>
          <w:p>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520" w:lineRule="exact"/>
              <w:ind w:left="0" w:right="0" w:firstLine="480" w:firstLineChars="200"/>
              <w:jc w:val="both"/>
              <w:textAlignment w:val="auto"/>
              <w:rPr>
                <w:rFonts w:hint="eastAsia" w:ascii="仿宋" w:hAnsi="仿宋" w:eastAsia="仿宋" w:cs="仿宋"/>
                <w:sz w:val="24"/>
              </w:rPr>
            </w:pPr>
            <w:r>
              <w:rPr>
                <w:rFonts w:hint="eastAsia" w:ascii="仿宋" w:hAnsi="仿宋" w:eastAsia="仿宋" w:cs="仿宋"/>
                <w:sz w:val="24"/>
              </w:rPr>
              <w:t>④水平衡分析</w:t>
            </w:r>
          </w:p>
          <w:p>
            <w:pPr>
              <w:pStyle w:val="23"/>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eastAsia" w:ascii="仿宋" w:hAnsi="仿宋" w:eastAsia="仿宋" w:cs="仿宋"/>
                <w:b/>
                <w:bCs w:val="0"/>
                <w:color w:val="auto"/>
                <w:sz w:val="21"/>
                <w:szCs w:val="21"/>
              </w:rPr>
            </w:pPr>
            <w:r>
              <w:rPr>
                <w:rFonts w:hint="eastAsia" w:ascii="仿宋" w:hAnsi="仿宋" w:eastAsia="仿宋" w:cs="仿宋"/>
                <w:b/>
                <w:bCs w:val="0"/>
                <w:color w:val="auto"/>
                <w:sz w:val="21"/>
                <w:szCs w:val="21"/>
              </w:rPr>
              <w:t>表</w:t>
            </w:r>
            <w:r>
              <w:rPr>
                <w:rFonts w:hint="eastAsia" w:ascii="仿宋" w:hAnsi="仿宋" w:eastAsia="仿宋" w:cs="仿宋"/>
                <w:b/>
                <w:bCs w:val="0"/>
                <w:color w:val="auto"/>
                <w:sz w:val="21"/>
                <w:szCs w:val="21"/>
                <w:lang w:val="en-US" w:eastAsia="zh-CN"/>
              </w:rPr>
              <w:t>2-7</w:t>
            </w:r>
            <w:r>
              <w:rPr>
                <w:rFonts w:hint="eastAsia" w:ascii="仿宋" w:hAnsi="仿宋" w:eastAsia="仿宋" w:cs="仿宋"/>
                <w:b/>
                <w:bCs w:val="0"/>
                <w:color w:val="auto"/>
                <w:sz w:val="21"/>
                <w:szCs w:val="21"/>
              </w:rPr>
              <w:t xml:space="preserve"> 用排水情况一览表</w:t>
            </w:r>
          </w:p>
          <w:tbl>
            <w:tblPr>
              <w:tblStyle w:val="17"/>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1140"/>
              <w:gridCol w:w="1745"/>
              <w:gridCol w:w="1488"/>
              <w:gridCol w:w="2065"/>
              <w:gridCol w:w="996"/>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67" w:hRule="atLeast"/>
                <w:jc w:val="center"/>
              </w:trPr>
              <w:tc>
                <w:tcPr>
                  <w:tcW w:w="676"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用水项目</w:t>
                  </w:r>
                </w:p>
              </w:tc>
              <w:tc>
                <w:tcPr>
                  <w:tcW w:w="103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用水指标</w:t>
                  </w:r>
                </w:p>
              </w:tc>
              <w:tc>
                <w:tcPr>
                  <w:tcW w:w="882"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用水情况</w:t>
                  </w:r>
                </w:p>
              </w:tc>
              <w:tc>
                <w:tcPr>
                  <w:tcW w:w="122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用水量</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废水量</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排水量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67" w:hRule="atLeast"/>
                <w:jc w:val="center"/>
              </w:trPr>
              <w:tc>
                <w:tcPr>
                  <w:tcW w:w="676"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生产用水</w:t>
                  </w:r>
                </w:p>
              </w:tc>
              <w:tc>
                <w:tcPr>
                  <w:tcW w:w="1034" w:type="pct"/>
                  <w:vAlign w:val="center"/>
                </w:tcPr>
                <w:p>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蒸发损耗</w:t>
                  </w:r>
                  <w:r>
                    <w:rPr>
                      <w:rFonts w:hint="eastAsia" w:ascii="仿宋" w:hAnsi="仿宋" w:eastAsia="仿宋" w:cs="仿宋"/>
                      <w:sz w:val="21"/>
                      <w:szCs w:val="21"/>
                      <w:lang w:val="en-US" w:eastAsia="zh-CN"/>
                    </w:rPr>
                    <w:t>4</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882"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循环冷却水池</w:t>
                  </w:r>
                </w:p>
              </w:tc>
              <w:tc>
                <w:tcPr>
                  <w:tcW w:w="122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4</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0</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0</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67" w:hRule="atLeast"/>
                <w:jc w:val="center"/>
              </w:trPr>
              <w:tc>
                <w:tcPr>
                  <w:tcW w:w="676"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生活用水</w:t>
                  </w:r>
                </w:p>
              </w:tc>
              <w:tc>
                <w:tcPr>
                  <w:tcW w:w="103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70 L/（人·d）</w:t>
                  </w:r>
                </w:p>
              </w:tc>
              <w:tc>
                <w:tcPr>
                  <w:tcW w:w="882"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职工</w:t>
                  </w:r>
                  <w:r>
                    <w:rPr>
                      <w:rFonts w:hint="eastAsia" w:ascii="仿宋" w:hAnsi="仿宋" w:eastAsia="仿宋" w:cs="仿宋"/>
                      <w:sz w:val="21"/>
                      <w:szCs w:val="21"/>
                      <w:lang w:val="en-US" w:eastAsia="zh-CN"/>
                    </w:rPr>
                    <w:t>生活用水</w:t>
                  </w:r>
                </w:p>
              </w:tc>
              <w:tc>
                <w:tcPr>
                  <w:tcW w:w="122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1.4</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1.12</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1.12</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67" w:hRule="atLeast"/>
                <w:jc w:val="center"/>
              </w:trPr>
              <w:tc>
                <w:tcPr>
                  <w:tcW w:w="676"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合计</w:t>
                  </w:r>
                </w:p>
              </w:tc>
              <w:tc>
                <w:tcPr>
                  <w:tcW w:w="103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w:t>
                  </w:r>
                </w:p>
              </w:tc>
              <w:tc>
                <w:tcPr>
                  <w:tcW w:w="882"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rPr>
                    <w:t>/</w:t>
                  </w:r>
                </w:p>
              </w:tc>
              <w:tc>
                <w:tcPr>
                  <w:tcW w:w="1224"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5.4</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1.12</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c>
                <w:tcPr>
                  <w:tcW w:w="590" w:type="pct"/>
                  <w:vAlign w:val="center"/>
                </w:tcPr>
                <w:p>
                  <w:pPr>
                    <w:keepNext w:val="0"/>
                    <w:keepLines w:val="0"/>
                    <w:pageBreakBefore w:val="0"/>
                    <w:widowControl/>
                    <w:suppressLineNumbers w:val="0"/>
                    <w:kinsoku/>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1.12</w:t>
                  </w:r>
                  <w:r>
                    <w:rPr>
                      <w:rFonts w:hint="eastAsia" w:ascii="仿宋" w:hAnsi="仿宋" w:eastAsia="仿宋" w:cs="仿宋"/>
                      <w:sz w:val="21"/>
                      <w:szCs w:val="21"/>
                    </w:rPr>
                    <w:t>m</w:t>
                  </w:r>
                  <w:r>
                    <w:rPr>
                      <w:rFonts w:hint="eastAsia" w:ascii="仿宋" w:hAnsi="仿宋" w:eastAsia="仿宋" w:cs="仿宋"/>
                      <w:sz w:val="21"/>
                      <w:szCs w:val="21"/>
                      <w:vertAlign w:val="superscript"/>
                    </w:rPr>
                    <w:t>3</w:t>
                  </w:r>
                  <w:r>
                    <w:rPr>
                      <w:rFonts w:hint="eastAsia" w:ascii="仿宋" w:hAnsi="仿宋" w:eastAsia="仿宋" w:cs="仿宋"/>
                      <w:sz w:val="21"/>
                      <w:szCs w:val="21"/>
                    </w:rPr>
                    <w:t>/d</w:t>
                  </w:r>
                </w:p>
              </w:tc>
            </w:tr>
          </w:tbl>
          <w:p>
            <w:pPr>
              <w:pStyle w:val="23"/>
              <w:keepNext w:val="0"/>
              <w:keepLines w:val="0"/>
              <w:widowControl w:val="0"/>
              <w:suppressLineNumbers w:val="0"/>
              <w:spacing w:before="0" w:beforeAutospacing="0" w:afterAutospacing="0" w:line="240" w:lineRule="auto"/>
              <w:ind w:left="0" w:right="0" w:firstLine="0" w:firstLineChars="0"/>
              <w:jc w:val="center"/>
              <w:rPr>
                <w:rFonts w:hint="default"/>
              </w:rPr>
            </w:pPr>
          </w:p>
          <w:p>
            <w:pPr>
              <w:pStyle w:val="23"/>
              <w:keepNext w:val="0"/>
              <w:keepLines w:val="0"/>
              <w:widowControl w:val="0"/>
              <w:suppressLineNumbers w:val="0"/>
              <w:spacing w:before="0" w:beforeAutospacing="0" w:afterAutospacing="0" w:line="240" w:lineRule="auto"/>
              <w:ind w:left="0" w:right="0" w:firstLine="0" w:firstLineChars="0"/>
              <w:jc w:val="center"/>
              <w:rPr>
                <w:rFonts w:hint="eastAsia" w:ascii="仿宋" w:hAnsi="仿宋" w:eastAsia="仿宋" w:cs="仿宋"/>
              </w:rPr>
            </w:pPr>
            <w:r>
              <w:rPr>
                <w:rFonts w:hint="default"/>
              </w:rPr>
              <w:drawing>
                <wp:inline distT="0" distB="0" distL="114300" distR="114300">
                  <wp:extent cx="4942840" cy="2364740"/>
                  <wp:effectExtent l="0" t="0" r="10160" b="16510"/>
                  <wp:docPr id="2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7"/>
                          <pic:cNvPicPr>
                            <a:picLocks noChangeAspect="1"/>
                          </pic:cNvPicPr>
                        </pic:nvPicPr>
                        <pic:blipFill>
                          <a:blip r:embed="rId17"/>
                          <a:stretch>
                            <a:fillRect/>
                          </a:stretch>
                        </pic:blipFill>
                        <pic:spPr>
                          <a:xfrm>
                            <a:off x="0" y="0"/>
                            <a:ext cx="4942840" cy="2364740"/>
                          </a:xfrm>
                          <a:prstGeom prst="rect">
                            <a:avLst/>
                          </a:prstGeom>
                          <a:noFill/>
                          <a:ln>
                            <a:noFill/>
                          </a:ln>
                        </pic:spPr>
                      </pic:pic>
                    </a:graphicData>
                  </a:graphic>
                </wp:inline>
              </w:drawing>
            </w:r>
          </w:p>
          <w:p>
            <w:pPr>
              <w:pStyle w:val="23"/>
              <w:keepNext w:val="0"/>
              <w:keepLines w:val="0"/>
              <w:widowControl w:val="0"/>
              <w:suppressLineNumbers w:val="0"/>
              <w:spacing w:before="0" w:beforeAutospacing="0" w:afterAutospacing="0" w:line="240" w:lineRule="auto"/>
              <w:ind w:left="0" w:right="0" w:firstLine="0" w:firstLineChars="0"/>
              <w:jc w:val="center"/>
              <w:rPr>
                <w:rFonts w:hint="eastAsia" w:ascii="仿宋" w:hAnsi="仿宋" w:eastAsia="仿宋" w:cs="仿宋"/>
                <w:b w:val="0"/>
                <w:bCs w:val="0"/>
                <w:color w:val="181717" w:themeColor="background2" w:themeShade="1A"/>
                <w:sz w:val="24"/>
                <w:szCs w:val="24"/>
                <w:highlight w:val="none"/>
                <w:lang w:val="en-US" w:eastAsia="zh-CN"/>
              </w:rPr>
            </w:pPr>
            <w:r>
              <w:rPr>
                <w:rFonts w:hint="eastAsia" w:ascii="仿宋" w:hAnsi="仿宋" w:eastAsia="仿宋" w:cs="仿宋"/>
                <w:b/>
                <w:bCs w:val="0"/>
                <w:snapToGrid w:val="0"/>
                <w:kern w:val="0"/>
                <w:sz w:val="21"/>
                <w:szCs w:val="21"/>
              </w:rPr>
              <w:t>图</w:t>
            </w:r>
            <w:r>
              <w:rPr>
                <w:rFonts w:hint="eastAsia" w:ascii="仿宋" w:hAnsi="仿宋" w:eastAsia="仿宋" w:cs="仿宋"/>
                <w:b/>
                <w:bCs w:val="0"/>
                <w:snapToGrid w:val="0"/>
                <w:kern w:val="0"/>
                <w:sz w:val="21"/>
                <w:szCs w:val="21"/>
                <w:lang w:val="en-US" w:eastAsia="zh-CN"/>
              </w:rPr>
              <w:t>2-</w:t>
            </w:r>
            <w:r>
              <w:rPr>
                <w:rFonts w:hint="eastAsia" w:ascii="仿宋" w:hAnsi="仿宋" w:eastAsia="仿宋" w:cs="仿宋"/>
                <w:b/>
                <w:bCs w:val="0"/>
                <w:snapToGrid w:val="0"/>
                <w:kern w:val="0"/>
                <w:sz w:val="21"/>
                <w:szCs w:val="21"/>
              </w:rPr>
              <w:t>1  水平衡示意图（单位：m</w:t>
            </w:r>
            <w:r>
              <w:rPr>
                <w:rFonts w:hint="eastAsia" w:ascii="仿宋" w:hAnsi="仿宋" w:eastAsia="仿宋" w:cs="仿宋"/>
                <w:b/>
                <w:bCs w:val="0"/>
                <w:snapToGrid w:val="0"/>
                <w:kern w:val="0"/>
                <w:sz w:val="21"/>
                <w:szCs w:val="21"/>
                <w:vertAlign w:val="superscript"/>
              </w:rPr>
              <w:t>3</w:t>
            </w:r>
            <w:r>
              <w:rPr>
                <w:rFonts w:hint="eastAsia" w:ascii="仿宋" w:hAnsi="仿宋" w:eastAsia="仿宋" w:cs="仿宋"/>
                <w:b/>
                <w:bCs w:val="0"/>
                <w:snapToGrid w:val="0"/>
                <w:kern w:val="0"/>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8" w:hRule="atLeast"/>
        </w:trPr>
        <w:tc>
          <w:tcPr>
            <w:tcW w:w="8522" w:type="dxa"/>
          </w:tcPr>
          <w:p>
            <w:pPr>
              <w:pStyle w:val="4"/>
              <w:pageBreakBefore w:val="0"/>
              <w:widowControl/>
              <w:suppressLineNumbers w:val="0"/>
              <w:kinsoku/>
              <w:wordWrap/>
              <w:overflowPunct/>
              <w:topLinePunct w:val="0"/>
              <w:autoSpaceDE/>
              <w:autoSpaceDN/>
              <w:bidi w:val="0"/>
              <w:adjustRightInd w:val="0"/>
              <w:snapToGrid w:val="0"/>
              <w:spacing w:before="0" w:after="0" w:afterLines="0" w:line="520" w:lineRule="exact"/>
              <w:ind w:left="0" w:right="0"/>
              <w:textAlignment w:val="auto"/>
              <w:rPr>
                <w:rFonts w:hint="eastAsia"/>
                <w:lang w:val="en-US" w:eastAsia="zh-CN"/>
              </w:rPr>
            </w:pPr>
            <w:bookmarkStart w:id="5" w:name="_Toc4525"/>
            <w:r>
              <w:rPr>
                <w:rFonts w:hint="eastAsia"/>
                <w:lang w:val="en-US" w:eastAsia="zh-CN"/>
              </w:rPr>
              <w:t>2.3 工艺流程</w:t>
            </w:r>
            <w:bookmarkEnd w:id="5"/>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40" w:firstLineChars="200"/>
              <w:jc w:val="both"/>
              <w:textAlignment w:val="auto"/>
              <w:rPr>
                <w:rFonts w:hint="eastAsia" w:ascii="仿宋" w:hAnsi="仿宋" w:eastAsia="仿宋" w:cs="仿宋"/>
              </w:rPr>
            </w:pPr>
            <w:r>
              <w:rPr>
                <w:rFonts w:hint="eastAsia" w:ascii="仿宋" w:hAnsi="仿宋" w:eastAsia="仿宋" w:cs="仿宋"/>
              </w:rPr>
              <w:t>本</w:t>
            </w:r>
            <w:r>
              <w:rPr>
                <w:rFonts w:hint="eastAsia" w:ascii="仿宋" w:hAnsi="仿宋" w:eastAsia="仿宋" w:cs="仿宋"/>
                <w:lang w:eastAsia="zh-CN"/>
              </w:rPr>
              <w:t>项目</w:t>
            </w:r>
            <w:r>
              <w:rPr>
                <w:rFonts w:hint="eastAsia" w:ascii="仿宋" w:hAnsi="仿宋" w:eastAsia="仿宋" w:cs="仿宋"/>
              </w:rPr>
              <w:t>工艺流程及产排污环节见下图：</w:t>
            </w:r>
          </w:p>
          <w:p>
            <w:pPr>
              <w:keepNext w:val="0"/>
              <w:keepLines w:val="0"/>
              <w:widowControl w:val="0"/>
              <w:suppressLineNumbers w:val="0"/>
              <w:spacing w:before="0" w:beforeAutospacing="0" w:afterAutospacing="0"/>
              <w:ind w:left="0" w:right="0"/>
              <w:jc w:val="center"/>
              <w:rPr>
                <w:rFonts w:hint="eastAsia" w:ascii="仿宋" w:hAnsi="仿宋" w:eastAsia="仿宋" w:cs="仿宋"/>
                <w:b/>
                <w:bCs/>
                <w:sz w:val="21"/>
                <w:szCs w:val="21"/>
              </w:rPr>
            </w:pPr>
            <w:r>
              <w:rPr>
                <w:rFonts w:hint="eastAsia" w:ascii="仿宋" w:hAnsi="仿宋" w:eastAsia="仿宋" w:cs="仿宋"/>
              </w:rPr>
              <w:object>
                <v:shape id="_x0000_i1025" o:spt="75" type="#_x0000_t75" style="height:155.6pt;width:415.35pt;" o:ole="t" filled="f" o:preferrelative="t" stroked="f" coordsize="21600,21600">
                  <v:path/>
                  <v:fill on="f" focussize="0,0"/>
                  <v:stroke on="f"/>
                  <v:imagedata r:id="rId19" o:title=""/>
                  <o:lock v:ext="edit" aspectratio="t"/>
                  <w10:wrap type="none"/>
                  <w10:anchorlock/>
                </v:shape>
                <o:OLEObject Type="Embed" ProgID="Visio.Drawing.11" ShapeID="_x0000_i1025" DrawAspect="Content" ObjectID="_1468075725" r:id="rId18">
                  <o:LockedField>false</o:LockedField>
                </o:OLEObject>
              </w:object>
            </w:r>
            <w:r>
              <w:rPr>
                <w:rFonts w:hint="eastAsia" w:ascii="仿宋" w:hAnsi="仿宋" w:eastAsia="仿宋" w:cs="仿宋"/>
                <w:b/>
                <w:bCs/>
                <w:sz w:val="21"/>
                <w:szCs w:val="21"/>
              </w:rPr>
              <w:t>图</w:t>
            </w:r>
            <w:r>
              <w:rPr>
                <w:rFonts w:hint="eastAsia" w:ascii="仿宋" w:hAnsi="仿宋" w:eastAsia="仿宋" w:cs="仿宋"/>
                <w:b/>
                <w:bCs/>
                <w:sz w:val="21"/>
                <w:szCs w:val="21"/>
                <w:lang w:val="en-US" w:eastAsia="zh-CN"/>
              </w:rPr>
              <w:t>2-2</w:t>
            </w:r>
            <w:r>
              <w:rPr>
                <w:rFonts w:hint="eastAsia" w:ascii="仿宋" w:hAnsi="仿宋" w:eastAsia="仿宋" w:cs="仿宋"/>
                <w:b/>
                <w:bCs/>
                <w:sz w:val="21"/>
                <w:szCs w:val="21"/>
              </w:rPr>
              <w:t xml:space="preserve">  工艺流程和产排污环节示意图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工艺流程简述：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①铝液保温</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本项目原料电解铝液由山西兆丰铝电有限责任公司电解铝分公司提供，通过行车或者人工将铝水包运至保温炉进行投料，保温炉为电阻炉（电加热），炉内温度保持在720~750℃，投料后进入静置保温状态。（不添加精炼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该工序产生的污染物主要为投料口产生的烟尘。</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②连铸机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熔化的铝液从保温炉经流槽流入中间堡，浮动的塞头控制流入下浇堡的铝液流量，铝液从下浇堡水平浇注平稳流到由结晶轮和封闭钢带所形成的模腔内。结晶轮的截面为H型，由交流电机变频控制经齿轮箱驱动。结晶轮的冷却装置为可控的内冷、外冷、内侧冷、外侧冷四面分区，通过0.5Mpa左右的压力将冷却水喷射到各区，冷却水温度＜35℃，水量可通过截止阀来调节。从而使浇注铝液温度从700～710℃逐渐冷却并凝固成温度为480～520℃的铸锭。</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结晶轮上已凝固了的铸锭由剔锭器剔出，并沿引桥而送出。压紧轮装置将钢带紧压在结晶轮上，以防铝液外泄。钢带的张紧和压紧通过气缸进行调节，从而使钢带保持一定张力。</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0" w:firstLineChars="200"/>
              <w:jc w:val="both"/>
              <w:textAlignment w:val="auto"/>
              <w:rPr>
                <w:rFonts w:hint="eastAsia" w:ascii="仿宋" w:hAnsi="仿宋" w:eastAsia="仿宋" w:cs="仿宋"/>
                <w:b/>
                <w:bCs/>
              </w:rPr>
            </w:pPr>
            <w:r>
              <w:rPr>
                <w:rFonts w:hint="eastAsia" w:ascii="仿宋" w:hAnsi="仿宋" w:eastAsia="仿宋" w:cs="仿宋"/>
                <w:sz w:val="24"/>
                <w:szCs w:val="24"/>
              </w:rPr>
              <w:t>根据该工序设备特点，铝液经浇堡流入到由结晶轮和封闭钢带所形成的模腔内进行冷却铸锭，基本无烟粉尘产生。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5" w:hRule="atLeast"/>
          <w:jc w:val="center"/>
        </w:trPr>
        <w:tc>
          <w:tcPr>
            <w:tcW w:w="8522" w:type="dxa"/>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③钢砂铝预热及螺旋给料系统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螺旋给料机的输送管螺旋均匀地转动，将钢砂匀速定量输送到前段加料口，电机采用变频调速装置，调整螺旋轴转速，以输送不同定量比的钢砂。加料口为矩形，略小于浇嘴宽度，并于铝液流向保持垂直。螺旋给料机放置在浇包旁边，其出料口高出流嘴约0.8米左右，螺旋给料机出口下端和脚料口之间有一段倾斜的输料预热管，该管位于连铸机浇嘴上方，利用浇包铝液辐射热量，将钢砂加热到60℃以上。</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根据该工序工艺原理和加热温度可知，预热阶段和预热后钢砂通过输料管进入连铸机内无烟粉尘产生。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④连轧机</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开轧前利用滚剪机将初始出锭裁剪。连轧机主要由1套主传动牙箱和15道三辊机架组成。铸锭由轧机入口的喂料结构进入，并通过设备内上下布置的15道Y型三辊机被压制成型。轧制前铸锭表面被涂上乳化液。</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该工序产生的污染物主要为乳化液受热挥发产生的VOCs。</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⑤切断机</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采用铝棒切断机剪切成为60</w:t>
            </w:r>
            <w:r>
              <w:rPr>
                <w:rFonts w:hint="eastAsia" w:ascii="仿宋" w:hAnsi="仿宋" w:eastAsia="仿宋" w:cs="仿宋"/>
                <w:i w:val="0"/>
                <w:iCs w:val="0"/>
                <w:caps w:val="0"/>
                <w:color w:val="333333"/>
                <w:spacing w:val="0"/>
                <w:sz w:val="24"/>
                <w:szCs w:val="24"/>
              </w:rPr>
              <w:t>～</w:t>
            </w:r>
            <w:r>
              <w:rPr>
                <w:rFonts w:hint="eastAsia" w:ascii="仿宋" w:hAnsi="仿宋" w:eastAsia="仿宋" w:cs="仿宋"/>
                <w:sz w:val="24"/>
                <w:szCs w:val="24"/>
              </w:rPr>
              <w:t>65mm的铝块，该设备主要是通过挤压实现铝棒的分离而非切割，因此该过程无粉尘产生。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⑥检验入库</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2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经剪切的铝块由人工检验合格后装袋入库堆存，待运。</w:t>
            </w:r>
          </w:p>
          <w:p>
            <w:pPr>
              <w:pStyle w:val="4"/>
              <w:pageBreakBefore w:val="0"/>
              <w:widowControl/>
              <w:suppressLineNumbers w:val="0"/>
              <w:kinsoku/>
              <w:wordWrap/>
              <w:overflowPunct/>
              <w:topLinePunct w:val="0"/>
              <w:autoSpaceDE/>
              <w:autoSpaceDN/>
              <w:bidi w:val="0"/>
              <w:spacing w:after="0" w:afterLines="0" w:line="520" w:lineRule="exact"/>
              <w:ind w:left="0" w:right="0"/>
              <w:textAlignment w:val="auto"/>
              <w:rPr>
                <w:rFonts w:hint="eastAsia"/>
              </w:rPr>
            </w:pPr>
            <w:bookmarkStart w:id="6" w:name="_Toc528"/>
            <w:r>
              <w:rPr>
                <w:rFonts w:hint="eastAsia"/>
                <w:lang w:val="en-US" w:eastAsia="zh-CN"/>
              </w:rPr>
              <w:t xml:space="preserve">2.4 </w:t>
            </w:r>
            <w:r>
              <w:rPr>
                <w:rFonts w:hint="eastAsia"/>
              </w:rPr>
              <w:t>产污环节及污染物情况</w:t>
            </w:r>
            <w:bookmarkEnd w:id="6"/>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①废气</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G1：铝液入保温炉时投料口产生的烟尘；</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G2：连轧时乳化液挥发产生的VOCs；</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②废水</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W1：铸件冷却废水</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③噪声</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本项目噪声主要来源于螺旋给料机、连铸机、连轧机、切断机和引风机等；</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rPr>
            </w:pPr>
            <w:r>
              <w:rPr>
                <w:rFonts w:hint="eastAsia" w:ascii="仿宋" w:hAnsi="仿宋" w:eastAsia="仿宋" w:cs="仿宋"/>
                <w:sz w:val="24"/>
                <w:szCs w:val="24"/>
              </w:rPr>
              <w:t>④固体废物</w:t>
            </w:r>
          </w:p>
          <w:p>
            <w:pPr>
              <w:pStyle w:val="7"/>
              <w:keepNext w:val="0"/>
              <w:keepLines w:val="0"/>
              <w:pageBreakBefore w:val="0"/>
              <w:widowControl w:val="0"/>
              <w:suppressLineNumbers w:val="0"/>
              <w:kinsoku/>
              <w:wordWrap/>
              <w:overflowPunct/>
              <w:topLinePunct w:val="0"/>
              <w:autoSpaceDE/>
              <w:autoSpaceDN/>
              <w:bidi w:val="0"/>
              <w:adjustRightInd/>
              <w:snapToGrid/>
              <w:spacing w:after="0" w:line="520" w:lineRule="exact"/>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本项目产生的固体废物主要有铝液表面产生的铝灰、除尘器除尘灰、循环冷却水池沉积物、不合格品、废乳化液、油水分离出的油泥、废润滑油、废棉纱、废包装桶及职工产生的生活垃圾。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Borders>
              <w:top w:val="nil"/>
              <w:left w:val="nil"/>
              <w:bottom w:val="single" w:color="auto" w:sz="4" w:space="0"/>
              <w:right w:val="nil"/>
            </w:tcBorders>
            <w:vAlign w:val="top"/>
          </w:tcPr>
          <w:p>
            <w:pPr>
              <w:pStyle w:val="3"/>
              <w:widowControl/>
              <w:suppressLineNumbers w:val="0"/>
              <w:bidi w:val="0"/>
              <w:spacing w:before="0" w:beforeAutospacing="0" w:afterAutospacing="0"/>
              <w:ind w:left="0" w:right="0"/>
              <w:rPr>
                <w:rFonts w:hint="eastAsia" w:ascii="仿宋" w:hAnsi="仿宋" w:eastAsia="仿宋" w:cs="仿宋"/>
                <w:szCs w:val="28"/>
                <w:vertAlign w:val="baseline"/>
                <w:lang w:val="en-US" w:eastAsia="zh-CN"/>
              </w:rPr>
            </w:pPr>
            <w:bookmarkStart w:id="7" w:name="_Toc31340"/>
            <w:r>
              <w:rPr>
                <w:rFonts w:hint="eastAsia"/>
                <w:lang w:val="en-US" w:eastAsia="zh-CN"/>
              </w:rPr>
              <w:t>表三 污染物产排情况及环境保护措施</w:t>
            </w:r>
            <w:bookmark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3" w:hRule="atLeast"/>
          <w:jc w:val="center"/>
        </w:trPr>
        <w:tc>
          <w:tcPr>
            <w:tcW w:w="8522" w:type="dxa"/>
            <w:tcBorders>
              <w:top w:val="single" w:color="auto" w:sz="4" w:space="0"/>
            </w:tcBorders>
            <w:vAlign w:val="top"/>
          </w:tcPr>
          <w:p>
            <w:pPr>
              <w:pStyle w:val="2"/>
              <w:keepNext w:val="0"/>
              <w:keepLines w:val="0"/>
              <w:pageBreakBefore w:val="0"/>
              <w:widowControl w:val="0"/>
              <w:suppressLineNumbers w:val="0"/>
              <w:kinsoku/>
              <w:wordWrap/>
              <w:overflowPunct/>
              <w:topLinePunct w:val="0"/>
              <w:autoSpaceDE w:val="0"/>
              <w:autoSpaceDN w:val="0"/>
              <w:bidi w:val="0"/>
              <w:adjustRightInd/>
              <w:snapToGrid/>
              <w:spacing w:before="188" w:beforeLines="60" w:beforeAutospacing="0" w:after="0" w:afterAutospacing="0"/>
              <w:ind w:left="0" w:right="0"/>
              <w:jc w:val="center"/>
              <w:textAlignment w:val="auto"/>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181717" w:themeColor="background2" w:themeShade="1A"/>
                <w:sz w:val="21"/>
                <w:szCs w:val="21"/>
                <w:vertAlign w:val="baseline"/>
                <w:lang w:val="en-US" w:eastAsia="zh-CN"/>
              </w:rPr>
              <w:t>表3-1  废气处理处置情况</w:t>
            </w:r>
          </w:p>
          <w:tbl>
            <w:tblPr>
              <w:tblStyle w:val="18"/>
              <w:tblW w:w="8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886"/>
              <w:gridCol w:w="3105"/>
              <w:gridCol w:w="2580"/>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871"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排放源</w:t>
                  </w:r>
                </w:p>
              </w:tc>
              <w:tc>
                <w:tcPr>
                  <w:tcW w:w="886"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污染物</w:t>
                  </w:r>
                </w:p>
              </w:tc>
              <w:tc>
                <w:tcPr>
                  <w:tcW w:w="3105"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环评要求</w:t>
                  </w:r>
                </w:p>
              </w:tc>
              <w:tc>
                <w:tcPr>
                  <w:tcW w:w="2580"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实际处置措施</w:t>
                  </w:r>
                </w:p>
              </w:tc>
              <w:tc>
                <w:tcPr>
                  <w:tcW w:w="855"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完成</w:t>
                  </w:r>
                </w:p>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4" w:hRule="atLeast"/>
                <w:jc w:val="center"/>
              </w:trPr>
              <w:tc>
                <w:tcPr>
                  <w:tcW w:w="871" w:type="dxa"/>
                  <w:vAlign w:val="center"/>
                </w:tcPr>
                <w:p>
                  <w:pPr>
                    <w:keepNext w:val="0"/>
                    <w:keepLines w:val="0"/>
                    <w:widowControl w:val="0"/>
                    <w:suppressLineNumbers w:val="0"/>
                    <w:spacing w:before="0" w:beforeAutospacing="0" w:afterAutospacing="0"/>
                    <w:ind w:left="0" w:right="0"/>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szCs w:val="21"/>
                    </w:rPr>
                    <w:t>新增保温炉投料口</w:t>
                  </w:r>
                </w:p>
              </w:tc>
              <w:tc>
                <w:tcPr>
                  <w:tcW w:w="8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颗粒物</w:t>
                  </w:r>
                </w:p>
              </w:tc>
              <w:tc>
                <w:tcPr>
                  <w:tcW w:w="31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sz w:val="21"/>
                      <w:szCs w:val="21"/>
                      <w:lang w:val="en-US" w:eastAsia="zh-CN" w:bidi="ar-SA"/>
                    </w:rPr>
                    <w:t>在新建保温炉投料口上方设置圆形升降螺旋伞形罩（顶吸式），引风机风量设置为15000m</w:t>
                  </w:r>
                  <w:r>
                    <w:rPr>
                      <w:rFonts w:hint="eastAsia" w:ascii="仿宋" w:hAnsi="仿宋" w:eastAsia="仿宋" w:cs="仿宋"/>
                      <w:sz w:val="21"/>
                      <w:szCs w:val="21"/>
                      <w:vertAlign w:val="superscript"/>
                      <w:lang w:val="en-US" w:eastAsia="zh-CN" w:bidi="ar-SA"/>
                    </w:rPr>
                    <w:t>3</w:t>
                  </w:r>
                  <w:r>
                    <w:rPr>
                      <w:rFonts w:hint="eastAsia" w:ascii="仿宋" w:hAnsi="仿宋" w:eastAsia="仿宋" w:cs="仿宋"/>
                      <w:sz w:val="21"/>
                      <w:szCs w:val="21"/>
                      <w:lang w:val="en-US" w:eastAsia="zh-CN" w:bidi="ar-SA"/>
                    </w:rPr>
                    <w:t>/h，集气效率按90%计，废气在引风机作用下由集气罩上方连接的管道引至1套脉冲式布袋除尘器进行处理，除尘器过滤面积为240m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lang w:val="en-US" w:eastAsia="zh-CN" w:bidi="ar-SA"/>
                    </w:rPr>
                    <w:t>，过滤风速为0.6m/min，废气最终通过1根15m高的排气筒排放（DA002）。</w:t>
                  </w:r>
                </w:p>
              </w:tc>
              <w:tc>
                <w:tcPr>
                  <w:tcW w:w="258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sz w:val="21"/>
                      <w:szCs w:val="21"/>
                      <w:highlight w:val="none"/>
                      <w:lang w:val="en-US" w:eastAsia="zh-CN" w:bidi="ar-SA"/>
                    </w:rPr>
                    <w:t>新建，保温炉投料口上方已设置圆形升降螺旋伞形罩（顶吸式），废气由集气罩上方连接的管道引至1套脉冲式布袋除尘器进行处理，废气最终通过1根15m高的排气筒排放（DA002）。</w:t>
                  </w:r>
                </w:p>
              </w:tc>
              <w:tc>
                <w:tcPr>
                  <w:tcW w:w="85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b/>
                      <w:bCs/>
                      <w:color w:val="000000" w:themeColor="text1"/>
                      <w:sz w:val="21"/>
                      <w:szCs w:val="21"/>
                      <w:vertAlign w:val="baseline"/>
                      <w:lang w:val="en-US" w:eastAsia="zh-CN" w:bidi="ar-SA"/>
                      <w14:textFill>
                        <w14:solidFill>
                          <w14:schemeClr w14:val="tx1"/>
                        </w14:solidFill>
                      </w14:textFill>
                    </w:rPr>
                  </w:pPr>
                  <w:r>
                    <w:rPr>
                      <w:rFonts w:hint="eastAsia" w:ascii="仿宋" w:hAnsi="仿宋" w:eastAsia="仿宋" w:cs="仿宋"/>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87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Cs w:val="21"/>
                    </w:rPr>
                    <w:t>连轧机</w:t>
                  </w:r>
                </w:p>
              </w:tc>
              <w:tc>
                <w:tcPr>
                  <w:tcW w:w="8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kern w:val="0"/>
                      <w:sz w:val="22"/>
                      <w:szCs w:val="21"/>
                      <w:lang w:val="en-US" w:eastAsia="zh-CN" w:bidi="ar-SA"/>
                    </w:rPr>
                    <w:t>非甲烷总烃</w:t>
                  </w:r>
                </w:p>
              </w:tc>
              <w:tc>
                <w:tcPr>
                  <w:tcW w:w="3105" w:type="dxa"/>
                  <w:vAlign w:val="center"/>
                </w:tcPr>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1.原有连轧机工位上方设1个顶吸式固定集气罩，废气在1台风量为12000m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h的引风机作用下由集气罩上方连接的管道引至1套油雾净化器进行处理，油雾净化工艺为蜂窝油网过滤板+板式丝网除雾过滤器+双极静电吸附除烟器，设备功率（静电）2.4kW，废气最终通过1根15m高的排气筒排放（DA003）;</w:t>
                  </w:r>
                </w:p>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sz w:val="21"/>
                      <w:szCs w:val="21"/>
                      <w:lang w:val="en-US" w:eastAsia="zh-CN" w:bidi="ar-SA"/>
                    </w:rPr>
                  </w:pPr>
                  <w:r>
                    <w:rPr>
                      <w:rFonts w:hint="eastAsia" w:ascii="仿宋" w:hAnsi="仿宋" w:eastAsia="仿宋" w:cs="仿宋"/>
                      <w:kern w:val="0"/>
                      <w:sz w:val="21"/>
                      <w:szCs w:val="21"/>
                      <w:lang w:val="en-US" w:eastAsia="zh-CN" w:bidi="ar-SA"/>
                    </w:rPr>
                    <w:t>2.新建连轧机工位上方设1个顶吸式固定集气罩，废气在1台风量为12000m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h的引风机作用下由集气罩上方连接的管道引至1套油雾净化器进行处理，油雾净化工艺为蜂窝油网过滤板+板式丝网除雾过滤器+双极静电吸附除烟器，设备功率（静电）2.4kW，废气最终通过1根15m高的排气筒排放（DA003）</w:t>
                  </w:r>
                </w:p>
              </w:tc>
              <w:tc>
                <w:tcPr>
                  <w:tcW w:w="258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原有连轧机工位上方与</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highlight w:val="none"/>
                      <w:lang w:val="en-US" w:eastAsia="zh-CN" w:bidi="ar-SA"/>
                    </w:rPr>
                    <w:t>新建连轧机工位上方各设1个顶吸式固定集气罩，废气在引风机作用下由集气罩上方连接的管道引至1套油雾净化器进行处理，油雾净化工艺为蜂窝油网过滤板+板式丝网除雾过滤器+双极静电吸附除烟器，设备功率（静电）2.4kW，废气最终通过1根15m高的排气筒排放（DA003）。</w:t>
                  </w:r>
                </w:p>
              </w:tc>
              <w:tc>
                <w:tcPr>
                  <w:tcW w:w="85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与环评一致</w:t>
                  </w:r>
                </w:p>
              </w:tc>
            </w:tr>
          </w:tbl>
          <w:p>
            <w:pPr>
              <w:pStyle w:val="20"/>
              <w:keepNext w:val="0"/>
              <w:keepLines w:val="0"/>
              <w:suppressLineNumbers w:val="0"/>
              <w:spacing w:before="0" w:beforeAutospacing="0" w:after="0" w:afterAutospacing="0" w:line="240" w:lineRule="auto"/>
              <w:ind w:left="0" w:right="0"/>
              <w:jc w:val="center"/>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表</w:t>
            </w: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 xml:space="preserve">3-2  </w:t>
            </w:r>
            <w:r>
              <w:rPr>
                <w:rFonts w:hint="eastAsia" w:ascii="仿宋" w:hAnsi="仿宋" w:eastAsia="仿宋" w:cs="仿宋"/>
                <w:b/>
                <w:bCs/>
                <w:color w:val="000000" w:themeColor="text1"/>
                <w:sz w:val="21"/>
                <w:szCs w:val="21"/>
                <w:vertAlign w:val="baseline"/>
                <w:lang w:eastAsia="zh-CN"/>
                <w14:textFill>
                  <w14:solidFill>
                    <w14:schemeClr w14:val="tx1"/>
                  </w14:solidFill>
                </w14:textFill>
              </w:rPr>
              <w:t>废水处置情况</w:t>
            </w:r>
          </w:p>
          <w:tbl>
            <w:tblPr>
              <w:tblStyle w:val="18"/>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864"/>
              <w:gridCol w:w="2928"/>
              <w:gridCol w:w="2592"/>
              <w:gridCol w:w="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Align w:val="center"/>
                </w:tcPr>
                <w:p>
                  <w:pPr>
                    <w:pStyle w:val="20"/>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排放源</w:t>
                  </w:r>
                </w:p>
              </w:tc>
              <w:tc>
                <w:tcPr>
                  <w:tcW w:w="864" w:type="dxa"/>
                  <w:vAlign w:val="center"/>
                </w:tcPr>
                <w:p>
                  <w:pPr>
                    <w:pStyle w:val="20"/>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污染物</w:t>
                  </w:r>
                </w:p>
              </w:tc>
              <w:tc>
                <w:tcPr>
                  <w:tcW w:w="2928" w:type="dxa"/>
                  <w:vAlign w:val="center"/>
                </w:tcPr>
                <w:p>
                  <w:pPr>
                    <w:pStyle w:val="20"/>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环评要求</w:t>
                  </w:r>
                </w:p>
              </w:tc>
              <w:tc>
                <w:tcPr>
                  <w:tcW w:w="2592" w:type="dxa"/>
                  <w:vAlign w:val="center"/>
                </w:tcPr>
                <w:p>
                  <w:pPr>
                    <w:pStyle w:val="20"/>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实际处置措施</w:t>
                  </w:r>
                </w:p>
              </w:tc>
              <w:tc>
                <w:tcPr>
                  <w:tcW w:w="864" w:type="dxa"/>
                  <w:vAlign w:val="center"/>
                </w:tcPr>
                <w:p>
                  <w:pPr>
                    <w:pStyle w:val="20"/>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完成</w:t>
                  </w:r>
                </w:p>
                <w:p>
                  <w:pPr>
                    <w:pStyle w:val="20"/>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58" w:type="dxa"/>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循环冷却废水</w:t>
                  </w:r>
                </w:p>
              </w:tc>
              <w:tc>
                <w:tcPr>
                  <w:tcW w:w="864" w:type="dxa"/>
                  <w:vAlign w:val="center"/>
                </w:tcPr>
                <w:p>
                  <w:pPr>
                    <w:pStyle w:val="24"/>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color w:val="000000" w:themeColor="text1"/>
                      <w:kern w:val="0"/>
                      <w:sz w:val="21"/>
                      <w:szCs w:val="21"/>
                      <w:lang w:val="zh-CN" w:eastAsia="zh-CN" w:bidi="ar-SA"/>
                      <w14:textFill>
                        <w14:solidFill>
                          <w14:schemeClr w14:val="tx1"/>
                        </w14:solidFill>
                      </w14:textFill>
                    </w:rPr>
                  </w:pPr>
                  <w:r>
                    <w:rPr>
                      <w:rStyle w:val="19"/>
                      <w:rFonts w:hint="eastAsia" w:ascii="仿宋" w:hAnsi="仿宋" w:eastAsia="仿宋" w:cs="仿宋"/>
                      <w:color w:val="auto"/>
                      <w:sz w:val="21"/>
                      <w:szCs w:val="21"/>
                      <w:highlight w:val="none"/>
                      <w:lang w:val="en-US" w:eastAsia="zh-CN"/>
                    </w:rPr>
                    <w:t>油类、SS</w:t>
                  </w:r>
                </w:p>
              </w:tc>
              <w:tc>
                <w:tcPr>
                  <w:tcW w:w="2928" w:type="dxa"/>
                  <w:vAlign w:val="center"/>
                </w:tcPr>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000000" w:themeColor="text1"/>
                      <w:sz w:val="21"/>
                      <w:szCs w:val="21"/>
                      <w:lang w:val="zh-CN" w:eastAsia="zh-CN"/>
                      <w14:textFill>
                        <w14:solidFill>
                          <w14:schemeClr w14:val="tx1"/>
                        </w14:solidFill>
                      </w14:textFill>
                    </w:rPr>
                  </w:pPr>
                  <w:r>
                    <w:rPr>
                      <w:rFonts w:hint="eastAsia" w:ascii="仿宋" w:hAnsi="仿宋" w:eastAsia="仿宋" w:cs="仿宋"/>
                      <w:sz w:val="21"/>
                      <w:szCs w:val="21"/>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需定期更换少部分循环水，并补充新水，排水经现有下水系统收集并引至五矿污水处理厂，污水处理厂主体工艺采用A2/O处理工艺，处理达标后排放。</w:t>
                  </w:r>
                </w:p>
              </w:tc>
              <w:tc>
                <w:tcPr>
                  <w:tcW w:w="25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000000" w:themeColor="text1"/>
                      <w:sz w:val="21"/>
                      <w:szCs w:val="21"/>
                      <w:lang w:val="zh-CN" w:eastAsia="zh-CN" w:bidi="ar-SA"/>
                      <w14:textFill>
                        <w14:solidFill>
                          <w14:schemeClr w14:val="tx1"/>
                        </w14:solidFill>
                      </w14:textFill>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需定期更换少部分循环水，并补充新水，排水经现有下水系统收集并引至五矿污水处理厂，污水处理厂主体工艺采用A2/O处理工艺，处理达标后排放。</w:t>
                  </w:r>
                </w:p>
              </w:tc>
              <w:tc>
                <w:tcPr>
                  <w:tcW w:w="864" w:type="dxa"/>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color w:val="000000" w:themeColor="text1"/>
                      <w:sz w:val="21"/>
                      <w:szCs w:val="21"/>
                      <w:lang w:val="zh-CN" w:eastAsia="zh-CN"/>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58" w:type="dxa"/>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生活污水</w:t>
                  </w:r>
                </w:p>
              </w:tc>
              <w:tc>
                <w:tcPr>
                  <w:tcW w:w="864" w:type="dxa"/>
                  <w:vAlign w:val="center"/>
                </w:tcPr>
                <w:p>
                  <w:pPr>
                    <w:pStyle w:val="24"/>
                    <w:keepNext w:val="0"/>
                    <w:keepLines w:val="0"/>
                    <w:pageBreakBefore w:val="0"/>
                    <w:suppressLineNumbers w:val="0"/>
                    <w:kinsoku/>
                    <w:wordWrap/>
                    <w:overflowPunct/>
                    <w:topLinePunct w:val="0"/>
                    <w:bidi w:val="0"/>
                    <w:spacing w:before="0" w:beforeAutospacing="0" w:after="0" w:afterAutospacing="0" w:line="240" w:lineRule="auto"/>
                    <w:ind w:left="0" w:right="0"/>
                    <w:jc w:val="center"/>
                    <w:textAlignment w:val="auto"/>
                    <w:rPr>
                      <w:rStyle w:val="19"/>
                      <w:rFonts w:hint="default" w:ascii="仿宋" w:hAnsi="仿宋" w:eastAsia="仿宋" w:cs="仿宋"/>
                      <w:color w:val="auto"/>
                      <w:sz w:val="21"/>
                      <w:szCs w:val="21"/>
                      <w:highlight w:val="none"/>
                      <w:lang w:val="en-US" w:eastAsia="zh-CN"/>
                    </w:rPr>
                  </w:pPr>
                  <w:r>
                    <w:rPr>
                      <w:rStyle w:val="19"/>
                      <w:rFonts w:hint="eastAsia" w:ascii="仿宋" w:hAnsi="仿宋" w:eastAsia="仿宋" w:cs="仿宋"/>
                      <w:color w:val="auto"/>
                      <w:sz w:val="21"/>
                      <w:szCs w:val="21"/>
                      <w:highlight w:val="none"/>
                      <w:lang w:val="en-US" w:eastAsia="zh-CN"/>
                    </w:rPr>
                    <w:t>/</w:t>
                  </w:r>
                </w:p>
              </w:tc>
              <w:tc>
                <w:tcPr>
                  <w:tcW w:w="2928" w:type="dxa"/>
                  <w:vAlign w:val="center"/>
                </w:tcPr>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szCs w:val="21"/>
                    </w:rPr>
                  </w:pPr>
                  <w:r>
                    <w:rPr>
                      <w:rFonts w:hint="eastAsia" w:ascii="仿宋" w:hAnsi="仿宋" w:eastAsia="仿宋" w:cs="仿宋"/>
                      <w:sz w:val="21"/>
                      <w:szCs w:val="21"/>
                    </w:rPr>
                    <w:t>生活污水由办公生活区现有下水系统收集并引至电解铝分公司厂内污水处理设施处理后回用，不外排</w:t>
                  </w:r>
                  <w:r>
                    <w:rPr>
                      <w:rFonts w:hint="eastAsia" w:ascii="仿宋" w:hAnsi="仿宋" w:eastAsia="仿宋" w:cs="仿宋"/>
                      <w:sz w:val="21"/>
                      <w:szCs w:val="21"/>
                      <w:lang w:eastAsia="zh-CN"/>
                    </w:rPr>
                    <w:t>。</w:t>
                  </w:r>
                </w:p>
              </w:tc>
              <w:tc>
                <w:tcPr>
                  <w:tcW w:w="25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000000" w:themeColor="text1"/>
                      <w:sz w:val="21"/>
                      <w:szCs w:val="21"/>
                      <w:lang w:val="zh-CN" w:eastAsia="zh-CN" w:bidi="ar-SA"/>
                      <w14:textFill>
                        <w14:solidFill>
                          <w14:schemeClr w14:val="tx1"/>
                        </w14:solidFill>
                      </w14:textFill>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生活污水由办公生活区现有下水系统收集并引至电解铝分公司厂内污水处理设施处理后回用，不外排</w:t>
                  </w:r>
                  <w:r>
                    <w:rPr>
                      <w:rFonts w:hint="eastAsia" w:ascii="仿宋" w:hAnsi="仿宋" w:eastAsia="仿宋" w:cs="仿宋"/>
                      <w:sz w:val="21"/>
                      <w:szCs w:val="21"/>
                      <w:highlight w:val="none"/>
                      <w:lang w:eastAsia="zh-CN"/>
                    </w:rPr>
                    <w:t>。</w:t>
                  </w:r>
                </w:p>
              </w:tc>
              <w:tc>
                <w:tcPr>
                  <w:tcW w:w="864" w:type="dxa"/>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仿宋" w:hAnsi="仿宋" w:eastAsia="仿宋" w:cs="仿宋"/>
                      <w:color w:val="000000" w:themeColor="text1"/>
                      <w:sz w:val="21"/>
                      <w:szCs w:val="21"/>
                      <w:lang w:val="zh-CN" w:eastAsia="zh-CN"/>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bl>
          <w:p>
            <w:pPr>
              <w:pStyle w:val="20"/>
              <w:keepNext w:val="0"/>
              <w:keepLines w:val="0"/>
              <w:pageBreakBefore w:val="0"/>
              <w:widowControl w:val="0"/>
              <w:suppressLineNumbers w:val="0"/>
              <w:kinsoku/>
              <w:wordWrap/>
              <w:overflowPunct/>
              <w:topLinePunct w:val="0"/>
              <w:autoSpaceDE w:val="0"/>
              <w:autoSpaceDN w:val="0"/>
              <w:bidi w:val="0"/>
              <w:adjustRightInd/>
              <w:snapToGrid/>
              <w:spacing w:before="188" w:beforeLines="60" w:beforeAutospacing="0" w:after="0" w:afterAutospacing="0"/>
              <w:ind w:left="0" w:right="0"/>
              <w:jc w:val="center"/>
              <w:textAlignment w:val="auto"/>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表</w:t>
            </w: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 xml:space="preserve">3-3  </w:t>
            </w:r>
            <w:r>
              <w:rPr>
                <w:rFonts w:hint="eastAsia" w:ascii="仿宋" w:hAnsi="仿宋" w:eastAsia="仿宋" w:cs="仿宋"/>
                <w:b/>
                <w:bCs/>
                <w:color w:val="000000" w:themeColor="text1"/>
                <w:sz w:val="21"/>
                <w:szCs w:val="21"/>
                <w:vertAlign w:val="baseline"/>
                <w:lang w:eastAsia="zh-CN"/>
                <w14:textFill>
                  <w14:solidFill>
                    <w14:schemeClr w14:val="tx1"/>
                  </w14:solidFill>
                </w14:textFill>
              </w:rPr>
              <w:t>固废处置情况</w:t>
            </w:r>
          </w:p>
          <w:tbl>
            <w:tblPr>
              <w:tblStyle w:val="18"/>
              <w:tblW w:w="8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1170"/>
              <w:gridCol w:w="2325"/>
              <w:gridCol w:w="2878"/>
              <w:gridCol w:w="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72"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222A35" w:themeColor="text2" w:themeShade="80"/>
                      <w:sz w:val="21"/>
                      <w:szCs w:val="21"/>
                      <w:vertAlign w:val="baseline"/>
                      <w:lang w:eastAsia="zh-CN"/>
                    </w:rPr>
                  </w:pPr>
                  <w:r>
                    <w:rPr>
                      <w:rFonts w:hint="eastAsia" w:ascii="仿宋" w:hAnsi="仿宋" w:eastAsia="仿宋" w:cs="仿宋"/>
                      <w:b/>
                      <w:bCs/>
                      <w:color w:val="222A35" w:themeColor="text2" w:themeShade="80"/>
                      <w:sz w:val="21"/>
                      <w:szCs w:val="21"/>
                      <w:vertAlign w:val="baseline"/>
                      <w:lang w:eastAsia="zh-CN"/>
                    </w:rPr>
                    <w:t>排放源</w:t>
                  </w:r>
                </w:p>
              </w:tc>
              <w:tc>
                <w:tcPr>
                  <w:tcW w:w="1170"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222A35" w:themeColor="text2" w:themeShade="80"/>
                      <w:sz w:val="21"/>
                      <w:szCs w:val="21"/>
                      <w:vertAlign w:val="baseline"/>
                      <w:lang w:eastAsia="zh-CN"/>
                    </w:rPr>
                  </w:pPr>
                  <w:r>
                    <w:rPr>
                      <w:rFonts w:hint="eastAsia" w:ascii="仿宋" w:hAnsi="仿宋" w:eastAsia="仿宋" w:cs="仿宋"/>
                      <w:b/>
                      <w:bCs/>
                      <w:color w:val="222A35" w:themeColor="text2" w:themeShade="80"/>
                      <w:sz w:val="21"/>
                      <w:szCs w:val="21"/>
                      <w:vertAlign w:val="baseline"/>
                      <w:lang w:eastAsia="zh-CN"/>
                    </w:rPr>
                    <w:t>污染物</w:t>
                  </w:r>
                </w:p>
              </w:tc>
              <w:tc>
                <w:tcPr>
                  <w:tcW w:w="2325"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222A35" w:themeColor="text2" w:themeShade="80"/>
                      <w:sz w:val="21"/>
                      <w:szCs w:val="21"/>
                      <w:vertAlign w:val="baseline"/>
                      <w:lang w:eastAsia="zh-CN"/>
                    </w:rPr>
                  </w:pPr>
                  <w:r>
                    <w:rPr>
                      <w:rFonts w:hint="eastAsia" w:ascii="仿宋" w:hAnsi="仿宋" w:eastAsia="仿宋" w:cs="仿宋"/>
                      <w:b/>
                      <w:bCs/>
                      <w:color w:val="222A35" w:themeColor="text2" w:themeShade="80"/>
                      <w:sz w:val="21"/>
                      <w:szCs w:val="21"/>
                      <w:vertAlign w:val="baseline"/>
                      <w:lang w:eastAsia="zh-CN"/>
                    </w:rPr>
                    <w:t>环评要求</w:t>
                  </w:r>
                </w:p>
              </w:tc>
              <w:tc>
                <w:tcPr>
                  <w:tcW w:w="2878"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222A35" w:themeColor="text2" w:themeShade="80"/>
                      <w:sz w:val="21"/>
                      <w:szCs w:val="21"/>
                      <w:vertAlign w:val="baseline"/>
                      <w:lang w:eastAsia="zh-CN"/>
                    </w:rPr>
                  </w:pPr>
                  <w:r>
                    <w:rPr>
                      <w:rFonts w:hint="eastAsia" w:ascii="仿宋" w:hAnsi="仿宋" w:eastAsia="仿宋" w:cs="仿宋"/>
                      <w:b/>
                      <w:bCs/>
                      <w:color w:val="222A35" w:themeColor="text2" w:themeShade="80"/>
                      <w:sz w:val="21"/>
                      <w:szCs w:val="21"/>
                      <w:vertAlign w:val="baseline"/>
                      <w:lang w:eastAsia="zh-CN"/>
                    </w:rPr>
                    <w:t>实际处置措施</w:t>
                  </w:r>
                </w:p>
              </w:tc>
              <w:tc>
                <w:tcPr>
                  <w:tcW w:w="952" w:type="dxa"/>
                  <w:vAlign w:val="center"/>
                </w:tcPr>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完成</w:t>
                  </w:r>
                </w:p>
                <w:p>
                  <w:pPr>
                    <w:pStyle w:val="20"/>
                    <w:keepNext w:val="0"/>
                    <w:keepLines w:val="0"/>
                    <w:suppressLineNumbers w:val="0"/>
                    <w:spacing w:before="0" w:beforeAutospacing="0" w:after="0" w:afterAutospacing="0"/>
                    <w:ind w:left="0" w:right="0"/>
                    <w:jc w:val="center"/>
                    <w:rPr>
                      <w:rFonts w:hint="eastAsia" w:ascii="仿宋" w:hAnsi="仿宋" w:eastAsia="仿宋" w:cs="仿宋"/>
                      <w:b/>
                      <w:bCs/>
                      <w:color w:val="000000" w:themeColor="text1"/>
                      <w:sz w:val="21"/>
                      <w:szCs w:val="21"/>
                      <w:vertAlign w:val="baseline"/>
                      <w:lang w:eastAsia="zh-CN"/>
                      <w14:textFill>
                        <w14:solidFill>
                          <w14:schemeClr w14:val="tx1"/>
                        </w14:solidFill>
                      </w14:textFill>
                    </w:rPr>
                  </w:pPr>
                  <w:r>
                    <w:rPr>
                      <w:rFonts w:hint="eastAsia" w:ascii="仿宋" w:hAnsi="仿宋" w:eastAsia="仿宋" w:cs="仿宋"/>
                      <w:b/>
                      <w:bCs/>
                      <w:color w:val="000000" w:themeColor="text1"/>
                      <w:sz w:val="21"/>
                      <w:szCs w:val="21"/>
                      <w:vertAlign w:val="baseline"/>
                      <w:lang w:eastAsia="zh-CN"/>
                      <w14:textFill>
                        <w14:solidFill>
                          <w14:schemeClr w14:val="tx1"/>
                        </w14:solidFill>
                      </w14:textFill>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en-US" w:eastAsia="zh-CN"/>
                    </w:rPr>
                    <w:t>循环冷却水池</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bidi="ar-SA"/>
                    </w:rPr>
                    <w:t>沉积物</w:t>
                  </w:r>
                </w:p>
              </w:tc>
              <w:tc>
                <w:tcPr>
                  <w:tcW w:w="2325"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lang w:val="en-US" w:eastAsia="zh-CN" w:bidi="ar-SA"/>
                    </w:rPr>
                    <w:t>外售于电解铝分公司综合利用</w:t>
                  </w:r>
                </w:p>
              </w:tc>
              <w:tc>
                <w:tcPr>
                  <w:tcW w:w="2878"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highlight w:val="none"/>
                      <w:lang w:val="en-US" w:eastAsia="zh-CN" w:bidi="ar-SA"/>
                    </w:rPr>
                    <w:t>利旧，外售于电解铝分公司综合利用</w:t>
                  </w:r>
                </w:p>
              </w:tc>
              <w:tc>
                <w:tcPr>
                  <w:tcW w:w="952"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rPr>
                  </w:pPr>
                  <w:r>
                    <w:rPr>
                      <w:rFonts w:hint="eastAsia" w:ascii="仿宋" w:hAnsi="仿宋" w:eastAsia="仿宋" w:cs="仿宋"/>
                    </w:rPr>
                    <w:t>成品</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rPr>
                  </w:pPr>
                  <w:r>
                    <w:rPr>
                      <w:rFonts w:hint="eastAsia" w:ascii="仿宋" w:hAnsi="仿宋" w:eastAsia="仿宋" w:cs="仿宋"/>
                    </w:rPr>
                    <w:t>检验</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en-US" w:eastAsia="zh-CN"/>
                    </w:rPr>
                    <w:t>不合格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en-US" w:eastAsia="zh-CN"/>
                    </w:rPr>
                    <w:t>产品</w:t>
                  </w:r>
                </w:p>
              </w:tc>
              <w:tc>
                <w:tcPr>
                  <w:tcW w:w="232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color w:val="222A35" w:themeColor="text2" w:themeShade="80"/>
                      <w:sz w:val="21"/>
                      <w:szCs w:val="21"/>
                    </w:rPr>
                  </w:pPr>
                </w:p>
              </w:tc>
              <w:tc>
                <w:tcPr>
                  <w:tcW w:w="2878"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c>
                <w:tcPr>
                  <w:tcW w:w="95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color w:val="222A35" w:themeColor="text2" w:themeShade="80"/>
                      <w:sz w:val="21"/>
                      <w:szCs w:val="21"/>
                    </w:rPr>
                    <w:t>除尘</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color w:val="222A35" w:themeColor="text2" w:themeShade="80"/>
                      <w:sz w:val="21"/>
                      <w:szCs w:val="21"/>
                    </w:rPr>
                    <w:t>设施</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除尘灰</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lang w:val="en-US" w:eastAsia="zh-CN" w:bidi="ar-SA"/>
                    </w:rPr>
                    <w:t>清灰时启动除尘器脉冲反吹装置将设备内除尘灰吹引至除尘器下方设置的收集袋内，定期更换收集袋。除尘灰分区暂存危废间，并定期清运。</w:t>
                  </w:r>
                </w:p>
              </w:tc>
              <w:tc>
                <w:tcPr>
                  <w:tcW w:w="287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highlight w:val="none"/>
                      <w:lang w:val="en-US" w:eastAsia="zh-CN" w:bidi="ar-SA"/>
                    </w:rPr>
                    <w:t>依托，清灰时启动除尘器脉冲反吹装置将设备内除尘灰吹引至除尘器下方设置的收集袋内，定期更换收集袋。除尘灰分区暂存危废间，并定期清运。</w:t>
                  </w:r>
                </w:p>
              </w:tc>
              <w:tc>
                <w:tcPr>
                  <w:tcW w:w="9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rPr>
                    <w:t>铝液使用过程</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zh-CN"/>
                    </w:rPr>
                    <w:t>铝灰</w:t>
                  </w:r>
                </w:p>
              </w:tc>
              <w:tc>
                <w:tcPr>
                  <w:tcW w:w="2325"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eastAsia="zh-CN"/>
                    </w:rPr>
                  </w:pPr>
                  <w:r>
                    <w:rPr>
                      <w:rFonts w:hint="eastAsia" w:ascii="仿宋" w:hAnsi="仿宋" w:eastAsia="仿宋" w:cs="仿宋"/>
                      <w:kern w:val="0"/>
                      <w:sz w:val="21"/>
                      <w:szCs w:val="21"/>
                      <w:lang w:val="en-US" w:eastAsia="zh-CN" w:bidi="ar-SA"/>
                    </w:rPr>
                    <w:t>暂存于厂内1座140m</w:t>
                  </w:r>
                  <w:r>
                    <w:rPr>
                      <w:rFonts w:hint="eastAsia" w:ascii="仿宋" w:hAnsi="仿宋" w:eastAsia="仿宋" w:cs="仿宋"/>
                      <w:kern w:val="0"/>
                      <w:sz w:val="21"/>
                      <w:szCs w:val="21"/>
                      <w:vertAlign w:val="superscript"/>
                      <w:lang w:val="en-US" w:eastAsia="zh-CN" w:bidi="ar-SA"/>
                    </w:rPr>
                    <w:t>2</w:t>
                  </w:r>
                  <w:r>
                    <w:rPr>
                      <w:rFonts w:hint="eastAsia" w:ascii="仿宋" w:hAnsi="仿宋" w:eastAsia="仿宋" w:cs="仿宋"/>
                      <w:kern w:val="0"/>
                      <w:sz w:val="21"/>
                      <w:szCs w:val="21"/>
                      <w:lang w:val="en-US" w:eastAsia="zh-CN" w:bidi="ar-SA"/>
                    </w:rPr>
                    <w:t>的危废暂存间内，长*宽*高：22m*6.4m*3m，位于车间（北跨）东北角，按规范设置了围堰、导流渠及收集井等，库内危险废物分区暂存，定期委托资质单位进行协同处置</w:t>
                  </w:r>
                </w:p>
              </w:tc>
              <w:tc>
                <w:tcPr>
                  <w:tcW w:w="2878"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highlight w:val="none"/>
                      <w:lang w:val="en-US" w:eastAsia="zh-CN" w:bidi="ar-SA"/>
                    </w:rPr>
                    <w:t>实际</w:t>
                  </w:r>
                  <w:r>
                    <w:rPr>
                      <w:rFonts w:hint="eastAsia" w:ascii="仿宋" w:hAnsi="仿宋" w:eastAsia="仿宋" w:cs="仿宋"/>
                      <w:color w:val="181717" w:themeColor="background2" w:themeShade="1A"/>
                      <w:kern w:val="0"/>
                      <w:sz w:val="21"/>
                      <w:szCs w:val="21"/>
                      <w:highlight w:val="none"/>
                      <w:lang w:val="en-US" w:eastAsia="zh-CN" w:bidi="ar-SA"/>
                    </w:rPr>
                    <w:t>建设2座危废暂存间，危废间1（140㎡），危废间2（20㎡），按规范设置了围堰、导流渠及收集井等，</w:t>
                  </w:r>
                  <w:r>
                    <w:rPr>
                      <w:rFonts w:hint="eastAsia" w:ascii="仿宋" w:hAnsi="仿宋" w:eastAsia="仿宋" w:cs="仿宋"/>
                      <w:kern w:val="0"/>
                      <w:sz w:val="21"/>
                      <w:szCs w:val="21"/>
                      <w:highlight w:val="none"/>
                      <w:lang w:val="en-US" w:eastAsia="zh-CN" w:bidi="ar-SA"/>
                    </w:rPr>
                    <w:t>库内危险废物分区暂存，定期委托资质单位进行协同处置。</w:t>
                  </w:r>
                </w:p>
              </w:tc>
              <w:tc>
                <w:tcPr>
                  <w:tcW w:w="952"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eastAsia="微软雅黑"/>
                      <w:lang w:val="en-US" w:eastAsia="zh-CN"/>
                    </w:rPr>
                  </w:pPr>
                  <w:r>
                    <w:rPr>
                      <w:rFonts w:hint="eastAsia" w:ascii="仿宋" w:hAnsi="仿宋" w:eastAsia="仿宋" w:cs="仿宋"/>
                      <w:lang w:val="en-US" w:eastAsia="zh-CN"/>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rPr>
                    <w:t>连轧机生产过程</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zh-CN"/>
                    </w:rPr>
                    <w:t>废乳化油</w:t>
                  </w:r>
                </w:p>
              </w:tc>
              <w:tc>
                <w:tcPr>
                  <w:tcW w:w="232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color w:val="222A35" w:themeColor="text2" w:themeShade="80"/>
                      <w:sz w:val="21"/>
                      <w:szCs w:val="21"/>
                    </w:rPr>
                  </w:pPr>
                </w:p>
              </w:tc>
              <w:tc>
                <w:tcPr>
                  <w:tcW w:w="2878"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c>
                <w:tcPr>
                  <w:tcW w:w="95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rPr>
                    <w:t>冷却废水治理设施</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zh-CN"/>
                    </w:rPr>
                    <w:t>油泥</w:t>
                  </w:r>
                </w:p>
              </w:tc>
              <w:tc>
                <w:tcPr>
                  <w:tcW w:w="232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color w:val="222A35" w:themeColor="text2" w:themeShade="80"/>
                      <w:sz w:val="21"/>
                      <w:szCs w:val="21"/>
                    </w:rPr>
                  </w:pPr>
                </w:p>
              </w:tc>
              <w:tc>
                <w:tcPr>
                  <w:tcW w:w="2878"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c>
                <w:tcPr>
                  <w:tcW w:w="95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72"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rPr>
                    <w:t>维修保养生产设备</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zh-CN"/>
                    </w:rPr>
                    <w:t>废润滑油</w:t>
                  </w:r>
                </w:p>
              </w:tc>
              <w:tc>
                <w:tcPr>
                  <w:tcW w:w="232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color w:val="222A35" w:themeColor="text2" w:themeShade="80"/>
                      <w:sz w:val="21"/>
                      <w:szCs w:val="21"/>
                    </w:rPr>
                  </w:pPr>
                </w:p>
              </w:tc>
              <w:tc>
                <w:tcPr>
                  <w:tcW w:w="2878"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c>
                <w:tcPr>
                  <w:tcW w:w="95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7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en-US" w:eastAsia="zh-CN"/>
                    </w:rPr>
                  </w:pPr>
                  <w:r>
                    <w:rPr>
                      <w:rFonts w:hint="eastAsia" w:ascii="仿宋" w:hAnsi="仿宋" w:eastAsia="仿宋" w:cs="仿宋"/>
                      <w:color w:val="222A35" w:themeColor="text2" w:themeShade="80"/>
                      <w:sz w:val="21"/>
                      <w:szCs w:val="21"/>
                      <w:lang w:val="zh-CN"/>
                    </w:rPr>
                    <w:t>废棉纱</w:t>
                  </w:r>
                </w:p>
              </w:tc>
              <w:tc>
                <w:tcPr>
                  <w:tcW w:w="232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color w:val="222A35" w:themeColor="text2" w:themeShade="80"/>
                      <w:sz w:val="21"/>
                      <w:szCs w:val="21"/>
                    </w:rPr>
                  </w:pPr>
                </w:p>
              </w:tc>
              <w:tc>
                <w:tcPr>
                  <w:tcW w:w="2878"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c>
                <w:tcPr>
                  <w:tcW w:w="95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072"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rPr>
                    <w:t>废包装桶</w:t>
                  </w:r>
                </w:p>
              </w:tc>
              <w:tc>
                <w:tcPr>
                  <w:tcW w:w="2325"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kern w:val="0"/>
                      <w:sz w:val="21"/>
                      <w:szCs w:val="21"/>
                      <w:lang w:val="en-US" w:eastAsia="zh-CN" w:bidi="ar-SA"/>
                    </w:rPr>
                  </w:pPr>
                </w:p>
              </w:tc>
              <w:tc>
                <w:tcPr>
                  <w:tcW w:w="287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lang w:val="en-US" w:eastAsia="zh-CN" w:bidi="ar-SA"/>
                    </w:rPr>
                    <w:t>废包装桶由厂家回收</w:t>
                  </w:r>
                </w:p>
              </w:tc>
              <w:tc>
                <w:tcPr>
                  <w:tcW w:w="9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废包装桶由厂家回收</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,与环评不一致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0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color w:val="222A35" w:themeColor="text2" w:themeShade="80"/>
                      <w:sz w:val="21"/>
                      <w:szCs w:val="21"/>
                    </w:rPr>
                    <w:t>职工办</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rPr>
                    <w:t>公生活</w:t>
                  </w:r>
                </w:p>
              </w:tc>
              <w:tc>
                <w:tcPr>
                  <w:tcW w:w="117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rPr>
                    <w:t>生活垃圾</w:t>
                  </w:r>
                </w:p>
              </w:tc>
              <w:tc>
                <w:tcPr>
                  <w:tcW w:w="23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lang w:val="en-US" w:eastAsia="zh-CN" w:bidi="ar-SA"/>
                    </w:rPr>
                    <w:t>厂内指定地点设带盖垃圾桶，集中后由厂内垃圾运输车转运至平定县生活垃圾处理厂进行处理</w:t>
                  </w:r>
                </w:p>
              </w:tc>
              <w:tc>
                <w:tcPr>
                  <w:tcW w:w="287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kern w:val="0"/>
                      <w:sz w:val="21"/>
                      <w:szCs w:val="21"/>
                      <w:highlight w:val="none"/>
                      <w:lang w:val="en-US" w:eastAsia="zh-CN" w:bidi="ar-SA"/>
                    </w:rPr>
                    <w:t>厂内指定地点设带盖垃圾桶，集中后由厂内垃圾运输车转运至平定县生活垃圾处理厂进行处理</w:t>
                  </w:r>
                </w:p>
              </w:tc>
              <w:tc>
                <w:tcPr>
                  <w:tcW w:w="9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bl>
          <w:p>
            <w:pPr>
              <w:pStyle w:val="2"/>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ind w:left="0" w:right="0"/>
              <w:jc w:val="center"/>
              <w:textAlignment w:val="auto"/>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ind w:left="0" w:right="0"/>
              <w:jc w:val="center"/>
              <w:textAlignment w:val="auto"/>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表3-4  噪声处置情况</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6"/>
              <w:gridCol w:w="900"/>
              <w:gridCol w:w="2509"/>
              <w:gridCol w:w="2892"/>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096"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sz w:val="21"/>
                      <w:szCs w:val="21"/>
                      <w:vertAlign w:val="baseline"/>
                      <w:lang w:val="en-US" w:eastAsia="zh-CN" w:bidi="ar-SA"/>
                    </w:rPr>
                    <w:t>排放源</w:t>
                  </w:r>
                </w:p>
              </w:tc>
              <w:tc>
                <w:tcPr>
                  <w:tcW w:w="900"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sz w:val="21"/>
                      <w:szCs w:val="21"/>
                      <w:vertAlign w:val="baseline"/>
                      <w:lang w:val="en-US" w:eastAsia="zh-CN" w:bidi="ar-SA"/>
                    </w:rPr>
                    <w:t>污染物</w:t>
                  </w:r>
                </w:p>
              </w:tc>
              <w:tc>
                <w:tcPr>
                  <w:tcW w:w="2509"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sz w:val="21"/>
                      <w:szCs w:val="21"/>
                      <w:vertAlign w:val="baseline"/>
                      <w:lang w:val="en-US" w:eastAsia="zh-CN" w:bidi="ar-SA"/>
                    </w:rPr>
                    <w:t>环评要求</w:t>
                  </w:r>
                </w:p>
              </w:tc>
              <w:tc>
                <w:tcPr>
                  <w:tcW w:w="2892"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sz w:val="21"/>
                      <w:szCs w:val="21"/>
                      <w:vertAlign w:val="baseline"/>
                      <w:lang w:val="en-US" w:eastAsia="zh-CN" w:bidi="ar-SA"/>
                    </w:rPr>
                    <w:t>实际处置措施</w:t>
                  </w:r>
                </w:p>
              </w:tc>
              <w:tc>
                <w:tcPr>
                  <w:tcW w:w="899" w:type="dxa"/>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sz w:val="21"/>
                      <w:szCs w:val="21"/>
                      <w:vertAlign w:val="baseline"/>
                      <w:lang w:val="en-US" w:eastAsia="zh-CN" w:bidi="ar-SA"/>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6" w:type="dxa"/>
                  <w:vAlign w:val="center"/>
                </w:tcPr>
                <w:p>
                  <w:pPr>
                    <w:pStyle w:val="2"/>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color w:val="000000" w:themeColor="text1"/>
                      <w:sz w:val="21"/>
                      <w:szCs w:val="21"/>
                      <w:vertAlign w:val="baseline"/>
                      <w:lang w:val="en-US" w:eastAsia="zh-CN"/>
                      <w14:textFill>
                        <w14:solidFill>
                          <w14:schemeClr w14:val="tx1"/>
                        </w14:solidFill>
                      </w14:textFill>
                    </w:rPr>
                    <w:t>产噪设备</w:t>
                  </w:r>
                </w:p>
              </w:tc>
              <w:tc>
                <w:tcPr>
                  <w:tcW w:w="900" w:type="dxa"/>
                  <w:vAlign w:val="center"/>
                </w:tcPr>
                <w:p>
                  <w:pPr>
                    <w:pStyle w:val="2"/>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color w:val="000000" w:themeColor="text1"/>
                      <w:sz w:val="21"/>
                      <w:szCs w:val="21"/>
                      <w:vertAlign w:val="baseline"/>
                      <w:lang w:val="en-US" w:eastAsia="zh-CN"/>
                      <w14:textFill>
                        <w14:solidFill>
                          <w14:schemeClr w14:val="tx1"/>
                        </w14:solidFill>
                      </w14:textFill>
                    </w:rPr>
                    <w:t>噪声</w:t>
                  </w:r>
                </w:p>
              </w:tc>
              <w:tc>
                <w:tcPr>
                  <w:tcW w:w="2509" w:type="dxa"/>
                  <w:vAlign w:val="center"/>
                </w:tcPr>
                <w:p>
                  <w:pPr>
                    <w:keepNext w:val="0"/>
                    <w:keepLines w:val="0"/>
                    <w:widowControl w:val="0"/>
                    <w:suppressLineNumbers w:val="0"/>
                    <w:adjustRightInd w:val="0"/>
                    <w:snapToGrid w:val="0"/>
                    <w:spacing w:before="24" w:beforeLines="10" w:beforeAutospacing="0" w:after="24" w:afterLines="10" w:afterAutospacing="0" w:line="36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sz w:val="21"/>
                      <w:szCs w:val="21"/>
                      <w:lang w:val="en-US" w:eastAsia="zh-CN"/>
                    </w:rPr>
                    <w:t>优先选用低噪声设备，高噪声设备底部设置基础减震，生产设备尽可能置于密闭车间内。</w:t>
                  </w:r>
                </w:p>
              </w:tc>
              <w:tc>
                <w:tcPr>
                  <w:tcW w:w="2892" w:type="dxa"/>
                  <w:vAlign w:val="center"/>
                </w:tcPr>
                <w:p>
                  <w:pPr>
                    <w:keepNext w:val="0"/>
                    <w:keepLines w:val="0"/>
                    <w:widowControl w:val="0"/>
                    <w:suppressLineNumbers w:val="0"/>
                    <w:adjustRightInd w:val="0"/>
                    <w:snapToGrid w:val="0"/>
                    <w:spacing w:before="24" w:beforeLines="10" w:beforeAutospacing="0" w:after="24" w:afterLines="10" w:afterAutospacing="0" w:line="36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sz w:val="21"/>
                      <w:szCs w:val="21"/>
                      <w:lang w:val="en-US" w:eastAsia="zh-CN"/>
                    </w:rPr>
                    <w:t>已优先选用低噪声设备，高噪声设备底部设置基础减震，生产设备尽可能置于密闭车间内</w:t>
                  </w:r>
                </w:p>
              </w:tc>
              <w:tc>
                <w:tcPr>
                  <w:tcW w:w="899" w:type="dxa"/>
                  <w:vAlign w:val="center"/>
                </w:tcPr>
                <w:p>
                  <w:pPr>
                    <w:keepNext w:val="0"/>
                    <w:keepLines w:val="0"/>
                    <w:widowControl w:val="0"/>
                    <w:suppressLineNumbers w:val="0"/>
                    <w:adjustRightInd w:val="0"/>
                    <w:snapToGrid w:val="0"/>
                    <w:spacing w:before="24" w:beforeLines="10" w:beforeAutospacing="0" w:after="24" w:afterLines="10" w:afterAutospacing="0" w:line="360" w:lineRule="auto"/>
                    <w:ind w:left="0" w:leftChars="0" w:right="0" w:rightChars="0"/>
                    <w:jc w:val="center"/>
                    <w:rPr>
                      <w:rFonts w:hint="eastAsia" w:ascii="仿宋" w:hAnsi="仿宋" w:eastAsia="仿宋" w:cs="仿宋"/>
                      <w:color w:val="000000" w:themeColor="text1"/>
                      <w:sz w:val="21"/>
                      <w:szCs w:val="21"/>
                      <w:vertAlign w:val="baseline"/>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与环评一致</w:t>
                  </w:r>
                </w:p>
              </w:tc>
            </w:tr>
          </w:tbl>
          <w:p>
            <w:pPr>
              <w:pStyle w:val="2"/>
              <w:keepNext w:val="0"/>
              <w:keepLines w:val="0"/>
              <w:suppressLineNumbers w:val="0"/>
              <w:spacing w:before="0" w:beforeAutospacing="0" w:after="0" w:afterAutospacing="0"/>
              <w:ind w:left="0" w:right="0"/>
              <w:jc w:val="both"/>
              <w:rPr>
                <w:rFonts w:hint="eastAsia" w:ascii="仿宋" w:hAnsi="仿宋" w:eastAsia="仿宋" w:cs="仿宋"/>
                <w:color w:val="000000" w:themeColor="text1"/>
                <w:vertAlign w:val="baseline"/>
                <w:lang w:val="en-US" w:eastAsia="zh-CN"/>
                <w14:textFill>
                  <w14:solidFill>
                    <w14:schemeClr w14:val="tx1"/>
                  </w14:solidFill>
                </w14:textFill>
              </w:rPr>
            </w:pPr>
          </w:p>
        </w:tc>
      </w:tr>
    </w:tbl>
    <w:p>
      <w:pPr>
        <w:rPr>
          <w:rFonts w:hint="eastAsia" w:ascii="仿宋" w:hAnsi="仿宋" w:eastAsia="仿宋" w:cs="仿宋"/>
        </w:rPr>
      </w:pPr>
    </w:p>
    <w:tbl>
      <w:tblPr>
        <w:tblStyle w:val="1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024" w:type="dxa"/>
            <w:tcBorders>
              <w:top w:val="nil"/>
              <w:left w:val="nil"/>
              <w:bottom w:val="single" w:color="auto" w:sz="4" w:space="0"/>
              <w:right w:val="nil"/>
            </w:tcBorders>
            <w:vAlign w:val="top"/>
          </w:tcPr>
          <w:p>
            <w:pPr>
              <w:pStyle w:val="3"/>
              <w:widowControl/>
              <w:suppressLineNumbers w:val="0"/>
              <w:bidi w:val="0"/>
              <w:spacing w:before="0" w:beforeAutospacing="0" w:afterAutospacing="0"/>
              <w:ind w:left="0" w:right="0"/>
              <w:rPr>
                <w:rFonts w:hint="eastAsia" w:ascii="仿宋" w:hAnsi="仿宋" w:eastAsia="仿宋" w:cs="仿宋"/>
                <w:color w:val="181717" w:themeColor="background2" w:themeShade="1A"/>
                <w:szCs w:val="28"/>
                <w:vertAlign w:val="baseline"/>
                <w:lang w:val="en-US" w:eastAsia="zh-CN"/>
              </w:rPr>
            </w:pPr>
            <w:bookmarkStart w:id="8" w:name="_Toc894"/>
            <w:r>
              <w:rPr>
                <w:rFonts w:hint="eastAsia"/>
                <w:lang w:val="en-US" w:eastAsia="zh-CN"/>
              </w:rPr>
              <w:t>表四 环评报告表及环评批复对本工程的环保要求及完成情况</w:t>
            </w:r>
            <w:bookmarkEnd w:id="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6" w:hRule="atLeast"/>
          <w:jc w:val="center"/>
        </w:trPr>
        <w:tc>
          <w:tcPr>
            <w:tcW w:w="9024" w:type="dxa"/>
            <w:tcBorders>
              <w:top w:val="single" w:color="auto" w:sz="4" w:space="0"/>
            </w:tcBorders>
            <w:vAlign w:val="top"/>
          </w:tcPr>
          <w:p>
            <w:pPr>
              <w:pStyle w:val="4"/>
              <w:pageBreakBefore w:val="0"/>
              <w:widowControl/>
              <w:suppressLineNumbers w:val="0"/>
              <w:kinsoku/>
              <w:wordWrap/>
              <w:overflowPunct/>
              <w:topLinePunct w:val="0"/>
              <w:bidi w:val="0"/>
              <w:adjustRightInd w:val="0"/>
              <w:spacing w:before="0" w:after="0" w:afterLines="0" w:line="520" w:lineRule="exact"/>
              <w:ind w:left="0" w:right="0"/>
              <w:textAlignment w:val="auto"/>
              <w:rPr>
                <w:rFonts w:hint="eastAsia"/>
                <w:lang w:val="en-US" w:eastAsia="zh-CN"/>
              </w:rPr>
            </w:pPr>
            <w:bookmarkStart w:id="9" w:name="_Toc26059"/>
            <w:r>
              <w:rPr>
                <w:rFonts w:hint="eastAsia"/>
                <w:lang w:val="en-US" w:eastAsia="zh-CN"/>
              </w:rPr>
              <w:t>4.1 环评报告表完成情况</w:t>
            </w:r>
            <w:bookmarkEnd w:id="9"/>
          </w:p>
          <w:p>
            <w:pPr>
              <w:pStyle w:val="2"/>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520" w:lineRule="exact"/>
              <w:ind w:left="0" w:right="0"/>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表4-1  环评报告表对本工程的环保要求及完成情况</w:t>
            </w:r>
          </w:p>
          <w:tbl>
            <w:tblPr>
              <w:tblStyle w:val="1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39"/>
              <w:gridCol w:w="439"/>
              <w:gridCol w:w="719"/>
              <w:gridCol w:w="647"/>
              <w:gridCol w:w="3216"/>
              <w:gridCol w:w="2601"/>
              <w:gridCol w:w="73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8" w:hRule="atLeast"/>
                <w:jc w:val="center"/>
              </w:trPr>
              <w:tc>
                <w:tcPr>
                  <w:tcW w:w="43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序号</w:t>
                  </w:r>
                </w:p>
              </w:tc>
              <w:tc>
                <w:tcPr>
                  <w:tcW w:w="43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分类</w:t>
                  </w:r>
                </w:p>
              </w:tc>
              <w:tc>
                <w:tcPr>
                  <w:tcW w:w="71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排放源</w:t>
                  </w:r>
                </w:p>
              </w:tc>
              <w:tc>
                <w:tcPr>
                  <w:tcW w:w="647"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污染物</w:t>
                  </w:r>
                </w:p>
              </w:tc>
              <w:tc>
                <w:tcPr>
                  <w:tcW w:w="321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2" w:right="0" w:hanging="2" w:hangingChars="1"/>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环评要求</w:t>
                  </w:r>
                </w:p>
              </w:tc>
              <w:tc>
                <w:tcPr>
                  <w:tcW w:w="260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2" w:right="0" w:hanging="2" w:hangingChars="1"/>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实际处置措施</w:t>
                  </w:r>
                </w:p>
              </w:tc>
              <w:tc>
                <w:tcPr>
                  <w:tcW w:w="73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2" w:right="0" w:hanging="2" w:hangingChars="1"/>
                    <w:jc w:val="center"/>
                    <w:textAlignment w:val="auto"/>
                    <w:rPr>
                      <w:rFonts w:hint="eastAsia" w:ascii="仿宋" w:hAnsi="仿宋" w:eastAsia="仿宋" w:cs="仿宋"/>
                      <w:b/>
                      <w:bCs/>
                      <w:color w:val="181717" w:themeColor="background2" w:themeShade="1A"/>
                      <w:spacing w:val="6"/>
                      <w:kern w:val="0"/>
                      <w:sz w:val="21"/>
                      <w:szCs w:val="21"/>
                      <w:lang w:val="en-US" w:eastAsia="zh-CN" w:bidi="ar-SA"/>
                    </w:rPr>
                  </w:pPr>
                  <w:r>
                    <w:rPr>
                      <w:rFonts w:hint="eastAsia" w:ascii="仿宋" w:hAnsi="仿宋" w:eastAsia="仿宋" w:cs="仿宋"/>
                      <w:b/>
                      <w:bCs/>
                      <w:color w:val="181717" w:themeColor="background2" w:themeShade="1A"/>
                      <w:spacing w:val="6"/>
                      <w:kern w:val="0"/>
                      <w:sz w:val="21"/>
                      <w:szCs w:val="21"/>
                      <w:lang w:val="en-US" w:eastAsia="zh-CN" w:bidi="ar-SA"/>
                    </w:rPr>
                    <w:t>完成情况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80" w:hRule="atLeast"/>
                <w:jc w:val="center"/>
              </w:trPr>
              <w:tc>
                <w:tcPr>
                  <w:tcW w:w="439" w:type="dxa"/>
                  <w:vMerge w:val="restart"/>
                  <w:noWrap w:val="0"/>
                  <w:vAlign w:val="center"/>
                </w:tcPr>
                <w:p>
                  <w:pPr>
                    <w:keepNext w:val="0"/>
                    <w:keepLines w:val="0"/>
                    <w:widowControl/>
                    <w:suppressLineNumbers w:val="0"/>
                    <w:spacing w:before="0" w:beforeAutospacing="0" w:afterAutospacing="0"/>
                    <w:ind w:left="0" w:right="0"/>
                    <w:jc w:val="center"/>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restart"/>
                  <w:noWrap w:val="0"/>
                  <w:vAlign w:val="center"/>
                </w:tcPr>
                <w:p>
                  <w:pPr>
                    <w:keepNext w:val="0"/>
                    <w:keepLines w:val="0"/>
                    <w:widowControl/>
                    <w:suppressLineNumbers w:val="0"/>
                    <w:spacing w:before="0" w:beforeAutospacing="0" w:afterAutospacing="0"/>
                    <w:ind w:left="0" w:right="0"/>
                    <w:jc w:val="center"/>
                    <w:rPr>
                      <w:rFonts w:hint="eastAsia" w:ascii="仿宋" w:hAnsi="仿宋" w:eastAsia="仿宋" w:cs="仿宋"/>
                      <w:color w:val="181717" w:themeColor="background2" w:themeShade="1A"/>
                      <w:spacing w:val="6"/>
                      <w:kern w:val="0"/>
                      <w:sz w:val="21"/>
                      <w:szCs w:val="21"/>
                      <w:lang w:val="en-US" w:eastAsia="zh-CN" w:bidi="ar-SA"/>
                    </w:rPr>
                  </w:pPr>
                </w:p>
              </w:tc>
              <w:tc>
                <w:tcPr>
                  <w:tcW w:w="719" w:type="dxa"/>
                  <w:noWrap w:val="0"/>
                  <w:vAlign w:val="center"/>
                </w:tcPr>
                <w:p>
                  <w:pPr>
                    <w:keepNext w:val="0"/>
                    <w:keepLines w:val="0"/>
                    <w:widowControl w:val="0"/>
                    <w:suppressLineNumbers w:val="0"/>
                    <w:spacing w:before="0" w:beforeAutospacing="0" w:afterAutospacing="0"/>
                    <w:ind w:left="0" w:leftChars="0" w:right="0" w:rightChars="0"/>
                    <w:jc w:val="center"/>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rPr>
                    <w:t>新增保温炉投料口</w:t>
                  </w:r>
                </w:p>
              </w:tc>
              <w:tc>
                <w:tcPr>
                  <w:tcW w:w="647"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181717" w:themeColor="background2" w:themeShade="1A"/>
                      <w:spacing w:val="6"/>
                      <w:kern w:val="0"/>
                      <w:sz w:val="21"/>
                      <w:szCs w:val="21"/>
                      <w:lang w:val="en-US" w:eastAsia="zh-CN" w:bidi="ar-SA"/>
                    </w:rPr>
                    <w:t>颗粒物</w:t>
                  </w:r>
                </w:p>
              </w:tc>
              <w:tc>
                <w:tcPr>
                  <w:tcW w:w="321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lang w:val="en-US" w:eastAsia="zh-CN" w:bidi="ar-SA"/>
                    </w:rPr>
                    <w:t>在新建保温炉投料口上方设置圆形升降螺旋伞形罩（顶吸式），引风机风量设置为15000m</w:t>
                  </w:r>
                  <w:r>
                    <w:rPr>
                      <w:rFonts w:hint="eastAsia" w:ascii="仿宋" w:hAnsi="仿宋" w:eastAsia="仿宋" w:cs="仿宋"/>
                      <w:sz w:val="21"/>
                      <w:szCs w:val="21"/>
                      <w:vertAlign w:val="superscript"/>
                      <w:lang w:val="en-US" w:eastAsia="zh-CN" w:bidi="ar-SA"/>
                    </w:rPr>
                    <w:t>3</w:t>
                  </w:r>
                  <w:r>
                    <w:rPr>
                      <w:rFonts w:hint="eastAsia" w:ascii="仿宋" w:hAnsi="仿宋" w:eastAsia="仿宋" w:cs="仿宋"/>
                      <w:sz w:val="21"/>
                      <w:szCs w:val="21"/>
                      <w:lang w:val="en-US" w:eastAsia="zh-CN" w:bidi="ar-SA"/>
                    </w:rPr>
                    <w:t>/h，集气效率按90%计，废气在引风机作用下由集气罩上方连接的管道引至1套脉冲式布袋除尘器进行处理，除尘器过滤面积为240m</w:t>
                  </w:r>
                  <w:r>
                    <w:rPr>
                      <w:rFonts w:hint="eastAsia" w:ascii="仿宋" w:hAnsi="仿宋" w:eastAsia="仿宋" w:cs="仿宋"/>
                      <w:sz w:val="21"/>
                      <w:szCs w:val="21"/>
                      <w:vertAlign w:val="superscript"/>
                      <w:lang w:val="en-US" w:eastAsia="zh-CN" w:bidi="ar-SA"/>
                    </w:rPr>
                    <w:t>2</w:t>
                  </w:r>
                  <w:r>
                    <w:rPr>
                      <w:rFonts w:hint="eastAsia" w:ascii="仿宋" w:hAnsi="仿宋" w:eastAsia="仿宋" w:cs="仿宋"/>
                      <w:sz w:val="21"/>
                      <w:szCs w:val="21"/>
                      <w:lang w:val="en-US" w:eastAsia="zh-CN" w:bidi="ar-SA"/>
                    </w:rPr>
                    <w:t>，过滤风速为0.6m/min，废气最终通过1根15m高的排气筒排放（DA002）。</w:t>
                  </w:r>
                </w:p>
              </w:tc>
              <w:tc>
                <w:tcPr>
                  <w:tcW w:w="260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highlight w:val="none"/>
                      <w:lang w:val="en-US" w:eastAsia="zh-CN" w:bidi="ar-SA"/>
                    </w:rPr>
                    <w:t>新建，保温炉投料口上方已设置圆形升降螺旋伞形罩（顶吸式），废气由集气罩上方连接的管道引至1套脉冲式布袋除尘器进行处理，废气最终通过1根15m高的排气筒排放（DA002）。</w:t>
                  </w:r>
                </w:p>
              </w:tc>
              <w:tc>
                <w:tcPr>
                  <w:tcW w:w="73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highlight w:val="none"/>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80" w:hRule="atLeast"/>
                <w:jc w:val="center"/>
              </w:trPr>
              <w:tc>
                <w:tcPr>
                  <w:tcW w:w="439" w:type="dxa"/>
                  <w:vMerge w:val="continue"/>
                  <w:noWrap w:val="0"/>
                  <w:vAlign w:val="center"/>
                </w:tcPr>
                <w:p>
                  <w:pPr>
                    <w:keepNext w:val="0"/>
                    <w:keepLines w:val="0"/>
                    <w:widowControl/>
                    <w:suppressLineNumbers w:val="0"/>
                    <w:spacing w:before="0" w:beforeAutospacing="0" w:afterAutospacing="0"/>
                    <w:ind w:left="0" w:right="0"/>
                    <w:jc w:val="center"/>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noWrap w:val="0"/>
                  <w:vAlign w:val="center"/>
                </w:tcPr>
                <w:p>
                  <w:pPr>
                    <w:keepNext w:val="0"/>
                    <w:keepLines w:val="0"/>
                    <w:widowControl/>
                    <w:suppressLineNumbers w:val="0"/>
                    <w:spacing w:before="0" w:beforeAutospacing="0" w:afterAutospacing="0"/>
                    <w:ind w:left="0" w:right="0"/>
                    <w:jc w:val="center"/>
                    <w:rPr>
                      <w:rFonts w:hint="eastAsia" w:ascii="仿宋" w:hAnsi="仿宋" w:eastAsia="仿宋" w:cs="仿宋"/>
                      <w:color w:val="181717" w:themeColor="background2" w:themeShade="1A"/>
                      <w:spacing w:val="6"/>
                      <w:kern w:val="0"/>
                      <w:sz w:val="21"/>
                      <w:szCs w:val="21"/>
                      <w:lang w:val="en-US" w:eastAsia="zh-CN" w:bidi="ar-SA"/>
                    </w:rPr>
                  </w:pPr>
                </w:p>
              </w:tc>
              <w:tc>
                <w:tcPr>
                  <w:tcW w:w="71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连轧机</w:t>
                  </w:r>
                </w:p>
              </w:tc>
              <w:tc>
                <w:tcPr>
                  <w:tcW w:w="647"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kern w:val="0"/>
                      <w:sz w:val="21"/>
                      <w:szCs w:val="21"/>
                      <w:lang w:val="en-US" w:eastAsia="zh-CN" w:bidi="ar-SA"/>
                    </w:rPr>
                    <w:t>非甲烷总烃</w:t>
                  </w:r>
                </w:p>
              </w:tc>
              <w:tc>
                <w:tcPr>
                  <w:tcW w:w="3216" w:type="dxa"/>
                  <w:noWrap w:val="0"/>
                  <w:vAlign w:val="center"/>
                </w:tcPr>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1.原有连轧机工位上方设1个顶吸式固定集气罩，废气在1台风量为12000m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h的引风机作用下由集气罩上方连接的管道引至1套油雾净化器进行处理，油雾净化工艺为蜂窝油网过滤板+板式丝网除雾过滤器+双极静电吸附除烟器，设备功率（静电）2.4kW，废气最终通过1根15m高的排气筒排放（DA003）;</w:t>
                  </w:r>
                </w:p>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 w:hAnsi="仿宋" w:eastAsia="仿宋" w:cs="仿宋"/>
                      <w:sz w:val="21"/>
                      <w:szCs w:val="21"/>
                      <w:lang w:val="en-US" w:eastAsia="zh-CN" w:bidi="ar-SA"/>
                    </w:rPr>
                  </w:pPr>
                  <w:r>
                    <w:rPr>
                      <w:rFonts w:hint="eastAsia" w:ascii="仿宋" w:hAnsi="仿宋" w:eastAsia="仿宋" w:cs="仿宋"/>
                      <w:kern w:val="0"/>
                      <w:sz w:val="21"/>
                      <w:szCs w:val="21"/>
                      <w:lang w:val="en-US" w:eastAsia="zh-CN" w:bidi="ar-SA"/>
                    </w:rPr>
                    <w:t>2.新建连轧机工位上方设1个顶吸式固定集气罩，废气在1台风量为12000m</w:t>
                  </w:r>
                  <w:r>
                    <w:rPr>
                      <w:rFonts w:hint="eastAsia" w:ascii="仿宋" w:hAnsi="仿宋" w:eastAsia="仿宋" w:cs="仿宋"/>
                      <w:kern w:val="0"/>
                      <w:sz w:val="21"/>
                      <w:szCs w:val="21"/>
                      <w:vertAlign w:val="superscript"/>
                      <w:lang w:val="en-US" w:eastAsia="zh-CN" w:bidi="ar-SA"/>
                    </w:rPr>
                    <w:t>3</w:t>
                  </w:r>
                  <w:r>
                    <w:rPr>
                      <w:rFonts w:hint="eastAsia" w:ascii="仿宋" w:hAnsi="仿宋" w:eastAsia="仿宋" w:cs="仿宋"/>
                      <w:kern w:val="0"/>
                      <w:sz w:val="21"/>
                      <w:szCs w:val="21"/>
                      <w:lang w:val="en-US" w:eastAsia="zh-CN" w:bidi="ar-SA"/>
                    </w:rPr>
                    <w:t>/h的引风机作用下由集气罩上方连接的管道引至1套油雾净化器进行处理，油雾净化工艺为蜂窝油网过滤板+板式丝网除雾过滤器+双极静电吸附除烟器，设备功率（静电）2.4kW，废气最终通过1根15m高的排气筒排放（DA003）。</w:t>
                  </w:r>
                </w:p>
              </w:tc>
              <w:tc>
                <w:tcPr>
                  <w:tcW w:w="260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20" w:firstLineChars="200"/>
                    <w:jc w:val="left"/>
                    <w:textAlignment w:val="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原有连轧机工位上方与新建连轧机工位上方各设1个顶吸式固定集气罩，废气在引风机作用下由集气罩上方连接的管道引至1套油雾净化器进行处理，油雾净化工艺为蜂窝油网过滤板+板式丝网除雾过滤器+双极静电吸附除烟器，设备功率（静电）2.4kW，废气最终通过1根15m高的排气筒排放（DA003）。</w:t>
                  </w:r>
                </w:p>
              </w:tc>
              <w:tc>
                <w:tcPr>
                  <w:tcW w:w="73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lang w:val="en-US" w:eastAsia="zh-CN" w:bidi="ar-SA"/>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760" w:hRule="atLeast"/>
                <w:jc w:val="center"/>
              </w:trPr>
              <w:tc>
                <w:tcPr>
                  <w:tcW w:w="439" w:type="dxa"/>
                  <w:vMerge w:val="restart"/>
                  <w:noWrap w:val="0"/>
                  <w:vAlign w:val="center"/>
                </w:tcPr>
                <w:p>
                  <w:pPr>
                    <w:keepNext w:val="0"/>
                    <w:keepLines w:val="0"/>
                    <w:widowControl/>
                    <w:suppressLineNumbers w:val="0"/>
                    <w:spacing w:before="0" w:beforeAutospacing="0" w:afterAutospacing="0"/>
                    <w:ind w:left="0" w:right="0"/>
                    <w:jc w:val="center"/>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181717" w:themeColor="background2" w:themeShade="1A"/>
                      <w:spacing w:val="6"/>
                      <w:kern w:val="0"/>
                      <w:sz w:val="21"/>
                      <w:szCs w:val="21"/>
                      <w:lang w:val="en-US" w:eastAsia="zh-CN" w:bidi="ar-SA"/>
                    </w:rPr>
                    <w:t>2</w:t>
                  </w:r>
                </w:p>
              </w:tc>
              <w:tc>
                <w:tcPr>
                  <w:tcW w:w="439"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181717" w:themeColor="background2" w:themeShade="1A"/>
                      <w:spacing w:val="6"/>
                      <w:kern w:val="0"/>
                      <w:sz w:val="21"/>
                      <w:szCs w:val="21"/>
                      <w:lang w:val="en-US" w:eastAsia="zh-CN" w:bidi="ar-SA"/>
                    </w:rPr>
                    <w:t>废水</w:t>
                  </w:r>
                </w:p>
              </w:tc>
              <w:tc>
                <w:tcPr>
                  <w:tcW w:w="719" w:type="dxa"/>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000000" w:themeColor="text1"/>
                      <w:sz w:val="21"/>
                      <w:szCs w:val="21"/>
                      <w:lang w:val="en-US" w:eastAsia="zh-CN"/>
                      <w14:textFill>
                        <w14:solidFill>
                          <w14:schemeClr w14:val="tx1"/>
                        </w14:solidFill>
                      </w14:textFill>
                    </w:rPr>
                    <w:t>循环冷却废水</w:t>
                  </w:r>
                </w:p>
              </w:tc>
              <w:tc>
                <w:tcPr>
                  <w:tcW w:w="647" w:type="dxa"/>
                  <w:noWrap w:val="0"/>
                  <w:vAlign w:val="center"/>
                </w:tcPr>
                <w:p>
                  <w:pPr>
                    <w:pStyle w:val="24"/>
                    <w:keepNext w:val="0"/>
                    <w:keepLines w:val="0"/>
                    <w:pageBreakBefore w:val="0"/>
                    <w:suppressLineNumbers w:val="0"/>
                    <w:kinsoku/>
                    <w:wordWrap/>
                    <w:overflowPunct/>
                    <w:topLinePunct w:val="0"/>
                    <w:bidi w:val="0"/>
                    <w:spacing w:before="0" w:beforeAutospacing="0" w:after="0" w:afterAutospacing="0" w:line="240" w:lineRule="auto"/>
                    <w:ind w:left="210" w:leftChars="0" w:right="0" w:rightChars="0" w:hanging="210" w:hangingChars="100"/>
                    <w:jc w:val="both"/>
                    <w:textAlignment w:val="auto"/>
                    <w:rPr>
                      <w:rFonts w:hint="eastAsia" w:ascii="仿宋" w:hAnsi="仿宋" w:eastAsia="仿宋" w:cs="仿宋"/>
                      <w:color w:val="181717" w:themeColor="background2" w:themeShade="1A"/>
                      <w:spacing w:val="6"/>
                      <w:kern w:val="0"/>
                      <w:sz w:val="21"/>
                      <w:szCs w:val="21"/>
                      <w:lang w:val="en-US" w:eastAsia="zh-CN" w:bidi="ar-SA"/>
                    </w:rPr>
                  </w:pPr>
                  <w:r>
                    <w:rPr>
                      <w:rStyle w:val="19"/>
                      <w:rFonts w:hint="eastAsia" w:ascii="仿宋" w:hAnsi="仿宋" w:eastAsia="仿宋" w:cs="仿宋"/>
                      <w:color w:val="auto"/>
                      <w:sz w:val="21"/>
                      <w:szCs w:val="21"/>
                      <w:highlight w:val="none"/>
                      <w:lang w:val="en-US" w:eastAsia="zh-CN"/>
                    </w:rPr>
                    <w:t>油类SS</w:t>
                  </w:r>
                </w:p>
              </w:tc>
              <w:tc>
                <w:tcPr>
                  <w:tcW w:w="3216" w:type="dxa"/>
                  <w:noWrap w:val="0"/>
                  <w:vAlign w:val="center"/>
                </w:tcPr>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需定期更换少部分循环水，并补充新水，排水经现有下水系统收集并引至五矿污水处理厂，污水处理厂主体工艺采用A2/O处理工艺，处理达标后排放。</w:t>
                  </w:r>
                </w:p>
              </w:tc>
              <w:tc>
                <w:tcPr>
                  <w:tcW w:w="260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间接冷却水仅在洁净的换热系统里进行流转，基本不会改变水质，并直接返回循环冷却水池自然降温；而少量直接冷却水，因与设备和物料都有接触，所以会沾染上污染物油类、悬浮物等，最终采取1套工艺为“油水分离+二级沉淀”的废水治理设施进行处理，最终回到循环冷却水池。需定期更换少部分循环水，并补充新水，排水经现有下水系统收集并引至五矿污水处理厂，污水处理厂主体工艺采用A2/O处理工艺，处理达标后排放。</w:t>
                  </w:r>
                </w:p>
              </w:tc>
              <w:tc>
                <w:tcPr>
                  <w:tcW w:w="732" w:type="dxa"/>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28" w:hRule="atLeast"/>
                <w:jc w:val="center"/>
              </w:trPr>
              <w:tc>
                <w:tcPr>
                  <w:tcW w:w="439" w:type="dxa"/>
                  <w:vMerge w:val="continue"/>
                  <w:noWrap w:val="0"/>
                  <w:vAlign w:val="center"/>
                </w:tcPr>
                <w:p>
                  <w:pPr>
                    <w:keepNext w:val="0"/>
                    <w:keepLines w:val="0"/>
                    <w:widowControl/>
                    <w:suppressLineNumbers w:val="0"/>
                    <w:spacing w:before="0" w:beforeAutospacing="0" w:afterAutospacing="0"/>
                    <w:ind w:left="0" w:right="0"/>
                    <w:jc w:val="center"/>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719" w:type="dxa"/>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生活污水</w:t>
                  </w:r>
                </w:p>
              </w:tc>
              <w:tc>
                <w:tcPr>
                  <w:tcW w:w="647" w:type="dxa"/>
                  <w:noWrap w:val="0"/>
                  <w:vAlign w:val="center"/>
                </w:tcPr>
                <w:p>
                  <w:pPr>
                    <w:pStyle w:val="24"/>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jc w:val="center"/>
                    <w:textAlignment w:val="auto"/>
                    <w:rPr>
                      <w:rStyle w:val="19"/>
                      <w:rFonts w:hint="default" w:ascii="仿宋" w:hAnsi="仿宋" w:eastAsia="仿宋" w:cs="仿宋"/>
                      <w:color w:val="auto"/>
                      <w:sz w:val="21"/>
                      <w:szCs w:val="21"/>
                      <w:highlight w:val="none"/>
                      <w:lang w:val="en-US" w:eastAsia="zh-CN"/>
                    </w:rPr>
                  </w:pPr>
                  <w:r>
                    <w:rPr>
                      <w:rStyle w:val="19"/>
                      <w:rFonts w:hint="eastAsia" w:ascii="仿宋" w:hAnsi="仿宋" w:eastAsia="仿宋" w:cs="仿宋"/>
                      <w:color w:val="auto"/>
                      <w:sz w:val="21"/>
                      <w:szCs w:val="21"/>
                      <w:highlight w:val="none"/>
                      <w:lang w:val="en-US" w:eastAsia="zh-CN"/>
                    </w:rPr>
                    <w:t>/</w:t>
                  </w:r>
                </w:p>
              </w:tc>
              <w:tc>
                <w:tcPr>
                  <w:tcW w:w="3216" w:type="dxa"/>
                  <w:noWrap w:val="0"/>
                  <w:vAlign w:val="center"/>
                </w:tcPr>
                <w:p>
                  <w:pPr>
                    <w:pStyle w:val="2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sz w:val="21"/>
                      <w:szCs w:val="21"/>
                    </w:rPr>
                  </w:pPr>
                  <w:r>
                    <w:rPr>
                      <w:rFonts w:hint="eastAsia" w:ascii="仿宋" w:hAnsi="仿宋" w:eastAsia="仿宋" w:cs="仿宋"/>
                      <w:sz w:val="21"/>
                      <w:szCs w:val="21"/>
                    </w:rPr>
                    <w:t>生活污水由办公生活区现有下水系统收集并引至电解铝分公司厂内污水处理设施处理后回用，不外排</w:t>
                  </w:r>
                  <w:r>
                    <w:rPr>
                      <w:rFonts w:hint="eastAsia" w:ascii="仿宋" w:hAnsi="仿宋" w:eastAsia="仿宋" w:cs="仿宋"/>
                      <w:sz w:val="21"/>
                      <w:szCs w:val="21"/>
                      <w:lang w:eastAsia="zh-CN"/>
                    </w:rPr>
                    <w:t>。</w:t>
                  </w:r>
                </w:p>
              </w:tc>
              <w:tc>
                <w:tcPr>
                  <w:tcW w:w="260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sz w:val="21"/>
                      <w:szCs w:val="21"/>
                      <w:highlight w:val="none"/>
                      <w:lang w:eastAsia="zh-CN"/>
                    </w:rPr>
                    <w:t>利旧，</w:t>
                  </w:r>
                  <w:r>
                    <w:rPr>
                      <w:rFonts w:hint="eastAsia" w:ascii="仿宋" w:hAnsi="仿宋" w:eastAsia="仿宋" w:cs="仿宋"/>
                      <w:sz w:val="21"/>
                      <w:szCs w:val="21"/>
                      <w:highlight w:val="none"/>
                    </w:rPr>
                    <w:t>生活污水由办公生活区现有下水系统收集并引至电解铝分公司厂内污水处理设施处理后回用，不外排</w:t>
                  </w:r>
                  <w:r>
                    <w:rPr>
                      <w:rFonts w:hint="eastAsia" w:ascii="仿宋" w:hAnsi="仿宋" w:eastAsia="仿宋" w:cs="仿宋"/>
                      <w:sz w:val="21"/>
                      <w:szCs w:val="21"/>
                      <w:highlight w:val="none"/>
                      <w:lang w:eastAsia="zh-CN"/>
                    </w:rPr>
                    <w:t>。</w:t>
                  </w:r>
                </w:p>
              </w:tc>
              <w:tc>
                <w:tcPr>
                  <w:tcW w:w="732" w:type="dxa"/>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rightChars="0"/>
                    <w:jc w:val="center"/>
                    <w:textAlignment w:val="auto"/>
                    <w:rPr>
                      <w:rFonts w:hint="eastAsia" w:ascii="仿宋" w:hAnsi="仿宋" w:eastAsia="仿宋" w:cs="仿宋"/>
                      <w:color w:val="000000" w:themeColor="text1"/>
                      <w:sz w:val="21"/>
                      <w:szCs w:val="21"/>
                      <w:lang w:val="zh-CN" w:eastAsia="zh-CN"/>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439"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181717" w:themeColor="background2" w:themeShade="1A"/>
                      <w:spacing w:val="6"/>
                      <w:kern w:val="0"/>
                      <w:sz w:val="21"/>
                      <w:szCs w:val="21"/>
                      <w:lang w:val="en-US" w:eastAsia="zh-CN" w:bidi="ar-SA"/>
                    </w:rPr>
                    <w:t>3</w:t>
                  </w:r>
                </w:p>
              </w:tc>
              <w:tc>
                <w:tcPr>
                  <w:tcW w:w="439"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bidi="ar-SA"/>
                    </w:rPr>
                    <w:t>固体废物</w:t>
                  </w:r>
                </w:p>
              </w:tc>
              <w:tc>
                <w:tcPr>
                  <w:tcW w:w="71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rPr>
                    <w:t>循环冷却水池</w:t>
                  </w:r>
                </w:p>
              </w:tc>
              <w:tc>
                <w:tcPr>
                  <w:tcW w:w="647"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bidi="ar-SA"/>
                    </w:rPr>
                    <w:t>沉积物</w:t>
                  </w:r>
                </w:p>
              </w:tc>
              <w:tc>
                <w:tcPr>
                  <w:tcW w:w="3216" w:type="dxa"/>
                  <w:vMerge w:val="restart"/>
                  <w:noWrap w:val="0"/>
                  <w:vAlign w:val="center"/>
                </w:tcPr>
                <w:p>
                  <w:pPr>
                    <w:keepNext w:val="0"/>
                    <w:keepLines w:val="0"/>
                    <w:widowControl/>
                    <w:suppressLineNumbers w:val="0"/>
                    <w:spacing w:before="0" w:beforeAutospacing="0" w:afterAutospacing="0"/>
                    <w:ind w:left="0" w:right="0"/>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sz w:val="21"/>
                      <w:szCs w:val="21"/>
                      <w:lang w:val="en-US" w:eastAsia="zh-CN"/>
                    </w:rPr>
                    <w:t>外售于电解铝分公司综合利用。</w:t>
                  </w:r>
                </w:p>
              </w:tc>
              <w:tc>
                <w:tcPr>
                  <w:tcW w:w="2601" w:type="dxa"/>
                  <w:vMerge w:val="restart"/>
                  <w:noWrap w:val="0"/>
                  <w:vAlign w:val="center"/>
                </w:tcPr>
                <w:p>
                  <w:pPr>
                    <w:keepNext w:val="0"/>
                    <w:keepLines w:val="0"/>
                    <w:widowControl/>
                    <w:suppressLineNumbers w:val="0"/>
                    <w:spacing w:before="0" w:beforeAutospacing="0" w:afterAutospacing="0"/>
                    <w:ind w:left="0" w:right="0"/>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sz w:val="21"/>
                      <w:szCs w:val="21"/>
                      <w:lang w:val="en-US" w:eastAsia="zh-CN"/>
                    </w:rPr>
                    <w:t>利旧，外售于电解铝分公司综合利用。</w:t>
                  </w:r>
                </w:p>
              </w:tc>
              <w:tc>
                <w:tcPr>
                  <w:tcW w:w="732" w:type="dxa"/>
                  <w:noWrap w:val="0"/>
                  <w:vAlign w:val="center"/>
                </w:tcPr>
                <w:p>
                  <w:pPr>
                    <w:keepNext w:val="0"/>
                    <w:keepLines w:val="0"/>
                    <w:widowControl w:val="0"/>
                    <w:suppressLineNumbers w:val="0"/>
                    <w:spacing w:before="0" w:beforeAutospacing="0" w:afterAutospacing="0"/>
                    <w:ind w:left="0" w:leftChars="0" w:right="0" w:rightChars="0"/>
                    <w:jc w:val="center"/>
                    <w:rPr>
                      <w:rFonts w:hint="eastAsia" w:ascii="仿宋" w:hAnsi="仿宋" w:eastAsia="仿宋" w:cs="仿宋"/>
                      <w:color w:val="000000" w:themeColor="text1"/>
                      <w:sz w:val="21"/>
                      <w:szCs w:val="21"/>
                      <w:lang w:val="en-US" w:eastAsia="zh-CN" w:bidi="ar-SA"/>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06"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en-US" w:eastAsia="zh-CN" w:bidi="ar-SA"/>
                    </w:rPr>
                  </w:pPr>
                </w:p>
              </w:tc>
              <w:tc>
                <w:tcPr>
                  <w:tcW w:w="71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rPr>
                    <w:t>成品检验</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rPr>
                    <w:t>不合格产品</w:t>
                  </w:r>
                </w:p>
              </w:tc>
              <w:tc>
                <w:tcPr>
                  <w:tcW w:w="3216"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2601"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732" w:type="dxa"/>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lang w:val="en-US" w:eastAsia="zh-CN"/>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21"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p>
              </w:tc>
              <w:tc>
                <w:tcPr>
                  <w:tcW w:w="71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rPr>
                    <w:t>除尘设施</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除尘灰</w:t>
                  </w:r>
                </w:p>
              </w:tc>
              <w:tc>
                <w:tcPr>
                  <w:tcW w:w="3216" w:type="dxa"/>
                  <w:vAlign w:val="center"/>
                </w:tcPr>
                <w:p>
                  <w:pPr>
                    <w:keepNext w:val="0"/>
                    <w:keepLines w:val="0"/>
                    <w:widowControl/>
                    <w:suppressLineNumbers w:val="0"/>
                    <w:spacing w:before="0" w:beforeAutospacing="0" w:afterAutospacing="0"/>
                    <w:ind w:left="0" w:right="0"/>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sz w:val="21"/>
                      <w:szCs w:val="21"/>
                      <w:lang w:val="en-US" w:eastAsia="zh-CN"/>
                    </w:rPr>
                    <w:t>清灰时启动除尘器脉冲反吹装置将设备内除尘灰吹引至除尘器下方设置的收集袋内，定期更换收集袋。除尘灰分区暂存危废间，并定期清运。</w:t>
                  </w:r>
                </w:p>
              </w:tc>
              <w:tc>
                <w:tcPr>
                  <w:tcW w:w="2601" w:type="dxa"/>
                  <w:vAlign w:val="center"/>
                </w:tcPr>
                <w:p>
                  <w:pPr>
                    <w:keepNext w:val="0"/>
                    <w:keepLines w:val="0"/>
                    <w:widowControl/>
                    <w:suppressLineNumbers w:val="0"/>
                    <w:spacing w:before="0" w:beforeAutospacing="0" w:afterAutospacing="0"/>
                    <w:ind w:left="0" w:right="0"/>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sz w:val="21"/>
                      <w:szCs w:val="21"/>
                      <w:lang w:val="en-US" w:eastAsia="zh-CN"/>
                    </w:rPr>
                    <w:t>依托，清灰时启动除尘器脉冲反吹装置将设备内除尘灰吹引至除尘器下方设置的收集袋内，定期更换收集袋。除尘灰分区暂存危废间，并定期清运。</w:t>
                  </w:r>
                </w:p>
              </w:tc>
              <w:tc>
                <w:tcPr>
                  <w:tcW w:w="73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07"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eastAsia="zh-CN" w:bidi="ar-SA"/>
                    </w:rPr>
                  </w:pPr>
                </w:p>
              </w:tc>
              <w:tc>
                <w:tcPr>
                  <w:tcW w:w="71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铝液使用过程</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铝灰</w:t>
                  </w:r>
                </w:p>
              </w:tc>
              <w:tc>
                <w:tcPr>
                  <w:tcW w:w="3216" w:type="dxa"/>
                  <w:vMerge w:val="restart"/>
                  <w:vAlign w:val="center"/>
                </w:tcPr>
                <w:p>
                  <w:pPr>
                    <w:keepNext w:val="0"/>
                    <w:keepLines w:val="0"/>
                    <w:widowControl/>
                    <w:suppressLineNumbers w:val="0"/>
                    <w:spacing w:before="0" w:beforeAutospacing="0" w:afterAutospacing="0"/>
                    <w:ind w:left="0" w:right="0"/>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sz w:val="21"/>
                      <w:szCs w:val="21"/>
                      <w:lang w:val="en-US" w:eastAsia="zh-CN"/>
                    </w:rPr>
                    <w:t>暂存于厂内1座140m</w:t>
                  </w:r>
                  <w:r>
                    <w:rPr>
                      <w:rFonts w:hint="eastAsia" w:ascii="仿宋" w:hAnsi="仿宋" w:eastAsia="仿宋" w:cs="仿宋"/>
                      <w:sz w:val="21"/>
                      <w:szCs w:val="21"/>
                      <w:vertAlign w:val="superscript"/>
                      <w:lang w:val="en-US" w:eastAsia="zh-CN"/>
                    </w:rPr>
                    <w:t>2</w:t>
                  </w:r>
                  <w:r>
                    <w:rPr>
                      <w:rFonts w:hint="eastAsia" w:ascii="仿宋" w:hAnsi="仿宋" w:eastAsia="仿宋" w:cs="仿宋"/>
                      <w:sz w:val="21"/>
                      <w:szCs w:val="21"/>
                      <w:lang w:val="en-US" w:eastAsia="zh-CN"/>
                    </w:rPr>
                    <w:t>的危废暂存间内，长*宽*高：22m*6.4m*3m，位于车间（北跨）东北角，按规范设置了围堰、导流渠及收集井等，库内危险废物分区暂存，定期委托资质单位进行协同处置。</w:t>
                  </w:r>
                </w:p>
              </w:tc>
              <w:tc>
                <w:tcPr>
                  <w:tcW w:w="2601" w:type="dxa"/>
                  <w:vMerge w:val="restart"/>
                  <w:vAlign w:val="center"/>
                </w:tcPr>
                <w:p>
                  <w:pPr>
                    <w:keepNext w:val="0"/>
                    <w:keepLines w:val="0"/>
                    <w:widowControl/>
                    <w:suppressLineNumbers w:val="0"/>
                    <w:spacing w:before="0" w:beforeAutospacing="0" w:afterAutospacing="0"/>
                    <w:ind w:left="0" w:right="0"/>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181717" w:themeColor="background2" w:themeShade="1A"/>
                      <w:sz w:val="21"/>
                      <w:szCs w:val="21"/>
                      <w:lang w:val="en-US" w:eastAsia="zh-CN"/>
                    </w:rPr>
                    <w:t>暂存于厂内2座危废间1（140㎡），危废间2（20㎡）危废暂存间内，按规</w:t>
                  </w:r>
                  <w:r>
                    <w:rPr>
                      <w:rFonts w:hint="eastAsia" w:ascii="仿宋" w:hAnsi="仿宋" w:eastAsia="仿宋" w:cs="仿宋"/>
                      <w:sz w:val="21"/>
                      <w:szCs w:val="21"/>
                      <w:lang w:val="en-US" w:eastAsia="zh-CN"/>
                    </w:rPr>
                    <w:t>范设置了围堰、导流渠及收集井等，库内危险废物分区暂存，定期委托资质单位进行协同处置。</w:t>
                  </w:r>
                </w:p>
              </w:tc>
              <w:tc>
                <w:tcPr>
                  <w:tcW w:w="732"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sz w:val="21"/>
                      <w:szCs w:val="21"/>
                      <w:lang w:val="en-US" w:eastAsia="zh-CN"/>
                    </w:rPr>
                  </w:pPr>
                  <w:r>
                    <w:rPr>
                      <w:rFonts w:hint="eastAsia" w:ascii="仿宋" w:hAnsi="仿宋" w:eastAsia="仿宋" w:cs="仿宋"/>
                      <w:color w:val="000000" w:themeColor="text1"/>
                      <w:sz w:val="21"/>
                      <w:szCs w:val="21"/>
                      <w:lang w:val="zh-CN" w:eastAsia="zh-CN"/>
                      <w14:textFill>
                        <w14:solidFill>
                          <w14:schemeClr w14:val="tx1"/>
                        </w14:solidFill>
                      </w14:textFill>
                    </w:rPr>
                    <w:t>与环评不一致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eastAsia="zh-CN" w:bidi="ar-SA"/>
                    </w:rPr>
                  </w:pPr>
                </w:p>
              </w:tc>
              <w:tc>
                <w:tcPr>
                  <w:tcW w:w="71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连轧机生产过程</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废乳化油</w:t>
                  </w:r>
                </w:p>
              </w:tc>
              <w:tc>
                <w:tcPr>
                  <w:tcW w:w="3216"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2601"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732"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6"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eastAsia="zh-CN" w:bidi="ar-SA"/>
                    </w:rPr>
                  </w:pPr>
                </w:p>
              </w:tc>
              <w:tc>
                <w:tcPr>
                  <w:tcW w:w="71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冷却废水治理设施</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油泥</w:t>
                  </w:r>
                </w:p>
              </w:tc>
              <w:tc>
                <w:tcPr>
                  <w:tcW w:w="3216"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2601"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732"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5"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eastAsia="zh-CN" w:bidi="ar-SA"/>
                    </w:rPr>
                  </w:pPr>
                </w:p>
              </w:tc>
              <w:tc>
                <w:tcPr>
                  <w:tcW w:w="719" w:type="dxa"/>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维修保养生产设备</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废润滑油</w:t>
                  </w:r>
                </w:p>
              </w:tc>
              <w:tc>
                <w:tcPr>
                  <w:tcW w:w="3216"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2601"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732"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6"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rPr>
                  </w:pPr>
                </w:p>
              </w:tc>
              <w:tc>
                <w:tcPr>
                  <w:tcW w:w="719"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z w:val="21"/>
                      <w:szCs w:val="21"/>
                      <w:lang w:val="en-US" w:eastAsia="zh-CN" w:bidi="ar-SA"/>
                    </w:rPr>
                  </w:pP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zh-CN"/>
                    </w:rPr>
                    <w:t>废棉纱</w:t>
                  </w:r>
                </w:p>
              </w:tc>
              <w:tc>
                <w:tcPr>
                  <w:tcW w:w="3216"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2601"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732"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37"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rPr>
                  </w:pPr>
                </w:p>
              </w:tc>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rPr>
                  </w:pPr>
                </w:p>
              </w:tc>
              <w:tc>
                <w:tcPr>
                  <w:tcW w:w="719"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rPr>
                  </w:pP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zh-CN" w:eastAsia="zh-CN" w:bidi="ar-SA"/>
                    </w:rPr>
                  </w:pPr>
                  <w:r>
                    <w:rPr>
                      <w:rFonts w:hint="eastAsia" w:ascii="仿宋" w:hAnsi="仿宋" w:eastAsia="仿宋" w:cs="仿宋"/>
                      <w:color w:val="222A35" w:themeColor="text2" w:themeShade="80"/>
                      <w:sz w:val="21"/>
                      <w:szCs w:val="21"/>
                      <w:lang w:val="zh-CN"/>
                    </w:rPr>
                    <w:t>废包装桶</w:t>
                  </w:r>
                </w:p>
              </w:tc>
              <w:tc>
                <w:tcPr>
                  <w:tcW w:w="3216" w:type="dxa"/>
                  <w:vMerge w:val="continue"/>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rPr>
                  </w:pPr>
                </w:p>
              </w:tc>
              <w:tc>
                <w:tcPr>
                  <w:tcW w:w="260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222A35" w:themeColor="text2" w:themeShade="80"/>
                      <w:sz w:val="21"/>
                      <w:szCs w:val="21"/>
                      <w:lang w:val="zh-CN" w:eastAsia="zh-CN"/>
                    </w:rPr>
                    <w:t>废包装桶由厂家回收</w:t>
                  </w:r>
                </w:p>
              </w:tc>
              <w:tc>
                <w:tcPr>
                  <w:tcW w:w="732" w:type="dxa"/>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废包装桶由厂家回收,</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000000" w:themeColor="text1"/>
                      <w:sz w:val="21"/>
                      <w:szCs w:val="21"/>
                      <w:lang w:val="en-US" w:eastAsia="zh-CN"/>
                      <w14:textFill>
                        <w14:solidFill>
                          <w14:schemeClr w14:val="tx1"/>
                        </w14:solidFill>
                      </w14:textFill>
                    </w:rPr>
                    <w:t>与环评不一致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439" w:type="dxa"/>
                  <w:vMerge w:val="continue"/>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color w:val="181717" w:themeColor="background2" w:themeShade="1A"/>
                      <w:spacing w:val="6"/>
                      <w:kern w:val="0"/>
                      <w:sz w:val="21"/>
                      <w:szCs w:val="21"/>
                      <w:lang w:val="en-US" w:eastAsia="zh-CN" w:bidi="ar-SA"/>
                    </w:rPr>
                  </w:pPr>
                </w:p>
              </w:tc>
              <w:tc>
                <w:tcPr>
                  <w:tcW w:w="439"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zh-CN" w:eastAsia="zh-CN" w:bidi="ar-SA"/>
                    </w:rPr>
                  </w:pPr>
                </w:p>
              </w:tc>
              <w:tc>
                <w:tcPr>
                  <w:tcW w:w="71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zh-CN" w:eastAsia="zh-CN" w:bidi="ar-SA"/>
                    </w:rPr>
                  </w:pPr>
                  <w:r>
                    <w:rPr>
                      <w:rFonts w:hint="eastAsia" w:ascii="仿宋" w:hAnsi="仿宋" w:eastAsia="仿宋" w:cs="仿宋"/>
                      <w:color w:val="222A35" w:themeColor="text2" w:themeShade="80"/>
                      <w:sz w:val="21"/>
                      <w:szCs w:val="21"/>
                    </w:rPr>
                    <w:t>职工办公生活</w:t>
                  </w:r>
                </w:p>
              </w:tc>
              <w:tc>
                <w:tcPr>
                  <w:tcW w:w="647"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zh-CN" w:eastAsia="zh-CN" w:bidi="ar-SA"/>
                    </w:rPr>
                  </w:pPr>
                  <w:r>
                    <w:rPr>
                      <w:rFonts w:hint="eastAsia" w:ascii="仿宋" w:hAnsi="仿宋" w:eastAsia="仿宋" w:cs="仿宋"/>
                      <w:color w:val="222A35" w:themeColor="text2" w:themeShade="80"/>
                      <w:sz w:val="21"/>
                      <w:szCs w:val="21"/>
                      <w:lang w:val="zh-CN"/>
                    </w:rPr>
                    <w:t>生活垃圾</w:t>
                  </w:r>
                </w:p>
              </w:tc>
              <w:tc>
                <w:tcPr>
                  <w:tcW w:w="321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rPr>
                    <w:t>厂内指定地点设带盖垃圾桶，集中后由厂内垃圾运输车转运至平定县生活垃圾处理厂进行处理</w:t>
                  </w:r>
                  <w:r>
                    <w:rPr>
                      <w:rFonts w:hint="eastAsia" w:ascii="仿宋" w:hAnsi="仿宋" w:eastAsia="仿宋" w:cs="仿宋"/>
                      <w:color w:val="222A35" w:themeColor="text2" w:themeShade="80"/>
                      <w:sz w:val="21"/>
                      <w:szCs w:val="21"/>
                      <w:lang w:eastAsia="zh-CN"/>
                    </w:rPr>
                    <w:t>。</w:t>
                  </w:r>
                </w:p>
              </w:tc>
              <w:tc>
                <w:tcPr>
                  <w:tcW w:w="260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bidi="ar-SA"/>
                    </w:rPr>
                    <w:t>厂内指定地点设带盖垃圾桶，集中后由厂内垃圾运输车转运至平定县生活垃圾处理厂进行处理。</w:t>
                  </w:r>
                </w:p>
              </w:tc>
              <w:tc>
                <w:tcPr>
                  <w:tcW w:w="73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000000" w:themeColor="text1"/>
                      <w:sz w:val="21"/>
                      <w:szCs w:val="21"/>
                      <w:lang w:val="zh-CN" w:eastAsia="zh-CN"/>
                      <w14:textFill>
                        <w14:solidFill>
                          <w14:schemeClr w14:val="tx1"/>
                        </w14:solidFill>
                      </w14:textFill>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default" w:ascii="仿宋" w:hAnsi="仿宋" w:eastAsia="仿宋" w:cs="仿宋"/>
                      <w:color w:val="181717" w:themeColor="background2" w:themeShade="1A"/>
                      <w:spacing w:val="6"/>
                      <w:kern w:val="0"/>
                      <w:sz w:val="21"/>
                      <w:szCs w:val="21"/>
                      <w:lang w:val="en-US" w:eastAsia="zh-CN" w:bidi="ar-SA"/>
                    </w:rPr>
                  </w:pPr>
                  <w:r>
                    <w:rPr>
                      <w:rFonts w:hint="eastAsia" w:ascii="仿宋" w:hAnsi="仿宋" w:eastAsia="仿宋" w:cs="仿宋"/>
                      <w:color w:val="181717" w:themeColor="background2" w:themeShade="1A"/>
                      <w:spacing w:val="6"/>
                      <w:kern w:val="0"/>
                      <w:sz w:val="21"/>
                      <w:szCs w:val="21"/>
                      <w:lang w:val="en-US" w:eastAsia="zh-CN" w:bidi="ar-SA"/>
                    </w:rPr>
                    <w:t>4</w:t>
                  </w:r>
                </w:p>
              </w:tc>
              <w:tc>
                <w:tcPr>
                  <w:tcW w:w="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color w:val="222A35" w:themeColor="text2" w:themeShade="80"/>
                      <w:sz w:val="21"/>
                      <w:szCs w:val="21"/>
                      <w:lang w:val="en-US" w:eastAsia="zh-CN" w:bidi="ar-SA"/>
                    </w:rPr>
                    <w:t>噪声</w:t>
                  </w:r>
                </w:p>
              </w:tc>
              <w:tc>
                <w:tcPr>
                  <w:tcW w:w="719" w:type="dxa"/>
                  <w:vAlign w:val="center"/>
                </w:tcPr>
                <w:p>
                  <w:pPr>
                    <w:pStyle w:val="2"/>
                    <w:keepNext w:val="0"/>
                    <w:keepLines w:val="0"/>
                    <w:pageBreakBefore w:val="0"/>
                    <w:suppressLineNumbers w:val="0"/>
                    <w:kinsoku/>
                    <w:wordWrap/>
                    <w:overflowPunct/>
                    <w:topLinePunct w:val="0"/>
                    <w:bidi w:val="0"/>
                    <w:adjustRightInd w:val="0"/>
                    <w:spacing w:before="0" w:beforeAutospacing="0" w:after="0" w:afterAutospacing="0"/>
                    <w:ind w:left="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color w:val="000000" w:themeColor="text1"/>
                      <w:sz w:val="21"/>
                      <w:szCs w:val="21"/>
                      <w:vertAlign w:val="baseline"/>
                      <w:lang w:val="en-US" w:eastAsia="zh-CN"/>
                      <w14:textFill>
                        <w14:solidFill>
                          <w14:schemeClr w14:val="tx1"/>
                        </w14:solidFill>
                      </w14:textFill>
                    </w:rPr>
                    <w:t>产噪设备</w:t>
                  </w:r>
                </w:p>
              </w:tc>
              <w:tc>
                <w:tcPr>
                  <w:tcW w:w="647" w:type="dxa"/>
                  <w:vAlign w:val="center"/>
                </w:tcPr>
                <w:p>
                  <w:pPr>
                    <w:pStyle w:val="2"/>
                    <w:keepNext w:val="0"/>
                    <w:keepLines w:val="0"/>
                    <w:pageBreakBefore w:val="0"/>
                    <w:suppressLineNumbers w:val="0"/>
                    <w:kinsoku/>
                    <w:wordWrap/>
                    <w:overflowPunct/>
                    <w:topLinePunct w:val="0"/>
                    <w:bidi w:val="0"/>
                    <w:adjustRightInd w:val="0"/>
                    <w:spacing w:before="0" w:beforeAutospacing="0" w:after="0" w:afterAutospacing="0"/>
                    <w:ind w:left="0" w:right="0" w:rightChars="0"/>
                    <w:jc w:val="center"/>
                    <w:textAlignment w:val="auto"/>
                    <w:rPr>
                      <w:rFonts w:hint="eastAsia" w:ascii="仿宋" w:hAnsi="仿宋" w:eastAsia="仿宋" w:cs="仿宋"/>
                      <w:color w:val="222A35" w:themeColor="text2" w:themeShade="80"/>
                      <w:sz w:val="21"/>
                      <w:szCs w:val="21"/>
                      <w:lang w:val="zh-CN"/>
                    </w:rPr>
                  </w:pPr>
                  <w:r>
                    <w:rPr>
                      <w:rFonts w:hint="eastAsia" w:ascii="仿宋" w:hAnsi="仿宋" w:eastAsia="仿宋" w:cs="仿宋"/>
                      <w:color w:val="000000" w:themeColor="text1"/>
                      <w:sz w:val="21"/>
                      <w:szCs w:val="21"/>
                      <w:vertAlign w:val="baseline"/>
                      <w:lang w:val="en-US" w:eastAsia="zh-CN"/>
                      <w14:textFill>
                        <w14:solidFill>
                          <w14:schemeClr w14:val="tx1"/>
                        </w14:solidFill>
                      </w14:textFill>
                    </w:rPr>
                    <w:t>噪声</w:t>
                  </w:r>
                </w:p>
              </w:tc>
              <w:tc>
                <w:tcPr>
                  <w:tcW w:w="3216" w:type="dxa"/>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textAlignment w:val="auto"/>
                    <w:rPr>
                      <w:rFonts w:hint="eastAsia" w:ascii="仿宋" w:hAnsi="仿宋" w:eastAsia="仿宋" w:cs="仿宋"/>
                      <w:color w:val="222A35" w:themeColor="text2" w:themeShade="80"/>
                      <w:sz w:val="21"/>
                      <w:szCs w:val="21"/>
                    </w:rPr>
                  </w:pPr>
                  <w:r>
                    <w:rPr>
                      <w:rFonts w:hint="eastAsia" w:ascii="仿宋" w:hAnsi="仿宋" w:eastAsia="仿宋" w:cs="仿宋"/>
                      <w:sz w:val="21"/>
                      <w:szCs w:val="21"/>
                      <w:lang w:val="en-US" w:eastAsia="zh-CN"/>
                    </w:rPr>
                    <w:t>优先选用低噪声设备，高噪声设备底部设置基础减震，生产设备尽可能置于密闭车间内。</w:t>
                  </w:r>
                </w:p>
              </w:tc>
              <w:tc>
                <w:tcPr>
                  <w:tcW w:w="2601" w:type="dxa"/>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textAlignment w:val="auto"/>
                    <w:rPr>
                      <w:rFonts w:hint="eastAsia" w:ascii="仿宋" w:hAnsi="仿宋" w:eastAsia="仿宋" w:cs="仿宋"/>
                      <w:color w:val="222A35" w:themeColor="text2" w:themeShade="80"/>
                      <w:sz w:val="21"/>
                      <w:szCs w:val="21"/>
                      <w:lang w:val="en-US" w:eastAsia="zh-CN" w:bidi="ar-SA"/>
                    </w:rPr>
                  </w:pPr>
                  <w:r>
                    <w:rPr>
                      <w:rFonts w:hint="eastAsia" w:ascii="仿宋" w:hAnsi="仿宋" w:eastAsia="仿宋" w:cs="仿宋"/>
                      <w:sz w:val="21"/>
                      <w:szCs w:val="21"/>
                      <w:lang w:val="en-US" w:eastAsia="zh-CN"/>
                    </w:rPr>
                    <w:t>已优先选用低噪声设备，高噪声设备底部设置基础减震，生产设备尽可能置于密闭车间内。</w:t>
                  </w:r>
                </w:p>
              </w:tc>
              <w:tc>
                <w:tcPr>
                  <w:tcW w:w="732" w:type="dxa"/>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textAlignment w:val="auto"/>
                    <w:rPr>
                      <w:rFonts w:hint="eastAsia" w:ascii="仿宋" w:hAnsi="仿宋" w:eastAsia="仿宋" w:cs="仿宋"/>
                      <w:color w:val="000000" w:themeColor="text1"/>
                      <w:sz w:val="21"/>
                      <w:szCs w:val="21"/>
                      <w:lang w:val="zh-CN"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与环评一致</w:t>
                  </w:r>
                </w:p>
              </w:tc>
            </w:tr>
          </w:tbl>
          <w:p>
            <w:pPr>
              <w:pStyle w:val="4"/>
              <w:pageBreakBefore w:val="0"/>
              <w:widowControl/>
              <w:suppressLineNumbers w:val="0"/>
              <w:kinsoku/>
              <w:wordWrap/>
              <w:overflowPunct/>
              <w:topLinePunct w:val="0"/>
              <w:bidi w:val="0"/>
              <w:adjustRightInd w:val="0"/>
              <w:spacing w:before="0" w:after="0" w:afterLines="0" w:line="520" w:lineRule="exact"/>
              <w:ind w:left="0" w:right="0"/>
              <w:textAlignment w:val="auto"/>
              <w:rPr>
                <w:rFonts w:hint="eastAsia"/>
                <w:lang w:val="en-US" w:eastAsia="zh-CN"/>
              </w:rPr>
            </w:pPr>
            <w:bookmarkStart w:id="10" w:name="_Toc2698"/>
            <w:r>
              <w:rPr>
                <w:rFonts w:hint="eastAsia"/>
                <w:lang w:val="en-US" w:eastAsia="zh-CN"/>
              </w:rPr>
              <w:t>4.2 环评批复要求及完成情况</w:t>
            </w:r>
            <w:bookmarkEnd w:id="10"/>
          </w:p>
          <w:p>
            <w:pPr>
              <w:pStyle w:val="20"/>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520" w:lineRule="exact"/>
              <w:ind w:left="0" w:right="0"/>
              <w:jc w:val="center"/>
              <w:textAlignment w:val="auto"/>
              <w:rPr>
                <w:rFonts w:hint="eastAsia" w:ascii="仿宋" w:hAnsi="仿宋" w:eastAsia="仿宋" w:cs="仿宋"/>
                <w:b/>
                <w:bCs/>
                <w:color w:val="181717" w:themeColor="background2" w:themeShade="1A"/>
                <w:sz w:val="21"/>
                <w:szCs w:val="21"/>
                <w:vertAlign w:val="baseline"/>
                <w:lang w:eastAsia="zh-CN"/>
              </w:rPr>
            </w:pPr>
            <w:r>
              <w:rPr>
                <w:rFonts w:hint="eastAsia" w:ascii="仿宋" w:hAnsi="仿宋" w:eastAsia="仿宋" w:cs="仿宋"/>
                <w:b/>
                <w:bCs/>
                <w:color w:val="181717" w:themeColor="background2" w:themeShade="1A"/>
                <w:sz w:val="21"/>
                <w:szCs w:val="21"/>
                <w:vertAlign w:val="baseline"/>
                <w:lang w:val="en-US" w:eastAsia="zh-CN"/>
              </w:rPr>
              <w:t xml:space="preserve">表4-2  </w:t>
            </w:r>
            <w:r>
              <w:rPr>
                <w:rFonts w:hint="eastAsia" w:ascii="仿宋" w:hAnsi="仿宋" w:eastAsia="仿宋" w:cs="仿宋"/>
                <w:b/>
                <w:bCs/>
                <w:color w:val="181717" w:themeColor="background2" w:themeShade="1A"/>
                <w:sz w:val="21"/>
                <w:szCs w:val="21"/>
                <w:vertAlign w:val="baseline"/>
                <w:lang w:eastAsia="zh-CN"/>
              </w:rPr>
              <w:t>环评批复要求及完成情况</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73"/>
              <w:gridCol w:w="3945"/>
              <w:gridCol w:w="3540"/>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eastAsia" w:ascii="仿宋" w:hAnsi="仿宋" w:eastAsia="仿宋" w:cs="仿宋"/>
                      <w:b/>
                      <w:bCs/>
                      <w:color w:val="181717" w:themeColor="background2" w:themeShade="1A"/>
                      <w:sz w:val="21"/>
                      <w:szCs w:val="21"/>
                    </w:rPr>
                  </w:pPr>
                  <w:r>
                    <w:rPr>
                      <w:rFonts w:hint="eastAsia" w:ascii="仿宋" w:hAnsi="仿宋" w:eastAsia="仿宋" w:cs="仿宋"/>
                      <w:b/>
                      <w:bCs/>
                      <w:color w:val="181717" w:themeColor="background2" w:themeShade="1A"/>
                      <w:sz w:val="21"/>
                      <w:szCs w:val="21"/>
                    </w:rPr>
                    <w:t>序号</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eastAsia" w:ascii="仿宋" w:hAnsi="仿宋" w:eastAsia="仿宋" w:cs="仿宋"/>
                      <w:b/>
                      <w:bCs/>
                      <w:color w:val="181717" w:themeColor="background2" w:themeShade="1A"/>
                      <w:sz w:val="21"/>
                      <w:szCs w:val="21"/>
                    </w:rPr>
                  </w:pPr>
                  <w:r>
                    <w:rPr>
                      <w:rFonts w:hint="eastAsia" w:ascii="仿宋" w:hAnsi="仿宋" w:eastAsia="仿宋" w:cs="仿宋"/>
                      <w:b/>
                      <w:bCs/>
                      <w:color w:val="181717" w:themeColor="background2" w:themeShade="1A"/>
                      <w:sz w:val="21"/>
                      <w:szCs w:val="21"/>
                    </w:rPr>
                    <w:t>环评批复内容</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eastAsia" w:ascii="仿宋" w:hAnsi="仿宋" w:eastAsia="仿宋" w:cs="仿宋"/>
                      <w:b/>
                      <w:bCs/>
                      <w:color w:val="181717" w:themeColor="background2" w:themeShade="1A"/>
                      <w:sz w:val="21"/>
                      <w:szCs w:val="21"/>
                    </w:rPr>
                  </w:pPr>
                  <w:r>
                    <w:rPr>
                      <w:rFonts w:hint="eastAsia" w:ascii="仿宋" w:hAnsi="仿宋" w:eastAsia="仿宋" w:cs="仿宋"/>
                      <w:b/>
                      <w:bCs/>
                      <w:color w:val="181717" w:themeColor="background2" w:themeShade="1A"/>
                      <w:sz w:val="21"/>
                      <w:szCs w:val="21"/>
                    </w:rPr>
                    <w:t>实际建设情况</w:t>
                  </w:r>
                </w:p>
              </w:tc>
              <w:tc>
                <w:tcPr>
                  <w:tcW w:w="640"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eastAsia" w:ascii="仿宋" w:hAnsi="仿宋" w:eastAsia="仿宋" w:cs="仿宋"/>
                      <w:b/>
                      <w:bCs/>
                      <w:color w:val="181717" w:themeColor="background2" w:themeShade="1A"/>
                      <w:sz w:val="21"/>
                      <w:szCs w:val="21"/>
                      <w:lang w:val="en-US" w:eastAsia="zh-CN"/>
                    </w:rPr>
                  </w:pPr>
                  <w:r>
                    <w:rPr>
                      <w:rFonts w:hint="eastAsia" w:ascii="仿宋" w:hAnsi="仿宋" w:eastAsia="仿宋" w:cs="仿宋"/>
                      <w:b/>
                      <w:bCs/>
                      <w:color w:val="181717" w:themeColor="background2" w:themeShade="1A"/>
                      <w:sz w:val="21"/>
                      <w:szCs w:val="21"/>
                      <w:lang w:val="en-US" w:eastAsia="zh-CN"/>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eastAsia" w:ascii="仿宋" w:hAnsi="仿宋" w:eastAsia="仿宋" w:cs="仿宋"/>
                      <w:b/>
                      <w:bCs/>
                      <w:color w:val="181717" w:themeColor="background2" w:themeShade="1A"/>
                      <w:sz w:val="21"/>
                      <w:szCs w:val="21"/>
                      <w:lang w:eastAsia="zh-CN"/>
                    </w:rPr>
                  </w:pPr>
                  <w:r>
                    <w:rPr>
                      <w:rFonts w:hint="eastAsia" w:ascii="仿宋" w:hAnsi="仿宋" w:eastAsia="仿宋" w:cs="仿宋"/>
                      <w:b/>
                      <w:bCs/>
                      <w:color w:val="181717" w:themeColor="background2" w:themeShade="1A"/>
                      <w:sz w:val="21"/>
                      <w:szCs w:val="21"/>
                      <w:lang w:eastAsia="zh-CN"/>
                    </w:rPr>
                    <w:t>一</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firstLine="420" w:firstLineChars="200"/>
                    <w:jc w:val="distribute"/>
                    <w:rPr>
                      <w:rFonts w:hint="eastAsia" w:ascii="仿宋" w:hAnsi="仿宋" w:eastAsia="仿宋" w:cs="仿宋"/>
                      <w:b w:val="0"/>
                      <w:bCs w:val="0"/>
                      <w:color w:val="181717" w:themeColor="background2" w:themeShade="1A"/>
                      <w:sz w:val="21"/>
                      <w:szCs w:val="21"/>
                    </w:rPr>
                  </w:pPr>
                  <w:r>
                    <w:rPr>
                      <w:rFonts w:hint="eastAsia" w:ascii="仿宋" w:hAnsi="仿宋" w:eastAsia="仿宋" w:cs="仿宋"/>
                      <w:b w:val="0"/>
                      <w:bCs w:val="0"/>
                      <w:color w:val="181717" w:themeColor="background2" w:themeShade="1A"/>
                      <w:sz w:val="21"/>
                      <w:szCs w:val="21"/>
                    </w:rPr>
                    <w:t>依据《报告表》内容，北京首钢铁合金有限公司平定分公司年产50000吨钢砂铝项目项目建设地点位于山西兆丰铝电有限责任公司电解铝分公司现有厂内(本企业现有车间)，项目总投资60万元，其中环保投资18万元。项目建设内容为扩建工程，于企业生产车间南部现成品区东区上进行建设，安装1条铝杆连铸连轧生产线、环保设备及其附属设施等。项目由平定经济技术开发区管理委员会予以备案，</w:t>
                  </w:r>
                </w:p>
                <w:p>
                  <w:pPr>
                    <w:pStyle w:val="20"/>
                    <w:keepNext w:val="0"/>
                    <w:keepLines w:val="0"/>
                    <w:suppressLineNumbers w:val="0"/>
                    <w:spacing w:before="0" w:beforeAutospacing="0" w:after="0" w:afterAutospacing="0" w:line="260" w:lineRule="exact"/>
                    <w:ind w:left="0" w:right="0"/>
                    <w:jc w:val="both"/>
                    <w:rPr>
                      <w:rFonts w:hint="eastAsia" w:ascii="仿宋" w:hAnsi="仿宋" w:eastAsia="仿宋" w:cs="仿宋"/>
                      <w:b w:val="0"/>
                      <w:bCs w:val="0"/>
                      <w:color w:val="181717" w:themeColor="background2" w:themeShade="1A"/>
                      <w:sz w:val="21"/>
                      <w:szCs w:val="21"/>
                    </w:rPr>
                  </w:pPr>
                  <w:r>
                    <w:rPr>
                      <w:rFonts w:hint="eastAsia" w:ascii="仿宋" w:hAnsi="仿宋" w:eastAsia="仿宋" w:cs="仿宋"/>
                      <w:b w:val="0"/>
                      <w:bCs w:val="0"/>
                      <w:color w:val="181717" w:themeColor="background2" w:themeShade="1A"/>
                      <w:sz w:val="21"/>
                      <w:szCs w:val="21"/>
                    </w:rPr>
                    <w:t>备案编号为2206-140321-89-01-300996,符合相关产业政策，项目在全面落实《报告表》提出的污染防治和生态保护措施的前提下，我局原则上同意《报告表》所列建设项目的性质、规模、地点、工艺和拟采取的环境保护措施。</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before="0" w:beforeAutospacing="0" w:afterAutospacing="0" w:line="260" w:lineRule="exact"/>
                    <w:ind w:left="0" w:right="0" w:firstLine="420" w:firstLineChars="200"/>
                    <w:jc w:val="both"/>
                    <w:rPr>
                      <w:rFonts w:hint="eastAsia" w:ascii="仿宋" w:hAnsi="仿宋" w:eastAsia="仿宋" w:cs="仿宋"/>
                      <w:color w:val="181717" w:themeColor="background2" w:themeShade="1A"/>
                      <w:sz w:val="21"/>
                      <w:szCs w:val="21"/>
                      <w:highlight w:val="none"/>
                      <w:lang w:eastAsia="zh-CN"/>
                    </w:rPr>
                  </w:pPr>
                  <w:r>
                    <w:rPr>
                      <w:rFonts w:hint="eastAsia" w:ascii="仿宋" w:hAnsi="仿宋" w:eastAsia="仿宋" w:cs="仿宋"/>
                      <w:color w:val="181717" w:themeColor="background2" w:themeShade="1A"/>
                      <w:sz w:val="21"/>
                      <w:szCs w:val="21"/>
                      <w:highlight w:val="none"/>
                      <w:lang w:eastAsia="zh-CN"/>
                    </w:rPr>
                    <w:t>本项目总投资60万元，其中环保投资18万元。项目建设内容为扩建工程，于企业生产车间南部现成品区东区上进行建设，安装1条铝杆连铸连轧生产线、环保设备及其附属设施等。</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both"/>
                    <w:textAlignment w:val="auto"/>
                    <w:rPr>
                      <w:rFonts w:hint="eastAsia" w:ascii="仿宋" w:hAnsi="仿宋" w:eastAsia="仿宋" w:cs="仿宋"/>
                      <w:color w:val="000000" w:themeColor="text1"/>
                      <w:sz w:val="21"/>
                      <w:szCs w:val="21"/>
                      <w:lang w:val="zh-CN" w:eastAsia="zh-CN" w:bidi="ar-SA"/>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eastAsia" w:ascii="仿宋" w:hAnsi="仿宋" w:eastAsia="仿宋" w:cs="仿宋"/>
                      <w:color w:val="181717" w:themeColor="background2" w:themeShade="1A"/>
                      <w:sz w:val="21"/>
                      <w:szCs w:val="21"/>
                      <w:lang w:eastAsia="zh-CN"/>
                    </w:rPr>
                  </w:pPr>
                  <w:r>
                    <w:rPr>
                      <w:rFonts w:hint="eastAsia" w:ascii="仿宋" w:hAnsi="仿宋" w:eastAsia="仿宋" w:cs="仿宋"/>
                      <w:color w:val="181717" w:themeColor="background2" w:themeShade="1A"/>
                      <w:sz w:val="21"/>
                      <w:szCs w:val="21"/>
                      <w:lang w:eastAsia="zh-CN"/>
                    </w:rPr>
                    <w:t>二</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60" w:lineRule="exact"/>
                    <w:ind w:left="0" w:right="0" w:firstLine="420" w:firstLineChars="200"/>
                    <w:jc w:val="both"/>
                    <w:textAlignment w:val="auto"/>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在项目建设和运营管理中，应认真落实《报告表》提出的各项环保对策措施，重点做好以下工作:</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Autospacing="0" w:line="260" w:lineRule="exact"/>
                    <w:ind w:left="0" w:right="0" w:firstLine="420" w:firstLineChars="20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leftChars="0" w:right="0" w:rightChars="0"/>
                    <w:jc w:val="center"/>
                    <w:rPr>
                      <w:rFonts w:hint="default" w:ascii="仿宋" w:hAnsi="仿宋" w:eastAsia="仿宋" w:cs="仿宋"/>
                      <w:color w:val="181717" w:themeColor="background2" w:themeShade="1A"/>
                      <w:sz w:val="21"/>
                      <w:szCs w:val="21"/>
                      <w:lang w:val="en-US" w:eastAsia="zh-CN" w:bidi="ar-SA"/>
                    </w:rPr>
                  </w:pPr>
                  <w:r>
                    <w:rPr>
                      <w:rFonts w:hint="eastAsia" w:ascii="仿宋" w:hAnsi="仿宋" w:eastAsia="仿宋" w:cs="仿宋"/>
                      <w:color w:val="181717" w:themeColor="background2" w:themeShade="1A"/>
                      <w:sz w:val="21"/>
                      <w:szCs w:val="21"/>
                      <w:lang w:val="en-US" w:eastAsia="zh-CN" w:bidi="ar-SA"/>
                    </w:rPr>
                    <w:t>1</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60" w:lineRule="exact"/>
                    <w:ind w:left="0" w:right="0" w:firstLine="420" w:firstLineChars="200"/>
                    <w:jc w:val="both"/>
                    <w:textAlignment w:val="auto"/>
                    <w:rPr>
                      <w:rFonts w:hint="eastAsia" w:ascii="仿宋" w:hAnsi="仿宋" w:eastAsia="仿宋" w:cs="仿宋"/>
                      <w:color w:val="181717" w:themeColor="background2" w:themeShade="1A"/>
                      <w:sz w:val="21"/>
                      <w:szCs w:val="21"/>
                      <w:lang w:eastAsia="zh-CN"/>
                    </w:rPr>
                  </w:pPr>
                  <w:r>
                    <w:rPr>
                      <w:rFonts w:hint="eastAsia" w:ascii="仿宋" w:hAnsi="仿宋" w:eastAsia="仿宋" w:cs="仿宋"/>
                      <w:color w:val="181717" w:themeColor="background2" w:themeShade="1A"/>
                      <w:sz w:val="21"/>
                      <w:szCs w:val="21"/>
                      <w:lang w:eastAsia="zh-CN"/>
                    </w:rPr>
                    <w:t>加强施工期污染防治。按照《报告表》的要求落实污染防治措施。采取有效的防尘措施，避免扬尘对周围环境造成污染;选用低噪声的施工设备，合理安排作业时间，禁止夜间施工;施工中产生的建筑垃圾必需妥善处理、及时清运;做好水土保持和生态保护工作。</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Autospacing="0" w:line="260" w:lineRule="exact"/>
                    <w:ind w:left="0" w:right="0" w:firstLine="420" w:firstLineChars="20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leftChars="0" w:right="0" w:rightChars="0"/>
                    <w:jc w:val="center"/>
                    <w:rPr>
                      <w:rFonts w:hint="default" w:ascii="仿宋" w:hAnsi="仿宋" w:eastAsia="仿宋" w:cs="仿宋"/>
                      <w:color w:val="181717" w:themeColor="background2" w:themeShade="1A"/>
                      <w:sz w:val="21"/>
                      <w:szCs w:val="21"/>
                      <w:lang w:val="en-US" w:eastAsia="zh-CN" w:bidi="ar-SA"/>
                    </w:rPr>
                  </w:pPr>
                  <w:r>
                    <w:rPr>
                      <w:rFonts w:hint="eastAsia" w:ascii="仿宋" w:hAnsi="仿宋" w:eastAsia="仿宋" w:cs="仿宋"/>
                      <w:color w:val="181717" w:themeColor="background2" w:themeShade="1A"/>
                      <w:sz w:val="21"/>
                      <w:szCs w:val="21"/>
                      <w:lang w:val="en-US" w:eastAsia="zh-CN" w:bidi="ar-SA"/>
                    </w:rPr>
                    <w:t>2</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强化大气污染防治措施。施工机械、车辆选择优质燃料，施工期设备定期修检;防渗层涂料采用非溶剂环保型环氧树脂漆，做好对漆料桶的密封;混合炉投料口设置集气罩收集粉尘，经布袋除尘器处理后，通过15m高排气筒达标排放;按要求安装监测监控设备，并与生态环境部门连网。</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Autospacing="0" w:line="260" w:lineRule="exact"/>
                    <w:ind w:left="0" w:right="0" w:firstLine="420" w:firstLineChars="200"/>
                    <w:jc w:val="both"/>
                    <w:rPr>
                      <w:rFonts w:hint="default"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保温炉投料口上方已设置集气罩，废气由集气罩上方连接的管道引至1套脉冲式布袋除尘器进行处理，废气最终通过1根15m高的排气筒排放（DA002），公司不需要安装监测监控设备。</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Autospacing="0" w:line="260" w:lineRule="exact"/>
                    <w:ind w:left="0" w:right="0"/>
                    <w:jc w:val="both"/>
                    <w:rPr>
                      <w:rFonts w:hint="eastAsia" w:ascii="仿宋" w:hAnsi="仿宋" w:eastAsia="仿宋" w:cs="仿宋"/>
                      <w:color w:val="181717" w:themeColor="background2" w:themeShade="1A"/>
                      <w:sz w:val="21"/>
                      <w:szCs w:val="21"/>
                      <w:highlight w:val="red"/>
                      <w:lang w:eastAsia="zh-CN"/>
                    </w:rPr>
                  </w:pPr>
                  <w:r>
                    <w:rPr>
                      <w:rFonts w:hint="eastAsia" w:ascii="仿宋" w:hAnsi="仿宋" w:eastAsia="仿宋" w:cs="仿宋"/>
                      <w:color w:val="000000" w:themeColor="text1"/>
                      <w:sz w:val="21"/>
                      <w:szCs w:val="21"/>
                      <w:lang w:val="en-US" w:eastAsia="zh-CN"/>
                      <w14:textFill>
                        <w14:solidFill>
                          <w14:schemeClr w14:val="tx1"/>
                        </w14:solidFill>
                      </w14:textFill>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leftChars="0" w:right="0" w:rightChars="0"/>
                    <w:jc w:val="center"/>
                    <w:rPr>
                      <w:rFonts w:hint="eastAsia" w:ascii="仿宋" w:hAnsi="仿宋" w:eastAsia="仿宋" w:cs="仿宋"/>
                      <w:color w:val="181717" w:themeColor="background2" w:themeShade="1A"/>
                      <w:sz w:val="21"/>
                      <w:szCs w:val="21"/>
                      <w:lang w:val="en-US" w:eastAsia="zh-CN" w:bidi="ar-SA"/>
                    </w:rPr>
                  </w:pPr>
                  <w:r>
                    <w:rPr>
                      <w:rFonts w:hint="eastAsia" w:ascii="仿宋" w:hAnsi="仿宋" w:eastAsia="仿宋" w:cs="仿宋"/>
                      <w:color w:val="181717" w:themeColor="background2" w:themeShade="1A"/>
                      <w:sz w:val="21"/>
                      <w:szCs w:val="21"/>
                      <w:lang w:val="en-US" w:eastAsia="zh-CN" w:bidi="ar-SA"/>
                    </w:rPr>
                    <w:t>3</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落实水污染防治措施。生产废水、生活废水处理后循环利用，不外排;沉淀池、循环水池等要做好防渗漏措施。</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生产废水、生活废水处理后循环利用，不外排;沉淀池、循环水池等做好</w:t>
                  </w:r>
                  <w:r>
                    <w:rPr>
                      <w:rFonts w:hint="eastAsia" w:ascii="仿宋" w:hAnsi="仿宋" w:eastAsia="仿宋" w:cs="仿宋"/>
                      <w:color w:val="181717" w:themeColor="background2" w:themeShade="1A"/>
                      <w:sz w:val="21"/>
                      <w:szCs w:val="21"/>
                      <w:lang w:eastAsia="zh-CN"/>
                    </w:rPr>
                    <w:t>了</w:t>
                  </w:r>
                  <w:r>
                    <w:rPr>
                      <w:rFonts w:hint="eastAsia" w:ascii="仿宋" w:hAnsi="仿宋" w:eastAsia="仿宋" w:cs="仿宋"/>
                      <w:color w:val="181717" w:themeColor="background2" w:themeShade="1A"/>
                      <w:sz w:val="21"/>
                      <w:szCs w:val="21"/>
                    </w:rPr>
                    <w:t>防渗漏措施。</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260" w:lineRule="exact"/>
                    <w:ind w:left="0" w:right="0"/>
                    <w:jc w:val="both"/>
                    <w:rPr>
                      <w:rFonts w:hint="eastAsia" w:ascii="仿宋" w:hAnsi="仿宋" w:eastAsia="仿宋" w:cs="仿宋"/>
                      <w:color w:val="181717" w:themeColor="background2" w:themeShade="1A"/>
                      <w:sz w:val="21"/>
                      <w:szCs w:val="21"/>
                      <w:lang w:eastAsia="zh-CN"/>
                    </w:rPr>
                  </w:pPr>
                  <w:r>
                    <w:rPr>
                      <w:rFonts w:hint="eastAsia" w:ascii="仿宋" w:hAnsi="仿宋" w:eastAsia="仿宋" w:cs="仿宋"/>
                      <w:color w:val="000000" w:themeColor="text1"/>
                      <w:sz w:val="21"/>
                      <w:szCs w:val="21"/>
                      <w:lang w:val="en-US" w:eastAsia="zh-CN"/>
                      <w14:textFill>
                        <w14:solidFill>
                          <w14:schemeClr w14:val="tx1"/>
                        </w14:solidFill>
                      </w14:textFill>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leftChars="0" w:right="0" w:rightChars="0"/>
                    <w:jc w:val="center"/>
                    <w:rPr>
                      <w:rFonts w:hint="default" w:ascii="仿宋" w:hAnsi="仿宋" w:eastAsia="仿宋" w:cs="仿宋"/>
                      <w:color w:val="181717" w:themeColor="background2" w:themeShade="1A"/>
                      <w:sz w:val="21"/>
                      <w:szCs w:val="21"/>
                      <w:lang w:val="en-US" w:eastAsia="zh-CN" w:bidi="ar-SA"/>
                    </w:rPr>
                  </w:pPr>
                  <w:r>
                    <w:rPr>
                      <w:rFonts w:hint="eastAsia" w:ascii="仿宋" w:hAnsi="仿宋" w:eastAsia="仿宋" w:cs="仿宋"/>
                      <w:color w:val="181717" w:themeColor="background2" w:themeShade="1A"/>
                      <w:sz w:val="21"/>
                      <w:szCs w:val="21"/>
                      <w:lang w:val="en-US" w:eastAsia="zh-CN" w:bidi="ar-SA"/>
                    </w:rPr>
                    <w:t>4</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合理处置各类固体废物，严防造成二次污染。循环水池沉积物、不合格品外售电解铝分公司综合利用;设置危废暂存间，将除尘灰、铝灰、油泥等危险废物分区暂存，定期委托资质单位进行协同处理;生活垃圾定期运往指定地点，进行集中处置。</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循环水池沉积物、不合格品外售电解铝分公司综合利用;将除尘灰、铝灰、油泥等危险废物分区暂存，按规范设置了围堰、导流渠及收集井等，库内危险废物分区暂存，定期委托资质单位进行协同处置。</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260" w:lineRule="exact"/>
                    <w:ind w:left="0" w:right="0"/>
                    <w:jc w:val="both"/>
                    <w:rPr>
                      <w:rFonts w:hint="eastAsia" w:ascii="仿宋" w:hAnsi="仿宋" w:eastAsia="仿宋" w:cs="仿宋"/>
                      <w:color w:val="181717" w:themeColor="background2" w:themeShade="1A"/>
                      <w:sz w:val="21"/>
                      <w:szCs w:val="21"/>
                      <w:lang w:eastAsia="zh-CN"/>
                    </w:rPr>
                  </w:pPr>
                  <w:r>
                    <w:rPr>
                      <w:rFonts w:hint="eastAsia" w:ascii="仿宋" w:hAnsi="仿宋" w:eastAsia="仿宋" w:cs="仿宋"/>
                      <w:color w:val="000000" w:themeColor="text1"/>
                      <w:sz w:val="21"/>
                      <w:szCs w:val="21"/>
                      <w:lang w:val="en-US" w:eastAsia="zh-CN"/>
                      <w14:textFill>
                        <w14:solidFill>
                          <w14:schemeClr w14:val="tx1"/>
                        </w14:solidFill>
                      </w14:textFill>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5</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60" w:lineRule="exact"/>
                    <w:ind w:left="0" w:right="0" w:firstLine="420" w:firstLineChars="200"/>
                    <w:jc w:val="both"/>
                    <w:textAlignment w:val="auto"/>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落实隔声降噪措施。确保厂界噪声达到《工业企业厂界环境噪声排放标准》(GB12348-2008)中限值要求，不得对周边环境造成影响。</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60" w:lineRule="exact"/>
                    <w:ind w:left="0" w:right="0" w:firstLine="420" w:firstLineChars="200"/>
                    <w:jc w:val="both"/>
                    <w:textAlignment w:val="auto"/>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lang w:val="en-US" w:eastAsia="zh-CN"/>
                    </w:rPr>
                    <w:t>已优先选用低噪声设备，高噪声设备底部设置基础减震，生产设备尽可能置于密闭车间内。</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260" w:lineRule="exact"/>
                    <w:ind w:left="0" w:right="0"/>
                    <w:jc w:val="both"/>
                    <w:rPr>
                      <w:rFonts w:hint="eastAsia" w:ascii="仿宋" w:hAnsi="仿宋" w:eastAsia="仿宋" w:cs="仿宋"/>
                      <w:color w:val="181717" w:themeColor="background2" w:themeShade="1A"/>
                      <w:sz w:val="21"/>
                      <w:szCs w:val="21"/>
                      <w:lang w:eastAsia="zh-CN"/>
                    </w:rPr>
                  </w:pPr>
                  <w:r>
                    <w:rPr>
                      <w:rFonts w:hint="eastAsia" w:ascii="仿宋" w:hAnsi="仿宋" w:eastAsia="仿宋" w:cs="仿宋"/>
                      <w:color w:val="000000" w:themeColor="text1"/>
                      <w:sz w:val="21"/>
                      <w:szCs w:val="21"/>
                      <w:lang w:val="en-US" w:eastAsia="zh-CN"/>
                      <w14:textFill>
                        <w14:solidFill>
                          <w14:schemeClr w14:val="tx1"/>
                        </w14:solidFill>
                      </w14:textFill>
                    </w:rPr>
                    <w:t>与环评批复一致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6</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强化应急管理，做好环境风险防范工作。按要求编制突发环境事件应急预案并备案，配备专职环保管理人员，建立健全环境管理制度，加强环保设施管理和日常维护，严防环境污染事故发生。</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center"/>
                    <w:rPr>
                      <w:rFonts w:hint="default"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w:t>
                  </w:r>
                </w:p>
              </w:tc>
              <w:tc>
                <w:tcPr>
                  <w:tcW w:w="6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260" w:lineRule="exact"/>
                    <w:ind w:left="0" w:right="0"/>
                    <w:jc w:val="center"/>
                    <w:rPr>
                      <w:rFonts w:hint="eastAsia"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三</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项目建设必须严格执行环境保护设施与主体工程同时设计、同时施工、同时投产使用的环境保护“三同时”制度。项目竣工后，须按规定程序进行竣工环境保护验收。</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60" w:lineRule="exact"/>
                    <w:ind w:left="0" w:right="0" w:firstLine="0" w:firstLineChars="0"/>
                    <w:jc w:val="center"/>
                    <w:textAlignment w:val="auto"/>
                    <w:rPr>
                      <w:rFonts w:hint="default"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w:t>
                  </w:r>
                </w:p>
              </w:tc>
              <w:tc>
                <w:tcPr>
                  <w:tcW w:w="6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60" w:lineRule="exact"/>
                    <w:ind w:left="0" w:right="0" w:firstLine="0" w:firstLineChars="0"/>
                    <w:jc w:val="center"/>
                    <w:textAlignment w:val="auto"/>
                    <w:rPr>
                      <w:rFonts w:hint="default"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四</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环境影响报告表经批准后，项目性质、规模、地点或者污染防治措施发生重大变动，应当重新报批该项目环境影响报告表。自环境影响报告表批复文件批准之日起，如超过五年工程才开工的，应当在开工前将环境影响报告表报我局重新审核。</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w:t>
                  </w:r>
                </w:p>
              </w:tc>
              <w:tc>
                <w:tcPr>
                  <w:tcW w:w="6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jc w:val="center"/>
                    <w:rPr>
                      <w:rFonts w:hint="eastAsia" w:ascii="仿宋" w:hAnsi="仿宋" w:eastAsia="仿宋" w:cs="仿宋"/>
                      <w:color w:val="181717" w:themeColor="background2" w:themeShade="1A"/>
                      <w:sz w:val="21"/>
                      <w:szCs w:val="21"/>
                      <w:highlight w:val="none"/>
                      <w:lang w:val="en-US" w:eastAsia="zh-CN"/>
                    </w:rPr>
                  </w:pPr>
                  <w:r>
                    <w:rPr>
                      <w:rFonts w:hint="eastAsia" w:ascii="仿宋" w:hAnsi="仿宋" w:eastAsia="仿宋" w:cs="仿宋"/>
                      <w:color w:val="181717" w:themeColor="background2" w:themeShade="1A"/>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pPr>
                    <w:pStyle w:val="20"/>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五</w:t>
                  </w:r>
                </w:p>
              </w:tc>
              <w:tc>
                <w:tcPr>
                  <w:tcW w:w="3945"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firstLine="420" w:firstLineChars="200"/>
                    <w:jc w:val="both"/>
                    <w:rPr>
                      <w:rFonts w:hint="eastAsia" w:ascii="仿宋" w:hAnsi="仿宋" w:eastAsia="仿宋" w:cs="仿宋"/>
                      <w:color w:val="181717" w:themeColor="background2" w:themeShade="1A"/>
                      <w:sz w:val="21"/>
                      <w:szCs w:val="21"/>
                    </w:rPr>
                  </w:pPr>
                  <w:r>
                    <w:rPr>
                      <w:rFonts w:hint="eastAsia" w:ascii="仿宋" w:hAnsi="仿宋" w:eastAsia="仿宋" w:cs="仿宋"/>
                      <w:color w:val="181717" w:themeColor="background2" w:themeShade="1A"/>
                      <w:sz w:val="21"/>
                      <w:szCs w:val="21"/>
                    </w:rPr>
                    <w:t>建设期及运营期的日常监督管理工作由平定县生态环境保护综合行政执法队负责。</w:t>
                  </w:r>
                </w:p>
              </w:tc>
              <w:tc>
                <w:tcPr>
                  <w:tcW w:w="35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w:t>
                  </w:r>
                </w:p>
              </w:tc>
              <w:tc>
                <w:tcPr>
                  <w:tcW w:w="64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suppressLineNumbers w:val="0"/>
                    <w:spacing w:before="0" w:beforeAutospacing="0" w:after="0" w:afterAutospacing="0" w:line="260" w:lineRule="exact"/>
                    <w:ind w:left="0" w:right="0"/>
                    <w:jc w:val="center"/>
                    <w:rPr>
                      <w:rFonts w:hint="default" w:ascii="仿宋" w:hAnsi="仿宋" w:eastAsia="仿宋" w:cs="仿宋"/>
                      <w:color w:val="181717" w:themeColor="background2" w:themeShade="1A"/>
                      <w:sz w:val="21"/>
                      <w:szCs w:val="21"/>
                      <w:lang w:val="en-US" w:eastAsia="zh-CN"/>
                    </w:rPr>
                  </w:pPr>
                  <w:r>
                    <w:rPr>
                      <w:rFonts w:hint="eastAsia" w:ascii="仿宋" w:hAnsi="仿宋" w:eastAsia="仿宋" w:cs="仿宋"/>
                      <w:color w:val="181717" w:themeColor="background2" w:themeShade="1A"/>
                      <w:sz w:val="21"/>
                      <w:szCs w:val="21"/>
                      <w:lang w:val="en-US" w:eastAsia="zh-CN"/>
                    </w:rPr>
                    <w:t>/</w:t>
                  </w:r>
                </w:p>
              </w:tc>
            </w:tr>
          </w:tbl>
          <w:p>
            <w:pPr>
              <w:pStyle w:val="2"/>
              <w:keepNext w:val="0"/>
              <w:keepLines w:val="0"/>
              <w:pageBreakBefore w:val="0"/>
              <w:widowControl w:val="0"/>
              <w:numPr>
                <w:ilvl w:val="0"/>
                <w:numId w:val="0"/>
              </w:numPr>
              <w:suppressLineNumbers w:val="0"/>
              <w:kinsoku/>
              <w:wordWrap/>
              <w:overflowPunct/>
              <w:topLinePunct w:val="0"/>
              <w:bidi w:val="0"/>
              <w:spacing w:before="0" w:beforeAutospacing="0" w:after="0" w:afterAutospacing="0" w:line="520" w:lineRule="exact"/>
              <w:ind w:left="0" w:right="0"/>
              <w:jc w:val="both"/>
              <w:textAlignment w:val="auto"/>
              <w:rPr>
                <w:rFonts w:hint="eastAsia" w:ascii="仿宋" w:hAnsi="仿宋" w:eastAsia="仿宋" w:cs="仿宋"/>
                <w:b/>
                <w:bCs/>
                <w:color w:val="181717" w:themeColor="background2" w:themeShade="1A"/>
                <w:sz w:val="24"/>
                <w:szCs w:val="24"/>
                <w:vertAlign w:val="baseline"/>
                <w:lang w:val="en-US" w:eastAsia="zh-CN"/>
              </w:rPr>
            </w:pPr>
          </w:p>
        </w:tc>
      </w:tr>
    </w:tbl>
    <w:p>
      <w:pPr>
        <w:rPr>
          <w:rFonts w:hint="eastAsia" w:ascii="仿宋" w:hAnsi="仿宋" w:eastAsia="仿宋" w:cs="仿宋"/>
        </w:rPr>
      </w:pPr>
      <w:r>
        <w:rPr>
          <w:rFonts w:hint="eastAsia" w:ascii="仿宋" w:hAnsi="仿宋" w:eastAsia="仿宋" w:cs="仿宋"/>
        </w:rPr>
        <w:br w:type="page"/>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Borders>
              <w:top w:val="nil"/>
              <w:left w:val="nil"/>
              <w:bottom w:val="single" w:color="auto" w:sz="4" w:space="0"/>
              <w:right w:val="nil"/>
            </w:tcBorders>
            <w:vAlign w:val="top"/>
          </w:tcPr>
          <w:p>
            <w:pPr>
              <w:pStyle w:val="3"/>
              <w:widowControl/>
              <w:suppressLineNumbers w:val="0"/>
              <w:bidi w:val="0"/>
              <w:spacing w:before="0" w:beforeAutospacing="0" w:afterAutospacing="0"/>
              <w:ind w:left="0" w:right="0"/>
              <w:rPr>
                <w:rFonts w:hint="eastAsia" w:ascii="仿宋" w:hAnsi="仿宋" w:eastAsia="仿宋" w:cs="仿宋"/>
                <w:color w:val="FF0000"/>
                <w:vertAlign w:val="baseline"/>
                <w:lang w:val="en-US" w:eastAsia="zh-CN"/>
              </w:rPr>
            </w:pPr>
            <w:bookmarkStart w:id="11" w:name="_Toc11467"/>
            <w:r>
              <w:rPr>
                <w:rFonts w:hint="eastAsia"/>
                <w:lang w:val="en-US" w:eastAsia="zh-CN"/>
              </w:rPr>
              <w:t>表五 验收监测质量保证及质量控制</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6" w:hRule="atLeast"/>
          <w:jc w:val="center"/>
        </w:trPr>
        <w:tc>
          <w:tcPr>
            <w:tcW w:w="8522" w:type="dxa"/>
            <w:tcBorders>
              <w:top w:val="single" w:color="auto" w:sz="4" w:space="0"/>
              <w:left w:val="single" w:color="auto" w:sz="4" w:space="0"/>
              <w:bottom w:val="single" w:color="auto" w:sz="4" w:space="0"/>
              <w:right w:val="single" w:color="auto" w:sz="4" w:space="0"/>
            </w:tcBorders>
            <w:vAlign w:val="top"/>
          </w:tcPr>
          <w:p>
            <w:pPr>
              <w:pStyle w:val="4"/>
              <w:pageBreakBefore w:val="0"/>
              <w:widowControl/>
              <w:suppressLineNumbers w:val="0"/>
              <w:kinsoku/>
              <w:wordWrap/>
              <w:overflowPunct/>
              <w:topLinePunct w:val="0"/>
              <w:bidi w:val="0"/>
              <w:adjustRightInd w:val="0"/>
              <w:spacing w:before="0" w:after="0" w:afterLines="0" w:line="480" w:lineRule="exact"/>
              <w:ind w:left="0" w:right="0"/>
              <w:textAlignment w:val="auto"/>
              <w:rPr>
                <w:rFonts w:hint="eastAsia"/>
                <w:lang w:val="en-US" w:eastAsia="zh-CN"/>
              </w:rPr>
            </w:pPr>
            <w:bookmarkStart w:id="12" w:name="_Toc31294"/>
            <w:r>
              <w:rPr>
                <w:rFonts w:hint="eastAsia"/>
                <w:lang w:val="en-US" w:eastAsia="zh-CN"/>
              </w:rPr>
              <w:t>5.1 现场采样质量控制</w:t>
            </w:r>
            <w:bookmarkEnd w:id="12"/>
          </w:p>
          <w:p>
            <w:pPr>
              <w:pStyle w:val="2"/>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监测采样期间，有组织废气采样、保存、运输严格按照《固定源废气监测技术规范》（HJ/T 397-2007）中各项规定进行；无组织废气采样、保存、运输严格按照《大气污染物无组织排放监测技术导则》（HJ/T 55-2000）中各项规定进行；噪声监测严格按照《工业企业厂界环境噪声排放标准》(GB12348-2008)中各项规定进行；采样过程环境条件符合上述标准的规定；人员全部持证上岗。</w:t>
            </w:r>
          </w:p>
          <w:p>
            <w:pPr>
              <w:pStyle w:val="4"/>
              <w:pageBreakBefore w:val="0"/>
              <w:widowControl/>
              <w:suppressLineNumbers w:val="0"/>
              <w:kinsoku/>
              <w:wordWrap/>
              <w:overflowPunct/>
              <w:topLinePunct w:val="0"/>
              <w:bidi w:val="0"/>
              <w:adjustRightInd w:val="0"/>
              <w:spacing w:before="0" w:after="0" w:afterLines="0" w:line="480" w:lineRule="exact"/>
              <w:ind w:left="0" w:right="0"/>
              <w:textAlignment w:val="auto"/>
              <w:rPr>
                <w:rFonts w:hint="eastAsia"/>
                <w:lang w:val="en-US" w:eastAsia="zh-CN"/>
              </w:rPr>
            </w:pPr>
            <w:bookmarkStart w:id="13" w:name="_Toc1072"/>
            <w:r>
              <w:rPr>
                <w:rFonts w:hint="eastAsia"/>
                <w:lang w:val="en-US" w:eastAsia="zh-CN"/>
              </w:rPr>
              <w:t>5.2监测分析方法及执行标准</w:t>
            </w:r>
            <w:bookmarkEnd w:id="13"/>
          </w:p>
          <w:p>
            <w:pPr>
              <w:pStyle w:val="2"/>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422" w:firstLineChars="200"/>
              <w:jc w:val="center"/>
              <w:textAlignment w:val="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t>表5-1  监测分析方法</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503"/>
              <w:gridCol w:w="2706"/>
              <w:gridCol w:w="1499"/>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类别</w:t>
                  </w: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项 目</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分析方法</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检出限或最低检出浓度</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方法来源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有组织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废气</w:t>
                  </w: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《固定污染源废气低浓度颗粒物的测定重量法》</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1.0mg/m</w:t>
                  </w:r>
                  <w:r>
                    <w:rPr>
                      <w:rStyle w:val="37"/>
                      <w:rFonts w:hint="eastAsia" w:ascii="仿宋" w:hAnsi="仿宋" w:eastAsia="仿宋" w:cs="仿宋"/>
                      <w:sz w:val="21"/>
                      <w:szCs w:val="21"/>
                      <w:lang w:val="en-US" w:eastAsia="zh-CN" w:bidi="ar"/>
                    </w:rPr>
                    <w:t>³</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HJ836-2017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《固定污染源排气中颗粒物测定与气态污染物采样方法》</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GB/T16157-1996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非甲烷总烃</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《固定污染源废气总烃、甲烷和非甲烷总烃的测定气相色谱法》</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0.07mg/m</w:t>
                  </w:r>
                  <w:r>
                    <w:rPr>
                      <w:rStyle w:val="37"/>
                      <w:rFonts w:hint="eastAsia" w:ascii="仿宋" w:hAnsi="仿宋" w:eastAsia="仿宋" w:cs="仿宋"/>
                      <w:sz w:val="21"/>
                      <w:szCs w:val="21"/>
                      <w:lang w:val="en-US" w:eastAsia="zh-CN" w:bidi="ar"/>
                    </w:rPr>
                    <w:t>³</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H</w:t>
                  </w:r>
                  <w:r>
                    <w:rPr>
                      <w:rStyle w:val="38"/>
                      <w:rFonts w:hint="eastAsia" w:ascii="仿宋" w:hAnsi="仿宋" w:eastAsia="仿宋" w:cs="仿宋"/>
                      <w:sz w:val="21"/>
                      <w:szCs w:val="21"/>
                      <w:lang w:val="en-US" w:eastAsia="zh-CN" w:bidi="ar"/>
                    </w:rPr>
                    <w:t>J</w:t>
                  </w:r>
                  <w:r>
                    <w:rPr>
                      <w:rFonts w:hint="eastAsia" w:ascii="仿宋" w:hAnsi="仿宋" w:eastAsia="仿宋" w:cs="仿宋"/>
                      <w:i w:val="0"/>
                      <w:iCs w:val="0"/>
                      <w:color w:val="000000"/>
                      <w:kern w:val="0"/>
                      <w:sz w:val="21"/>
                      <w:szCs w:val="21"/>
                      <w:u w:val="none"/>
                      <w:lang w:val="en-US" w:eastAsia="zh-CN" w:bidi="ar"/>
                    </w:rPr>
                    <w:t>38-2017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无组织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废气</w:t>
                  </w: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《环境空气总悬浮颗粒物的测定重量法》</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7μg/m³</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HJ1263-2022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非甲烷总烃</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《环境空气总烃、甲烷和非甲烷总烃的测定直接进样-气相色谱法》</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0.07mg/m³</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HJ604-2017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噪声</w:t>
                  </w:r>
                </w:p>
              </w:tc>
              <w:tc>
                <w:tcPr>
                  <w:tcW w:w="906"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L10、L50、L90、Leq、SD</w:t>
                  </w:r>
                </w:p>
              </w:tc>
              <w:tc>
                <w:tcPr>
                  <w:tcW w:w="163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《工业企业厂界环境噪声的排放标准》</w:t>
                  </w:r>
                </w:p>
              </w:tc>
              <w:tc>
                <w:tcPr>
                  <w:tcW w:w="90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w:t>
                  </w:r>
                </w:p>
              </w:tc>
              <w:tc>
                <w:tcPr>
                  <w:tcW w:w="97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GB 12348-2008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83"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备注</w:t>
                  </w:r>
                </w:p>
              </w:tc>
              <w:tc>
                <w:tcPr>
                  <w:tcW w:w="4416" w:type="pct"/>
                  <w:gridSpan w:val="4"/>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none"/>
                      <w:vertAlign w:val="baseline"/>
                      <w:lang w:val="en-US" w:eastAsia="zh-CN"/>
                    </w:rPr>
                  </w:pPr>
                </w:p>
              </w:tc>
            </w:tr>
          </w:tbl>
          <w:p>
            <w:pPr>
              <w:pStyle w:val="4"/>
              <w:widowControl w:val="0"/>
              <w:suppressLineNumbers w:val="0"/>
              <w:bidi w:val="0"/>
              <w:ind w:left="0" w:right="0"/>
              <w:jc w:val="center"/>
              <w:rPr>
                <w:rFonts w:hint="eastAsia" w:ascii="仿宋" w:hAnsi="仿宋" w:cs="仿宋"/>
                <w:sz w:val="21"/>
                <w:szCs w:val="21"/>
                <w:highlight w:val="none"/>
                <w:vertAlign w:val="baseline"/>
                <w:lang w:val="en-US" w:eastAsia="zh-CN"/>
              </w:rPr>
            </w:pPr>
            <w:bookmarkStart w:id="14" w:name="_Toc8874"/>
            <w:r>
              <w:rPr>
                <w:rFonts w:hint="eastAsia" w:ascii="仿宋" w:hAnsi="仿宋" w:eastAsia="仿宋" w:cs="仿宋"/>
                <w:sz w:val="21"/>
                <w:szCs w:val="21"/>
                <w:highlight w:val="none"/>
                <w:lang w:val="en-US" w:eastAsia="zh-CN"/>
              </w:rPr>
              <w:t>表5-</w:t>
            </w:r>
            <w:r>
              <w:rPr>
                <w:rFonts w:hint="eastAsia" w:ascii="仿宋" w:hAnsi="仿宋" w:cs="仿宋"/>
                <w:sz w:val="21"/>
                <w:szCs w:val="21"/>
                <w:highlight w:val="none"/>
                <w:lang w:val="en-US" w:eastAsia="zh-CN"/>
              </w:rPr>
              <w:t>2  各污染物执行标准限值</w:t>
            </w:r>
            <w:bookmarkEnd w:id="14"/>
          </w:p>
          <w:tbl>
            <w:tblPr>
              <w:tblStyle w:val="18"/>
              <w:tblW w:w="8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954"/>
              <w:gridCol w:w="3671"/>
              <w:gridCol w:w="1264"/>
              <w:gridCol w:w="771"/>
              <w:gridCol w:w="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污染源类别</w:t>
                  </w:r>
                </w:p>
              </w:tc>
              <w:tc>
                <w:tcPr>
                  <w:tcW w:w="9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污染源点位</w:t>
                  </w:r>
                </w:p>
              </w:tc>
              <w:tc>
                <w:tcPr>
                  <w:tcW w:w="36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标准名称</w:t>
                  </w: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污染物名称</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Style w:val="39"/>
                      <w:rFonts w:hint="eastAsia" w:ascii="仿宋" w:hAnsi="仿宋" w:eastAsia="仿宋" w:cs="仿宋"/>
                      <w:b/>
                      <w:bCs/>
                      <w:sz w:val="21"/>
                      <w:szCs w:val="21"/>
                      <w:lang w:val="en-US" w:eastAsia="zh-CN" w:bidi="ar"/>
                    </w:rPr>
                    <w:t>单位</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none"/>
                      <w:vertAlign w:val="baseline"/>
                      <w:lang w:val="en-US" w:eastAsia="zh-CN"/>
                    </w:rPr>
                  </w:pPr>
                  <w:r>
                    <w:rPr>
                      <w:rStyle w:val="39"/>
                      <w:rFonts w:hint="eastAsia" w:ascii="仿宋" w:hAnsi="仿宋" w:eastAsia="仿宋" w:cs="仿宋"/>
                      <w:b/>
                      <w:bCs/>
                      <w:sz w:val="21"/>
                      <w:szCs w:val="21"/>
                      <w:lang w:val="en-US" w:eastAsia="zh-CN" w:bidi="ar"/>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有组织废气</w:t>
                  </w:r>
                </w:p>
              </w:tc>
              <w:tc>
                <w:tcPr>
                  <w:tcW w:w="9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保温炉投料出口</w:t>
                  </w:r>
                </w:p>
              </w:tc>
              <w:tc>
                <w:tcPr>
                  <w:tcW w:w="36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《晋津冀及周边地区2018-2019年秋冬季大气污染物综合治理攻坚行动方案》</w:t>
                  </w: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mg/m³</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9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连轧机出口</w:t>
                  </w:r>
                </w:p>
              </w:tc>
              <w:tc>
                <w:tcPr>
                  <w:tcW w:w="36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《大气污染物综合排放标准》(GB16297-1996)中表2标准限值要求</w:t>
                  </w: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非甲烷总烃</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mg/m³</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无组织废气</w:t>
                  </w:r>
                </w:p>
              </w:tc>
              <w:tc>
                <w:tcPr>
                  <w:tcW w:w="954"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厂界</w:t>
                  </w:r>
                </w:p>
              </w:tc>
              <w:tc>
                <w:tcPr>
                  <w:tcW w:w="3671"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《大气污染物综合排放标准》(GB16297-1996)中表2标准限值要求</w:t>
                  </w: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mg/m³</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95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367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非甲烷总烃</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mg/m³</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噪声</w:t>
                  </w:r>
                </w:p>
              </w:tc>
              <w:tc>
                <w:tcPr>
                  <w:tcW w:w="954"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厂界四周</w:t>
                  </w:r>
                </w:p>
              </w:tc>
              <w:tc>
                <w:tcPr>
                  <w:tcW w:w="3671"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none"/>
                      <w:vertAlign w:val="baseline"/>
                      <w:lang w:val="en-US" w:eastAsia="zh-CN"/>
                    </w:rPr>
                  </w:pPr>
                  <w:r>
                    <w:rPr>
                      <w:rFonts w:hint="eastAsia" w:ascii="仿宋" w:hAnsi="仿宋" w:eastAsia="仿宋" w:cs="仿宋"/>
                      <w:i w:val="0"/>
                      <w:iCs w:val="0"/>
                      <w:color w:val="000000"/>
                      <w:kern w:val="0"/>
                      <w:sz w:val="21"/>
                      <w:szCs w:val="21"/>
                      <w:u w:val="none"/>
                      <w:lang w:val="en-US" w:eastAsia="zh-CN" w:bidi="ar"/>
                    </w:rPr>
                    <w:t>《工业企业厂界环境噪声排放标准》GB12348-2008)表1中2类排放标准</w:t>
                  </w: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Leq(昼间)</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dB(A)</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2"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95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367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highlight w:val="none"/>
                      <w:vertAlign w:val="baseline"/>
                      <w:lang w:val="en-US" w:eastAsia="zh-CN"/>
                    </w:rPr>
                  </w:pPr>
                </w:p>
              </w:tc>
              <w:tc>
                <w:tcPr>
                  <w:tcW w:w="126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Leq(夜间)</w:t>
                  </w:r>
                </w:p>
              </w:tc>
              <w:tc>
                <w:tcPr>
                  <w:tcW w:w="7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dB(A)</w:t>
                  </w:r>
                </w:p>
              </w:tc>
              <w:tc>
                <w:tcPr>
                  <w:tcW w:w="66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50</w:t>
                  </w:r>
                </w:p>
              </w:tc>
            </w:tr>
          </w:tbl>
          <w:p>
            <w:pPr>
              <w:pStyle w:val="4"/>
              <w:pageBreakBefore w:val="0"/>
              <w:widowControl/>
              <w:suppressLineNumbers w:val="0"/>
              <w:kinsoku/>
              <w:wordWrap/>
              <w:overflowPunct/>
              <w:topLinePunct w:val="0"/>
              <w:autoSpaceDE/>
              <w:autoSpaceDN/>
              <w:bidi w:val="0"/>
              <w:adjustRightInd w:val="0"/>
              <w:snapToGrid w:val="0"/>
              <w:spacing w:before="0" w:after="0" w:afterLines="0" w:line="520" w:lineRule="exact"/>
              <w:ind w:left="0" w:right="0"/>
              <w:textAlignment w:val="auto"/>
              <w:rPr>
                <w:rFonts w:hint="eastAsia"/>
                <w:lang w:val="en-US" w:eastAsia="zh-CN"/>
              </w:rPr>
            </w:pPr>
            <w:bookmarkStart w:id="15" w:name="_Toc6336"/>
            <w:r>
              <w:rPr>
                <w:rFonts w:hint="eastAsia"/>
                <w:lang w:val="en-US" w:eastAsia="zh-CN"/>
              </w:rPr>
              <w:t>5.3人员能力</w:t>
            </w:r>
            <w:bookmarkEnd w:id="15"/>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b/>
                <w:bCs w:val="0"/>
                <w:sz w:val="21"/>
                <w:szCs w:val="21"/>
                <w:highlight w:val="none"/>
                <w:lang w:val="en-US" w:eastAsia="zh-CN"/>
              </w:rPr>
              <w:t>表5-3  监测人员持证情况一览表</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7"/>
              <w:gridCol w:w="1658"/>
              <w:gridCol w:w="1658"/>
              <w:gridCol w:w="1658"/>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采样人员</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val="0"/>
                      <w:bCs w:val="0"/>
                      <w:sz w:val="21"/>
                      <w:szCs w:val="21"/>
                      <w:highlight w:val="red"/>
                      <w:vertAlign w:val="baseli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李俊鹏</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val="0"/>
                      <w:bCs w:val="0"/>
                      <w:sz w:val="21"/>
                      <w:szCs w:val="21"/>
                      <w:highlight w:val="red"/>
                      <w:vertAlign w:val="baseli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董嘉昕</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val="0"/>
                      <w:bCs w:val="0"/>
                      <w:sz w:val="21"/>
                      <w:szCs w:val="21"/>
                      <w:highlight w:val="red"/>
                      <w:vertAlign w:val="baseli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王  波</w:t>
                  </w:r>
                </w:p>
              </w:tc>
              <w:tc>
                <w:tcPr>
                  <w:tcW w:w="166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val="0"/>
                      <w:bCs w:val="0"/>
                      <w:sz w:val="21"/>
                      <w:szCs w:val="21"/>
                      <w:highlight w:val="red"/>
                      <w:vertAlign w:val="baseli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梁  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上岗证号</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BYQX2023006</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BYQX2023007</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BYQX2022003</w:t>
                  </w:r>
                </w:p>
              </w:tc>
              <w:tc>
                <w:tcPr>
                  <w:tcW w:w="166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采样人员</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苗  蕾</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韩瑞琴</w:t>
                  </w:r>
                </w:p>
              </w:tc>
              <w:tc>
                <w:tcPr>
                  <w:tcW w:w="1658" w:type="dxa"/>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1660" w:type="dxa"/>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上岗证号</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BYQX202300</w:t>
                  </w:r>
                  <w:r>
                    <w:rPr>
                      <w:rFonts w:hint="eastAsia" w:ascii="仿宋" w:hAnsi="仿宋" w:eastAsia="仿宋" w:cs="仿宋"/>
                      <w:i w:val="0"/>
                      <w:iCs w:val="0"/>
                      <w:color w:val="000734"/>
                      <w:kern w:val="0"/>
                      <w:sz w:val="21"/>
                      <w:szCs w:val="21"/>
                      <w:u w:val="none"/>
                      <w:lang w:val="en-US" w:eastAsia="zh-CN" w:bidi="ar"/>
                    </w:rPr>
                    <w:t>1</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BYQX2022004</w:t>
                  </w:r>
                </w:p>
              </w:tc>
              <w:tc>
                <w:tcPr>
                  <w:tcW w:w="1658" w:type="dxa"/>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1660" w:type="dxa"/>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检测人员</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冯  萱</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洪  佳</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王 杰</w:t>
                  </w:r>
                </w:p>
              </w:tc>
              <w:tc>
                <w:tcPr>
                  <w:tcW w:w="166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王靖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上岗证号</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BYQX2023010</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BYQX2023009</w:t>
                  </w:r>
                </w:p>
              </w:tc>
              <w:tc>
                <w:tcPr>
                  <w:tcW w:w="16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BYQX2023005</w:t>
                  </w:r>
                </w:p>
              </w:tc>
              <w:tc>
                <w:tcPr>
                  <w:tcW w:w="166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BYQX2023011</w:t>
                  </w:r>
                </w:p>
              </w:tc>
            </w:tr>
          </w:tbl>
          <w:p>
            <w:pPr>
              <w:pStyle w:val="4"/>
              <w:pageBreakBefore w:val="0"/>
              <w:widowControl/>
              <w:suppressLineNumbers w:val="0"/>
              <w:kinsoku/>
              <w:wordWrap/>
              <w:overflowPunct/>
              <w:topLinePunct w:val="0"/>
              <w:bidi w:val="0"/>
              <w:adjustRightInd w:val="0"/>
              <w:spacing w:before="0" w:after="0" w:afterLines="0" w:line="520" w:lineRule="exact"/>
              <w:ind w:left="0" w:right="0"/>
              <w:textAlignment w:val="auto"/>
              <w:rPr>
                <w:rFonts w:hint="eastAsia"/>
                <w:lang w:val="en-US" w:eastAsia="zh-CN"/>
              </w:rPr>
            </w:pPr>
            <w:bookmarkStart w:id="16" w:name="_Toc28323"/>
            <w:r>
              <w:rPr>
                <w:rFonts w:hint="eastAsia"/>
                <w:lang w:val="en-US" w:eastAsia="zh-CN"/>
              </w:rPr>
              <w:t>5.4监测过程中的质量保证和质量控制</w:t>
            </w:r>
            <w:bookmarkEnd w:id="16"/>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5.4.1 监测主要仪器</w:t>
            </w:r>
          </w:p>
          <w:p>
            <w:pPr>
              <w:pStyle w:val="2"/>
              <w:keepNext w:val="0"/>
              <w:keepLines w:val="0"/>
              <w:pageBreakBefore w:val="0"/>
              <w:suppressLineNumbers w:val="0"/>
              <w:kinsoku/>
              <w:wordWrap/>
              <w:overflowPunct/>
              <w:topLinePunct w:val="0"/>
              <w:bidi w:val="0"/>
              <w:adjustRightInd w:val="0"/>
              <w:spacing w:before="0" w:beforeAutospacing="0" w:after="0" w:afterAutospacing="0" w:line="520" w:lineRule="exact"/>
              <w:ind w:left="0" w:right="0" w:firstLine="422" w:firstLineChars="200"/>
              <w:jc w:val="center"/>
              <w:textAlignment w:val="auto"/>
              <w:rPr>
                <w:rFonts w:hint="eastAsia" w:ascii="仿宋" w:hAnsi="仿宋" w:eastAsia="仿宋" w:cs="仿宋"/>
                <w:b/>
                <w:bCs/>
                <w:sz w:val="21"/>
                <w:szCs w:val="21"/>
                <w:highlight w:val="none"/>
                <w:lang w:val="en-US" w:eastAsia="zh-CN" w:bidi="ar-SA"/>
              </w:rPr>
            </w:pPr>
            <w:r>
              <w:rPr>
                <w:rFonts w:hint="eastAsia" w:ascii="仿宋" w:hAnsi="仿宋" w:eastAsia="仿宋" w:cs="仿宋"/>
                <w:b/>
                <w:bCs/>
                <w:sz w:val="21"/>
                <w:szCs w:val="21"/>
                <w:highlight w:val="none"/>
                <w:lang w:val="en-US" w:eastAsia="zh-CN" w:bidi="ar-SA"/>
              </w:rPr>
              <w:t>表5-4  监测使用仪器一览表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1275"/>
              <w:gridCol w:w="2655"/>
              <w:gridCol w:w="1335"/>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仪器名称及型号</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仪器编号</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技术指标</w:t>
                  </w:r>
                </w:p>
              </w:tc>
              <w:tc>
                <w:tcPr>
                  <w:tcW w:w="133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检定/校准部门</w:t>
                  </w:r>
                </w:p>
              </w:tc>
              <w:tc>
                <w:tcPr>
                  <w:tcW w:w="13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检定/校准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到期时间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AUY220电子天平</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TP-07-2019</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测量范围/精度：0~220±0.1℃</w:t>
                  </w:r>
                </w:p>
              </w:tc>
              <w:tc>
                <w:tcPr>
                  <w:tcW w:w="133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山西仲测计量研究院有限公司</w:t>
                  </w:r>
                </w:p>
              </w:tc>
              <w:tc>
                <w:tcPr>
                  <w:tcW w:w="130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AUW120D电子天平</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TP-01-2018</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量程(g):120/42;精(mg):0.1/0.01</w:t>
                  </w: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AWA5688</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多功能声级计</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ZS-0</w:t>
                  </w:r>
                  <w:r>
                    <w:rPr>
                      <w:rFonts w:hint="eastAsia" w:ascii="仿宋" w:hAnsi="仿宋" w:eastAsia="仿宋" w:cs="仿宋"/>
                      <w:i w:val="0"/>
                      <w:iCs w:val="0"/>
                      <w:color w:val="000B37"/>
                      <w:kern w:val="0"/>
                      <w:sz w:val="21"/>
                      <w:szCs w:val="21"/>
                      <w:u w:val="none"/>
                      <w:lang w:val="en-US" w:eastAsia="zh-CN" w:bidi="ar"/>
                    </w:rPr>
                    <w:t>1</w:t>
                  </w:r>
                  <w:r>
                    <w:rPr>
                      <w:rFonts w:hint="eastAsia" w:ascii="仿宋" w:hAnsi="仿宋" w:eastAsia="仿宋" w:cs="仿宋"/>
                      <w:i w:val="0"/>
                      <w:iCs w:val="0"/>
                      <w:color w:val="000000"/>
                      <w:kern w:val="0"/>
                      <w:sz w:val="21"/>
                      <w:szCs w:val="21"/>
                      <w:u w:val="none"/>
                      <w:lang w:val="en-US" w:eastAsia="zh-CN" w:bidi="ar"/>
                    </w:rPr>
                    <w:t>-2018</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测量范围：28~133dB(A)</w:t>
                  </w:r>
                </w:p>
              </w:tc>
              <w:tc>
                <w:tcPr>
                  <w:tcW w:w="133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河南省计量测试</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科学研究院</w:t>
                  </w:r>
                </w:p>
              </w:tc>
              <w:tc>
                <w:tcPr>
                  <w:tcW w:w="130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2024.3.6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AWA6021A声校准器</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ZS-02-2018</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420" w:firstLineChars="20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频率：1000HZ±0.5%</w:t>
                  </w: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颗粒物大气采样器</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QY-06-2018</w:t>
                  </w:r>
                </w:p>
              </w:tc>
              <w:tc>
                <w:tcPr>
                  <w:tcW w:w="265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颗粒物采样流量60~130L/min;双路大气采样量0.1~1L/min</w:t>
                  </w:r>
                </w:p>
              </w:tc>
              <w:tc>
                <w:tcPr>
                  <w:tcW w:w="133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山西仲测计量研究院有限公司</w:t>
                  </w:r>
                </w:p>
              </w:tc>
              <w:tc>
                <w:tcPr>
                  <w:tcW w:w="130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QY-07-2018</w:t>
                  </w:r>
                </w:p>
              </w:tc>
              <w:tc>
                <w:tcPr>
                  <w:tcW w:w="265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QY-08-2018</w:t>
                  </w:r>
                </w:p>
              </w:tc>
              <w:tc>
                <w:tcPr>
                  <w:tcW w:w="265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QY-09-2018</w:t>
                  </w:r>
                </w:p>
              </w:tc>
              <w:tc>
                <w:tcPr>
                  <w:tcW w:w="265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YQ3000-C全自动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烟尘(气)测试仪</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QY-13-2018</w:t>
                  </w:r>
                </w:p>
              </w:tc>
              <w:tc>
                <w:tcPr>
                  <w:tcW w:w="265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采样流量：5~60L/min</w:t>
                  </w: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YQ3000-C全自动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烟尘(气)测试仪</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QY-14-2018</w:t>
                  </w:r>
                </w:p>
              </w:tc>
              <w:tc>
                <w:tcPr>
                  <w:tcW w:w="265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DYM3空盒气压表</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QT-15-2018</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测量范围：800~1064hpa</w:t>
                  </w:r>
                </w:p>
              </w:tc>
              <w:tc>
                <w:tcPr>
                  <w:tcW w:w="133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山西华测科瑞计量检测检验有限公司</w:t>
                  </w:r>
                </w:p>
              </w:tc>
              <w:tc>
                <w:tcPr>
                  <w:tcW w:w="130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PH-SD2轻便三杯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风向风速表</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QY-32-2018</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风速测量范围：0~30m/s,精度：±(0.3+0.03v)m/s(v指示风速)风向测量范围：0~360度，16个方位，精度：±1方位；</w:t>
                  </w: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MH3051污染源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真空箱采样器</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QY-25-2018</w:t>
                  </w:r>
                </w:p>
              </w:tc>
              <w:tc>
                <w:tcPr>
                  <w:tcW w:w="26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进样流量：2L/min;1L/min;0.5L/min</w:t>
                  </w:r>
                </w:p>
              </w:tc>
              <w:tc>
                <w:tcPr>
                  <w:tcW w:w="133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安正计量检测有限公司</w:t>
                  </w:r>
                </w:p>
              </w:tc>
              <w:tc>
                <w:tcPr>
                  <w:tcW w:w="13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GC-4000A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气相色谱仪</w:t>
                  </w: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DX-02-2018</w:t>
                  </w:r>
                </w:p>
              </w:tc>
              <w:tc>
                <w:tcPr>
                  <w:tcW w:w="265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420" w:firstLineChars="20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柱箱温度范围：室温+5℃~420℃</w:t>
                  </w:r>
                </w:p>
              </w:tc>
              <w:tc>
                <w:tcPr>
                  <w:tcW w:w="133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山西仲测计量研究院有限公司</w:t>
                  </w:r>
                </w:p>
              </w:tc>
              <w:tc>
                <w:tcPr>
                  <w:tcW w:w="130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2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DX-03-2018</w:t>
                  </w:r>
                </w:p>
              </w:tc>
              <w:tc>
                <w:tcPr>
                  <w:tcW w:w="265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3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130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r>
          </w:tbl>
          <w:p>
            <w:pPr>
              <w:pStyle w:val="4"/>
              <w:widowControl/>
              <w:suppressLineNumbers w:val="0"/>
              <w:bidi w:val="0"/>
              <w:ind w:left="0" w:right="0"/>
              <w:rPr>
                <w:rFonts w:hint="eastAsia"/>
              </w:rPr>
            </w:pPr>
            <w:bookmarkStart w:id="17" w:name="_Toc32375"/>
            <w:r>
              <w:rPr>
                <w:rFonts w:hint="eastAsia"/>
              </w:rPr>
              <w:t>5.4.2 监测仪器校准</w:t>
            </w:r>
            <w:bookmarkEnd w:id="17"/>
          </w:p>
          <w:p>
            <w:pPr>
              <w:pStyle w:val="15"/>
              <w:keepNext w:val="0"/>
              <w:keepLines w:val="0"/>
              <w:widowControl w:val="0"/>
              <w:suppressLineNumbers w:val="0"/>
              <w:autoSpaceDE w:val="0"/>
              <w:adjustRightInd w:val="0"/>
              <w:snapToGrid w:val="0"/>
              <w:spacing w:before="0" w:beforeAutospacing="0" w:after="0" w:afterAutospacing="0" w:line="480" w:lineRule="exact"/>
              <w:ind w:firstLine="422" w:firstLineChars="200"/>
              <w:jc w:val="center"/>
              <w:rPr>
                <w:rFonts w:hint="eastAsia" w:ascii="仿宋" w:hAnsi="仿宋" w:eastAsia="仿宋" w:cs="仿宋"/>
                <w:b/>
                <w:kern w:val="2"/>
                <w:sz w:val="21"/>
                <w:szCs w:val="21"/>
              </w:rPr>
            </w:pPr>
            <w:r>
              <w:rPr>
                <w:rFonts w:hint="eastAsia" w:ascii="仿宋" w:hAnsi="仿宋" w:eastAsia="仿宋" w:cs="仿宋"/>
                <w:b/>
                <w:kern w:val="2"/>
                <w:sz w:val="21"/>
                <w:szCs w:val="21"/>
              </w:rPr>
              <w:t xml:space="preserve">表5-5 </w:t>
            </w:r>
            <w:r>
              <w:rPr>
                <w:rFonts w:hint="eastAsia" w:ascii="仿宋" w:hAnsi="仿宋" w:eastAsia="仿宋" w:cs="仿宋"/>
                <w:b/>
                <w:kern w:val="2"/>
                <w:sz w:val="21"/>
                <w:szCs w:val="21"/>
                <w:lang w:val="en-US" w:eastAsia="zh-CN"/>
              </w:rPr>
              <w:t xml:space="preserve"> </w:t>
            </w:r>
            <w:r>
              <w:rPr>
                <w:rFonts w:hint="eastAsia" w:ascii="仿宋" w:hAnsi="仿宋" w:eastAsia="仿宋" w:cs="仿宋"/>
                <w:b/>
                <w:kern w:val="2"/>
                <w:sz w:val="21"/>
                <w:szCs w:val="21"/>
              </w:rPr>
              <w:t>监测仪器校准</w:t>
            </w:r>
            <w:r>
              <w:rPr>
                <w:rFonts w:hint="eastAsia" w:ascii="仿宋" w:hAnsi="仿宋" w:eastAsia="仿宋" w:cs="仿宋"/>
                <w:b/>
                <w:kern w:val="2"/>
                <w:sz w:val="21"/>
                <w:szCs w:val="21"/>
                <w:lang w:eastAsia="zh-CN"/>
              </w:rPr>
              <w:t>结果</w:t>
            </w:r>
            <w:r>
              <w:rPr>
                <w:rFonts w:hint="eastAsia" w:ascii="仿宋" w:hAnsi="仿宋" w:eastAsia="仿宋" w:cs="仿宋"/>
                <w:b/>
                <w:kern w:val="2"/>
                <w:sz w:val="21"/>
                <w:szCs w:val="21"/>
              </w:rPr>
              <w:t>表</w:t>
            </w:r>
          </w:p>
          <w:tbl>
            <w:tblPr>
              <w:tblStyle w:val="1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1183"/>
              <w:gridCol w:w="1183"/>
              <w:gridCol w:w="1184"/>
              <w:gridCol w:w="1184"/>
              <w:gridCol w:w="1184"/>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校准日期</w:t>
                  </w: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仪器名称</w:t>
                  </w: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气路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校准流量计流量(L/min)</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仪器对应实际流量(L/min)</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相对误差(%)</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sz w:val="21"/>
                      <w:szCs w:val="21"/>
                      <w:highlight w:val="red"/>
                    </w:rPr>
                  </w:pPr>
                  <w:r>
                    <w:rPr>
                      <w:rFonts w:hint="eastAsia" w:ascii="仿宋" w:hAnsi="仿宋" w:eastAsia="仿宋" w:cs="仿宋"/>
                      <w:b/>
                      <w:color w:val="000000"/>
                      <w:sz w:val="21"/>
                      <w:szCs w:val="21"/>
                      <w:lang w:bidi="ar"/>
                    </w:rPr>
                    <w:t>结果判定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vMerge w:val="restart"/>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2023.5.20</w:t>
                  </w:r>
                </w:p>
              </w:tc>
              <w:tc>
                <w:tcPr>
                  <w:tcW w:w="713" w:type="pct"/>
                  <w:vMerge w:val="restart"/>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YQ3000-C全自动</w:t>
                  </w:r>
                  <w:r>
                    <w:rPr>
                      <w:rFonts w:hint="eastAsia" w:ascii="仿宋" w:hAnsi="仿宋" w:eastAsia="仿宋" w:cs="仿宋"/>
                      <w:color w:val="000000"/>
                      <w:sz w:val="21"/>
                      <w:szCs w:val="21"/>
                      <w:lang w:bidi="ar"/>
                    </w:rPr>
                    <w:br w:type="textWrapping"/>
                  </w:r>
                  <w:r>
                    <w:rPr>
                      <w:rFonts w:hint="eastAsia" w:ascii="仿宋" w:hAnsi="仿宋" w:eastAsia="仿宋" w:cs="仿宋"/>
                      <w:color w:val="000000"/>
                      <w:sz w:val="21"/>
                      <w:szCs w:val="21"/>
                      <w:lang w:bidi="ar"/>
                    </w:rPr>
                    <w:t>烟尘(气)测试仪</w:t>
                  </w:r>
                  <w:r>
                    <w:rPr>
                      <w:rFonts w:hint="eastAsia" w:ascii="仿宋" w:hAnsi="仿宋" w:eastAsia="仿宋" w:cs="仿宋"/>
                      <w:color w:val="000000"/>
                      <w:sz w:val="21"/>
                      <w:szCs w:val="21"/>
                      <w:lang w:bidi="ar"/>
                    </w:rPr>
                    <w:br w:type="textWrapping"/>
                  </w:r>
                  <w:r>
                    <w:rPr>
                      <w:rFonts w:hint="eastAsia" w:ascii="仿宋" w:hAnsi="仿宋" w:eastAsia="仿宋" w:cs="仿宋"/>
                      <w:color w:val="000000"/>
                      <w:sz w:val="21"/>
                      <w:szCs w:val="21"/>
                      <w:lang w:bidi="ar"/>
                    </w:rPr>
                    <w:t>(QY-14-2018)</w:t>
                  </w: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19.9</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-0.50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35.0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34.8</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-0.57</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50.0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50.3</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0.60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vMerge w:val="restart"/>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2023.5.22</w:t>
                  </w:r>
                </w:p>
              </w:tc>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19.8</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-1.00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35.0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35.2</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0.57</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50.0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49.7</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-0.60</w:t>
                  </w:r>
                </w:p>
              </w:tc>
              <w:tc>
                <w:tcPr>
                  <w:tcW w:w="714"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3" w:type="pc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备注</w:t>
                  </w:r>
                </w:p>
              </w:tc>
              <w:tc>
                <w:tcPr>
                  <w:tcW w:w="4286" w:type="pct"/>
                  <w:gridSpan w:val="6"/>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瞬时流量误差在±5%FS为合格。</w:t>
                  </w:r>
                </w:p>
              </w:tc>
            </w:tr>
          </w:tbl>
          <w:p>
            <w:pPr>
              <w:pStyle w:val="15"/>
              <w:keepNext w:val="0"/>
              <w:keepLines w:val="0"/>
              <w:widowControl w:val="0"/>
              <w:suppressLineNumbers w:val="0"/>
              <w:autoSpaceDE w:val="0"/>
              <w:adjustRightInd w:val="0"/>
              <w:snapToGrid w:val="0"/>
              <w:spacing w:before="0" w:beforeAutospacing="0" w:after="0" w:afterAutospacing="0" w:line="480" w:lineRule="exact"/>
              <w:ind w:firstLine="422" w:firstLineChars="200"/>
              <w:jc w:val="center"/>
              <w:rPr>
                <w:rFonts w:hint="eastAsia" w:ascii="仿宋" w:hAnsi="仿宋" w:eastAsia="仿宋" w:cs="仿宋"/>
                <w:b/>
                <w:kern w:val="2"/>
                <w:sz w:val="21"/>
                <w:szCs w:val="21"/>
              </w:rPr>
            </w:pPr>
            <w:r>
              <w:rPr>
                <w:rFonts w:hint="eastAsia" w:ascii="仿宋" w:hAnsi="仿宋" w:eastAsia="仿宋" w:cs="仿宋"/>
                <w:b/>
                <w:kern w:val="2"/>
                <w:sz w:val="21"/>
                <w:szCs w:val="21"/>
              </w:rPr>
              <w:t xml:space="preserve">表5-6 </w:t>
            </w:r>
            <w:r>
              <w:rPr>
                <w:rFonts w:hint="eastAsia" w:ascii="仿宋" w:hAnsi="仿宋" w:eastAsia="仿宋" w:cs="仿宋"/>
                <w:b/>
                <w:kern w:val="2"/>
                <w:sz w:val="21"/>
                <w:szCs w:val="21"/>
                <w:lang w:val="en-US" w:eastAsia="zh-CN"/>
              </w:rPr>
              <w:t xml:space="preserve"> </w:t>
            </w:r>
            <w:r>
              <w:rPr>
                <w:rFonts w:hint="eastAsia" w:ascii="仿宋" w:hAnsi="仿宋" w:eastAsia="仿宋" w:cs="仿宋"/>
                <w:b/>
                <w:kern w:val="2"/>
                <w:sz w:val="21"/>
                <w:szCs w:val="21"/>
              </w:rPr>
              <w:t>监测仪器校准</w:t>
            </w:r>
            <w:r>
              <w:rPr>
                <w:rFonts w:hint="eastAsia" w:ascii="仿宋" w:hAnsi="仿宋" w:eastAsia="仿宋" w:cs="仿宋"/>
                <w:b/>
                <w:kern w:val="2"/>
                <w:sz w:val="21"/>
                <w:szCs w:val="21"/>
                <w:lang w:eastAsia="zh-CN"/>
              </w:rPr>
              <w:t>结果</w:t>
            </w:r>
            <w:r>
              <w:rPr>
                <w:rFonts w:hint="eastAsia" w:ascii="仿宋" w:hAnsi="仿宋" w:eastAsia="仿宋" w:cs="仿宋"/>
                <w:b/>
                <w:kern w:val="2"/>
                <w:sz w:val="21"/>
                <w:szCs w:val="21"/>
              </w:rPr>
              <w:t>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186"/>
              <w:gridCol w:w="1186"/>
              <w:gridCol w:w="1187"/>
              <w:gridCol w:w="1187"/>
              <w:gridCol w:w="1187"/>
              <w:gridCol w:w="1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校准日期</w:t>
                  </w: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仪器名称</w:t>
                  </w: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气路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校准流量计流量(L/min)</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bottom"/>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bottom"/>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仪器对应实际流量(L/min)</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相对误差(%)</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结果判定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Merge w:val="restart"/>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2023.5.20</w:t>
                  </w:r>
                </w:p>
              </w:tc>
              <w:tc>
                <w:tcPr>
                  <w:tcW w:w="1186" w:type="dxa"/>
                  <w:vMerge w:val="restart"/>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YQ3000-C全自动烟尘(气)测试仪(QY-13-2018)</w:t>
                  </w: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20.2</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1.00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35.0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35.1</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0.29</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50.0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50.1</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0.20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Merge w:val="restart"/>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2023.5.22</w:t>
                  </w:r>
                </w:p>
              </w:tc>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20.0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35.0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34.9</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-0.29</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vMerge w:val="continue"/>
                  <w:tcBorders>
                    <w:top w:val="nil"/>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N/>
                    <w:bidi w:val="0"/>
                    <w:adjustRightInd/>
                    <w:snapToGrid/>
                    <w:spacing w:before="0" w:beforeAutospacing="0" w:afterAutospacing="0"/>
                    <w:ind w:left="0" w:right="0"/>
                    <w:rPr>
                      <w:rFonts w:hint="eastAsia" w:ascii="Times New Roman" w:hAnsi="Times New Roman" w:eastAsia="Times New Roman"/>
                      <w:sz w:val="20"/>
                      <w:szCs w:val="20"/>
                    </w:rPr>
                  </w:pPr>
                </w:p>
              </w:tc>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尘路</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50.0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49.8</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-0.40</w:t>
                  </w:r>
                </w:p>
              </w:tc>
              <w:tc>
                <w:tcPr>
                  <w:tcW w:w="1187"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sz w:val="21"/>
                      <w:szCs w:val="21"/>
                      <w:highlight w:val="red"/>
                    </w:rPr>
                  </w:pPr>
                  <w:r>
                    <w:rPr>
                      <w:rFonts w:hint="eastAsia" w:ascii="仿宋" w:hAnsi="仿宋" w:eastAsia="仿宋" w:cs="仿宋"/>
                      <w:color w:val="000000"/>
                      <w:sz w:val="21"/>
                      <w:szCs w:val="21"/>
                      <w:lang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jc w:val="center"/>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备注</w:t>
                  </w:r>
                </w:p>
              </w:tc>
              <w:tc>
                <w:tcPr>
                  <w:tcW w:w="7120"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suppressLineNumbers w:val="0"/>
                    <w:kinsoku/>
                    <w:wordWrap/>
                    <w:overflowPunct/>
                    <w:topLinePunct w:val="0"/>
                    <w:autoSpaceDE w:val="0"/>
                    <w:autoSpaceDN/>
                    <w:bidi w:val="0"/>
                    <w:adjustRightInd/>
                    <w:snapToGrid/>
                    <w:spacing w:before="100" w:beforeAutospacing="1" w:after="0" w:afterAutospacing="0"/>
                    <w:ind w:left="0" w:right="0"/>
                    <w:textAlignment w:val="center"/>
                    <w:rPr>
                      <w:rFonts w:hint="eastAsia" w:ascii="仿宋" w:hAnsi="仿宋" w:eastAsia="仿宋" w:cs="仿宋"/>
                      <w:b/>
                      <w:bCs/>
                      <w:sz w:val="21"/>
                      <w:szCs w:val="21"/>
                      <w:highlight w:val="red"/>
                    </w:rPr>
                  </w:pPr>
                  <w:r>
                    <w:rPr>
                      <w:rFonts w:hint="eastAsia" w:ascii="仿宋" w:hAnsi="仿宋" w:eastAsia="仿宋" w:cs="仿宋"/>
                      <w:b/>
                      <w:bCs/>
                      <w:color w:val="000000"/>
                      <w:sz w:val="21"/>
                      <w:szCs w:val="21"/>
                      <w:lang w:bidi="ar"/>
                    </w:rPr>
                    <w:t>瞬时流量误差在±5%FS为合格。</w:t>
                  </w:r>
                </w:p>
              </w:tc>
            </w:tr>
          </w:tbl>
          <w:p>
            <w:pPr>
              <w:pStyle w:val="15"/>
              <w:keepNext w:val="0"/>
              <w:keepLines w:val="0"/>
              <w:widowControl w:val="0"/>
              <w:suppressLineNumbers w:val="0"/>
              <w:autoSpaceDE w:val="0"/>
              <w:adjustRightInd w:val="0"/>
              <w:snapToGrid w:val="0"/>
              <w:spacing w:before="0" w:beforeLines="0" w:beforeAutospacing="0" w:after="0" w:afterLines="0" w:afterAutospacing="0" w:line="480" w:lineRule="exact"/>
              <w:ind w:firstLine="422" w:firstLineChars="200"/>
              <w:jc w:val="center"/>
              <w:rPr>
                <w:rFonts w:hint="eastAsia" w:ascii="仿宋" w:hAnsi="仿宋" w:eastAsia="仿宋" w:cs="仿宋"/>
                <w:b/>
                <w:kern w:val="2"/>
                <w:sz w:val="21"/>
                <w:szCs w:val="21"/>
              </w:rPr>
            </w:pPr>
            <w:r>
              <w:rPr>
                <w:rFonts w:hint="eastAsia" w:ascii="仿宋" w:hAnsi="仿宋" w:eastAsia="仿宋" w:cs="仿宋"/>
                <w:b/>
                <w:kern w:val="2"/>
                <w:sz w:val="21"/>
                <w:szCs w:val="21"/>
              </w:rPr>
              <w:t>表5-</w:t>
            </w:r>
            <w:r>
              <w:rPr>
                <w:rFonts w:hint="eastAsia" w:ascii="仿宋" w:hAnsi="仿宋" w:eastAsia="仿宋" w:cs="仿宋"/>
                <w:b/>
                <w:kern w:val="2"/>
                <w:sz w:val="21"/>
                <w:szCs w:val="21"/>
                <w:lang w:val="en-US" w:eastAsia="zh-CN"/>
              </w:rPr>
              <w:t>7</w:t>
            </w:r>
            <w:r>
              <w:rPr>
                <w:rFonts w:hint="eastAsia" w:ascii="仿宋" w:hAnsi="仿宋" w:eastAsia="仿宋" w:cs="仿宋"/>
                <w:b/>
                <w:kern w:val="2"/>
                <w:sz w:val="21"/>
                <w:szCs w:val="21"/>
              </w:rPr>
              <w:t xml:space="preserve"> </w:t>
            </w:r>
            <w:r>
              <w:rPr>
                <w:rFonts w:hint="eastAsia" w:ascii="仿宋" w:hAnsi="仿宋" w:eastAsia="仿宋" w:cs="仿宋"/>
                <w:b/>
                <w:kern w:val="2"/>
                <w:sz w:val="21"/>
                <w:szCs w:val="21"/>
                <w:lang w:val="en-US" w:eastAsia="zh-CN"/>
              </w:rPr>
              <w:t xml:space="preserve"> </w:t>
            </w:r>
            <w:r>
              <w:rPr>
                <w:rFonts w:hint="eastAsia" w:ascii="仿宋" w:hAnsi="仿宋" w:eastAsia="仿宋" w:cs="仿宋"/>
                <w:b/>
                <w:kern w:val="2"/>
                <w:sz w:val="21"/>
                <w:szCs w:val="21"/>
              </w:rPr>
              <w:t>监测仪器校准结果</w:t>
            </w:r>
            <w:r>
              <w:rPr>
                <w:rFonts w:hint="eastAsia" w:ascii="仿宋" w:hAnsi="仿宋" w:eastAsia="仿宋" w:cs="仿宋"/>
                <w:b/>
                <w:kern w:val="2"/>
                <w:sz w:val="21"/>
                <w:szCs w:val="21"/>
                <w:lang w:eastAsia="zh-CN"/>
              </w:rPr>
              <w:t>一览</w:t>
            </w:r>
            <w:r>
              <w:rPr>
                <w:rFonts w:hint="eastAsia" w:ascii="仿宋" w:hAnsi="仿宋" w:eastAsia="仿宋" w:cs="仿宋"/>
                <w:b/>
                <w:kern w:val="2"/>
                <w:sz w:val="21"/>
                <w:szCs w:val="21"/>
              </w:rPr>
              <w:t>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476"/>
              <w:gridCol w:w="853"/>
              <w:gridCol w:w="1131"/>
              <w:gridCol w:w="1035"/>
              <w:gridCol w:w="778"/>
              <w:gridCol w:w="1157"/>
              <w:gridCol w:w="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校准日期</w:t>
                  </w:r>
                </w:p>
              </w:tc>
              <w:tc>
                <w:tcPr>
                  <w:tcW w:w="147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仪器名称</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气路或尘路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被校准</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仪器流</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auto"/>
                      <w:kern w:val="0"/>
                      <w:sz w:val="21"/>
                      <w:szCs w:val="21"/>
                      <w:u w:val="none"/>
                      <w:lang w:val="en-US" w:eastAsia="zh-CN" w:bidi="ar"/>
                    </w:rPr>
                    <w:t xml:space="preserve">(L </w:t>
                  </w:r>
                  <w:r>
                    <w:rPr>
                      <w:rStyle w:val="40"/>
                      <w:rFonts w:hint="eastAsia" w:ascii="仿宋" w:hAnsi="仿宋" w:eastAsia="仿宋" w:cs="仿宋"/>
                      <w:b/>
                      <w:bCs/>
                      <w:color w:val="auto"/>
                      <w:sz w:val="21"/>
                      <w:szCs w:val="21"/>
                      <w:lang w:val="en-US" w:eastAsia="zh-CN" w:bidi="ar"/>
                    </w:rPr>
                    <w:t>/m</w:t>
                  </w:r>
                  <w:r>
                    <w:rPr>
                      <w:rFonts w:hint="eastAsia" w:ascii="仿宋" w:hAnsi="仿宋" w:eastAsia="仿宋" w:cs="仿宋"/>
                      <w:b/>
                      <w:bCs/>
                      <w:i w:val="0"/>
                      <w:iCs w:val="0"/>
                      <w:color w:val="auto"/>
                      <w:kern w:val="0"/>
                      <w:sz w:val="21"/>
                      <w:szCs w:val="21"/>
                      <w:u w:val="none"/>
                      <w:lang w:val="en-US" w:eastAsia="zh-CN" w:bidi="ar"/>
                    </w:rPr>
                    <w:t>in)</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Style w:val="41"/>
                      <w:rFonts w:hint="eastAsia" w:ascii="仿宋" w:hAnsi="仿宋" w:eastAsia="仿宋" w:cs="仿宋"/>
                      <w:b/>
                      <w:bCs/>
                      <w:color w:val="auto"/>
                      <w:sz w:val="21"/>
                      <w:szCs w:val="21"/>
                      <w:lang w:val="en-US" w:eastAsia="zh-CN" w:bidi="ar"/>
                    </w:rPr>
                    <w:t>校准仪器</w:t>
                  </w:r>
                  <w:r>
                    <w:rPr>
                      <w:rFonts w:hint="eastAsia" w:ascii="仿宋" w:hAnsi="仿宋" w:eastAsia="仿宋" w:cs="仿宋"/>
                      <w:b/>
                      <w:bCs/>
                      <w:i w:val="0"/>
                      <w:iCs w:val="0"/>
                      <w:color w:val="000000"/>
                      <w:kern w:val="0"/>
                      <w:sz w:val="21"/>
                      <w:szCs w:val="21"/>
                      <w:u w:val="none"/>
                      <w:lang w:val="en-US" w:eastAsia="zh-CN" w:bidi="ar"/>
                    </w:rPr>
                    <w:t>流量</w:t>
                  </w:r>
                  <w:r>
                    <w:rPr>
                      <w:rFonts w:hint="eastAsia" w:ascii="仿宋" w:hAnsi="仿宋" w:eastAsia="仿宋" w:cs="仿宋"/>
                      <w:b/>
                      <w:bCs/>
                      <w:i w:val="0"/>
                      <w:iCs w:val="0"/>
                      <w:color w:val="001867"/>
                      <w:kern w:val="0"/>
                      <w:sz w:val="21"/>
                      <w:szCs w:val="21"/>
                      <w:u w:val="none"/>
                      <w:lang w:val="en-US" w:eastAsia="zh-CN" w:bidi="ar"/>
                    </w:rPr>
                    <w:t xml:space="preserve">( </w:t>
                  </w:r>
                  <w:r>
                    <w:rPr>
                      <w:rFonts w:hint="eastAsia" w:ascii="仿宋" w:hAnsi="仿宋" w:eastAsia="仿宋" w:cs="仿宋"/>
                      <w:b/>
                      <w:bCs/>
                      <w:i w:val="0"/>
                      <w:iCs w:val="0"/>
                      <w:color w:val="000000"/>
                      <w:kern w:val="0"/>
                      <w:sz w:val="21"/>
                      <w:szCs w:val="21"/>
                      <w:u w:val="none"/>
                      <w:lang w:val="en-US" w:eastAsia="zh-CN" w:bidi="ar"/>
                    </w:rPr>
                    <w:t>L/min)</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color w:val="auto"/>
                      <w:sz w:val="21"/>
                      <w:szCs w:val="21"/>
                      <w:highlight w:val="red"/>
                      <w:vertAlign w:val="baseline"/>
                      <w:lang w:val="en-US" w:eastAsia="zh-CN" w:bidi="ar-SA"/>
                    </w:rPr>
                  </w:pPr>
                  <w:r>
                    <w:rPr>
                      <w:rFonts w:hint="eastAsia" w:ascii="仿宋" w:hAnsi="仿宋" w:eastAsia="仿宋" w:cs="仿宋"/>
                      <w:b/>
                      <w:bCs/>
                      <w:i w:val="0"/>
                      <w:iCs w:val="0"/>
                      <w:color w:val="auto"/>
                      <w:kern w:val="0"/>
                      <w:sz w:val="21"/>
                      <w:szCs w:val="21"/>
                      <w:u w:val="none"/>
                      <w:lang w:val="en-US" w:eastAsia="zh-CN" w:bidi="ar"/>
                    </w:rPr>
                    <w:t>相对误差(%)</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color w:val="auto"/>
                      <w:sz w:val="21"/>
                      <w:szCs w:val="21"/>
                      <w:highlight w:val="red"/>
                      <w:vertAlign w:val="baseline"/>
                      <w:lang w:val="en-US" w:eastAsia="zh-CN" w:bidi="ar-SA"/>
                    </w:rPr>
                  </w:pPr>
                  <w:r>
                    <w:rPr>
                      <w:rFonts w:hint="eastAsia" w:ascii="仿宋" w:hAnsi="仿宋" w:eastAsia="仿宋" w:cs="仿宋"/>
                      <w:b/>
                      <w:bCs/>
                      <w:i w:val="0"/>
                      <w:iCs w:val="0"/>
                      <w:color w:val="auto"/>
                      <w:kern w:val="0"/>
                      <w:sz w:val="21"/>
                      <w:szCs w:val="21"/>
                      <w:u w:val="none"/>
                      <w:lang w:val="en-US" w:eastAsia="zh-CN" w:bidi="ar"/>
                    </w:rPr>
                    <w:t>标准数值及允差(L/min)</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校准结果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restart"/>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2023.5.20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(测量前)</w:t>
                  </w:r>
                </w:p>
              </w:tc>
              <w:tc>
                <w:tcPr>
                  <w:tcW w:w="147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(QY-06-2018)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99.7</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0.50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147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(QY-07-2018)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99.6</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99.9</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-0.30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147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(QY-08-2018)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99.8</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100.1</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-0.30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147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(QY-09-2018)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100.3</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0.10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restart"/>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righ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2023.5.22</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(测量后)</w:t>
                  </w:r>
                </w:p>
              </w:tc>
              <w:tc>
                <w:tcPr>
                  <w:tcW w:w="147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(QY-06-2018)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99.8</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100.1</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-0.30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right"/>
                    <w:rPr>
                      <w:rFonts w:hint="eastAsia" w:ascii="仿宋" w:hAnsi="仿宋" w:eastAsia="仿宋" w:cs="仿宋"/>
                      <w:b/>
                      <w:bCs/>
                      <w:sz w:val="21"/>
                      <w:szCs w:val="21"/>
                      <w:highlight w:val="red"/>
                      <w:vertAlign w:val="baseline"/>
                      <w:lang w:val="en-US" w:eastAsia="zh-CN" w:bidi="ar-SA"/>
                    </w:rPr>
                  </w:pPr>
                </w:p>
              </w:tc>
              <w:tc>
                <w:tcPr>
                  <w:tcW w:w="147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(QY-07-2018)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100.3</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0.10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right"/>
                    <w:rPr>
                      <w:rFonts w:hint="eastAsia" w:ascii="仿宋" w:hAnsi="仿宋" w:eastAsia="仿宋" w:cs="仿宋"/>
                      <w:b/>
                      <w:bCs/>
                      <w:sz w:val="21"/>
                      <w:szCs w:val="21"/>
                      <w:highlight w:val="red"/>
                      <w:vertAlign w:val="baseline"/>
                      <w:lang w:val="en-US" w:eastAsia="zh-CN" w:bidi="ar-SA"/>
                    </w:rPr>
                  </w:pPr>
                </w:p>
              </w:tc>
              <w:tc>
                <w:tcPr>
                  <w:tcW w:w="147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(QY-08-2018)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100.4</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100.1</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0.30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right"/>
                    <w:rPr>
                      <w:rFonts w:hint="eastAsia" w:ascii="仿宋" w:hAnsi="仿宋" w:eastAsia="仿宋" w:cs="仿宋"/>
                      <w:b/>
                      <w:bCs/>
                      <w:sz w:val="21"/>
                      <w:szCs w:val="21"/>
                      <w:highlight w:val="red"/>
                      <w:vertAlign w:val="baseline"/>
                      <w:lang w:val="en-US" w:eastAsia="zh-CN" w:bidi="ar-SA"/>
                    </w:rPr>
                  </w:pPr>
                </w:p>
              </w:tc>
              <w:tc>
                <w:tcPr>
                  <w:tcW w:w="147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MH1200-16全自动颗粒物大气采样器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(QY-09-2018)</w:t>
                  </w:r>
                </w:p>
              </w:tc>
              <w:tc>
                <w:tcPr>
                  <w:tcW w:w="853"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C路</w:t>
                  </w:r>
                </w:p>
              </w:tc>
              <w:tc>
                <w:tcPr>
                  <w:tcW w:w="113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99.7</w:t>
                  </w:r>
                </w:p>
              </w:tc>
              <w:tc>
                <w:tcPr>
                  <w:tcW w:w="103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99.6</w:t>
                  </w:r>
                </w:p>
              </w:tc>
              <w:tc>
                <w:tcPr>
                  <w:tcW w:w="778"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0.10</w:t>
                  </w:r>
                </w:p>
              </w:tc>
              <w:tc>
                <w:tcPr>
                  <w:tcW w:w="1157"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100±2</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1"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firstLine="211" w:firstLineChars="100"/>
                    <w:jc w:val="lef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备注</w:t>
                  </w:r>
                </w:p>
              </w:tc>
              <w:tc>
                <w:tcPr>
                  <w:tcW w:w="7135" w:type="dxa"/>
                  <w:gridSpan w:val="7"/>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textAlignment w:val="center"/>
                    <w:rPr>
                      <w:rFonts w:hint="eastAsia" w:ascii="仿宋" w:hAnsi="仿宋" w:eastAsia="仿宋" w:cs="仿宋"/>
                      <w:b/>
                      <w:bCs/>
                      <w:sz w:val="21"/>
                      <w:szCs w:val="21"/>
                      <w:highlight w:val="red"/>
                      <w:vertAlign w:val="baseline"/>
                      <w:lang w:val="en-US" w:eastAsia="zh-CN" w:bidi="ar-SA"/>
                    </w:rPr>
                  </w:pPr>
                  <w:r>
                    <w:rPr>
                      <w:rStyle w:val="42"/>
                      <w:rFonts w:hint="eastAsia" w:ascii="仿宋" w:hAnsi="仿宋" w:eastAsia="仿宋" w:cs="仿宋"/>
                      <w:b/>
                      <w:bCs/>
                      <w:sz w:val="21"/>
                      <w:szCs w:val="21"/>
                      <w:lang w:val="en-US" w:eastAsia="zh-CN" w:bidi="ar"/>
                    </w:rPr>
                    <w:t>结果判定标准：校准流量与仪器流量示值的相对误差在±2%以内视为合格</w:t>
                  </w:r>
                  <w:r>
                    <w:rPr>
                      <w:rFonts w:hint="eastAsia" w:ascii="仿宋" w:hAnsi="仿宋" w:eastAsia="仿宋" w:cs="仿宋"/>
                      <w:b/>
                      <w:bCs/>
                      <w:i w:val="0"/>
                      <w:iCs w:val="0"/>
                      <w:color w:val="000000"/>
                      <w:kern w:val="0"/>
                      <w:sz w:val="21"/>
                      <w:szCs w:val="21"/>
                      <w:u w:val="none"/>
                      <w:lang w:val="en-US" w:eastAsia="zh-CN" w:bidi="ar"/>
                    </w:rPr>
                    <w:t>。</w:t>
                  </w:r>
                </w:p>
              </w:tc>
            </w:tr>
          </w:tbl>
          <w:p>
            <w:pPr>
              <w:pStyle w:val="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0" w:right="0" w:firstLine="422" w:firstLineChars="200"/>
              <w:jc w:val="center"/>
              <w:textAlignment w:val="auto"/>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sz w:val="21"/>
                <w:szCs w:val="21"/>
              </w:rPr>
              <w:t>表5-</w:t>
            </w:r>
            <w:r>
              <w:rPr>
                <w:rFonts w:hint="eastAsia" w:ascii="仿宋" w:hAnsi="仿宋" w:eastAsia="仿宋" w:cs="仿宋"/>
                <w:b/>
                <w:sz w:val="21"/>
                <w:szCs w:val="21"/>
                <w:lang w:val="en-US" w:eastAsia="zh-CN"/>
              </w:rPr>
              <w:t>8</w:t>
            </w:r>
            <w:r>
              <w:rPr>
                <w:rFonts w:hint="eastAsia" w:ascii="仿宋" w:hAnsi="仿宋" w:eastAsia="仿宋" w:cs="仿宋"/>
                <w:b/>
                <w:sz w:val="21"/>
                <w:szCs w:val="21"/>
              </w:rPr>
              <w:t xml:space="preserve"> </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lang w:eastAsia="zh-CN"/>
              </w:rPr>
              <w:t>噪声</w:t>
            </w:r>
            <w:r>
              <w:rPr>
                <w:rFonts w:hint="eastAsia" w:ascii="仿宋" w:hAnsi="仿宋" w:eastAsia="仿宋" w:cs="仿宋"/>
                <w:b/>
                <w:sz w:val="21"/>
                <w:szCs w:val="21"/>
              </w:rPr>
              <w:t>监测</w:t>
            </w:r>
            <w:r>
              <w:rPr>
                <w:rFonts w:hint="eastAsia" w:ascii="仿宋" w:hAnsi="仿宋" w:eastAsia="仿宋" w:cs="仿宋"/>
                <w:b/>
                <w:sz w:val="21"/>
                <w:szCs w:val="21"/>
                <w:lang w:eastAsia="zh-CN"/>
              </w:rPr>
              <w:t>使用</w:t>
            </w:r>
            <w:r>
              <w:rPr>
                <w:rFonts w:hint="eastAsia" w:ascii="仿宋" w:hAnsi="仿宋" w:eastAsia="仿宋" w:cs="仿宋"/>
                <w:b/>
                <w:sz w:val="21"/>
                <w:szCs w:val="21"/>
              </w:rPr>
              <w:t>仪器校准</w:t>
            </w:r>
            <w:r>
              <w:rPr>
                <w:rFonts w:hint="eastAsia" w:ascii="仿宋" w:hAnsi="仿宋" w:eastAsia="仿宋" w:cs="仿宋"/>
                <w:b/>
                <w:sz w:val="21"/>
                <w:szCs w:val="21"/>
                <w:lang w:eastAsia="zh-CN"/>
              </w:rPr>
              <w:t>一览</w:t>
            </w:r>
            <w:r>
              <w:rPr>
                <w:rFonts w:hint="eastAsia" w:ascii="仿宋" w:hAnsi="仿宋" w:eastAsia="仿宋" w:cs="仿宋"/>
                <w:b/>
                <w:sz w:val="21"/>
                <w:szCs w:val="21"/>
              </w:rPr>
              <w:t>表</w:t>
            </w:r>
          </w:p>
          <w:tbl>
            <w:tblPr>
              <w:tblStyle w:val="18"/>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600"/>
              <w:gridCol w:w="705"/>
              <w:gridCol w:w="720"/>
              <w:gridCol w:w="990"/>
              <w:gridCol w:w="840"/>
              <w:gridCol w:w="885"/>
              <w:gridCol w:w="825"/>
              <w:gridCol w:w="870"/>
              <w:gridCol w:w="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日 期</w:t>
                  </w:r>
                </w:p>
              </w:tc>
              <w:tc>
                <w:tcPr>
                  <w:tcW w:w="60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仪器名称</w:t>
                  </w:r>
                </w:p>
              </w:tc>
              <w:tc>
                <w:tcPr>
                  <w:tcW w:w="70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仪器</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型号</w:t>
                  </w:r>
                </w:p>
              </w:tc>
              <w:tc>
                <w:tcPr>
                  <w:tcW w:w="72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受控</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编号</w:t>
                  </w:r>
                </w:p>
              </w:tc>
              <w:tc>
                <w:tcPr>
                  <w:tcW w:w="99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标准声源数值(dB)</w:t>
                  </w:r>
                </w:p>
              </w:tc>
              <w:tc>
                <w:tcPr>
                  <w:tcW w:w="84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测试前校准值</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F49"/>
                      <w:kern w:val="0"/>
                      <w:sz w:val="21"/>
                      <w:szCs w:val="21"/>
                      <w:u w:val="none"/>
                      <w:lang w:val="en-US" w:eastAsia="zh-CN" w:bidi="ar"/>
                    </w:rPr>
                    <w:t>(dB)</w:t>
                  </w:r>
                </w:p>
              </w:tc>
              <w:tc>
                <w:tcPr>
                  <w:tcW w:w="88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测试前误差</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164B"/>
                      <w:kern w:val="0"/>
                      <w:sz w:val="21"/>
                      <w:szCs w:val="21"/>
                      <w:u w:val="none"/>
                      <w:lang w:val="en-US" w:eastAsia="zh-CN" w:bidi="ar"/>
                    </w:rPr>
                    <w:t>(dB)</w:t>
                  </w:r>
                </w:p>
              </w:tc>
              <w:tc>
                <w:tcPr>
                  <w:tcW w:w="82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测试后校准值</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114A"/>
                      <w:kern w:val="0"/>
                      <w:sz w:val="21"/>
                      <w:szCs w:val="21"/>
                      <w:u w:val="none"/>
                      <w:lang w:val="en-US" w:eastAsia="zh-CN" w:bidi="ar"/>
                    </w:rPr>
                    <w:t>(dB)</w:t>
                  </w:r>
                </w:p>
              </w:tc>
              <w:tc>
                <w:tcPr>
                  <w:tcW w:w="87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测试后误差</w:t>
                  </w:r>
                  <w:r>
                    <w:rPr>
                      <w:rFonts w:hint="eastAsia" w:ascii="仿宋" w:hAnsi="仿宋" w:eastAsia="仿宋" w:cs="仿宋"/>
                      <w:b/>
                      <w:bCs/>
                      <w:i w:val="0"/>
                      <w:iCs w:val="0"/>
                      <w:color w:val="00124E"/>
                      <w:kern w:val="0"/>
                      <w:sz w:val="21"/>
                      <w:szCs w:val="21"/>
                      <w:u w:val="none"/>
                      <w:lang w:val="en-US" w:eastAsia="zh-CN" w:bidi="ar"/>
                    </w:rPr>
                    <w:t>(dB)</w:t>
                  </w:r>
                </w:p>
              </w:tc>
              <w:tc>
                <w:tcPr>
                  <w:tcW w:w="67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校核结果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2023.5.21昼</w:t>
                  </w:r>
                </w:p>
              </w:tc>
              <w:tc>
                <w:tcPr>
                  <w:tcW w:w="600" w:type="dxa"/>
                  <w:vMerge w:val="restart"/>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多功能声级计</w:t>
                  </w:r>
                </w:p>
              </w:tc>
              <w:tc>
                <w:tcPr>
                  <w:tcW w:w="705" w:type="dxa"/>
                  <w:vMerge w:val="restart"/>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AWA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5688</w:t>
                  </w:r>
                </w:p>
              </w:tc>
              <w:tc>
                <w:tcPr>
                  <w:tcW w:w="720" w:type="dxa"/>
                  <w:vMerge w:val="restart"/>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ZS-01-2018</w:t>
                  </w:r>
                </w:p>
              </w:tc>
              <w:tc>
                <w:tcPr>
                  <w:tcW w:w="99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94.0</w:t>
                  </w:r>
                </w:p>
              </w:tc>
              <w:tc>
                <w:tcPr>
                  <w:tcW w:w="84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94.2</w:t>
                  </w:r>
                </w:p>
              </w:tc>
              <w:tc>
                <w:tcPr>
                  <w:tcW w:w="88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0.2</w:t>
                  </w:r>
                </w:p>
              </w:tc>
              <w:tc>
                <w:tcPr>
                  <w:tcW w:w="82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93.9</w:t>
                  </w:r>
                </w:p>
              </w:tc>
              <w:tc>
                <w:tcPr>
                  <w:tcW w:w="87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-0.1</w:t>
                  </w:r>
                </w:p>
              </w:tc>
              <w:tc>
                <w:tcPr>
                  <w:tcW w:w="67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2023.5.21夜</w:t>
                  </w:r>
                </w:p>
              </w:tc>
              <w:tc>
                <w:tcPr>
                  <w:tcW w:w="600"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705"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720"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99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94.0</w:t>
                  </w:r>
                </w:p>
              </w:tc>
              <w:tc>
                <w:tcPr>
                  <w:tcW w:w="84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93.8</w:t>
                  </w:r>
                </w:p>
              </w:tc>
              <w:tc>
                <w:tcPr>
                  <w:tcW w:w="88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-0.2</w:t>
                  </w:r>
                </w:p>
              </w:tc>
              <w:tc>
                <w:tcPr>
                  <w:tcW w:w="82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93.9</w:t>
                  </w:r>
                </w:p>
              </w:tc>
              <w:tc>
                <w:tcPr>
                  <w:tcW w:w="87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-0.1</w:t>
                  </w:r>
                </w:p>
              </w:tc>
              <w:tc>
                <w:tcPr>
                  <w:tcW w:w="67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2023.5.22昼</w:t>
                  </w:r>
                </w:p>
              </w:tc>
              <w:tc>
                <w:tcPr>
                  <w:tcW w:w="600"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705"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720"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99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94.0</w:t>
                  </w:r>
                </w:p>
              </w:tc>
              <w:tc>
                <w:tcPr>
                  <w:tcW w:w="84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94.3</w:t>
                  </w:r>
                </w:p>
              </w:tc>
              <w:tc>
                <w:tcPr>
                  <w:tcW w:w="88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0.3</w:t>
                  </w:r>
                </w:p>
              </w:tc>
              <w:tc>
                <w:tcPr>
                  <w:tcW w:w="82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94.1</w:t>
                  </w:r>
                </w:p>
              </w:tc>
              <w:tc>
                <w:tcPr>
                  <w:tcW w:w="87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0.1</w:t>
                  </w:r>
                </w:p>
              </w:tc>
              <w:tc>
                <w:tcPr>
                  <w:tcW w:w="67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bottom"/>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bottom"/>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2023.5.22夜</w:t>
                  </w:r>
                </w:p>
              </w:tc>
              <w:tc>
                <w:tcPr>
                  <w:tcW w:w="600"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705"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rPr>
                      <w:rFonts w:hint="eastAsia" w:ascii="仿宋" w:hAnsi="仿宋" w:eastAsia="仿宋" w:cs="仿宋"/>
                      <w:b/>
                      <w:bCs/>
                      <w:sz w:val="21"/>
                      <w:szCs w:val="21"/>
                      <w:highlight w:val="red"/>
                      <w:vertAlign w:val="baseline"/>
                      <w:lang w:val="en-US" w:eastAsia="zh-CN" w:bidi="ar-SA"/>
                    </w:rPr>
                  </w:pPr>
                </w:p>
              </w:tc>
              <w:tc>
                <w:tcPr>
                  <w:tcW w:w="720" w:type="dxa"/>
                  <w:vMerge w:val="continue"/>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rPr>
                      <w:rFonts w:hint="eastAsia" w:ascii="仿宋" w:hAnsi="仿宋" w:eastAsia="仿宋" w:cs="仿宋"/>
                      <w:b/>
                      <w:bCs/>
                      <w:sz w:val="21"/>
                      <w:szCs w:val="21"/>
                      <w:highlight w:val="red"/>
                      <w:vertAlign w:val="baseline"/>
                      <w:lang w:val="en-US" w:eastAsia="zh-CN" w:bidi="ar-SA"/>
                    </w:rPr>
                  </w:pPr>
                </w:p>
              </w:tc>
              <w:tc>
                <w:tcPr>
                  <w:tcW w:w="99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94.0</w:t>
                  </w:r>
                </w:p>
              </w:tc>
              <w:tc>
                <w:tcPr>
                  <w:tcW w:w="84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93.7</w:t>
                  </w:r>
                </w:p>
              </w:tc>
              <w:tc>
                <w:tcPr>
                  <w:tcW w:w="88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-0.3</w:t>
                  </w:r>
                </w:p>
              </w:tc>
              <w:tc>
                <w:tcPr>
                  <w:tcW w:w="82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94.0</w:t>
                  </w:r>
                </w:p>
              </w:tc>
              <w:tc>
                <w:tcPr>
                  <w:tcW w:w="870"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0</w:t>
                  </w:r>
                </w:p>
              </w:tc>
              <w:tc>
                <w:tcPr>
                  <w:tcW w:w="675"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误差要求</w:t>
                  </w:r>
                </w:p>
              </w:tc>
              <w:tc>
                <w:tcPr>
                  <w:tcW w:w="7110" w:type="dxa"/>
                  <w:gridSpan w:val="9"/>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测量前后仪器示数相差不大于0.5dB。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46" w:type="dxa"/>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center"/>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i w:val="0"/>
                      <w:iCs w:val="0"/>
                      <w:color w:val="000000"/>
                      <w:kern w:val="0"/>
                      <w:sz w:val="21"/>
                      <w:szCs w:val="21"/>
                      <w:u w:val="none"/>
                      <w:lang w:val="en-US" w:eastAsia="zh-CN" w:bidi="ar"/>
                    </w:rPr>
                    <w:t>备注</w:t>
                  </w:r>
                </w:p>
              </w:tc>
              <w:tc>
                <w:tcPr>
                  <w:tcW w:w="7110" w:type="dxa"/>
                  <w:gridSpan w:val="9"/>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ind w:left="0" w:right="0"/>
                    <w:jc w:val="left"/>
                    <w:textAlignment w:val="center"/>
                    <w:rPr>
                      <w:rFonts w:hint="eastAsia" w:ascii="仿宋" w:hAnsi="仿宋" w:eastAsia="仿宋" w:cs="仿宋"/>
                      <w:b/>
                      <w:bCs/>
                      <w:sz w:val="21"/>
                      <w:szCs w:val="21"/>
                      <w:highlight w:val="red"/>
                      <w:vertAlign w:val="baseline"/>
                      <w:lang w:val="en-US" w:eastAsia="zh-CN" w:bidi="ar-SA"/>
                    </w:rPr>
                  </w:pPr>
                  <w:r>
                    <w:rPr>
                      <w:rFonts w:hint="eastAsia" w:ascii="仿宋" w:hAnsi="仿宋" w:eastAsia="仿宋" w:cs="仿宋"/>
                      <w:b/>
                      <w:bCs/>
                      <w:i w:val="0"/>
                      <w:iCs w:val="0"/>
                      <w:color w:val="000000"/>
                      <w:kern w:val="0"/>
                      <w:sz w:val="21"/>
                      <w:szCs w:val="21"/>
                      <w:u w:val="none"/>
                      <w:lang w:val="en-US" w:eastAsia="zh-CN" w:bidi="ar"/>
                    </w:rPr>
                    <w:t>校准依据：JJG176-2005《声校准器检定规程》;结果判定标准：声级计允差±0.5dB以内视为合格。</w:t>
                  </w:r>
                </w:p>
              </w:tc>
            </w:tr>
          </w:tbl>
          <w:p>
            <w:pPr>
              <w:pStyle w:val="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0" w:right="0" w:firstLine="422" w:firstLineChars="200"/>
              <w:jc w:val="center"/>
              <w:textAlignment w:val="auto"/>
              <w:rPr>
                <w:rFonts w:hint="eastAsia" w:ascii="仿宋" w:hAnsi="仿宋" w:eastAsia="仿宋" w:cs="仿宋"/>
                <w:b/>
                <w:bCs/>
                <w:sz w:val="21"/>
                <w:szCs w:val="21"/>
                <w:highlight w:val="red"/>
                <w:lang w:val="en-US" w:eastAsia="zh-CN" w:bidi="ar-SA"/>
              </w:rPr>
            </w:pPr>
          </w:p>
        </w:tc>
      </w:tr>
    </w:tbl>
    <w:p>
      <w:pPr>
        <w:rPr>
          <w:rFonts w:hint="eastAsia" w:ascii="仿宋" w:hAnsi="仿宋" w:eastAsia="仿宋" w:cs="仿宋"/>
        </w:rPr>
      </w:pPr>
      <w:r>
        <w:rPr>
          <w:rFonts w:hint="eastAsia" w:ascii="仿宋" w:hAnsi="仿宋" w:eastAsia="仿宋" w:cs="仿宋"/>
        </w:rPr>
        <w:br w:type="page"/>
      </w:r>
    </w:p>
    <w:tbl>
      <w:tblPr>
        <w:tblStyle w:val="18"/>
        <w:tblW w:w="0" w:type="auto"/>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2" w:type="dxa"/>
            <w:tcBorders>
              <w:top w:val="nil"/>
              <w:left w:val="nil"/>
              <w:bottom w:val="single" w:color="auto" w:sz="4" w:space="0"/>
              <w:right w:val="nil"/>
            </w:tcBorders>
          </w:tcPr>
          <w:p>
            <w:pPr>
              <w:pStyle w:val="3"/>
              <w:widowControl/>
              <w:suppressLineNumbers w:val="0"/>
              <w:bidi w:val="0"/>
              <w:spacing w:before="0" w:beforeAutospacing="0" w:afterAutospacing="0"/>
              <w:ind w:left="0" w:right="0"/>
              <w:rPr>
                <w:rFonts w:hint="eastAsia" w:ascii="仿宋" w:hAnsi="仿宋" w:eastAsia="仿宋" w:cs="仿宋"/>
                <w:vertAlign w:val="baseline"/>
                <w:lang w:val="en-US" w:eastAsia="zh-CN"/>
              </w:rPr>
            </w:pPr>
            <w:bookmarkStart w:id="18" w:name="_Toc11441"/>
            <w:r>
              <w:rPr>
                <w:rFonts w:hint="eastAsia"/>
                <w:lang w:eastAsia="zh-CN"/>
              </w:rPr>
              <w:t>表六</w:t>
            </w:r>
            <w:r>
              <w:rPr>
                <w:rFonts w:hint="eastAsia"/>
                <w:lang w:val="en-US" w:eastAsia="zh-CN"/>
              </w:rPr>
              <w:t xml:space="preserve"> 验收监测内容</w:t>
            </w:r>
            <w:bookmarkEnd w:id="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3" w:hRule="atLeast"/>
        </w:trPr>
        <w:tc>
          <w:tcPr>
            <w:tcW w:w="8482" w:type="dxa"/>
            <w:tcBorders>
              <w:top w:val="single" w:color="auto" w:sz="4" w:space="0"/>
            </w:tcBorders>
          </w:tcPr>
          <w:p>
            <w:pPr>
              <w:pStyle w:val="4"/>
              <w:pageBreakBefore w:val="0"/>
              <w:widowControl/>
              <w:suppressLineNumbers w:val="0"/>
              <w:kinsoku/>
              <w:wordWrap/>
              <w:overflowPunct/>
              <w:topLinePunct w:val="0"/>
              <w:autoSpaceDE/>
              <w:autoSpaceDN/>
              <w:bidi w:val="0"/>
              <w:adjustRightInd w:val="0"/>
              <w:snapToGrid w:val="0"/>
              <w:spacing w:before="0" w:after="0" w:afterLines="0" w:line="520" w:lineRule="exact"/>
              <w:ind w:left="0" w:right="0"/>
              <w:textAlignment w:val="auto"/>
              <w:rPr>
                <w:rFonts w:hint="eastAsia"/>
                <w:lang w:val="en-US" w:eastAsia="zh-CN"/>
              </w:rPr>
            </w:pPr>
            <w:bookmarkStart w:id="19" w:name="_Toc4696"/>
            <w:r>
              <w:rPr>
                <w:rFonts w:hint="eastAsia"/>
                <w:lang w:val="en-US" w:eastAsia="zh-CN"/>
              </w:rPr>
              <w:t>6.1 验收监测内容</w:t>
            </w:r>
            <w:bookmarkEnd w:id="19"/>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jc w:val="center"/>
              <w:textAlignment w:val="auto"/>
              <w:rPr>
                <w:rFonts w:hint="eastAsia" w:ascii="仿宋" w:hAnsi="仿宋" w:eastAsia="仿宋" w:cs="仿宋"/>
                <w:b/>
                <w:sz w:val="21"/>
                <w:szCs w:val="21"/>
              </w:rPr>
            </w:pPr>
            <w:r>
              <w:rPr>
                <w:rFonts w:hint="eastAsia" w:ascii="仿宋" w:hAnsi="仿宋" w:eastAsia="仿宋" w:cs="仿宋"/>
                <w:b/>
                <w:bCs/>
                <w:sz w:val="21"/>
                <w:szCs w:val="21"/>
                <w:lang w:val="en-US" w:eastAsia="zh-CN"/>
              </w:rPr>
              <w:t xml:space="preserve">表6-1  </w:t>
            </w:r>
            <w:r>
              <w:rPr>
                <w:rFonts w:hint="eastAsia" w:ascii="仿宋" w:hAnsi="仿宋" w:eastAsia="仿宋" w:cs="仿宋"/>
                <w:b/>
                <w:sz w:val="21"/>
                <w:szCs w:val="21"/>
              </w:rPr>
              <w:t>监测点位、项目、频次一览表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1375"/>
              <w:gridCol w:w="1376"/>
              <w:gridCol w:w="1376"/>
              <w:gridCol w:w="1886"/>
              <w:gridCol w:w="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监测类别</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点位名称</w:t>
                  </w:r>
                </w:p>
              </w:tc>
              <w:tc>
                <w:tcPr>
                  <w:tcW w:w="138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点位编号</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监测项目</w:t>
                  </w:r>
                </w:p>
              </w:tc>
              <w:tc>
                <w:tcPr>
                  <w:tcW w:w="189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监测频次</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1" w:firstLineChars="100"/>
                    <w:jc w:val="both"/>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82"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有组织废气</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保温炉投料</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进口、出口</w:t>
                  </w:r>
                </w:p>
              </w:tc>
              <w:tc>
                <w:tcPr>
                  <w:tcW w:w="138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2#</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颗粒物</w:t>
                  </w:r>
                </w:p>
              </w:tc>
              <w:tc>
                <w:tcPr>
                  <w:tcW w:w="189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连续监测2天，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每天3次</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82"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lang w:val="en-US" w:eastAsia="zh-CN"/>
                    </w:rPr>
                  </w:pP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连轧机进口、</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出 口</w:t>
                  </w:r>
                </w:p>
              </w:tc>
              <w:tc>
                <w:tcPr>
                  <w:tcW w:w="138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3#</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4#</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非甲烷总烃</w:t>
                  </w:r>
                </w:p>
              </w:tc>
              <w:tc>
                <w:tcPr>
                  <w:tcW w:w="189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连续监测2天，</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每天3次</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无组织废气</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厂界</w:t>
                  </w:r>
                </w:p>
              </w:tc>
              <w:tc>
                <w:tcPr>
                  <w:tcW w:w="138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4#</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颗粒物</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非甲烷总烃</w:t>
                  </w:r>
                </w:p>
              </w:tc>
              <w:tc>
                <w:tcPr>
                  <w:tcW w:w="189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连续监测2天，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每天3次</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噪声</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厂界</w:t>
                  </w:r>
                </w:p>
              </w:tc>
              <w:tc>
                <w:tcPr>
                  <w:tcW w:w="138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1#</w:t>
                  </w:r>
                  <w:r>
                    <w:rPr>
                      <w:rFonts w:hint="eastAsia" w:ascii="微软雅黑" w:hAnsi="微软雅黑" w:eastAsia="微软雅黑" w:cs="微软雅黑"/>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4#</w:t>
                  </w:r>
                </w:p>
              </w:tc>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Leq、L90、L50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L10、SD</w:t>
                  </w:r>
                </w:p>
              </w:tc>
              <w:tc>
                <w:tcPr>
                  <w:tcW w:w="1897"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i w:val="0"/>
                      <w:iCs w:val="0"/>
                      <w:color w:val="000000"/>
                      <w:kern w:val="0"/>
                      <w:sz w:val="21"/>
                      <w:szCs w:val="21"/>
                      <w:u w:val="none"/>
                      <w:lang w:val="en-US" w:eastAsia="zh-CN" w:bidi="ar"/>
                    </w:rPr>
                    <w:t>连续监测2天，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每天昼夜各1次</w:t>
                  </w:r>
                </w:p>
              </w:tc>
              <w:tc>
                <w:tcPr>
                  <w:tcW w:w="870"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138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lang w:val="en-US" w:eastAsia="zh-CN"/>
                    </w:rPr>
                  </w:pPr>
                  <w:r>
                    <w:rPr>
                      <w:rFonts w:hint="eastAsia" w:ascii="仿宋" w:hAnsi="仿宋" w:eastAsia="仿宋" w:cs="仿宋"/>
                      <w:b/>
                      <w:bCs/>
                      <w:i w:val="0"/>
                      <w:iCs w:val="0"/>
                      <w:color w:val="000000"/>
                      <w:kern w:val="0"/>
                      <w:sz w:val="21"/>
                      <w:szCs w:val="21"/>
                      <w:u w:val="none"/>
                      <w:lang w:val="en-US" w:eastAsia="zh-CN" w:bidi="ar"/>
                    </w:rPr>
                    <w:t>备注</w:t>
                  </w:r>
                </w:p>
              </w:tc>
              <w:tc>
                <w:tcPr>
                  <w:tcW w:w="6914" w:type="dxa"/>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lang w:val="en-US" w:eastAsia="zh-CN"/>
                    </w:rPr>
                  </w:pPr>
                </w:p>
              </w:tc>
            </w:tr>
          </w:tbl>
          <w:p>
            <w:pPr>
              <w:pStyle w:val="4"/>
              <w:keepNext/>
              <w:keepLines/>
              <w:pageBreakBefore w:val="0"/>
              <w:widowControl/>
              <w:suppressLineNumbers w:val="0"/>
              <w:kinsoku/>
              <w:wordWrap/>
              <w:overflowPunct/>
              <w:topLinePunct w:val="0"/>
              <w:autoSpaceDE/>
              <w:autoSpaceDN/>
              <w:bidi w:val="0"/>
              <w:adjustRightInd w:val="0"/>
              <w:snapToGrid w:val="0"/>
              <w:spacing w:before="0" w:after="0" w:line="520" w:lineRule="exact"/>
              <w:ind w:left="0" w:right="0"/>
              <w:textAlignment w:val="auto"/>
              <w:rPr>
                <w:rFonts w:hint="eastAsia"/>
                <w:lang w:val="en-US" w:eastAsia="zh-CN"/>
              </w:rPr>
            </w:pPr>
            <w:bookmarkStart w:id="20" w:name="_Toc13330"/>
            <w:r>
              <w:rPr>
                <w:rFonts w:hint="eastAsia"/>
                <w:lang w:val="en-US" w:eastAsia="zh-CN"/>
              </w:rPr>
              <w:t>6.2 验收监测点位</w:t>
            </w:r>
            <w:bookmarkEnd w:id="20"/>
          </w:p>
          <w:p>
            <w:pPr>
              <w:pStyle w:val="6"/>
              <w:keepNext/>
              <w:keepLines/>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center"/>
              <w:textAlignment w:val="auto"/>
              <w:rPr>
                <w:rFonts w:hint="eastAsia" w:ascii="仿宋" w:hAnsi="仿宋" w:eastAsia="仿宋" w:cs="仿宋"/>
                <w:b/>
                <w:bCs/>
                <w:sz w:val="21"/>
                <w:szCs w:val="21"/>
              </w:rPr>
            </w:pPr>
            <w:r>
              <w:rPr>
                <w:rFonts w:hint="eastAsia"/>
                <w:lang w:val="en-US" w:eastAsia="zh-CN"/>
              </w:rPr>
              <w:drawing>
                <wp:anchor distT="0" distB="0" distL="114300" distR="114300" simplePos="0" relativeHeight="251661312" behindDoc="0" locked="0" layoutInCell="1" allowOverlap="1">
                  <wp:simplePos x="0" y="0"/>
                  <wp:positionH relativeFrom="column">
                    <wp:posOffset>255905</wp:posOffset>
                  </wp:positionH>
                  <wp:positionV relativeFrom="paragraph">
                    <wp:posOffset>57150</wp:posOffset>
                  </wp:positionV>
                  <wp:extent cx="4836795" cy="2068830"/>
                  <wp:effectExtent l="0" t="0" r="1905" b="7620"/>
                  <wp:wrapSquare wrapText="bothSides"/>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20"/>
                          <a:stretch>
                            <a:fillRect/>
                          </a:stretch>
                        </pic:blipFill>
                        <pic:spPr>
                          <a:xfrm>
                            <a:off x="0" y="0"/>
                            <a:ext cx="4836795" cy="2068830"/>
                          </a:xfrm>
                          <a:prstGeom prst="rect">
                            <a:avLst/>
                          </a:prstGeom>
                          <a:noFill/>
                          <a:ln>
                            <a:noFill/>
                          </a:ln>
                        </pic:spPr>
                      </pic:pic>
                    </a:graphicData>
                  </a:graphic>
                </wp:anchor>
              </w:drawing>
            </w:r>
            <w:r>
              <w:rPr>
                <w:rFonts w:hint="eastAsia" w:ascii="仿宋" w:hAnsi="仿宋" w:eastAsia="仿宋" w:cs="仿宋"/>
              </w:rPr>
              <w:drawing>
                <wp:anchor distT="0" distB="0" distL="114300" distR="114300" simplePos="0" relativeHeight="251660288" behindDoc="0" locked="0" layoutInCell="1" allowOverlap="1">
                  <wp:simplePos x="0" y="0"/>
                  <wp:positionH relativeFrom="column">
                    <wp:posOffset>370840</wp:posOffset>
                  </wp:positionH>
                  <wp:positionV relativeFrom="paragraph">
                    <wp:posOffset>2496185</wp:posOffset>
                  </wp:positionV>
                  <wp:extent cx="4591685" cy="2128520"/>
                  <wp:effectExtent l="0" t="0" r="18415" b="508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1"/>
                          <a:stretch>
                            <a:fillRect/>
                          </a:stretch>
                        </pic:blipFill>
                        <pic:spPr>
                          <a:xfrm>
                            <a:off x="0" y="0"/>
                            <a:ext cx="4591685" cy="2128520"/>
                          </a:xfrm>
                          <a:prstGeom prst="rect">
                            <a:avLst/>
                          </a:prstGeom>
                          <a:noFill/>
                          <a:ln>
                            <a:noFill/>
                          </a:ln>
                        </pic:spPr>
                      </pic:pic>
                    </a:graphicData>
                  </a:graphic>
                </wp:anchor>
              </w:drawing>
            </w:r>
            <w:r>
              <w:rPr>
                <w:rFonts w:hint="eastAsia" w:ascii="仿宋" w:hAnsi="仿宋" w:eastAsia="仿宋" w:cs="仿宋"/>
                <w:b/>
                <w:bCs/>
                <w:sz w:val="21"/>
                <w:szCs w:val="21"/>
                <w:lang w:eastAsia="zh-CN"/>
              </w:rPr>
              <w:t>图</w:t>
            </w:r>
            <w:r>
              <w:rPr>
                <w:rFonts w:hint="eastAsia" w:ascii="仿宋" w:hAnsi="仿宋" w:eastAsia="仿宋" w:cs="仿宋"/>
                <w:b/>
                <w:bCs/>
                <w:sz w:val="21"/>
                <w:szCs w:val="21"/>
                <w:lang w:val="en-US" w:eastAsia="zh-CN"/>
              </w:rPr>
              <w:t>6-1  保温炉投料有组织废气颗粒物监测</w:t>
            </w:r>
            <w:r>
              <w:rPr>
                <w:rFonts w:hint="eastAsia" w:ascii="仿宋" w:hAnsi="仿宋" w:eastAsia="仿宋" w:cs="仿宋"/>
                <w:b/>
                <w:bCs/>
                <w:sz w:val="21"/>
                <w:szCs w:val="21"/>
                <w:lang w:eastAsia="zh-CN"/>
              </w:rPr>
              <w:t>点位</w:t>
            </w:r>
            <w:r>
              <w:rPr>
                <w:rFonts w:hint="eastAsia" w:ascii="仿宋" w:hAnsi="仿宋" w:eastAsia="仿宋" w:cs="仿宋"/>
                <w:b/>
                <w:bCs/>
                <w:sz w:val="21"/>
                <w:szCs w:val="21"/>
              </w:rPr>
              <w:t>示意图</w:t>
            </w: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图6-2  连轧机有组织废气非甲烷总烃监测点位示意图</w:t>
            </w: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r>
              <w:rPr>
                <w:rFonts w:hint="eastAsia" w:ascii="仿宋" w:hAnsi="仿宋" w:eastAsia="仿宋" w:cs="仿宋"/>
              </w:rPr>
              <w:drawing>
                <wp:anchor distT="0" distB="0" distL="114300" distR="114300" simplePos="0" relativeHeight="251659264" behindDoc="0" locked="0" layoutInCell="1" allowOverlap="1">
                  <wp:simplePos x="0" y="0"/>
                  <wp:positionH relativeFrom="column">
                    <wp:posOffset>419735</wp:posOffset>
                  </wp:positionH>
                  <wp:positionV relativeFrom="paragraph">
                    <wp:posOffset>218440</wp:posOffset>
                  </wp:positionV>
                  <wp:extent cx="4600575" cy="2733675"/>
                  <wp:effectExtent l="0" t="0" r="9525" b="9525"/>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2"/>
                          <a:stretch>
                            <a:fillRect/>
                          </a:stretch>
                        </pic:blipFill>
                        <pic:spPr>
                          <a:xfrm>
                            <a:off x="0" y="0"/>
                            <a:ext cx="4600575" cy="2733675"/>
                          </a:xfrm>
                          <a:prstGeom prst="rect">
                            <a:avLst/>
                          </a:prstGeom>
                          <a:noFill/>
                          <a:ln>
                            <a:noFill/>
                          </a:ln>
                        </pic:spPr>
                      </pic:pic>
                    </a:graphicData>
                  </a:graphic>
                </wp:anchor>
              </w:drawing>
            </w: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drawing>
                <wp:anchor distT="0" distB="0" distL="114300" distR="114300" simplePos="0" relativeHeight="251662336" behindDoc="0" locked="0" layoutInCell="1" allowOverlap="1">
                  <wp:simplePos x="0" y="0"/>
                  <wp:positionH relativeFrom="column">
                    <wp:posOffset>597535</wp:posOffset>
                  </wp:positionH>
                  <wp:positionV relativeFrom="paragraph">
                    <wp:posOffset>407670</wp:posOffset>
                  </wp:positionV>
                  <wp:extent cx="4363085" cy="2658110"/>
                  <wp:effectExtent l="0" t="0" r="18415" b="8890"/>
                  <wp:wrapSquare wrapText="bothSides"/>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23"/>
                          <a:stretch>
                            <a:fillRect/>
                          </a:stretch>
                        </pic:blipFill>
                        <pic:spPr>
                          <a:xfrm>
                            <a:off x="0" y="0"/>
                            <a:ext cx="4363085" cy="2658110"/>
                          </a:xfrm>
                          <a:prstGeom prst="rect">
                            <a:avLst/>
                          </a:prstGeom>
                          <a:noFill/>
                          <a:ln>
                            <a:noFill/>
                          </a:ln>
                        </pic:spPr>
                      </pic:pic>
                    </a:graphicData>
                  </a:graphic>
                </wp:anchor>
              </w:drawing>
            </w:r>
            <w:r>
              <w:rPr>
                <w:rFonts w:hint="eastAsia" w:ascii="仿宋" w:hAnsi="仿宋" w:eastAsia="仿宋" w:cs="仿宋"/>
                <w:b/>
                <w:bCs/>
                <w:sz w:val="21"/>
                <w:szCs w:val="21"/>
                <w:lang w:val="en-US" w:eastAsia="zh-CN"/>
              </w:rPr>
              <w:t>图6-3  厂界无组织废气监测点位示意图</w:t>
            </w: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p>
          <w:p>
            <w:pPr>
              <w:keepNext w:val="0"/>
              <w:keepLines w:val="0"/>
              <w:widowControl/>
              <w:suppressLineNumbers w:val="0"/>
              <w:spacing w:before="0" w:beforeAutospacing="0" w:afterAutospacing="0"/>
              <w:ind w:left="0" w:right="0"/>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图6-4  噪声监测点位示意图</w:t>
            </w:r>
          </w:p>
          <w:p>
            <w:pPr>
              <w:keepNext w:val="0"/>
              <w:keepLines w:val="0"/>
              <w:widowControl w:val="0"/>
              <w:suppressLineNumbers w:val="0"/>
              <w:spacing w:before="0" w:beforeAutospacing="0" w:afterAutospacing="0" w:line="520" w:lineRule="exact"/>
              <w:ind w:left="0" w:right="0"/>
              <w:jc w:val="center"/>
              <w:rPr>
                <w:rFonts w:hint="eastAsia" w:ascii="仿宋" w:hAnsi="仿宋" w:eastAsia="仿宋" w:cs="仿宋"/>
                <w:lang w:val="en-US" w:eastAsia="zh-CN"/>
              </w:rPr>
            </w:pPr>
          </w:p>
          <w:p>
            <w:pPr>
              <w:keepNext w:val="0"/>
              <w:keepLines w:val="0"/>
              <w:widowControl w:val="0"/>
              <w:suppressLineNumbers w:val="0"/>
              <w:spacing w:before="0" w:beforeAutospacing="0" w:afterAutospacing="0" w:line="520" w:lineRule="exact"/>
              <w:ind w:left="0" w:right="0"/>
              <w:jc w:val="center"/>
              <w:rPr>
                <w:rFonts w:hint="eastAsia" w:ascii="仿宋" w:hAnsi="仿宋" w:eastAsia="仿宋" w:cs="仿宋"/>
                <w:lang w:val="en-US" w:eastAsia="zh-CN"/>
              </w:rPr>
            </w:pPr>
          </w:p>
          <w:p>
            <w:pPr>
              <w:keepNext w:val="0"/>
              <w:keepLines w:val="0"/>
              <w:widowControl w:val="0"/>
              <w:suppressLineNumbers w:val="0"/>
              <w:spacing w:before="0" w:beforeAutospacing="0" w:afterAutospacing="0" w:line="520" w:lineRule="exact"/>
              <w:ind w:left="0" w:right="0"/>
              <w:jc w:val="both"/>
              <w:rPr>
                <w:rFonts w:hint="eastAsia" w:ascii="仿宋" w:hAnsi="仿宋" w:eastAsia="仿宋" w:cs="仿宋"/>
                <w:lang w:val="en-US" w:eastAsia="zh-CN"/>
              </w:rPr>
            </w:pPr>
          </w:p>
          <w:p>
            <w:pPr>
              <w:keepNext w:val="0"/>
              <w:keepLines w:val="0"/>
              <w:widowControl w:val="0"/>
              <w:suppressLineNumbers w:val="0"/>
              <w:spacing w:before="0" w:beforeAutospacing="0" w:afterAutospacing="0" w:line="520" w:lineRule="exact"/>
              <w:ind w:left="0" w:right="0"/>
              <w:jc w:val="both"/>
              <w:rPr>
                <w:rFonts w:hint="eastAsia" w:ascii="仿宋" w:hAnsi="仿宋" w:eastAsia="仿宋" w:cs="仿宋"/>
                <w:lang w:val="en-US" w:eastAsia="zh-CN"/>
              </w:rPr>
            </w:pPr>
          </w:p>
        </w:tc>
      </w:tr>
    </w:tbl>
    <w:p>
      <w:pPr>
        <w:rPr>
          <w:rFonts w:hint="eastAsia" w:ascii="仿宋" w:hAnsi="仿宋" w:eastAsia="仿宋" w:cs="仿宋"/>
        </w:rPr>
        <w:sectPr>
          <w:pgSz w:w="11906" w:h="16838"/>
          <w:pgMar w:top="1440" w:right="1800" w:bottom="1440" w:left="1800" w:header="851" w:footer="992" w:gutter="0"/>
          <w:pgNumType w:fmt="decimal"/>
          <w:cols w:space="425" w:num="1"/>
          <w:docGrid w:type="lines" w:linePitch="312" w:charSpace="0"/>
        </w:sectPr>
      </w:pPr>
    </w:p>
    <w:tbl>
      <w:tblPr>
        <w:tblStyle w:val="18"/>
        <w:tblW w:w="9645" w:type="dxa"/>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5" w:type="dxa"/>
            <w:tcBorders>
              <w:top w:val="nil"/>
              <w:left w:val="nil"/>
              <w:bottom w:val="single" w:color="auto" w:sz="4" w:space="0"/>
              <w:right w:val="nil"/>
            </w:tcBorders>
          </w:tcPr>
          <w:p>
            <w:pPr>
              <w:pStyle w:val="3"/>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仿宋" w:hAnsi="仿宋" w:eastAsia="仿宋" w:cs="仿宋"/>
                <w:vertAlign w:val="baseline"/>
              </w:rPr>
            </w:pPr>
            <w:bookmarkStart w:id="21" w:name="_Toc23699"/>
            <w:bookmarkStart w:id="22" w:name="_Toc11203"/>
            <w:r>
              <w:rPr>
                <w:rFonts w:hint="eastAsia"/>
                <w:lang w:val="en-US" w:eastAsia="zh-CN"/>
              </w:rPr>
              <w:t>表七 验收监测结果</w:t>
            </w:r>
            <w:bookmarkEnd w:id="21"/>
            <w:bookmarkEnd w:id="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9" w:hRule="atLeast"/>
        </w:trPr>
        <w:tc>
          <w:tcPr>
            <w:tcW w:w="9645" w:type="dxa"/>
            <w:tcBorders>
              <w:top w:val="single" w:color="auto" w:sz="4" w:space="0"/>
            </w:tcBorders>
          </w:tcPr>
          <w:p>
            <w:pPr>
              <w:pStyle w:val="4"/>
              <w:widowControl/>
              <w:suppressLineNumbers w:val="0"/>
              <w:bidi w:val="0"/>
              <w:ind w:left="0" w:right="0"/>
              <w:rPr>
                <w:rFonts w:hint="eastAsia"/>
                <w:lang w:val="en-US"/>
              </w:rPr>
            </w:pPr>
            <w:bookmarkStart w:id="23" w:name="_Toc3705"/>
            <w:bookmarkStart w:id="24" w:name="_Toc28483"/>
            <w:r>
              <w:rPr>
                <w:rFonts w:hint="eastAsia"/>
                <w:lang w:val="en-US"/>
              </w:rPr>
              <w:t>7.1 验收监测期间工况</w:t>
            </w:r>
            <w:bookmarkEnd w:id="23"/>
            <w:bookmarkEnd w:id="24"/>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outlineLvl w:val="2"/>
              <w:rPr>
                <w:rFonts w:hint="eastAsia" w:ascii="仿宋" w:hAnsi="仿宋" w:eastAsia="仿宋" w:cs="仿宋"/>
                <w:b/>
                <w:color w:val="000000"/>
                <w:sz w:val="21"/>
                <w:szCs w:val="21"/>
                <w:lang w:val="zh-CN"/>
              </w:rPr>
            </w:pPr>
            <w:r>
              <w:rPr>
                <w:rFonts w:hint="eastAsia" w:ascii="仿宋" w:hAnsi="仿宋" w:eastAsia="仿宋" w:cs="仿宋"/>
                <w:b/>
                <w:color w:val="000000"/>
                <w:sz w:val="21"/>
                <w:szCs w:val="21"/>
              </w:rPr>
              <w:t xml:space="preserve">表7-1 </w:t>
            </w:r>
            <w:r>
              <w:rPr>
                <w:rFonts w:hint="eastAsia" w:ascii="仿宋" w:hAnsi="仿宋" w:eastAsia="仿宋" w:cs="仿宋"/>
                <w:b/>
                <w:color w:val="000000"/>
                <w:sz w:val="21"/>
                <w:szCs w:val="21"/>
                <w:lang w:val="en-US" w:eastAsia="zh-CN"/>
              </w:rPr>
              <w:t xml:space="preserve"> </w:t>
            </w:r>
            <w:r>
              <w:rPr>
                <w:rFonts w:hint="eastAsia" w:ascii="仿宋" w:hAnsi="仿宋" w:eastAsia="仿宋" w:cs="仿宋"/>
                <w:b/>
                <w:color w:val="000000"/>
                <w:sz w:val="21"/>
                <w:szCs w:val="21"/>
                <w:lang w:val="zh-CN"/>
              </w:rPr>
              <w:t>监测工况一览表</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2"/>
              <w:gridCol w:w="1882"/>
              <w:gridCol w:w="1883"/>
              <w:gridCol w:w="1883"/>
              <w:gridCol w:w="1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211" w:firstLineChars="100"/>
                    <w:jc w:val="left"/>
                    <w:textAlignment w:val="center"/>
                    <w:rPr>
                      <w:rFonts w:hint="eastAsia" w:ascii="仿宋" w:hAnsi="仿宋" w:eastAsia="仿宋" w:cs="仿宋"/>
                      <w:b/>
                      <w:bCs/>
                      <w:color w:val="auto"/>
                      <w:sz w:val="21"/>
                      <w:szCs w:val="21"/>
                      <w:vertAlign w:val="baseline"/>
                    </w:rPr>
                  </w:pPr>
                  <w:r>
                    <w:rPr>
                      <w:rFonts w:hint="eastAsia" w:ascii="仿宋" w:hAnsi="仿宋" w:eastAsia="仿宋" w:cs="仿宋"/>
                      <w:b/>
                      <w:bCs/>
                      <w:i w:val="0"/>
                      <w:iCs w:val="0"/>
                      <w:color w:val="auto"/>
                      <w:kern w:val="0"/>
                      <w:sz w:val="21"/>
                      <w:szCs w:val="21"/>
                      <w:u w:val="none"/>
                      <w:lang w:val="en-US" w:eastAsia="zh-CN" w:bidi="ar"/>
                    </w:rPr>
                    <w:t>监测日期</w:t>
                  </w: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b/>
                      <w:bCs/>
                      <w:color w:val="auto"/>
                      <w:sz w:val="21"/>
                      <w:szCs w:val="21"/>
                      <w:vertAlign w:val="baseline"/>
                    </w:rPr>
                  </w:pPr>
                  <w:r>
                    <w:rPr>
                      <w:rFonts w:hint="eastAsia" w:ascii="仿宋" w:hAnsi="仿宋" w:eastAsia="仿宋" w:cs="仿宋"/>
                      <w:b/>
                      <w:bCs/>
                      <w:i w:val="0"/>
                      <w:iCs w:val="0"/>
                      <w:color w:val="auto"/>
                      <w:kern w:val="0"/>
                      <w:sz w:val="21"/>
                      <w:szCs w:val="21"/>
                      <w:u w:val="none"/>
                      <w:lang w:val="en-US" w:eastAsia="zh-CN" w:bidi="ar"/>
                    </w:rPr>
                    <w:t>产品名称</w:t>
                  </w: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b/>
                      <w:bCs/>
                      <w:color w:val="auto"/>
                      <w:sz w:val="21"/>
                      <w:szCs w:val="21"/>
                      <w:vertAlign w:val="baseline"/>
                    </w:rPr>
                  </w:pPr>
                  <w:r>
                    <w:rPr>
                      <w:rFonts w:hint="eastAsia" w:ascii="仿宋" w:hAnsi="仿宋" w:eastAsia="仿宋" w:cs="仿宋"/>
                      <w:b/>
                      <w:bCs/>
                      <w:i w:val="0"/>
                      <w:iCs w:val="0"/>
                      <w:color w:val="auto"/>
                      <w:kern w:val="0"/>
                      <w:sz w:val="21"/>
                      <w:szCs w:val="21"/>
                      <w:u w:val="none"/>
                      <w:lang w:val="en-US" w:eastAsia="zh-CN" w:bidi="ar"/>
                    </w:rPr>
                    <w:t>设计日产量t</w:t>
                  </w: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b/>
                      <w:bCs/>
                      <w:color w:val="auto"/>
                      <w:sz w:val="21"/>
                      <w:szCs w:val="21"/>
                      <w:vertAlign w:val="baseline"/>
                    </w:rPr>
                  </w:pPr>
                  <w:r>
                    <w:rPr>
                      <w:rFonts w:hint="eastAsia" w:ascii="仿宋" w:hAnsi="仿宋" w:eastAsia="仿宋" w:cs="仿宋"/>
                      <w:b/>
                      <w:bCs/>
                      <w:i w:val="0"/>
                      <w:iCs w:val="0"/>
                      <w:color w:val="auto"/>
                      <w:kern w:val="0"/>
                      <w:sz w:val="21"/>
                      <w:szCs w:val="21"/>
                      <w:u w:val="none"/>
                      <w:lang w:val="en-US" w:eastAsia="zh-CN" w:bidi="ar"/>
                    </w:rPr>
                    <w:t>实际日产量t</w:t>
                  </w:r>
                </w:p>
              </w:tc>
              <w:tc>
                <w:tcPr>
                  <w:tcW w:w="100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b/>
                      <w:bCs/>
                      <w:color w:val="auto"/>
                      <w:sz w:val="21"/>
                      <w:szCs w:val="21"/>
                      <w:vertAlign w:val="baseline"/>
                    </w:rPr>
                  </w:pPr>
                  <w:r>
                    <w:rPr>
                      <w:rFonts w:hint="eastAsia" w:ascii="仿宋" w:hAnsi="仿宋" w:eastAsia="仿宋" w:cs="仿宋"/>
                      <w:b/>
                      <w:bCs/>
                      <w:i w:val="0"/>
                      <w:iCs w:val="0"/>
                      <w:color w:val="auto"/>
                      <w:kern w:val="0"/>
                      <w:sz w:val="21"/>
                      <w:szCs w:val="21"/>
                      <w:u w:val="none"/>
                      <w:lang w:val="en-US" w:eastAsia="zh-CN" w:bidi="ar"/>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2023.5.21</w:t>
                  </w:r>
                </w:p>
              </w:tc>
              <w:tc>
                <w:tcPr>
                  <w:tcW w:w="999"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铝</w:t>
                  </w: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90</w:t>
                  </w: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90</w:t>
                  </w:r>
                </w:p>
              </w:tc>
              <w:tc>
                <w:tcPr>
                  <w:tcW w:w="100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2023.5.22</w:t>
                  </w:r>
                </w:p>
              </w:tc>
              <w:tc>
                <w:tcPr>
                  <w:tcW w:w="9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480" w:lineRule="exact"/>
                    <w:ind w:left="0" w:right="0"/>
                    <w:jc w:val="center"/>
                    <w:rPr>
                      <w:rFonts w:hint="eastAsia" w:ascii="仿宋" w:hAnsi="仿宋" w:eastAsia="仿宋" w:cs="仿宋"/>
                      <w:sz w:val="21"/>
                      <w:szCs w:val="21"/>
                      <w:vertAlign w:val="baseline"/>
                    </w:rPr>
                  </w:pP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90</w:t>
                  </w:r>
                </w:p>
              </w:tc>
              <w:tc>
                <w:tcPr>
                  <w:tcW w:w="99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90</w:t>
                  </w:r>
                </w:p>
              </w:tc>
              <w:tc>
                <w:tcPr>
                  <w:tcW w:w="100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100</w:t>
                  </w:r>
                </w:p>
              </w:tc>
            </w:tr>
          </w:tbl>
          <w:p>
            <w:pPr>
              <w:pStyle w:val="4"/>
              <w:keepNext/>
              <w:keepLines/>
              <w:pageBreakBefore w:val="0"/>
              <w:widowControl/>
              <w:suppressLineNumbers w:val="0"/>
              <w:kinsoku/>
              <w:wordWrap/>
              <w:overflowPunct/>
              <w:topLinePunct w:val="0"/>
              <w:autoSpaceDE/>
              <w:autoSpaceDN/>
              <w:bidi w:val="0"/>
              <w:adjustRightInd/>
              <w:snapToGrid/>
              <w:spacing w:before="0" w:after="0" w:afterLines="0" w:line="480" w:lineRule="exact"/>
              <w:ind w:left="0" w:right="0"/>
              <w:textAlignment w:val="auto"/>
              <w:rPr>
                <w:rFonts w:hint="eastAsia"/>
                <w:lang w:val="en-US"/>
              </w:rPr>
            </w:pPr>
            <w:bookmarkStart w:id="25" w:name="_Toc8567"/>
            <w:bookmarkStart w:id="26" w:name="_Toc16092"/>
            <w:r>
              <w:rPr>
                <w:rFonts w:hint="eastAsia" w:ascii="仿宋" w:hAnsi="仿宋" w:eastAsia="仿宋" w:cs="仿宋"/>
                <w:lang w:val="en-US"/>
              </w:rPr>
              <w:t>7.2</w:t>
            </w:r>
            <w:r>
              <w:rPr>
                <w:rFonts w:hint="eastAsia"/>
                <w:lang w:val="en-US"/>
              </w:rPr>
              <w:t xml:space="preserve"> 验收监测结果</w:t>
            </w:r>
            <w:bookmarkEnd w:id="25"/>
            <w:bookmarkEnd w:id="26"/>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sz w:val="21"/>
                <w:szCs w:val="21"/>
                <w:vertAlign w:val="baseline"/>
              </w:rPr>
            </w:pPr>
            <w:r>
              <w:rPr>
                <w:rFonts w:hint="eastAsia" w:ascii="仿宋" w:hAnsi="仿宋" w:eastAsia="仿宋" w:cs="仿宋"/>
                <w:b/>
                <w:bCs/>
                <w:sz w:val="21"/>
                <w:szCs w:val="21"/>
                <w:vertAlign w:val="baseline"/>
                <w:lang w:eastAsia="zh-CN"/>
              </w:rPr>
              <w:t>表</w:t>
            </w:r>
            <w:r>
              <w:rPr>
                <w:rFonts w:hint="eastAsia" w:ascii="仿宋" w:hAnsi="仿宋" w:eastAsia="仿宋" w:cs="仿宋"/>
                <w:b/>
                <w:bCs/>
                <w:sz w:val="21"/>
                <w:szCs w:val="21"/>
                <w:vertAlign w:val="baseline"/>
                <w:lang w:val="en-US" w:eastAsia="zh-CN"/>
              </w:rPr>
              <w:t xml:space="preserve">7-2 </w:t>
            </w:r>
            <w:r>
              <w:rPr>
                <w:rFonts w:hint="eastAsia" w:ascii="仿宋" w:hAnsi="仿宋" w:eastAsia="仿宋" w:cs="仿宋"/>
                <w:b/>
                <w:bCs/>
                <w:sz w:val="21"/>
                <w:szCs w:val="21"/>
                <w:vertAlign w:val="baseline"/>
              </w:rPr>
              <w:t>保温炉投料</w:t>
            </w:r>
            <w:r>
              <w:rPr>
                <w:rFonts w:hint="eastAsia" w:ascii="仿宋" w:hAnsi="仿宋" w:eastAsia="仿宋" w:cs="仿宋"/>
                <w:b/>
                <w:bCs/>
                <w:sz w:val="21"/>
                <w:szCs w:val="21"/>
                <w:vertAlign w:val="baseline"/>
                <w:lang w:eastAsia="zh-CN"/>
              </w:rPr>
              <w:t>口</w:t>
            </w:r>
            <w:r>
              <w:rPr>
                <w:rFonts w:hint="eastAsia" w:ascii="仿宋" w:hAnsi="仿宋" w:eastAsia="仿宋" w:cs="仿宋"/>
                <w:b/>
                <w:bCs/>
                <w:sz w:val="21"/>
                <w:szCs w:val="21"/>
                <w:vertAlign w:val="baseline"/>
              </w:rPr>
              <w:t>有组织废气颗粒物监测结果一览表</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004"/>
              <w:gridCol w:w="1103"/>
              <w:gridCol w:w="1450"/>
              <w:gridCol w:w="992"/>
              <w:gridCol w:w="1090"/>
              <w:gridCol w:w="1192"/>
              <w:gridCol w:w="977"/>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点位编号及名称</w:t>
                  </w: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监测频次</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烟气量(Nm³/h)</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颗粒物排放浓度(mg/Nm³)</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颗粒物排放量</w:t>
                  </w:r>
                  <w:r>
                    <w:rPr>
                      <w:rFonts w:hint="eastAsia" w:ascii="仿宋" w:hAnsi="仿宋" w:eastAsia="仿宋" w:cs="仿宋"/>
                      <w:b/>
                      <w:bCs/>
                      <w:i w:val="0"/>
                      <w:iCs w:val="0"/>
                      <w:color w:val="002761"/>
                      <w:kern w:val="0"/>
                      <w:sz w:val="21"/>
                      <w:szCs w:val="21"/>
                      <w:u w:val="none"/>
                      <w:lang w:val="en-US" w:eastAsia="zh-CN" w:bidi="ar"/>
                    </w:rPr>
                    <w:t>(Kg</w:t>
                  </w:r>
                  <w:r>
                    <w:rPr>
                      <w:rFonts w:hint="eastAsia" w:ascii="仿宋" w:hAnsi="仿宋" w:eastAsia="仿宋" w:cs="仿宋"/>
                      <w:b/>
                      <w:bCs/>
                      <w:i w:val="0"/>
                      <w:iCs w:val="0"/>
                      <w:color w:val="000000"/>
                      <w:kern w:val="0"/>
                      <w:sz w:val="21"/>
                      <w:szCs w:val="21"/>
                      <w:u w:val="none"/>
                      <w:lang w:val="en-US" w:eastAsia="zh-CN" w:bidi="ar"/>
                    </w:rPr>
                    <w:t>/h)</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烟气量</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(Nm³/h)</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颗粒物排放浓度(mg/Nm³)</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颗粒物排放量</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(Kg/h)</w:t>
                  </w:r>
                </w:p>
              </w:tc>
              <w:tc>
                <w:tcPr>
                  <w:tcW w:w="405"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监测时间</w:t>
                  </w:r>
                </w:p>
              </w:tc>
              <w:tc>
                <w:tcPr>
                  <w:tcW w:w="1883" w:type="pct"/>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2023.5.21</w:t>
                  </w:r>
                </w:p>
              </w:tc>
              <w:tc>
                <w:tcPr>
                  <w:tcW w:w="1731" w:type="pct"/>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2023.5.22</w:t>
                  </w:r>
                </w:p>
              </w:tc>
              <w:tc>
                <w:tcPr>
                  <w:tcW w:w="405"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保温炉投料进口1#</w:t>
                  </w: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4304</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847</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3.64</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4382</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836</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3.66</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4360</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826</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3.60</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4478</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846</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3.79</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4395</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869</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3.82</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4451</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844</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3.76</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平均值</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4353</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847</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3.69</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4437</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842</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3.74</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保温炉投料出口2#</w:t>
                  </w: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10663</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8.5</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0.0906</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10853</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8.6</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0.0933</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10706</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8.9</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0.0953</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10918</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0.0917</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10903</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8.1</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0.0883</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10655</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0.0895</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平均值</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10757</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8.5</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0.0914</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10809</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8.5</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0.0915</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限值</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30</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30</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c>
                <w:tcPr>
                  <w:tcW w:w="5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达标情况</w:t>
                  </w:r>
                </w:p>
              </w:tc>
              <w:tc>
                <w:tcPr>
                  <w:tcW w:w="58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77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c>
                <w:tcPr>
                  <w:tcW w:w="52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5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63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c>
                <w:tcPr>
                  <w:tcW w:w="51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w:t>
                  </w:r>
                </w:p>
              </w:tc>
              <w:tc>
                <w:tcPr>
                  <w:tcW w:w="40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sz w:val="21"/>
                      <w:szCs w:val="21"/>
                      <w:vertAlign w:val="baseline"/>
                    </w:rPr>
                  </w:pPr>
                </w:p>
              </w:tc>
            </w:tr>
          </w:tbl>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vertAlign w:val="baseline"/>
              </w:rPr>
            </w:pPr>
            <w:r>
              <w:rPr>
                <w:rFonts w:hint="eastAsia" w:ascii="仿宋" w:hAnsi="仿宋" w:eastAsia="仿宋" w:cs="仿宋"/>
                <w:b/>
                <w:bCs/>
                <w:sz w:val="21"/>
                <w:szCs w:val="21"/>
                <w:vertAlign w:val="baseline"/>
                <w:lang w:eastAsia="zh-CN"/>
              </w:rPr>
              <w:t>表</w:t>
            </w:r>
            <w:r>
              <w:rPr>
                <w:rFonts w:hint="eastAsia" w:ascii="仿宋" w:hAnsi="仿宋" w:eastAsia="仿宋" w:cs="仿宋"/>
                <w:b/>
                <w:bCs/>
                <w:sz w:val="21"/>
                <w:szCs w:val="21"/>
                <w:vertAlign w:val="baseline"/>
                <w:lang w:val="en-US" w:eastAsia="zh-CN"/>
              </w:rPr>
              <w:t xml:space="preserve">7-3 </w:t>
            </w:r>
            <w:r>
              <w:rPr>
                <w:rFonts w:hint="eastAsia" w:ascii="仿宋" w:hAnsi="仿宋" w:eastAsia="仿宋" w:cs="仿宋"/>
                <w:b/>
                <w:bCs/>
                <w:sz w:val="21"/>
                <w:szCs w:val="21"/>
                <w:vertAlign w:val="baseline"/>
              </w:rPr>
              <w:t>连轧机有组织废气非甲烷总烃监测结果一览表</w:t>
            </w:r>
          </w:p>
          <w:tbl>
            <w:tblPr>
              <w:tblStyle w:val="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983"/>
              <w:gridCol w:w="1119"/>
              <w:gridCol w:w="1354"/>
              <w:gridCol w:w="1089"/>
              <w:gridCol w:w="1119"/>
              <w:gridCol w:w="1221"/>
              <w:gridCol w:w="972"/>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点位编号及名称</w:t>
                  </w: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监测频次</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烟气量(Nm³/h)</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排放浓度(mg/Nm³)</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排放量(Kg/h)</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烟气</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(Nm³/h)</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排放浓度(mg/Nm³)</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排放量(Kg/h)</w:t>
                  </w:r>
                </w:p>
              </w:tc>
              <w:tc>
                <w:tcPr>
                  <w:tcW w:w="390"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监测时间</w:t>
                  </w:r>
                </w:p>
              </w:tc>
              <w:tc>
                <w:tcPr>
                  <w:tcW w:w="1891" w:type="pct"/>
                  <w:gridSpan w:val="3"/>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2023.5.21</w:t>
                  </w:r>
                </w:p>
              </w:tc>
              <w:tc>
                <w:tcPr>
                  <w:tcW w:w="1758" w:type="pct"/>
                  <w:gridSpan w:val="3"/>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2023</w:t>
                  </w:r>
                  <w:r>
                    <w:rPr>
                      <w:rFonts w:hint="eastAsia" w:ascii="仿宋" w:hAnsi="仿宋" w:eastAsia="仿宋" w:cs="仿宋"/>
                      <w:i w:val="0"/>
                      <w:iCs w:val="0"/>
                      <w:color w:val="050036"/>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5.22</w:t>
                  </w:r>
                </w:p>
              </w:tc>
              <w:tc>
                <w:tcPr>
                  <w:tcW w:w="390"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连轧机进口3#</w:t>
                  </w: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6707</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77.2</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0.518</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6494</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80.2</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0.521</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6571</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80.0</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0.526</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6376</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78.5</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0.501</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6829</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77.4</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0.529</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6700</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79.8</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0.535</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平均值</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6702</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78.2</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0.524</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6523</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79.5</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0.519</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连轧机出口4#</w:t>
                  </w: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5073</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8.21</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0.0416</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5175</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6.05</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0.0313</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5194</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7.04</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0.0366</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4894</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8.37</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0.0410</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5050</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7.59</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0.0383</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5030</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8.48</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w:t>
                  </w:r>
                  <w:r>
                    <w:rPr>
                      <w:rFonts w:hint="eastAsia" w:ascii="仿宋" w:hAnsi="仿宋" w:eastAsia="仿宋" w:cs="仿宋"/>
                      <w:i w:val="0"/>
                      <w:iCs w:val="0"/>
                      <w:color w:val="001B2F"/>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0427</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平均值</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5106</w:t>
                  </w: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7.61</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0.0388</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210" w:firstLineChars="10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5033</w:t>
                  </w: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7.63</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0.0383</w:t>
                  </w: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限值</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120</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120</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2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达标情况</w:t>
                  </w: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71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c>
                <w:tcPr>
                  <w:tcW w:w="57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5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648"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c>
                <w:tcPr>
                  <w:tcW w:w="51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c>
                <w:tcPr>
                  <w:tcW w:w="39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vertAlign w:val="baseline"/>
                    </w:rPr>
                  </w:pPr>
                </w:p>
              </w:tc>
            </w:tr>
          </w:tbl>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sz w:val="21"/>
                <w:szCs w:val="21"/>
                <w:vertAlign w:val="baseline"/>
              </w:rPr>
            </w:pPr>
            <w:r>
              <w:rPr>
                <w:rFonts w:hint="eastAsia" w:ascii="仿宋" w:hAnsi="仿宋" w:eastAsia="仿宋" w:cs="仿宋"/>
                <w:b/>
                <w:bCs/>
                <w:sz w:val="21"/>
                <w:szCs w:val="21"/>
                <w:vertAlign w:val="baseline"/>
                <w:lang w:eastAsia="zh-CN"/>
              </w:rPr>
              <w:t>表</w:t>
            </w:r>
            <w:r>
              <w:rPr>
                <w:rFonts w:hint="eastAsia" w:ascii="仿宋" w:hAnsi="仿宋" w:eastAsia="仿宋" w:cs="仿宋"/>
                <w:b/>
                <w:bCs/>
                <w:sz w:val="21"/>
                <w:szCs w:val="21"/>
                <w:vertAlign w:val="baseline"/>
                <w:lang w:val="en-US" w:eastAsia="zh-CN"/>
              </w:rPr>
              <w:t>7-4 厂界无组织废气监测结果及达标一览表</w:t>
            </w:r>
          </w:p>
          <w:tbl>
            <w:tblPr>
              <w:tblStyle w:val="18"/>
              <w:tblW w:w="9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951"/>
              <w:gridCol w:w="1164"/>
              <w:gridCol w:w="657"/>
              <w:gridCol w:w="850"/>
              <w:gridCol w:w="903"/>
              <w:gridCol w:w="922"/>
              <w:gridCol w:w="914"/>
              <w:gridCol w:w="655"/>
              <w:gridCol w:w="1050"/>
              <w:gridCol w:w="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采样地点</w:t>
                  </w:r>
                </w:p>
              </w:tc>
              <w:tc>
                <w:tcPr>
                  <w:tcW w:w="499"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项目</w:t>
                  </w:r>
                </w:p>
              </w:tc>
              <w:tc>
                <w:tcPr>
                  <w:tcW w:w="61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监测时间</w:t>
                  </w:r>
                </w:p>
              </w:tc>
              <w:tc>
                <w:tcPr>
                  <w:tcW w:w="345"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w:t>
                  </w:r>
                  <w:r>
                    <w:rPr>
                      <w:rFonts w:hint="eastAsia" w:ascii="仿宋" w:hAnsi="仿宋" w:eastAsia="仿宋" w:cs="仿宋"/>
                      <w:b/>
                      <w:bCs/>
                      <w:i w:val="0"/>
                      <w:iCs w:val="0"/>
                      <w:color w:val="000000"/>
                      <w:kern w:val="0"/>
                      <w:sz w:val="21"/>
                      <w:szCs w:val="21"/>
                      <w:u w:val="none"/>
                      <w:lang w:val="en-US" w:eastAsia="zh-CN" w:bidi="ar"/>
                    </w:rPr>
                    <w:br w:type="textWrapping"/>
                  </w:r>
                  <w:r>
                    <w:rPr>
                      <w:rFonts w:hint="eastAsia" w:ascii="仿宋" w:hAnsi="仿宋" w:eastAsia="仿宋" w:cs="仿宋"/>
                      <w:b/>
                      <w:bCs/>
                      <w:i w:val="0"/>
                      <w:iCs w:val="0"/>
                      <w:color w:val="000000"/>
                      <w:kern w:val="0"/>
                      <w:sz w:val="21"/>
                      <w:szCs w:val="21"/>
                      <w:u w:val="none"/>
                      <w:lang w:val="en-US" w:eastAsia="zh-CN" w:bidi="ar"/>
                    </w:rPr>
                    <w:t>频次</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参照点</w:t>
                  </w:r>
                </w:p>
              </w:tc>
              <w:tc>
                <w:tcPr>
                  <w:tcW w:w="1438" w:type="pct"/>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监测点</w:t>
                  </w:r>
                </w:p>
              </w:tc>
              <w:tc>
                <w:tcPr>
                  <w:tcW w:w="344"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最大差值</w:t>
                  </w:r>
                </w:p>
              </w:tc>
              <w:tc>
                <w:tcPr>
                  <w:tcW w:w="55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标准值</w:t>
                  </w:r>
                </w:p>
              </w:tc>
              <w:tc>
                <w:tcPr>
                  <w:tcW w:w="38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1#</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3#</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4#</w:t>
                  </w:r>
                </w:p>
              </w:tc>
              <w:tc>
                <w:tcPr>
                  <w:tcW w:w="344"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厂界</w:t>
                  </w:r>
                </w:p>
              </w:tc>
              <w:tc>
                <w:tcPr>
                  <w:tcW w:w="499"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spacing w:val="-11"/>
                      <w:kern w:val="0"/>
                      <w:sz w:val="21"/>
                      <w:szCs w:val="21"/>
                      <w:u w:val="none"/>
                      <w:lang w:val="en-US" w:eastAsia="zh-CN" w:bidi="ar"/>
                    </w:rPr>
                    <w:t>颗粒物</w:t>
                  </w:r>
                  <w:r>
                    <w:rPr>
                      <w:rFonts w:hint="eastAsia" w:ascii="仿宋" w:hAnsi="仿宋" w:eastAsia="仿宋" w:cs="仿宋"/>
                      <w:i w:val="0"/>
                      <w:iCs w:val="0"/>
                      <w:color w:val="000000"/>
                      <w:spacing w:val="-11"/>
                      <w:kern w:val="0"/>
                      <w:sz w:val="21"/>
                      <w:szCs w:val="21"/>
                      <w:u w:val="none"/>
                      <w:lang w:val="en-US" w:eastAsia="zh-CN" w:bidi="ar"/>
                    </w:rPr>
                    <w:br w:type="textWrapping"/>
                  </w:r>
                  <w:r>
                    <w:rPr>
                      <w:rFonts w:hint="eastAsia" w:ascii="仿宋" w:hAnsi="仿宋" w:eastAsia="仿宋" w:cs="仿宋"/>
                      <w:i w:val="0"/>
                      <w:iCs w:val="0"/>
                      <w:color w:val="000000"/>
                      <w:spacing w:val="-11"/>
                      <w:kern w:val="0"/>
                      <w:sz w:val="21"/>
                      <w:szCs w:val="21"/>
                      <w:u w:val="none"/>
                      <w:lang w:val="en-US" w:eastAsia="zh-CN" w:bidi="ar"/>
                    </w:rPr>
                    <w:t>(μg/m³)</w:t>
                  </w:r>
                </w:p>
              </w:tc>
              <w:tc>
                <w:tcPr>
                  <w:tcW w:w="61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2023.5.21</w:t>
                  </w: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134</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585</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484</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551</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451</w:t>
                  </w:r>
                </w:p>
              </w:tc>
              <w:tc>
                <w:tcPr>
                  <w:tcW w:w="55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1.0mg/m³</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184</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535</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535</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535</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351</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167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551</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568</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401</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150</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501</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568</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485</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418</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2023.5.22</w:t>
                  </w: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184</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501</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468</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518</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334</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150</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551</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501</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468</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401</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167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485</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484</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551</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318</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134</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518</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535</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451</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401</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非甲烷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210" w:firstLineChars="100"/>
                    <w:jc w:val="left"/>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总烃(mg/m³)</w:t>
                  </w:r>
                </w:p>
              </w:tc>
              <w:tc>
                <w:tcPr>
                  <w:tcW w:w="61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2023.5.21</w:t>
                  </w: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55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4.0mg/m³</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2023.5.22</w:t>
                  </w: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0"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499"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61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rPr>
                      <w:rFonts w:hint="eastAsia" w:ascii="仿宋" w:hAnsi="仿宋" w:eastAsia="仿宋" w:cs="仿宋"/>
                      <w:b/>
                      <w:bCs/>
                      <w:sz w:val="21"/>
                      <w:szCs w:val="21"/>
                      <w:vertAlign w:val="baseline"/>
                    </w:rPr>
                  </w:pPr>
                </w:p>
              </w:tc>
              <w:tc>
                <w:tcPr>
                  <w:tcW w:w="345"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w:t>
                  </w:r>
                </w:p>
              </w:tc>
              <w:tc>
                <w:tcPr>
                  <w:tcW w:w="446"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7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ND0.07</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479"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ND0.07</w:t>
                  </w:r>
                </w:p>
              </w:tc>
              <w:tc>
                <w:tcPr>
                  <w:tcW w:w="34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55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left"/>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r>
          </w:tbl>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vertAlign w:val="baseline"/>
              </w:rPr>
            </w:pPr>
            <w:r>
              <w:rPr>
                <w:rFonts w:hint="eastAsia" w:ascii="仿宋" w:hAnsi="仿宋" w:eastAsia="仿宋" w:cs="仿宋"/>
                <w:b/>
                <w:bCs/>
                <w:sz w:val="21"/>
                <w:szCs w:val="21"/>
                <w:vertAlign w:val="baseline"/>
              </w:rPr>
              <w:t>表</w:t>
            </w:r>
            <w:r>
              <w:rPr>
                <w:rFonts w:hint="eastAsia" w:ascii="仿宋" w:hAnsi="仿宋" w:eastAsia="仿宋" w:cs="仿宋"/>
                <w:b/>
                <w:bCs/>
                <w:sz w:val="21"/>
                <w:szCs w:val="21"/>
                <w:vertAlign w:val="baseline"/>
                <w:lang w:val="en-US" w:eastAsia="zh-CN"/>
              </w:rPr>
              <w:t>7</w:t>
            </w:r>
            <w:r>
              <w:rPr>
                <w:rFonts w:hint="eastAsia" w:ascii="仿宋" w:hAnsi="仿宋" w:eastAsia="仿宋" w:cs="仿宋"/>
                <w:b/>
                <w:bCs/>
                <w:sz w:val="21"/>
                <w:szCs w:val="21"/>
                <w:vertAlign w:val="baseline"/>
              </w:rPr>
              <w:t>-</w:t>
            </w:r>
            <w:r>
              <w:rPr>
                <w:rFonts w:hint="eastAsia" w:ascii="仿宋" w:hAnsi="仿宋" w:eastAsia="仿宋" w:cs="仿宋"/>
                <w:b/>
                <w:bCs/>
                <w:sz w:val="21"/>
                <w:szCs w:val="21"/>
                <w:vertAlign w:val="baseline"/>
                <w:lang w:val="en-US" w:eastAsia="zh-CN"/>
              </w:rPr>
              <w:t xml:space="preserve">5 </w:t>
            </w:r>
            <w:r>
              <w:rPr>
                <w:rFonts w:hint="eastAsia" w:ascii="仿宋" w:hAnsi="仿宋" w:eastAsia="仿宋" w:cs="仿宋"/>
                <w:b/>
                <w:bCs/>
                <w:sz w:val="21"/>
                <w:szCs w:val="21"/>
                <w:vertAlign w:val="baseline"/>
              </w:rPr>
              <w:t>噪声监测结果一览表单位：dB(A)</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954"/>
              <w:gridCol w:w="719"/>
              <w:gridCol w:w="720"/>
              <w:gridCol w:w="720"/>
              <w:gridCol w:w="720"/>
              <w:gridCol w:w="610"/>
              <w:gridCol w:w="720"/>
              <w:gridCol w:w="720"/>
              <w:gridCol w:w="720"/>
              <w:gridCol w:w="720"/>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监测日期</w:t>
                  </w:r>
                </w:p>
              </w:tc>
              <w:tc>
                <w:tcPr>
                  <w:tcW w:w="507"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监测点位</w:t>
                  </w:r>
                </w:p>
              </w:tc>
              <w:tc>
                <w:tcPr>
                  <w:tcW w:w="1852" w:type="pct"/>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昼间</w:t>
                  </w:r>
                </w:p>
              </w:tc>
              <w:tc>
                <w:tcPr>
                  <w:tcW w:w="1940" w:type="pct"/>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Leq</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L10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L50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L90</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2672"/>
                      <w:kern w:val="0"/>
                      <w:sz w:val="21"/>
                      <w:szCs w:val="21"/>
                      <w:u w:val="none"/>
                      <w:lang w:val="en-US" w:eastAsia="zh-CN" w:bidi="ar"/>
                    </w:rPr>
                    <w:t>SD</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b/>
                      <w:bCs/>
                      <w:i w:val="0"/>
                      <w:iCs w:val="0"/>
                      <w:color w:val="000000"/>
                      <w:kern w:val="0"/>
                      <w:sz w:val="21"/>
                      <w:szCs w:val="21"/>
                      <w:u w:val="none"/>
                      <w:lang w:val="en-US" w:eastAsia="zh-CN" w:bidi="ar"/>
                    </w:rPr>
                    <w:t>Leq</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sz w:val="21"/>
                      <w:szCs w:val="21"/>
                      <w:lang w:val="en-US" w:eastAsia="zh-CN"/>
                    </w:rPr>
                    <w:t>L10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sz w:val="21"/>
                      <w:szCs w:val="21"/>
                      <w:lang w:val="en-US" w:eastAsia="zh-CN"/>
                    </w:rPr>
                    <w:t>L50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sz w:val="21"/>
                      <w:szCs w:val="21"/>
                      <w:lang w:val="en-US" w:eastAsia="zh-CN"/>
                    </w:rPr>
                    <w:t>L90</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rPr>
                  </w:pPr>
                  <w:r>
                    <w:rPr>
                      <w:rFonts w:hint="eastAsia" w:ascii="仿宋" w:hAnsi="仿宋" w:eastAsia="仿宋" w:cs="仿宋"/>
                      <w:b/>
                      <w:bCs/>
                      <w:i w:val="0"/>
                      <w:iCs w:val="0"/>
                      <w:color w:val="000000"/>
                      <w:kern w:val="0"/>
                      <w:sz w:val="21"/>
                      <w:szCs w:val="21"/>
                      <w:u w:val="none"/>
                      <w:lang w:val="en-US" w:eastAsia="zh-CN" w:bidi="ar"/>
                    </w:rPr>
                    <w:t>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2023.5.21</w:t>
                  </w: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57.2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53.6</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2.1</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47.1</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45.0</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56.2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58.8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52.4</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46.1</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44.0</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58.0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60.4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57.2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53.8</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48.4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50.2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46.2</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56.0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58.4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52.4</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46.3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44.4</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2023.5.22</w:t>
                  </w: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1#</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57.3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59.6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56.6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54.0</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47.7</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44.0</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56.3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57.6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54.8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52.4</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2.5</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46.6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46.4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44.2</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58.4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60.8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57.8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54.8</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48.3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51.0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47.4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44.4</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b/>
                      <w:bCs/>
                      <w:sz w:val="21"/>
                      <w:szCs w:val="21"/>
                      <w:vertAlign w:val="baseline"/>
                    </w:rPr>
                  </w:pPr>
                </w:p>
              </w:tc>
              <w:tc>
                <w:tcPr>
                  <w:tcW w:w="507"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56.3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58.6</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55.8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52.2</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2.3</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46.5</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48.2</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45.8</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44.0</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gridSpan w:val="2"/>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限值</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60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rPr>
                  </w:pP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50</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gridSpan w:val="2"/>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达标情况</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21"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rPr>
                  </w:pP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b/>
                      <w:bCs/>
                      <w:sz w:val="21"/>
                      <w:szCs w:val="21"/>
                      <w:vertAlign w:val="baseline"/>
                    </w:rPr>
                  </w:pPr>
                  <w:r>
                    <w:rPr>
                      <w:rFonts w:hint="eastAsia" w:ascii="仿宋" w:hAnsi="仿宋" w:eastAsia="仿宋" w:cs="仿宋"/>
                      <w:i w:val="0"/>
                      <w:iCs w:val="0"/>
                      <w:color w:val="000000"/>
                      <w:kern w:val="0"/>
                      <w:sz w:val="21"/>
                      <w:szCs w:val="21"/>
                      <w:u w:val="none"/>
                      <w:lang w:val="en-US" w:eastAsia="zh-CN" w:bidi="ar"/>
                    </w:rPr>
                    <w:t>达标</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c>
                <w:tcPr>
                  <w:tcW w:w="382"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eastAsia" w:ascii="仿宋" w:hAnsi="仿宋" w:eastAsia="仿宋" w:cs="仿宋"/>
                      <w:sz w:val="21"/>
                      <w:szCs w:val="21"/>
                    </w:rPr>
                  </w:pPr>
                </w:p>
              </w:tc>
              <w:tc>
                <w:tcPr>
                  <w:tcW w:w="409"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w:t>
                  </w:r>
                </w:p>
              </w:tc>
            </w:tr>
          </w:tbl>
          <w:p>
            <w:pPr>
              <w:pStyle w:val="4"/>
              <w:widowControl/>
              <w:suppressLineNumbers w:val="0"/>
              <w:ind w:left="0" w:right="0" w:firstLine="482" w:firstLineChars="200"/>
              <w:rPr>
                <w:rFonts w:hint="eastAsia" w:ascii="仿宋" w:hAnsi="仿宋" w:eastAsia="仿宋" w:cs="仿宋"/>
                <w:b/>
                <w:bCs/>
                <w:kern w:val="0"/>
                <w:sz w:val="24"/>
                <w:szCs w:val="24"/>
              </w:rPr>
            </w:pPr>
            <w:r>
              <w:rPr>
                <w:rFonts w:hint="eastAsia" w:ascii="仿宋" w:hAnsi="仿宋" w:eastAsia="仿宋" w:cs="仿宋"/>
                <w:b/>
                <w:bCs/>
                <w:kern w:val="0"/>
                <w:sz w:val="24"/>
                <w:szCs w:val="24"/>
              </w:rPr>
              <w:t>7.3 总量核算</w:t>
            </w:r>
          </w:p>
          <w:p>
            <w:pPr>
              <w:keepNext w:val="0"/>
              <w:keepLines w:val="0"/>
              <w:widowControl w:val="0"/>
              <w:suppressLineNumbers w:val="0"/>
              <w:spacing w:before="0" w:beforeAutospacing="0" w:after="0" w:afterAutospacing="0"/>
              <w:ind w:left="0" w:right="0"/>
              <w:jc w:val="center"/>
              <w:rPr>
                <w:rFonts w:hint="eastAsia" w:ascii="仿宋" w:hAnsi="仿宋" w:eastAsia="仿宋" w:cs="仿宋"/>
                <w:b/>
                <w:bCs/>
                <w:kern w:val="0"/>
                <w:sz w:val="21"/>
                <w:szCs w:val="21"/>
              </w:rPr>
            </w:pPr>
            <w:r>
              <w:rPr>
                <w:rFonts w:hint="eastAsia" w:ascii="仿宋" w:hAnsi="仿宋" w:eastAsia="仿宋" w:cs="仿宋"/>
                <w:b/>
                <w:bCs/>
                <w:kern w:val="0"/>
                <w:sz w:val="21"/>
                <w:szCs w:val="21"/>
                <w:lang w:val="en-US" w:eastAsia="zh-CN" w:bidi="ar"/>
              </w:rPr>
              <w:t>表7-6 排放总量统计表</w:t>
            </w:r>
          </w:p>
          <w:tbl>
            <w:tblPr>
              <w:tblStyle w:val="18"/>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650"/>
              <w:gridCol w:w="901"/>
              <w:gridCol w:w="1232"/>
              <w:gridCol w:w="1230"/>
              <w:gridCol w:w="1335"/>
              <w:gridCol w:w="1230"/>
              <w:gridCol w:w="992"/>
              <w:gridCol w:w="1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6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污染物</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种类</w:t>
                  </w:r>
                </w:p>
              </w:tc>
              <w:tc>
                <w:tcPr>
                  <w:tcW w:w="64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排放速率（kg/h）</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运行</w:t>
                  </w:r>
                </w:p>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时间</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年排放量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Calibri" w:hAnsi="Calibri" w:eastAsia="仿宋" w:cs="仿宋"/>
                      <w:kern w:val="0"/>
                      <w:sz w:val="24"/>
                      <w:szCs w:val="24"/>
                    </w:rPr>
                  </w:pPr>
                  <w:r>
                    <w:rPr>
                      <w:rFonts w:hint="eastAsia" w:ascii="仿宋" w:hAnsi="仿宋" w:eastAsia="仿宋" w:cs="仿宋"/>
                      <w:b/>
                      <w:bCs/>
                      <w:kern w:val="0"/>
                      <w:sz w:val="21"/>
                      <w:szCs w:val="21"/>
                      <w:lang w:val="en-US" w:eastAsia="zh-CN" w:bidi="ar"/>
                    </w:rPr>
                    <w:t>（</w:t>
                  </w:r>
                  <w:r>
                    <w:rPr>
                      <w:rFonts w:hint="default" w:ascii="Calibri" w:hAnsi="Calibri" w:eastAsia="仿宋" w:cs="Calibri"/>
                      <w:b/>
                      <w:bCs/>
                      <w:kern w:val="0"/>
                      <w:sz w:val="21"/>
                      <w:szCs w:val="21"/>
                      <w:lang w:val="en-US" w:eastAsia="zh-CN" w:bidi="ar"/>
                    </w:rPr>
                    <w:t>t/a</w:t>
                  </w:r>
                  <w:r>
                    <w:rPr>
                      <w:rFonts w:hint="eastAsia" w:ascii="仿宋" w:hAnsi="仿宋" w:eastAsia="仿宋" w:cs="仿宋"/>
                      <w:b/>
                      <w:bCs/>
                      <w:kern w:val="0"/>
                      <w:sz w:val="21"/>
                      <w:szCs w:val="21"/>
                      <w:lang w:val="en-US" w:eastAsia="zh-CN" w:bidi="ar"/>
                    </w:rPr>
                    <w:t>）</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年排放总量（t/a）</w:t>
                  </w:r>
                </w:p>
              </w:tc>
              <w:tc>
                <w:tcPr>
                  <w:tcW w:w="51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总指标（t/a）</w:t>
                  </w:r>
                </w:p>
              </w:tc>
              <w:tc>
                <w:tcPr>
                  <w:tcW w:w="53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达标</w:t>
                  </w:r>
                </w:p>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1"/>
                      <w:szCs w:val="21"/>
                    </w:rPr>
                  </w:pPr>
                  <w:r>
                    <w:rPr>
                      <w:rFonts w:hint="eastAsia" w:ascii="仿宋" w:hAnsi="仿宋" w:eastAsia="仿宋" w:cs="仿宋"/>
                      <w:b/>
                      <w:bCs/>
                      <w:kern w:val="0"/>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仿宋" w:hAnsi="仿宋" w:eastAsia="仿宋" w:cs="仿宋"/>
                      <w:b w:val="0"/>
                      <w:bCs w:val="0"/>
                      <w:snapToGrid/>
                      <w:kern w:val="0"/>
                      <w:sz w:val="21"/>
                      <w:szCs w:val="21"/>
                      <w:lang w:val="en-US" w:eastAsia="zh-CN" w:bidi="ar"/>
                    </w:rPr>
                  </w:pPr>
                  <w:r>
                    <w:rPr>
                      <w:rFonts w:hint="eastAsia" w:ascii="仿宋" w:hAnsi="仿宋" w:eastAsia="仿宋" w:cs="仿宋"/>
                      <w:b w:val="0"/>
                      <w:bCs w:val="0"/>
                      <w:snapToGrid/>
                      <w:kern w:val="0"/>
                      <w:sz w:val="21"/>
                      <w:szCs w:val="21"/>
                      <w:lang w:val="en-US" w:eastAsia="zh-CN" w:bidi="ar"/>
                    </w:rPr>
                    <w:t>保温炉投料口</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val="0"/>
                      <w:bCs w:val="0"/>
                      <w:kern w:val="0"/>
                      <w:sz w:val="21"/>
                      <w:szCs w:val="21"/>
                      <w:lang w:eastAsia="zh-CN"/>
                    </w:rPr>
                  </w:pPr>
                  <w:r>
                    <w:rPr>
                      <w:rFonts w:hint="eastAsia" w:ascii="仿宋" w:hAnsi="仿宋" w:eastAsia="仿宋" w:cs="仿宋"/>
                      <w:b w:val="0"/>
                      <w:bCs w:val="0"/>
                      <w:kern w:val="0"/>
                      <w:sz w:val="21"/>
                      <w:szCs w:val="21"/>
                      <w:lang w:eastAsia="zh-CN"/>
                    </w:rPr>
                    <w:t>颗粒物</w:t>
                  </w:r>
                </w:p>
              </w:tc>
              <w:tc>
                <w:tcPr>
                  <w:tcW w:w="64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lang w:val="en-US" w:eastAsia="zh-CN"/>
                    </w:rPr>
                    <w:t>0.09145</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5280h/a</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21"/>
                      <w:szCs w:val="21"/>
                      <w:lang w:val="en-US" w:eastAsia="zh-CN" w:bidi="ar"/>
                    </w:rPr>
                  </w:pPr>
                  <w:r>
                    <w:rPr>
                      <w:rFonts w:hint="eastAsia" w:ascii="仿宋" w:hAnsi="仿宋" w:eastAsia="仿宋" w:cs="仿宋"/>
                      <w:b w:val="0"/>
                      <w:bCs w:val="0"/>
                      <w:kern w:val="0"/>
                      <w:sz w:val="21"/>
                      <w:szCs w:val="21"/>
                      <w:lang w:val="en-US" w:eastAsia="zh-CN" w:bidi="ar"/>
                    </w:rPr>
                    <w:t>0.482</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lang w:val="en-US" w:eastAsia="zh-CN" w:bidi="ar"/>
                    </w:rPr>
                    <w:t>0.482</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lang w:val="en-US" w:eastAsia="zh-CN"/>
                    </w:rPr>
                    <w:t>0.79</w:t>
                  </w:r>
                </w:p>
              </w:tc>
              <w:tc>
                <w:tcPr>
                  <w:tcW w:w="53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val="0"/>
                      <w:bCs w:val="0"/>
                      <w:kern w:val="0"/>
                      <w:sz w:val="21"/>
                      <w:szCs w:val="21"/>
                      <w:lang w:eastAsia="zh-CN"/>
                    </w:rPr>
                  </w:pPr>
                  <w:r>
                    <w:rPr>
                      <w:rFonts w:hint="eastAsia" w:ascii="仿宋" w:hAnsi="仿宋" w:eastAsia="仿宋" w:cs="仿宋"/>
                      <w:b w:val="0"/>
                      <w:bCs w:val="0"/>
                      <w:kern w:val="0"/>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仿宋" w:hAnsi="仿宋" w:eastAsia="仿宋" w:cs="仿宋"/>
                      <w:b w:val="0"/>
                      <w:bCs w:val="0"/>
                      <w:snapToGrid/>
                      <w:kern w:val="0"/>
                      <w:sz w:val="21"/>
                      <w:szCs w:val="21"/>
                      <w:lang w:val="en-US" w:eastAsia="zh-CN" w:bidi="ar"/>
                    </w:rPr>
                  </w:pPr>
                  <w:r>
                    <w:rPr>
                      <w:rFonts w:hint="eastAsia" w:ascii="仿宋" w:hAnsi="仿宋" w:eastAsia="仿宋" w:cs="仿宋"/>
                      <w:b w:val="0"/>
                      <w:bCs w:val="0"/>
                      <w:snapToGrid/>
                      <w:kern w:val="0"/>
                      <w:sz w:val="21"/>
                      <w:szCs w:val="21"/>
                      <w:lang w:val="en-US" w:eastAsia="zh-CN" w:bidi="ar"/>
                    </w:rPr>
                    <w:t>连轧机</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val="0"/>
                      <w:bCs w:val="0"/>
                      <w:kern w:val="0"/>
                      <w:sz w:val="21"/>
                      <w:szCs w:val="21"/>
                      <w:lang w:eastAsia="zh-CN"/>
                    </w:rPr>
                  </w:pPr>
                  <w:r>
                    <w:rPr>
                      <w:rFonts w:hint="eastAsia" w:ascii="仿宋" w:hAnsi="仿宋" w:eastAsia="仿宋" w:cs="仿宋"/>
                      <w:b w:val="0"/>
                      <w:bCs w:val="0"/>
                      <w:kern w:val="0"/>
                      <w:sz w:val="21"/>
                      <w:szCs w:val="21"/>
                      <w:lang w:eastAsia="zh-CN"/>
                    </w:rPr>
                    <w:t>非甲烷总烃</w:t>
                  </w:r>
                </w:p>
              </w:tc>
              <w:tc>
                <w:tcPr>
                  <w:tcW w:w="64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0.39</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5280h/a</w:t>
                  </w:r>
                </w:p>
              </w:tc>
              <w:tc>
                <w:tcPr>
                  <w:tcW w:w="69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0"/>
                      <w:sz w:val="21"/>
                      <w:szCs w:val="21"/>
                      <w:lang w:val="en-US" w:eastAsia="zh-CN" w:bidi="ar"/>
                    </w:rPr>
                  </w:pPr>
                  <w:r>
                    <w:rPr>
                      <w:rFonts w:hint="eastAsia" w:ascii="仿宋" w:hAnsi="仿宋" w:eastAsia="仿宋" w:cs="仿宋"/>
                      <w:b w:val="0"/>
                      <w:bCs w:val="0"/>
                      <w:kern w:val="0"/>
                      <w:sz w:val="21"/>
                      <w:szCs w:val="21"/>
                      <w:lang w:val="en-US" w:eastAsia="zh-CN" w:bidi="ar"/>
                    </w:rPr>
                    <w:t>0.205</w:t>
                  </w:r>
                </w:p>
              </w:tc>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仿宋" w:hAnsi="仿宋" w:eastAsia="仿宋" w:cs="仿宋"/>
                      <w:b w:val="0"/>
                      <w:bCs w:val="0"/>
                      <w:kern w:val="0"/>
                      <w:sz w:val="21"/>
                      <w:szCs w:val="21"/>
                      <w:lang w:val="en-US"/>
                    </w:rPr>
                  </w:pPr>
                  <w:r>
                    <w:rPr>
                      <w:rFonts w:hint="eastAsia" w:ascii="仿宋" w:hAnsi="仿宋" w:eastAsia="仿宋" w:cs="仿宋"/>
                      <w:b w:val="0"/>
                      <w:bCs w:val="0"/>
                      <w:kern w:val="0"/>
                      <w:sz w:val="21"/>
                      <w:szCs w:val="21"/>
                      <w:lang w:val="en-US" w:eastAsia="zh-CN" w:bidi="ar"/>
                    </w:rPr>
                    <w:t>0.205</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lang w:val="en-US" w:eastAsia="zh-CN"/>
                    </w:rPr>
                    <w:t>0.961</w:t>
                  </w:r>
                </w:p>
              </w:tc>
              <w:tc>
                <w:tcPr>
                  <w:tcW w:w="532"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5"/>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val="0"/>
                      <w:bCs w:val="0"/>
                      <w:kern w:val="0"/>
                      <w:sz w:val="21"/>
                      <w:szCs w:val="21"/>
                      <w:lang w:eastAsia="zh-CN"/>
                    </w:rPr>
                  </w:pPr>
                  <w:r>
                    <w:rPr>
                      <w:rFonts w:hint="eastAsia" w:ascii="仿宋" w:hAnsi="仿宋" w:eastAsia="仿宋" w:cs="仿宋"/>
                      <w:b w:val="0"/>
                      <w:bCs w:val="0"/>
                      <w:kern w:val="0"/>
                      <w:sz w:val="21"/>
                      <w:szCs w:val="21"/>
                      <w:lang w:eastAsia="zh-CN"/>
                    </w:rPr>
                    <w:t>达标</w:t>
                  </w:r>
                </w:p>
              </w:tc>
            </w:tr>
          </w:tbl>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vertAlign w:val="baseline"/>
              </w:rPr>
            </w:pPr>
          </w:p>
        </w:tc>
      </w:tr>
    </w:tbl>
    <w:p>
      <w:pPr>
        <w:rPr>
          <w:rFonts w:hint="eastAsia" w:ascii="仿宋" w:hAnsi="仿宋" w:eastAsia="仿宋" w:cs="仿宋"/>
        </w:rPr>
        <w:sectPr>
          <w:pgSz w:w="11906" w:h="16838"/>
          <w:pgMar w:top="1440" w:right="1800" w:bottom="1440" w:left="1800" w:header="851" w:footer="992" w:gutter="0"/>
          <w:pgNumType w:fmt="decimal"/>
          <w:cols w:space="425" w:num="1"/>
          <w:docGrid w:type="lines" w:linePitch="312" w:charSpace="0"/>
        </w:sect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Borders>
              <w:top w:val="nil"/>
              <w:left w:val="nil"/>
              <w:bottom w:val="single" w:color="auto" w:sz="4" w:space="0"/>
              <w:right w:val="nil"/>
            </w:tcBorders>
          </w:tcPr>
          <w:p>
            <w:pPr>
              <w:pStyle w:val="3"/>
              <w:widowControl/>
              <w:suppressLineNumbers w:val="0"/>
              <w:bidi w:val="0"/>
              <w:spacing w:before="0" w:beforeAutospacing="0" w:afterAutospacing="0"/>
              <w:ind w:left="0" w:right="0"/>
              <w:rPr>
                <w:rFonts w:hint="eastAsia"/>
                <w:vertAlign w:val="baseline"/>
              </w:rPr>
            </w:pPr>
            <w:bookmarkStart w:id="27" w:name="_Toc24436"/>
            <w:r>
              <w:rPr>
                <w:rFonts w:hint="eastAsia"/>
                <w:lang w:val="en-US" w:eastAsia="zh-CN"/>
              </w:rPr>
              <w:t>表八 验收结论</w:t>
            </w:r>
            <w:bookmarkEnd w:id="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Borders>
              <w:top w:val="single" w:color="auto" w:sz="4" w:space="0"/>
            </w:tcBorders>
          </w:tcPr>
          <w:p>
            <w:pPr>
              <w:pStyle w:val="4"/>
              <w:pageBreakBefore w:val="0"/>
              <w:widowControl/>
              <w:suppressLineNumbers w:val="0"/>
              <w:kinsoku/>
              <w:wordWrap/>
              <w:overflowPunct/>
              <w:topLinePunct w:val="0"/>
              <w:bidi w:val="0"/>
              <w:adjustRightInd w:val="0"/>
              <w:snapToGrid w:val="0"/>
              <w:spacing w:before="0" w:after="0" w:afterLines="0" w:line="520" w:lineRule="exact"/>
              <w:ind w:left="0" w:right="0"/>
              <w:textAlignment w:val="auto"/>
              <w:rPr>
                <w:rFonts w:hint="eastAsia"/>
              </w:rPr>
            </w:pPr>
            <w:bookmarkStart w:id="28" w:name="_Toc1959"/>
            <w:r>
              <w:rPr>
                <w:rFonts w:hint="eastAsia"/>
              </w:rPr>
              <w:t>8.1 环保设施处理情况</w:t>
            </w:r>
            <w:bookmarkEnd w:id="28"/>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kern w:val="2"/>
                <w:sz w:val="24"/>
                <w:szCs w:val="24"/>
                <w:lang w:val="en-US" w:eastAsia="zh-CN" w:bidi="ar"/>
                <w14:textFill>
                  <w14:solidFill>
                    <w14:schemeClr w14:val="tx1"/>
                  </w14:solidFill>
                </w14:textFill>
              </w:rPr>
              <w:t>本公司涉及的主要环保设备为保温炉投料口除尘器和连轧机油雾净化器，根据山西碧源清欣环境检测有限公司出具的碧源清欣环监字BYQX202305202号报告可知：</w:t>
            </w:r>
          </w:p>
          <w:p>
            <w:pPr>
              <w:pStyle w:val="15"/>
              <w:keepNext w:val="0"/>
              <w:keepLines w:val="0"/>
              <w:pageBreakBefore w:val="0"/>
              <w:widowControl w:val="0"/>
              <w:numPr>
                <w:ilvl w:val="0"/>
                <w:numId w:val="3"/>
              </w:numPr>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本公司保温炉投料口除尘器2023年5月21日和5月22日排气筒废气进口颗粒物的排放速率均值为3.72</w:t>
            </w:r>
            <w:r>
              <w:rPr>
                <w:rFonts w:hint="eastAsia" w:ascii="仿宋" w:hAnsi="仿宋" w:eastAsia="仿宋" w:cs="仿宋"/>
                <w:b w:val="0"/>
                <w:bCs w:val="0"/>
                <w:color w:val="000000" w:themeColor="text1"/>
                <w:kern w:val="0"/>
                <w:sz w:val="24"/>
                <w:szCs w:val="24"/>
                <w:lang w:val="en-US" w:eastAsia="zh-CN" w:bidi="ar"/>
                <w14:textFill>
                  <w14:solidFill>
                    <w14:schemeClr w14:val="tx1"/>
                  </w14:solidFill>
                </w14:textFill>
              </w:rPr>
              <w:t>kg/h，</w:t>
            </w:r>
            <w:r>
              <w:rPr>
                <w:rFonts w:hint="eastAsia" w:ascii="仿宋" w:hAnsi="仿宋" w:eastAsia="仿宋" w:cs="仿宋"/>
                <w:color w:val="000000" w:themeColor="text1"/>
                <w:kern w:val="0"/>
                <w:sz w:val="24"/>
                <w:szCs w:val="24"/>
                <w:lang w:val="en-US" w:eastAsia="zh-CN" w:bidi="ar"/>
                <w14:textFill>
                  <w14:solidFill>
                    <w14:schemeClr w14:val="tx1"/>
                  </w14:solidFill>
                </w14:textFill>
              </w:rPr>
              <w:t>2023年5月21日和5月22日排气筒废气出口颗粒物的排放速率均值为0.09145kg/h，经计算除尘器除尘效率为97.5%。</w:t>
            </w:r>
          </w:p>
          <w:p>
            <w:pPr>
              <w:pStyle w:val="1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520" w:lineRule="exact"/>
              <w:ind w:right="0" w:rightChars="0" w:firstLine="480" w:firstLineChars="20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2.本公司连轧机油雾净化器2023年5月21日和5月22日排气筒废气进口非甲烷总烃的排放速率均值为0.522kg/h，排气筒废气出口非甲烷总烃的排放速率均值为0.0386kg/h，经计算“油雾净化器排气筒”装置效率为92.6%。</w:t>
            </w:r>
          </w:p>
          <w:p>
            <w:pPr>
              <w:pStyle w:val="4"/>
              <w:pageBreakBefore w:val="0"/>
              <w:widowControl/>
              <w:suppressLineNumbers w:val="0"/>
              <w:kinsoku/>
              <w:wordWrap/>
              <w:overflowPunct/>
              <w:topLinePunct w:val="0"/>
              <w:bidi w:val="0"/>
              <w:adjustRightInd w:val="0"/>
              <w:snapToGrid w:val="0"/>
              <w:spacing w:before="0" w:after="0" w:afterLines="0" w:line="520" w:lineRule="exact"/>
              <w:ind w:left="0" w:right="0"/>
              <w:textAlignment w:val="auto"/>
              <w:rPr>
                <w:rFonts w:hint="eastAsia"/>
                <w:lang w:val="en-US" w:eastAsia="zh-CN"/>
              </w:rPr>
            </w:pPr>
            <w:bookmarkStart w:id="29" w:name="_Toc2238"/>
            <w:r>
              <w:rPr>
                <w:rFonts w:hint="eastAsia"/>
                <w:lang w:val="en-US" w:eastAsia="zh-CN"/>
              </w:rPr>
              <w:t>8.2 环保设施运行结果</w:t>
            </w:r>
            <w:bookmarkEnd w:id="29"/>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（1）由表7-2 </w:t>
            </w:r>
            <w:r>
              <w:rPr>
                <w:rFonts w:hint="eastAsia" w:ascii="仿宋" w:hAnsi="仿宋" w:eastAsia="仿宋" w:cs="仿宋"/>
                <w:b w:val="0"/>
                <w:bCs w:val="0"/>
                <w:sz w:val="22"/>
                <w:szCs w:val="22"/>
                <w:vertAlign w:val="baseline"/>
              </w:rPr>
              <w:t>保温炉投料</w:t>
            </w:r>
            <w:r>
              <w:rPr>
                <w:rFonts w:hint="eastAsia" w:ascii="仿宋" w:hAnsi="仿宋" w:eastAsia="仿宋" w:cs="仿宋"/>
                <w:b w:val="0"/>
                <w:bCs w:val="0"/>
                <w:sz w:val="22"/>
                <w:szCs w:val="22"/>
                <w:vertAlign w:val="baseline"/>
                <w:lang w:eastAsia="zh-CN"/>
              </w:rPr>
              <w:t>口</w:t>
            </w:r>
            <w:r>
              <w:rPr>
                <w:rFonts w:hint="eastAsia" w:ascii="仿宋" w:hAnsi="仿宋" w:eastAsia="仿宋" w:cs="仿宋"/>
                <w:b w:val="0"/>
                <w:bCs w:val="0"/>
                <w:sz w:val="22"/>
                <w:szCs w:val="22"/>
                <w:vertAlign w:val="baseline"/>
              </w:rPr>
              <w:t>有组织废气颗粒物监测结果</w:t>
            </w:r>
            <w:r>
              <w:rPr>
                <w:rFonts w:hint="eastAsia" w:ascii="仿宋" w:hAnsi="仿宋" w:eastAsia="仿宋" w:cs="仿宋"/>
                <w:color w:val="000000"/>
                <w:kern w:val="0"/>
                <w:sz w:val="24"/>
                <w:szCs w:val="24"/>
                <w:lang w:val="en-US" w:eastAsia="zh-CN" w:bidi="ar"/>
              </w:rPr>
              <w:t>可知：本公司保温炉投料口除尘器2023年5月21日和5月22日有组织颗粒物排放浓度范围为8.1mg/Nm³</w:t>
            </w:r>
            <w:r>
              <w:rPr>
                <w:rFonts w:hint="eastAsia" w:ascii="微软雅黑" w:hAnsi="微软雅黑" w:eastAsia="微软雅黑" w:cs="微软雅黑"/>
                <w:color w:val="000000"/>
                <w:kern w:val="0"/>
                <w:sz w:val="24"/>
                <w:szCs w:val="24"/>
                <w:lang w:val="en-US" w:eastAsia="zh-CN" w:bidi="ar"/>
              </w:rPr>
              <w:t>～</w:t>
            </w:r>
            <w:r>
              <w:rPr>
                <w:rFonts w:hint="eastAsia" w:ascii="仿宋" w:hAnsi="仿宋" w:eastAsia="仿宋" w:cs="仿宋"/>
                <w:color w:val="000000"/>
                <w:kern w:val="0"/>
                <w:sz w:val="24"/>
                <w:szCs w:val="24"/>
                <w:lang w:val="en-US" w:eastAsia="zh-CN" w:bidi="ar"/>
              </w:rPr>
              <w:t>8.9mg/Nm³；均低于满足《关于印发&lt;山西省工业炉窑大气污染综合治理实施方案&gt;的通知》（晋环大气〔2019〕164号）有组织颗粒物30mg/m</w:t>
            </w:r>
            <w:r>
              <w:rPr>
                <w:rFonts w:hint="eastAsia" w:ascii="仿宋" w:hAnsi="仿宋" w:eastAsia="仿宋" w:cs="仿宋"/>
                <w:color w:val="000000"/>
                <w:kern w:val="0"/>
                <w:sz w:val="24"/>
                <w:szCs w:val="24"/>
                <w:vertAlign w:val="superscript"/>
                <w:lang w:val="en-US" w:eastAsia="zh-CN" w:bidi="ar"/>
              </w:rPr>
              <w:t>3</w:t>
            </w:r>
            <w:r>
              <w:rPr>
                <w:rFonts w:hint="eastAsia" w:ascii="仿宋" w:hAnsi="仿宋" w:eastAsia="仿宋" w:cs="仿宋"/>
                <w:color w:val="000000"/>
                <w:kern w:val="0"/>
                <w:sz w:val="24"/>
                <w:szCs w:val="24"/>
                <w:lang w:val="en-US" w:eastAsia="zh-CN" w:bidi="ar"/>
              </w:rPr>
              <w:t>排放浓度限值要求，故监测达标率为100%。</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distribute"/>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（2）由表7-3连轧机有组织废气非甲烷总烃监测结果可知：本公司连轧机油雾净化器2023年5月21日和5月22日有组织非甲烷总烃排放浓度范围为</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right="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6.05mg/Nm³～8.48mg/Nm³；均低于满足《大气污染物综合排放标准》（GB16297-1996）中表2标准限值要求有组织非甲烷总烃120mg/m</w:t>
            </w:r>
            <w:r>
              <w:rPr>
                <w:rFonts w:hint="eastAsia" w:ascii="仿宋" w:hAnsi="仿宋" w:eastAsia="仿宋" w:cs="仿宋"/>
                <w:color w:val="000000"/>
                <w:kern w:val="0"/>
                <w:sz w:val="24"/>
                <w:szCs w:val="24"/>
                <w:vertAlign w:val="superscript"/>
                <w:lang w:val="en-US" w:eastAsia="zh-CN" w:bidi="ar"/>
              </w:rPr>
              <w:t>3</w:t>
            </w:r>
            <w:r>
              <w:rPr>
                <w:rFonts w:hint="eastAsia" w:ascii="仿宋" w:hAnsi="仿宋" w:eastAsia="仿宋" w:cs="仿宋"/>
                <w:color w:val="000000"/>
                <w:kern w:val="0"/>
                <w:sz w:val="24"/>
                <w:szCs w:val="24"/>
                <w:lang w:val="en-US" w:eastAsia="zh-CN" w:bidi="ar"/>
              </w:rPr>
              <w:t>排放浓度限值要求，故监测达标率为100%。</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3）由表7-4厂界无组织废气监测结果可知：本公司2023年5月21日和5月22日厂界无组织颗粒物排放浓度范围为134μg/m³～585μg/m³，低于《大气污染物综合排放标准》（GB16297-1996）中表2标准限值要求无组织排放颗粒物浓度1.0mg/m</w:t>
            </w:r>
            <w:r>
              <w:rPr>
                <w:rFonts w:hint="eastAsia" w:ascii="仿宋" w:hAnsi="仿宋" w:eastAsia="仿宋" w:cs="仿宋"/>
                <w:color w:val="000000"/>
                <w:kern w:val="0"/>
                <w:sz w:val="24"/>
                <w:szCs w:val="24"/>
                <w:vertAlign w:val="superscript"/>
                <w:lang w:val="en-US" w:eastAsia="zh-CN" w:bidi="ar"/>
              </w:rPr>
              <w:t>3</w:t>
            </w:r>
            <w:r>
              <w:rPr>
                <w:rFonts w:hint="eastAsia" w:ascii="仿宋" w:hAnsi="仿宋" w:eastAsia="仿宋" w:cs="仿宋"/>
                <w:color w:val="000000"/>
                <w:kern w:val="0"/>
                <w:sz w:val="24"/>
                <w:szCs w:val="24"/>
                <w:lang w:val="en-US" w:eastAsia="zh-CN" w:bidi="ar"/>
              </w:rPr>
              <w:t>限值要求,故监测达标率为100%；厂界无组织废气非甲烷总烃排放浓度为ND0.07mg/m³，低于《大气污染物综合排放标准》（GB16297-1996）中表2标准限值要求无组织非甲烷总烃排放浓度：4.0mg/m</w:t>
            </w:r>
            <w:r>
              <w:rPr>
                <w:rFonts w:hint="eastAsia" w:ascii="仿宋" w:hAnsi="仿宋" w:eastAsia="仿宋" w:cs="仿宋"/>
                <w:color w:val="000000"/>
                <w:kern w:val="0"/>
                <w:sz w:val="24"/>
                <w:szCs w:val="24"/>
                <w:vertAlign w:val="superscript"/>
                <w:lang w:val="en-US" w:eastAsia="zh-CN" w:bidi="ar"/>
              </w:rPr>
              <w:t>3</w:t>
            </w:r>
            <w:r>
              <w:rPr>
                <w:rFonts w:hint="eastAsia" w:ascii="仿宋" w:hAnsi="仿宋" w:eastAsia="仿宋" w:cs="仿宋"/>
                <w:color w:val="000000"/>
                <w:kern w:val="0"/>
                <w:sz w:val="24"/>
                <w:szCs w:val="24"/>
                <w:lang w:val="en-US" w:eastAsia="zh-CN" w:bidi="ar"/>
              </w:rPr>
              <w:t>限值要求；故监测达标率为100%。</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（4）由表7-5厂界噪声监测结果可知：本公司2023年4月8日和4月9日厂界噪声昼间等效声级范围在56～58.4</w:t>
            </w: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dB </w:t>
            </w:r>
            <w:r>
              <w:rPr>
                <w:rFonts w:hint="eastAsia" w:ascii="仿宋" w:hAnsi="仿宋" w:eastAsia="仿宋" w:cs="仿宋"/>
                <w:color w:val="000000"/>
                <w:kern w:val="0"/>
                <w:sz w:val="24"/>
                <w:szCs w:val="24"/>
                <w:lang w:val="en-US" w:eastAsia="zh-CN" w:bidi="ar"/>
              </w:rPr>
              <w:t>(A)之间，夜间等效声级范围在46.1～48.4dB (A)之间，均低于</w:t>
            </w:r>
            <w:r>
              <w:rPr>
                <w:rFonts w:hint="eastAsia" w:ascii="仿宋" w:hAnsi="仿宋" w:eastAsia="仿宋" w:cs="仿宋"/>
                <w:color w:val="000000" w:themeColor="text1"/>
                <w:kern w:val="0"/>
                <w:sz w:val="24"/>
                <w:szCs w:val="24"/>
                <w:lang w:val="en-US" w:eastAsia="zh-CN" w:bidi="ar"/>
                <w14:textFill>
                  <w14:solidFill>
                    <w14:schemeClr w14:val="tx1"/>
                  </w14:solidFill>
                </w14:textFill>
              </w:rPr>
              <w:t>《</w:t>
            </w:r>
            <w:r>
              <w:rPr>
                <w:rFonts w:hint="eastAsia" w:ascii="仿宋" w:hAnsi="仿宋" w:eastAsia="仿宋" w:cs="仿宋"/>
                <w:color w:val="000000"/>
                <w:kern w:val="0"/>
                <w:sz w:val="24"/>
                <w:szCs w:val="24"/>
                <w:lang w:val="en-US" w:eastAsia="zh-CN" w:bidi="ar"/>
              </w:rPr>
              <w:t>工业企业厂界环境噪声排放标准》（GB3096-2008）中2类标准要求，故监测达标</w:t>
            </w:r>
            <w:r>
              <w:rPr>
                <w:rFonts w:hint="eastAsia" w:ascii="仿宋" w:hAnsi="仿宋" w:eastAsia="仿宋" w:cs="仿宋"/>
                <w:color w:val="000000" w:themeColor="text1"/>
                <w:kern w:val="0"/>
                <w:sz w:val="24"/>
                <w:szCs w:val="24"/>
                <w:lang w:val="en-US" w:eastAsia="zh-CN" w:bidi="ar"/>
                <w14:textFill>
                  <w14:solidFill>
                    <w14:schemeClr w14:val="tx1"/>
                  </w14:solidFill>
                </w14:textFill>
              </w:rPr>
              <w:t>率为100%</w:t>
            </w:r>
            <w:r>
              <w:rPr>
                <w:rFonts w:hint="eastAsia" w:ascii="仿宋" w:hAnsi="仿宋" w:eastAsia="仿宋" w:cs="仿宋"/>
                <w:color w:val="000000"/>
                <w:kern w:val="0"/>
                <w:sz w:val="24"/>
                <w:szCs w:val="24"/>
                <w:lang w:val="en-US" w:eastAsia="zh-CN" w:bidi="ar"/>
              </w:rPr>
              <w:t>。</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（5）由表7-6可知：该项目颗粒物年排放量为：0.482t/a；非甲烷总烃年排放量为：0.205t/a。符合阳泉市生态环境局平定分局以阳环平函〔2022〕40号文对本项目污染物排放总量控制指标：烟尘0.792t/a、VOCs0.961t/a。</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综上所述，该项目在建设过程中，加大了环保力度，主要污染物采取了较好的防治措施，环保设施运行正常且管理较好。从本次竣工验收监测结果来看，该建设项目各项污染物排放均符合排放标准要求，具备验收条件。</w:t>
            </w:r>
          </w:p>
          <w:p>
            <w:pPr>
              <w:pStyle w:val="4"/>
              <w:pageBreakBefore w:val="0"/>
              <w:widowControl/>
              <w:suppressLineNumbers w:val="0"/>
              <w:kinsoku/>
              <w:wordWrap/>
              <w:overflowPunct/>
              <w:topLinePunct w:val="0"/>
              <w:bidi w:val="0"/>
              <w:adjustRightInd w:val="0"/>
              <w:snapToGrid w:val="0"/>
              <w:spacing w:before="0" w:after="0" w:afterLines="0" w:line="520" w:lineRule="exact"/>
              <w:ind w:left="0" w:right="0"/>
              <w:textAlignment w:val="auto"/>
              <w:rPr>
                <w:rFonts w:hint="eastAsia"/>
              </w:rPr>
            </w:pPr>
            <w:bookmarkStart w:id="30" w:name="_Toc30676"/>
            <w:r>
              <w:rPr>
                <w:rFonts w:hint="eastAsia"/>
              </w:rPr>
              <w:t>8.3 工程建设对环境的影响</w:t>
            </w:r>
            <w:bookmarkEnd w:id="30"/>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（1）该项目基本落实了环境影响评价报告及其批复文件规定的环保对策措施，相继完善和改造了厂区内相关的环保设施，应建的污染防治设施基本建成。</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（2）该项目建设在施工期及运行期环境污染方面采取了相应的措施，没有造成环境污染事件或扰民事件。</w:t>
            </w:r>
          </w:p>
          <w:p>
            <w:pPr>
              <w:pStyle w:val="4"/>
              <w:pageBreakBefore w:val="0"/>
              <w:widowControl/>
              <w:suppressLineNumbers w:val="0"/>
              <w:kinsoku/>
              <w:wordWrap/>
              <w:overflowPunct/>
              <w:topLinePunct w:val="0"/>
              <w:bidi w:val="0"/>
              <w:adjustRightInd w:val="0"/>
              <w:snapToGrid w:val="0"/>
              <w:spacing w:before="0" w:after="0" w:afterLines="0" w:line="520" w:lineRule="exact"/>
              <w:ind w:left="0" w:right="0"/>
              <w:textAlignment w:val="auto"/>
              <w:rPr>
                <w:rFonts w:hint="eastAsia"/>
              </w:rPr>
            </w:pPr>
            <w:bookmarkStart w:id="31" w:name="_Toc29997"/>
            <w:r>
              <w:rPr>
                <w:rFonts w:hint="eastAsia"/>
              </w:rPr>
              <w:t>8.4 公示结果</w:t>
            </w:r>
            <w:bookmarkEnd w:id="31"/>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该项目通过在环评宝网站进行该项目竣工日期，设备调试起止日期和竣工验收报告全文公示，公示期间未收到该项目任何不满意意见和举报。</w:t>
            </w:r>
          </w:p>
          <w:p>
            <w:pPr>
              <w:pStyle w:val="4"/>
              <w:pageBreakBefore w:val="0"/>
              <w:widowControl/>
              <w:suppressLineNumbers w:val="0"/>
              <w:kinsoku/>
              <w:wordWrap/>
              <w:overflowPunct/>
              <w:topLinePunct w:val="0"/>
              <w:bidi w:val="0"/>
              <w:adjustRightInd w:val="0"/>
              <w:snapToGrid w:val="0"/>
              <w:spacing w:before="0" w:after="0" w:afterLines="0" w:line="520" w:lineRule="exact"/>
              <w:ind w:left="0" w:right="0"/>
              <w:textAlignment w:val="auto"/>
              <w:rPr>
                <w:rFonts w:hint="eastAsia"/>
              </w:rPr>
            </w:pPr>
            <w:bookmarkStart w:id="32" w:name="_Toc30787"/>
            <w:r>
              <w:rPr>
                <w:rFonts w:hint="eastAsia"/>
              </w:rPr>
              <w:t>8.5 建议</w:t>
            </w:r>
            <w:bookmarkEnd w:id="32"/>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lang w:val="en-US" w:eastAsia="zh-CN" w:bidi="ar"/>
              </w:rPr>
              <w:t>（1）建立健全各种生产设备维护保养以及环保管理制度，使公司的生产、环保效益同步发展。</w:t>
            </w:r>
          </w:p>
          <w:p>
            <w:pPr>
              <w:pStyle w:val="1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20" w:lineRule="exact"/>
              <w:ind w:left="0" w:right="0" w:firstLine="480" w:firstLineChars="200"/>
              <w:jc w:val="both"/>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（2）加强各项环保设施的维护和管理，充分发挥治理效果，确保各项污染物长期稳定达标排放。</w:t>
            </w:r>
          </w:p>
        </w:tc>
      </w:tr>
    </w:tbl>
    <w:p>
      <w:pPr>
        <w:pStyle w:val="2"/>
        <w:rPr>
          <w:rFonts w:hint="eastAsia"/>
        </w:rPr>
        <w:sectPr>
          <w:pgSz w:w="11906" w:h="16838"/>
          <w:pgMar w:top="1440" w:right="1800" w:bottom="1440" w:left="1800" w:header="851" w:footer="992" w:gutter="0"/>
          <w:pgNumType w:fmt="decimal"/>
          <w:cols w:space="425" w:num="1"/>
          <w:docGrid w:type="lines" w:linePitch="312" w:charSpace="0"/>
        </w:sectPr>
      </w:pPr>
    </w:p>
    <w:p>
      <w:pPr>
        <w:pStyle w:val="20"/>
        <w:jc w:val="center"/>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建设项目竣工环境保护“三同时”验收登记表</w:t>
      </w:r>
    </w:p>
    <w:p>
      <w:pPr>
        <w:pStyle w:val="20"/>
        <w:rPr>
          <w:rFonts w:hint="eastAsia" w:ascii="仿宋" w:hAnsi="仿宋" w:eastAsia="仿宋" w:cs="仿宋"/>
          <w:b/>
          <w:bCs/>
          <w:sz w:val="21"/>
          <w:szCs w:val="21"/>
          <w:lang w:val="en-US" w:eastAsia="zh-CN"/>
        </w:rPr>
      </w:pPr>
      <w:r>
        <w:rPr>
          <w:rFonts w:hint="eastAsia" w:ascii="仿宋" w:hAnsi="仿宋" w:eastAsia="仿宋" w:cs="仿宋"/>
          <w:b/>
          <w:bCs/>
          <w:sz w:val="20"/>
          <w:szCs w:val="20"/>
          <w:lang w:eastAsia="zh-CN"/>
        </w:rPr>
        <w:t>填表单位（盖章）：北京首钢铁合金有限公司平定分公司</w:t>
      </w:r>
      <w:r>
        <w:rPr>
          <w:rFonts w:hint="eastAsia" w:ascii="仿宋" w:hAnsi="仿宋" w:eastAsia="仿宋" w:cs="仿宋"/>
          <w:b/>
          <w:bCs/>
          <w:sz w:val="20"/>
          <w:szCs w:val="20"/>
          <w:lang w:val="en-US" w:eastAsia="zh-CN"/>
        </w:rPr>
        <w:t xml:space="preserve">  填表人（签字）：                   项目经办人(签字)：</w:t>
      </w:r>
    </w:p>
    <w:tbl>
      <w:tblPr>
        <w:tblStyle w:val="17"/>
        <w:tblW w:w="1567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112"/>
        <w:gridCol w:w="609"/>
        <w:gridCol w:w="720"/>
        <w:gridCol w:w="1284"/>
        <w:gridCol w:w="1044"/>
        <w:gridCol w:w="873"/>
        <w:gridCol w:w="548"/>
        <w:gridCol w:w="555"/>
        <w:gridCol w:w="1024"/>
        <w:gridCol w:w="995"/>
        <w:gridCol w:w="2319"/>
        <w:gridCol w:w="900"/>
        <w:gridCol w:w="442"/>
        <w:gridCol w:w="655"/>
        <w:gridCol w:w="295"/>
        <w:gridCol w:w="754"/>
        <w:gridCol w:w="103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restart"/>
            <w:tcBorders>
              <w:top w:val="single" w:color="auto" w:sz="8" w:space="0"/>
              <w:left w:val="single" w:color="auto" w:sz="8" w:space="0"/>
              <w:bottom w:val="single" w:color="auto" w:sz="4" w:space="0"/>
              <w:right w:val="single" w:color="auto" w:sz="4" w:space="0"/>
            </w:tcBorders>
            <w:noWrap w:val="0"/>
            <w:tcMar>
              <w:top w:w="0" w:type="dxa"/>
              <w:left w:w="57" w:type="dxa"/>
              <w:bottom w:w="0" w:type="dxa"/>
              <w:right w:w="57" w:type="dxa"/>
            </w:tcMar>
            <w:textDirection w:val="tbRlV"/>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113" w:right="113"/>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建设项目</w:t>
            </w:r>
          </w:p>
        </w:tc>
        <w:tc>
          <w:tcPr>
            <w:tcW w:w="1721" w:type="dxa"/>
            <w:gridSpan w:val="2"/>
            <w:tcBorders>
              <w:top w:val="single" w:color="auto" w:sz="8"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项目名称</w:t>
            </w:r>
          </w:p>
        </w:tc>
        <w:tc>
          <w:tcPr>
            <w:tcW w:w="5024" w:type="dxa"/>
            <w:gridSpan w:val="6"/>
            <w:tcBorders>
              <w:top w:val="single" w:color="auto" w:sz="8"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5"/>
                <w:szCs w:val="15"/>
                <w:lang w:val="en-US" w:eastAsia="zh-CN"/>
              </w:rPr>
            </w:pPr>
            <w:r>
              <w:rPr>
                <w:rFonts w:hint="eastAsia" w:ascii="仿宋" w:hAnsi="仿宋" w:eastAsia="仿宋" w:cs="仿宋"/>
                <w:sz w:val="15"/>
                <w:szCs w:val="15"/>
                <w:lang w:val="en-US" w:eastAsia="zh-CN"/>
              </w:rPr>
              <w:t xml:space="preserve">北京首钢铁合金有限公司平定分公司年产50000吨钢砂铝项目   </w:t>
            </w:r>
          </w:p>
        </w:tc>
        <w:tc>
          <w:tcPr>
            <w:tcW w:w="2019" w:type="dxa"/>
            <w:gridSpan w:val="2"/>
            <w:tcBorders>
              <w:top w:val="single" w:color="auto" w:sz="8"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themeColor="text1"/>
                <w:kern w:val="2"/>
                <w:sz w:val="15"/>
                <w:szCs w:val="15"/>
                <w14:textFill>
                  <w14:solidFill>
                    <w14:schemeClr w14:val="tx1"/>
                  </w14:solidFill>
                </w14:textFill>
              </w:rPr>
              <w:t>项目代码</w:t>
            </w:r>
          </w:p>
        </w:tc>
        <w:tc>
          <w:tcPr>
            <w:tcW w:w="2319" w:type="dxa"/>
            <w:tcBorders>
              <w:top w:val="single" w:color="auto" w:sz="8"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2206-140321-89-01-300996</w:t>
            </w:r>
          </w:p>
        </w:tc>
        <w:tc>
          <w:tcPr>
            <w:tcW w:w="1342" w:type="dxa"/>
            <w:gridSpan w:val="2"/>
            <w:tcBorders>
              <w:top w:val="single" w:color="auto" w:sz="8"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建设地点</w:t>
            </w:r>
          </w:p>
        </w:tc>
        <w:tc>
          <w:tcPr>
            <w:tcW w:w="2742" w:type="dxa"/>
            <w:gridSpan w:val="4"/>
            <w:tcBorders>
              <w:top w:val="single" w:color="auto" w:sz="8"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lang w:val="en-US" w:eastAsia="zh-CN"/>
              </w:rPr>
              <w:t>山西兆丰铝电有限责任公司电解铝分公司现有厂内（本企业现有车间）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行业类别（分类管理名录）</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5"/>
                <w:szCs w:val="15"/>
                <w:lang w:val="en-US" w:eastAsia="zh-CN"/>
              </w:rPr>
            </w:pPr>
            <w:r>
              <w:rPr>
                <w:rFonts w:hint="eastAsia" w:ascii="仿宋" w:hAnsi="仿宋" w:eastAsia="仿宋" w:cs="仿宋"/>
                <w:sz w:val="15"/>
                <w:szCs w:val="15"/>
                <w:lang w:val="en-US" w:eastAsia="zh-CN"/>
              </w:rPr>
              <w:t>29_065有色金属压延加工</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建设性质</w:t>
            </w:r>
          </w:p>
        </w:tc>
        <w:tc>
          <w:tcPr>
            <w:tcW w:w="3661" w:type="dxa"/>
            <w:gridSpan w:val="3"/>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fldChar w:fldCharType="begin"/>
            </w:r>
            <w:r>
              <w:rPr>
                <w:rFonts w:hint="eastAsia" w:ascii="仿宋" w:hAnsi="仿宋" w:eastAsia="仿宋" w:cs="仿宋"/>
                <w:b/>
                <w:color w:val="000000"/>
                <w:kern w:val="2"/>
                <w:sz w:val="15"/>
                <w:szCs w:val="15"/>
              </w:rPr>
              <w:instrText xml:space="preserve"> eq \o\ac(</w:instrText>
            </w:r>
            <w:r>
              <w:rPr>
                <w:rFonts w:hint="eastAsia" w:ascii="仿宋" w:hAnsi="仿宋" w:eastAsia="仿宋" w:cs="仿宋"/>
                <w:b/>
                <w:color w:val="000000"/>
                <w:kern w:val="2"/>
                <w:position w:val="-3"/>
                <w:sz w:val="22"/>
                <w:szCs w:val="15"/>
              </w:rPr>
              <w:instrText xml:space="preserve">□</w:instrText>
            </w:r>
            <w:r>
              <w:rPr>
                <w:rFonts w:hint="eastAsia" w:ascii="仿宋" w:hAnsi="仿宋" w:eastAsia="仿宋" w:cs="仿宋"/>
                <w:b/>
                <w:color w:val="000000"/>
                <w:kern w:val="2"/>
                <w:position w:val="0"/>
                <w:sz w:val="15"/>
                <w:szCs w:val="15"/>
              </w:rPr>
              <w:instrText xml:space="preserve">)</w:instrText>
            </w:r>
            <w:r>
              <w:rPr>
                <w:rFonts w:hint="eastAsia" w:ascii="仿宋" w:hAnsi="仿宋" w:eastAsia="仿宋" w:cs="仿宋"/>
                <w:b/>
                <w:color w:val="000000"/>
                <w:kern w:val="2"/>
                <w:sz w:val="15"/>
                <w:szCs w:val="15"/>
              </w:rPr>
              <w:fldChar w:fldCharType="end"/>
            </w:r>
            <w:r>
              <w:rPr>
                <w:rFonts w:hint="eastAsia" w:ascii="仿宋" w:hAnsi="仿宋" w:eastAsia="仿宋" w:cs="仿宋"/>
                <w:b/>
                <w:color w:val="000000"/>
                <w:kern w:val="2"/>
                <w:sz w:val="15"/>
                <w:szCs w:val="15"/>
              </w:rPr>
              <w:t xml:space="preserve">新建  </w:t>
            </w:r>
            <w:r>
              <w:rPr>
                <w:rFonts w:hint="eastAsia" w:ascii="仿宋" w:hAnsi="仿宋" w:eastAsia="仿宋" w:cs="仿宋"/>
                <w:b/>
                <w:color w:val="000000"/>
                <w:kern w:val="2"/>
                <w:sz w:val="15"/>
                <w:szCs w:val="15"/>
                <w:lang w:eastAsia="zh-CN"/>
              </w:rPr>
              <w:t>☑</w:t>
            </w:r>
            <w:r>
              <w:rPr>
                <w:rFonts w:hint="eastAsia" w:ascii="仿宋" w:hAnsi="仿宋" w:eastAsia="仿宋" w:cs="仿宋"/>
                <w:b/>
                <w:color w:val="000000"/>
                <w:kern w:val="2"/>
                <w:sz w:val="15"/>
                <w:szCs w:val="15"/>
              </w:rPr>
              <w:t xml:space="preserve">改扩建  </w:t>
            </w:r>
            <w:r>
              <w:rPr>
                <w:rFonts w:hint="eastAsia" w:ascii="仿宋" w:hAnsi="仿宋" w:eastAsia="仿宋" w:cs="仿宋"/>
                <w:b/>
                <w:color w:val="000000"/>
                <w:kern w:val="2"/>
                <w:sz w:val="15"/>
                <w:szCs w:val="15"/>
                <w:lang w:eastAsia="zh-CN"/>
              </w:rPr>
              <w:t>□</w:t>
            </w:r>
            <w:r>
              <w:rPr>
                <w:rFonts w:hint="eastAsia" w:ascii="仿宋" w:hAnsi="仿宋" w:eastAsia="仿宋" w:cs="仿宋"/>
                <w:b/>
                <w:color w:val="000000"/>
                <w:kern w:val="2"/>
                <w:sz w:val="15"/>
                <w:szCs w:val="15"/>
              </w:rPr>
              <w:t>技术改造</w:t>
            </w:r>
          </w:p>
        </w:tc>
        <w:tc>
          <w:tcPr>
            <w:tcW w:w="950"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项目厂区中</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心经度/纬度</w:t>
            </w:r>
          </w:p>
        </w:tc>
        <w:tc>
          <w:tcPr>
            <w:tcW w:w="1792" w:type="dxa"/>
            <w:gridSpan w:val="2"/>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both"/>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rPr>
              <w:t>113度33分55.203秒E、37度45分30.728秒N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设计生产能力</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5"/>
                <w:szCs w:val="15"/>
                <w:lang w:eastAsia="zh-CN"/>
              </w:rPr>
            </w:pPr>
            <w:r>
              <w:rPr>
                <w:rFonts w:hint="eastAsia" w:ascii="仿宋" w:hAnsi="仿宋" w:eastAsia="仿宋" w:cs="仿宋"/>
                <w:sz w:val="15"/>
                <w:szCs w:val="15"/>
                <w:lang w:eastAsia="zh-CN"/>
              </w:rPr>
              <w:t>年产50000吨钢砂铝</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实际生产能力</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年产50000吨钢砂铝</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8"/>
                <w:szCs w:val="18"/>
              </w:rPr>
            </w:pPr>
            <w:r>
              <w:rPr>
                <w:rFonts w:hint="eastAsia" w:ascii="仿宋" w:hAnsi="仿宋" w:eastAsia="仿宋" w:cs="仿宋"/>
                <w:b/>
                <w:color w:val="000000"/>
                <w:kern w:val="2"/>
                <w:sz w:val="18"/>
                <w:szCs w:val="18"/>
              </w:rPr>
              <w:t>环评单位</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5"/>
                <w:szCs w:val="15"/>
                <w:lang w:eastAsia="zh-CN"/>
              </w:rPr>
            </w:pPr>
            <w:r>
              <w:rPr>
                <w:rFonts w:hint="eastAsia" w:ascii="仿宋" w:hAnsi="仿宋" w:eastAsia="仿宋" w:cs="仿宋"/>
                <w:sz w:val="15"/>
                <w:szCs w:val="15"/>
                <w:lang w:eastAsia="zh-CN"/>
              </w:rPr>
              <w:t>山西嘉润蓝天科技有限公司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环评文件审批机关</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5"/>
                <w:szCs w:val="15"/>
                <w:lang w:eastAsia="zh-CN"/>
              </w:rPr>
            </w:pPr>
            <w:r>
              <w:rPr>
                <w:rFonts w:hint="eastAsia" w:ascii="仿宋" w:hAnsi="仿宋" w:eastAsia="仿宋" w:cs="仿宋"/>
                <w:sz w:val="15"/>
                <w:szCs w:val="15"/>
                <w:lang w:val="en-US" w:eastAsia="zh-CN"/>
              </w:rPr>
              <w:t>平定县行政审批服务管理局</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审批文号</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5"/>
                <w:szCs w:val="15"/>
                <w:lang w:eastAsia="zh-CN"/>
              </w:rPr>
            </w:pPr>
            <w:r>
              <w:rPr>
                <w:rFonts w:hint="eastAsia" w:ascii="仿宋" w:hAnsi="仿宋" w:eastAsia="仿宋" w:cs="仿宋"/>
                <w:sz w:val="15"/>
                <w:szCs w:val="15"/>
                <w:lang w:val="en-US" w:eastAsia="zh-CN"/>
              </w:rPr>
              <w:t>平审股函</w:t>
            </w:r>
            <w:r>
              <w:rPr>
                <w:rFonts w:hint="eastAsia" w:ascii="仿宋" w:hAnsi="仿宋" w:eastAsia="仿宋" w:cs="仿宋"/>
                <w:sz w:val="15"/>
                <w:szCs w:val="15"/>
                <w:lang w:eastAsia="zh-CN"/>
              </w:rPr>
              <w:t>〔20</w:t>
            </w:r>
            <w:r>
              <w:rPr>
                <w:rFonts w:hint="eastAsia" w:ascii="仿宋" w:hAnsi="仿宋" w:eastAsia="仿宋" w:cs="仿宋"/>
                <w:sz w:val="15"/>
                <w:szCs w:val="15"/>
                <w:lang w:val="en-US" w:eastAsia="zh-CN"/>
              </w:rPr>
              <w:t>22</w:t>
            </w:r>
            <w:r>
              <w:rPr>
                <w:rFonts w:hint="eastAsia" w:ascii="仿宋" w:hAnsi="仿宋" w:eastAsia="仿宋" w:cs="仿宋"/>
                <w:sz w:val="15"/>
                <w:szCs w:val="15"/>
                <w:lang w:eastAsia="zh-CN"/>
              </w:rPr>
              <w:t>〕</w:t>
            </w:r>
            <w:r>
              <w:rPr>
                <w:rFonts w:hint="eastAsia" w:ascii="仿宋" w:hAnsi="仿宋" w:eastAsia="仿宋" w:cs="仿宋"/>
                <w:sz w:val="15"/>
                <w:szCs w:val="15"/>
                <w:lang w:val="en-US" w:eastAsia="zh-CN"/>
              </w:rPr>
              <w:t>180号</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环评文件类型</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rPr>
              <w:t>建设项目环境影响报告表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开工日期</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2022年11月5日</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auto"/>
                <w:kern w:val="2"/>
                <w:sz w:val="15"/>
                <w:szCs w:val="15"/>
              </w:rPr>
            </w:pPr>
            <w:r>
              <w:rPr>
                <w:rFonts w:hint="eastAsia" w:ascii="仿宋" w:hAnsi="仿宋" w:eastAsia="仿宋" w:cs="仿宋"/>
                <w:b/>
                <w:color w:val="181717" w:themeColor="background2" w:themeShade="1A"/>
                <w:kern w:val="2"/>
                <w:sz w:val="15"/>
                <w:szCs w:val="15"/>
              </w:rPr>
              <w:t>竣工日期</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auto"/>
                <w:kern w:val="2"/>
                <w:sz w:val="15"/>
                <w:szCs w:val="15"/>
                <w:lang w:val="en-US" w:eastAsia="zh-CN"/>
              </w:rPr>
            </w:pPr>
            <w:r>
              <w:rPr>
                <w:rFonts w:hint="eastAsia" w:ascii="仿宋" w:hAnsi="仿宋" w:eastAsia="仿宋" w:cs="仿宋"/>
                <w:color w:val="auto"/>
                <w:kern w:val="2"/>
                <w:sz w:val="15"/>
                <w:szCs w:val="15"/>
                <w:lang w:val="en-US" w:eastAsia="zh-CN"/>
              </w:rPr>
              <w:t>2023年5月10日</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themeColor="text1"/>
                <w:kern w:val="2"/>
                <w:sz w:val="15"/>
                <w:szCs w:val="15"/>
                <w14:textFill>
                  <w14:solidFill>
                    <w14:schemeClr w14:val="tx1"/>
                  </w14:solidFill>
                </w14:textFill>
              </w:rPr>
            </w:pPr>
            <w:r>
              <w:rPr>
                <w:rFonts w:hint="eastAsia" w:ascii="仿宋" w:hAnsi="仿宋" w:eastAsia="仿宋" w:cs="仿宋"/>
                <w:b/>
                <w:color w:val="000000" w:themeColor="text1"/>
                <w:kern w:val="2"/>
                <w:sz w:val="15"/>
                <w:szCs w:val="15"/>
                <w14:textFill>
                  <w14:solidFill>
                    <w14:schemeClr w14:val="tx1"/>
                  </w14:solidFill>
                </w14:textFill>
              </w:rPr>
              <w:t>排污许可</w:t>
            </w:r>
            <w:r>
              <w:rPr>
                <w:rFonts w:hint="eastAsia" w:ascii="仿宋" w:hAnsi="仿宋" w:eastAsia="仿宋" w:cs="仿宋"/>
                <w:b/>
                <w:color w:val="000000" w:themeColor="text1"/>
                <w:kern w:val="2"/>
                <w:sz w:val="15"/>
                <w:szCs w:val="15"/>
                <w:lang w:val="en-US" w:eastAsia="zh-CN"/>
                <w14:textFill>
                  <w14:solidFill>
                    <w14:schemeClr w14:val="tx1"/>
                  </w14:solidFill>
                </w14:textFill>
              </w:rPr>
              <w:t>登记</w:t>
            </w:r>
            <w:r>
              <w:rPr>
                <w:rFonts w:hint="eastAsia" w:ascii="仿宋" w:hAnsi="仿宋" w:eastAsia="仿宋" w:cs="仿宋"/>
                <w:b/>
                <w:color w:val="000000" w:themeColor="text1"/>
                <w:kern w:val="2"/>
                <w:sz w:val="15"/>
                <w:szCs w:val="15"/>
                <w14:textFill>
                  <w14:solidFill>
                    <w14:schemeClr w14:val="tx1"/>
                  </w14:solidFill>
                </w14:textFill>
              </w:rPr>
              <w:t>时间</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themeColor="text1"/>
                <w:kern w:val="2"/>
                <w:sz w:val="15"/>
                <w:szCs w:val="15"/>
                <w:lang w:val="en-US" w:eastAsia="zh-CN"/>
                <w14:textFill>
                  <w14:solidFill>
                    <w14:schemeClr w14:val="tx1"/>
                  </w14:solidFill>
                </w14:textFill>
              </w:rPr>
            </w:pPr>
            <w:r>
              <w:rPr>
                <w:rFonts w:hint="eastAsia" w:ascii="仿宋" w:hAnsi="仿宋" w:eastAsia="仿宋" w:cs="仿宋"/>
                <w:color w:val="000000" w:themeColor="text1"/>
                <w:kern w:val="2"/>
                <w:sz w:val="15"/>
                <w:szCs w:val="15"/>
                <w:lang w:val="en-US" w:eastAsia="zh-CN"/>
                <w14:textFill>
                  <w14:solidFill>
                    <w14:schemeClr w14:val="tx1"/>
                  </w14:solidFill>
                </w14:textFill>
              </w:rPr>
              <w:t>2023年5月11日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环保设施设计单位</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t>环保设施施工单位</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北京首钢铁合金有限公司平定分公司</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themeColor="text1"/>
                <w:kern w:val="2"/>
                <w:sz w:val="15"/>
                <w:szCs w:val="15"/>
                <w14:textFill>
                  <w14:solidFill>
                    <w14:schemeClr w14:val="tx1"/>
                  </w14:solidFill>
                </w14:textFill>
              </w:rPr>
            </w:pPr>
            <w:r>
              <w:rPr>
                <w:rFonts w:hint="eastAsia" w:ascii="仿宋" w:hAnsi="仿宋" w:eastAsia="仿宋" w:cs="仿宋"/>
                <w:b/>
                <w:color w:val="000000" w:themeColor="text1"/>
                <w:kern w:val="2"/>
                <w:sz w:val="15"/>
                <w:szCs w:val="15"/>
                <w14:textFill>
                  <w14:solidFill>
                    <w14:schemeClr w14:val="tx1"/>
                  </w14:solidFill>
                </w14:textFill>
              </w:rPr>
              <w:t>本工程排污许可证编号</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themeColor="text1"/>
                <w:kern w:val="2"/>
                <w:sz w:val="15"/>
                <w:szCs w:val="15"/>
                <w:lang w:val="en-US" w:eastAsia="zh-CN"/>
                <w14:textFill>
                  <w14:solidFill>
                    <w14:schemeClr w14:val="tx1"/>
                  </w14:solidFill>
                </w14:textFill>
              </w:rPr>
            </w:pPr>
            <w:r>
              <w:rPr>
                <w:rFonts w:hint="eastAsia" w:ascii="仿宋" w:hAnsi="仿宋" w:eastAsia="仿宋" w:cs="仿宋"/>
                <w:color w:val="000000" w:themeColor="text1"/>
                <w:kern w:val="2"/>
                <w:sz w:val="15"/>
                <w:szCs w:val="15"/>
                <w:lang w:val="en-US" w:eastAsia="zh-CN"/>
                <w14:textFill>
                  <w14:solidFill>
                    <w14:schemeClr w14:val="tx1"/>
                  </w14:solidFill>
                </w14:textFill>
              </w:rPr>
              <w:t>91140321MAOK3D3T36001Q</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验收单位</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北京首钢铁合金有限公司平定分公司</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环保设施监测单位</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eastAsia="zh-CN"/>
              </w:rPr>
            </w:pPr>
            <w:r>
              <w:rPr>
                <w:rFonts w:hint="eastAsia" w:ascii="仿宋" w:hAnsi="仿宋" w:eastAsia="仿宋" w:cs="仿宋"/>
                <w:b w:val="0"/>
                <w:bCs/>
                <w:color w:val="000000"/>
                <w:kern w:val="2"/>
                <w:sz w:val="15"/>
                <w:szCs w:val="15"/>
                <w:lang w:eastAsia="zh-CN"/>
              </w:rPr>
              <w:t>山西碧源清欣环境监测有限公司</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themeColor="text1"/>
                <w:kern w:val="2"/>
                <w:sz w:val="15"/>
                <w:szCs w:val="15"/>
                <w14:textFill>
                  <w14:solidFill>
                    <w14:schemeClr w14:val="tx1"/>
                  </w14:solidFill>
                </w14:textFill>
              </w:rPr>
              <w:t>验收监测时工况</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100%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8"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投资总概算（万元）</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60</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tabs>
                <w:tab w:val="left" w:pos="690"/>
              </w:tabs>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环保投资总概算（万元）</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18</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tabs>
                <w:tab w:val="left" w:pos="690"/>
              </w:tabs>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所占比例（%）</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pStyle w:val="26"/>
              <w:keepNext w:val="0"/>
              <w:keepLines w:val="0"/>
              <w:pageBreakBefore w:val="0"/>
              <w:widowControl w:val="0"/>
              <w:suppressLineNumbers w:val="0"/>
              <w:kinsoku/>
              <w:wordWrap/>
              <w:overflowPunct/>
              <w:topLinePunct w:val="0"/>
              <w:autoSpaceDE/>
              <w:autoSpaceDN/>
              <w:bidi w:val="0"/>
              <w:spacing w:beforeAutospacing="0" w:afterAutospacing="0" w:line="0" w:lineRule="atLeast"/>
              <w:ind w:left="0" w:right="0"/>
              <w:rPr>
                <w:rFonts w:hint="default" w:ascii="仿宋" w:hAnsi="仿宋" w:eastAsia="仿宋" w:cs="仿宋"/>
                <w:sz w:val="15"/>
                <w:szCs w:val="15"/>
                <w:lang w:val="en-US" w:eastAsia="zh-CN" w:bidi="ar-SA"/>
              </w:rPr>
            </w:pPr>
            <w:r>
              <w:rPr>
                <w:rFonts w:hint="eastAsia" w:ascii="仿宋" w:hAnsi="仿宋" w:eastAsia="仿宋" w:cs="仿宋"/>
                <w:sz w:val="15"/>
                <w:szCs w:val="15"/>
                <w:lang w:val="en-US" w:eastAsia="zh-CN" w:bidi="ar-SA"/>
              </w:rPr>
              <w:t>30%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实际总投资</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60</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30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实际环保投资（万元）</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18</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所占比例（%）</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30%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废水治理（万元）</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auto"/>
                <w:kern w:val="2"/>
                <w:sz w:val="15"/>
                <w:szCs w:val="15"/>
                <w:lang w:val="en-US" w:eastAsia="zh-CN"/>
              </w:rPr>
            </w:pPr>
            <w:r>
              <w:rPr>
                <w:rFonts w:hint="eastAsia" w:ascii="仿宋" w:hAnsi="仿宋" w:eastAsia="仿宋" w:cs="仿宋"/>
                <w:color w:val="auto"/>
                <w:kern w:val="2"/>
                <w:sz w:val="15"/>
                <w:szCs w:val="15"/>
                <w:lang w:val="en-US" w:eastAsia="zh-CN"/>
              </w:rPr>
              <w:t>0</w:t>
            </w: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auto"/>
                <w:kern w:val="2"/>
                <w:sz w:val="15"/>
                <w:szCs w:val="15"/>
              </w:rPr>
            </w:pPr>
            <w:r>
              <w:rPr>
                <w:rFonts w:hint="eastAsia" w:ascii="仿宋" w:hAnsi="仿宋" w:eastAsia="仿宋" w:cs="仿宋"/>
                <w:b/>
                <w:color w:val="auto"/>
                <w:kern w:val="2"/>
                <w:sz w:val="15"/>
                <w:szCs w:val="15"/>
              </w:rPr>
              <w:t>废气治理（万元）</w:t>
            </w: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auto"/>
                <w:kern w:val="2"/>
                <w:sz w:val="15"/>
                <w:szCs w:val="15"/>
                <w:lang w:val="en-US" w:eastAsia="zh-CN"/>
              </w:rPr>
            </w:pPr>
            <w:r>
              <w:rPr>
                <w:rFonts w:hint="eastAsia" w:ascii="仿宋" w:hAnsi="仿宋" w:eastAsia="仿宋" w:cs="仿宋"/>
                <w:color w:val="auto"/>
                <w:kern w:val="2"/>
                <w:sz w:val="15"/>
                <w:szCs w:val="15"/>
                <w:lang w:val="en-US" w:eastAsia="zh-CN"/>
              </w:rPr>
              <w:t>14</w:t>
            </w:r>
          </w:p>
        </w:tc>
        <w:tc>
          <w:tcPr>
            <w:tcW w:w="14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auto"/>
                <w:kern w:val="2"/>
                <w:sz w:val="15"/>
                <w:szCs w:val="15"/>
              </w:rPr>
            </w:pPr>
            <w:r>
              <w:rPr>
                <w:rFonts w:hint="eastAsia" w:ascii="仿宋" w:hAnsi="仿宋" w:eastAsia="仿宋" w:cs="仿宋"/>
                <w:b/>
                <w:color w:val="auto"/>
                <w:kern w:val="2"/>
                <w:sz w:val="15"/>
                <w:szCs w:val="15"/>
              </w:rPr>
              <w:t>噪声治理（万元）</w:t>
            </w:r>
          </w:p>
        </w:tc>
        <w:tc>
          <w:tcPr>
            <w:tcW w:w="55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auto"/>
                <w:kern w:val="2"/>
                <w:sz w:val="15"/>
                <w:szCs w:val="15"/>
                <w:lang w:val="en-US" w:eastAsia="zh-CN"/>
              </w:rPr>
            </w:pPr>
            <w:r>
              <w:rPr>
                <w:rFonts w:hint="eastAsia" w:ascii="仿宋" w:hAnsi="仿宋" w:eastAsia="仿宋" w:cs="仿宋"/>
                <w:color w:val="auto"/>
                <w:kern w:val="2"/>
                <w:sz w:val="15"/>
                <w:szCs w:val="15"/>
                <w:lang w:val="en-US" w:eastAsia="zh-CN"/>
              </w:rPr>
              <w:t>2</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固体废物治理（万元）</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2</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绿化及生态（万元）</w:t>
            </w:r>
          </w:p>
        </w:tc>
        <w:tc>
          <w:tcPr>
            <w:tcW w:w="65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rPr>
              <w:t>/</w:t>
            </w: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其他（万元）</w:t>
            </w: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8" w:space="0"/>
              <w:left w:val="single" w:color="auto" w:sz="8"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新增废水处理设施能力</w:t>
            </w:r>
          </w:p>
        </w:tc>
        <w:tc>
          <w:tcPr>
            <w:tcW w:w="5024" w:type="dxa"/>
            <w:gridSpan w:val="6"/>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w:t>
            </w:r>
          </w:p>
        </w:tc>
        <w:tc>
          <w:tcPr>
            <w:tcW w:w="201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新增废气处理设施能力</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年平均工作时</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5280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6" w:hRule="atLeast"/>
          <w:jc w:val="center"/>
        </w:trPr>
        <w:tc>
          <w:tcPr>
            <w:tcW w:w="2229" w:type="dxa"/>
            <w:gridSpan w:val="3"/>
            <w:tcBorders>
              <w:top w:val="single" w:color="auto" w:sz="4" w:space="0"/>
              <w:left w:val="single" w:color="auto" w:sz="8"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运营单位</w:t>
            </w:r>
          </w:p>
        </w:tc>
        <w:tc>
          <w:tcPr>
            <w:tcW w:w="3921"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auto"/>
                <w:kern w:val="2"/>
                <w:sz w:val="15"/>
                <w:szCs w:val="15"/>
                <w:lang w:eastAsia="zh-CN"/>
              </w:rPr>
            </w:pPr>
            <w:r>
              <w:rPr>
                <w:rFonts w:hint="eastAsia" w:ascii="仿宋" w:hAnsi="仿宋" w:eastAsia="仿宋" w:cs="仿宋"/>
                <w:color w:val="auto"/>
                <w:kern w:val="2"/>
                <w:sz w:val="15"/>
                <w:szCs w:val="15"/>
                <w:lang w:eastAsia="zh-CN"/>
              </w:rPr>
              <w:t>北京首钢铁合金有限公司平定分公司</w:t>
            </w:r>
          </w:p>
        </w:tc>
        <w:tc>
          <w:tcPr>
            <w:tcW w:w="3122"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auto"/>
                <w:kern w:val="2"/>
                <w:sz w:val="15"/>
                <w:szCs w:val="15"/>
              </w:rPr>
            </w:pPr>
            <w:r>
              <w:rPr>
                <w:rFonts w:hint="eastAsia" w:ascii="仿宋" w:hAnsi="仿宋" w:eastAsia="仿宋" w:cs="仿宋"/>
                <w:b/>
                <w:color w:val="auto"/>
                <w:kern w:val="2"/>
                <w:sz w:val="15"/>
                <w:szCs w:val="15"/>
              </w:rPr>
              <w:t>运营单位社会统一信用代码（或组织机构代码）</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auto"/>
                <w:kern w:val="2"/>
                <w:sz w:val="15"/>
                <w:szCs w:val="15"/>
                <w:lang w:val="en-US" w:eastAsia="zh-CN"/>
              </w:rPr>
            </w:pPr>
            <w:r>
              <w:rPr>
                <w:rFonts w:hint="eastAsia" w:ascii="仿宋" w:hAnsi="仿宋" w:eastAsia="仿宋" w:cs="仿宋"/>
                <w:b w:val="0"/>
                <w:bCs/>
                <w:color w:val="auto"/>
                <w:kern w:val="2"/>
                <w:sz w:val="15"/>
                <w:szCs w:val="15"/>
                <w:lang w:val="en-US" w:eastAsia="zh-CN"/>
              </w:rPr>
              <w:t>91140321MA0K3D3T36</w:t>
            </w:r>
          </w:p>
        </w:tc>
        <w:tc>
          <w:tcPr>
            <w:tcW w:w="1342"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auto"/>
                <w:kern w:val="2"/>
                <w:sz w:val="15"/>
                <w:szCs w:val="15"/>
              </w:rPr>
            </w:pPr>
            <w:r>
              <w:rPr>
                <w:rFonts w:hint="eastAsia" w:ascii="仿宋" w:hAnsi="仿宋" w:eastAsia="仿宋" w:cs="仿宋"/>
                <w:b/>
                <w:color w:val="auto"/>
                <w:kern w:val="2"/>
                <w:sz w:val="15"/>
                <w:szCs w:val="15"/>
              </w:rPr>
              <w:t>验收时间</w:t>
            </w:r>
          </w:p>
        </w:tc>
        <w:tc>
          <w:tcPr>
            <w:tcW w:w="2742" w:type="dxa"/>
            <w:gridSpan w:val="4"/>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2023年6月16日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508" w:type="dxa"/>
            <w:vMerge w:val="restart"/>
            <w:tcBorders>
              <w:top w:val="single" w:color="auto" w:sz="4" w:space="0"/>
              <w:left w:val="single" w:color="auto" w:sz="8" w:space="0"/>
              <w:bottom w:val="single" w:color="auto" w:sz="8"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污染</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物排</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放达</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标与</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总量</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控制（工</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业建</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设项</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rPr>
                <w:rFonts w:hint="eastAsia" w:ascii="仿宋" w:hAnsi="仿宋" w:eastAsia="仿宋" w:cs="仿宋"/>
                <w:b/>
                <w:color w:val="000000"/>
                <w:spacing w:val="20"/>
                <w:kern w:val="2"/>
                <w:sz w:val="15"/>
                <w:szCs w:val="15"/>
              </w:rPr>
            </w:pPr>
            <w:r>
              <w:rPr>
                <w:rFonts w:hint="eastAsia" w:ascii="仿宋" w:hAnsi="仿宋" w:eastAsia="仿宋" w:cs="仿宋"/>
                <w:b/>
                <w:color w:val="000000"/>
                <w:spacing w:val="20"/>
                <w:kern w:val="2"/>
                <w:sz w:val="15"/>
                <w:szCs w:val="15"/>
              </w:rPr>
              <w:t>目详填）</w:t>
            </w: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污染物</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原有排</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放量(1)</w:t>
            </w: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本期工程实际排放浓度(2)</w:t>
            </w: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本期工程允许排放浓度(3)</w:t>
            </w: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本期工程产生量(4)</w:t>
            </w: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本期工程自身削减量(5)</w:t>
            </w: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本期工程实际排放量(6)</w:t>
            </w: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本期工程核定排放总量(7)</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本期工程“以新带老”削减量(8)</w:t>
            </w: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全厂实际排放总量(9)</w:t>
            </w: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全厂核定排放总量(10)</w:t>
            </w: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区域平衡替代削减量(11)</w:t>
            </w: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r>
              <w:rPr>
                <w:rFonts w:hint="eastAsia" w:ascii="仿宋" w:hAnsi="仿宋" w:eastAsia="仿宋" w:cs="仿宋"/>
                <w:b/>
                <w:color w:val="000000"/>
                <w:kern w:val="2"/>
                <w:sz w:val="15"/>
                <w:szCs w:val="15"/>
              </w:rPr>
              <w:t>废水</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化学需氧量</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val="0"/>
                <w:bCs/>
                <w:color w:val="FF0000"/>
                <w:kern w:val="2"/>
                <w:sz w:val="15"/>
                <w:szCs w:val="15"/>
                <w:lang w:val="en-US" w:eastAsia="zh-CN"/>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val="0"/>
                <w:bCs/>
                <w:color w:val="FF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氨氮</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val="0"/>
                <w:bCs/>
                <w:color w:val="FF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val="0"/>
                <w:bCs/>
                <w:color w:val="FF0000"/>
                <w:kern w:val="2"/>
                <w:sz w:val="15"/>
                <w:szCs w:val="15"/>
                <w:lang w:val="en-US" w:eastAsia="zh-CN"/>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石油类</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val="0"/>
                <w:bCs/>
                <w:color w:val="FF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val="0"/>
                <w:bCs/>
                <w:color w:val="FF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废气</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二氧化硫</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textAlignment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textAlignment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烟尘</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textAlignment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textAlignment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lang w:eastAsia="zh-CN"/>
              </w:rPr>
            </w:pPr>
            <w:r>
              <w:rPr>
                <w:rFonts w:hint="eastAsia" w:ascii="仿宋" w:hAnsi="仿宋" w:eastAsia="仿宋" w:cs="仿宋"/>
                <w:b/>
                <w:color w:val="000000"/>
                <w:kern w:val="2"/>
                <w:sz w:val="15"/>
                <w:szCs w:val="15"/>
                <w:lang w:eastAsia="zh-CN"/>
              </w:rPr>
              <w:t>有组织颗粒物</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8.5mg/Nm</w:t>
            </w:r>
            <w:r>
              <w:rPr>
                <w:rFonts w:hint="eastAsia" w:ascii="仿宋" w:hAnsi="仿宋" w:eastAsia="仿宋" w:cs="仿宋"/>
                <w:color w:val="000000"/>
                <w:kern w:val="2"/>
                <w:sz w:val="15"/>
                <w:szCs w:val="15"/>
                <w:vertAlign w:val="superscript"/>
                <w:lang w:val="en-US" w:eastAsia="zh-CN"/>
              </w:rPr>
              <w:t>3</w:t>
            </w: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30mg/m</w:t>
            </w:r>
            <w:r>
              <w:rPr>
                <w:rFonts w:hint="eastAsia" w:ascii="仿宋" w:hAnsi="仿宋" w:eastAsia="仿宋" w:cs="仿宋"/>
                <w:color w:val="000000"/>
                <w:kern w:val="2"/>
                <w:sz w:val="15"/>
                <w:szCs w:val="15"/>
                <w:vertAlign w:val="superscript"/>
                <w:lang w:val="en-US" w:eastAsia="zh-CN"/>
              </w:rPr>
              <w:t>3</w:t>
            </w: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0.482t/a</w:t>
            </w:r>
          </w:p>
        </w:tc>
        <w:tc>
          <w:tcPr>
            <w:tcW w:w="9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0.792t/a</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leftChars="0" w:right="0" w:rightChars="0"/>
              <w:jc w:val="center"/>
              <w:rPr>
                <w:rFonts w:hint="eastAsia"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0.482t/a</w:t>
            </w: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leftChars="0" w:right="0" w:rightChars="0"/>
              <w:jc w:val="center"/>
              <w:rPr>
                <w:rFonts w:hint="eastAsia" w:ascii="仿宋" w:hAnsi="仿宋" w:eastAsia="仿宋" w:cs="仿宋"/>
                <w:color w:val="000000"/>
                <w:kern w:val="2"/>
                <w:sz w:val="15"/>
                <w:szCs w:val="15"/>
                <w:lang w:val="en-US" w:eastAsia="zh-CN"/>
              </w:rPr>
            </w:pPr>
            <w:r>
              <w:rPr>
                <w:rFonts w:hint="eastAsia" w:ascii="仿宋" w:hAnsi="仿宋" w:eastAsia="仿宋" w:cs="仿宋"/>
                <w:color w:val="000000"/>
                <w:kern w:val="2"/>
                <w:sz w:val="15"/>
                <w:szCs w:val="15"/>
                <w:lang w:val="en-US" w:eastAsia="zh-CN"/>
              </w:rPr>
              <w:t>0.792t/a</w:t>
            </w: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氮氧化物</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textAlignment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textAlignment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721"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rPr>
              <w:t>工业固体废物</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rPr>
            </w:pP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08" w:type="dxa"/>
            <w:vMerge w:val="continue"/>
            <w:tcBorders>
              <w:top w:val="single" w:color="auto" w:sz="4" w:space="0"/>
              <w:left w:val="single" w:color="auto" w:sz="8" w:space="0"/>
              <w:bottom w:val="single" w:color="auto" w:sz="8"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0" w:lineRule="atLeast"/>
              <w:ind w:left="0" w:right="0"/>
              <w:rPr>
                <w:rFonts w:hint="eastAsia" w:ascii="仿宋" w:hAnsi="仿宋" w:eastAsia="仿宋" w:cs="仿宋"/>
                <w:b/>
                <w:color w:val="000000"/>
                <w:spacing w:val="20"/>
                <w:kern w:val="2"/>
                <w:sz w:val="15"/>
                <w:szCs w:val="15"/>
              </w:rPr>
            </w:pPr>
          </w:p>
        </w:tc>
        <w:tc>
          <w:tcPr>
            <w:tcW w:w="1112" w:type="dxa"/>
            <w:tcBorders>
              <w:top w:val="single" w:color="auto" w:sz="4" w:space="0"/>
              <w:left w:val="single" w:color="auto" w:sz="4" w:space="0"/>
              <w:bottom w:val="single" w:color="auto" w:sz="8"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bCs/>
                <w:color w:val="000000"/>
                <w:kern w:val="2"/>
                <w:sz w:val="15"/>
                <w:szCs w:val="15"/>
                <w:lang w:val="en-US" w:eastAsia="zh-CN"/>
              </w:rPr>
            </w:pPr>
            <w:r>
              <w:rPr>
                <w:rFonts w:hint="eastAsia" w:ascii="仿宋" w:hAnsi="仿宋" w:eastAsia="仿宋" w:cs="仿宋"/>
                <w:b/>
                <w:color w:val="000000"/>
                <w:kern w:val="2"/>
                <w:sz w:val="15"/>
                <w:szCs w:val="15"/>
              </w:rPr>
              <w:t>与项目有关的其他特征污染物</w:t>
            </w:r>
          </w:p>
        </w:tc>
        <w:tc>
          <w:tcPr>
            <w:tcW w:w="609" w:type="dxa"/>
            <w:tcBorders>
              <w:top w:val="single" w:color="auto" w:sz="4" w:space="0"/>
              <w:left w:val="single" w:color="auto" w:sz="4" w:space="0"/>
              <w:bottom w:val="single" w:color="auto" w:sz="8"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b/>
                <w:color w:val="000000"/>
                <w:kern w:val="2"/>
                <w:sz w:val="15"/>
                <w:szCs w:val="15"/>
              </w:rPr>
            </w:pPr>
            <w:r>
              <w:rPr>
                <w:rFonts w:hint="eastAsia" w:ascii="仿宋" w:hAnsi="仿宋" w:eastAsia="仿宋" w:cs="仿宋"/>
                <w:b/>
                <w:color w:val="000000"/>
                <w:kern w:val="2"/>
                <w:sz w:val="15"/>
                <w:szCs w:val="15"/>
                <w:lang w:eastAsia="zh-CN"/>
              </w:rPr>
              <w:t>非甲烷总烃</w:t>
            </w:r>
          </w:p>
        </w:tc>
        <w:tc>
          <w:tcPr>
            <w:tcW w:w="72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28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sz w:val="24"/>
                <w:szCs w:val="24"/>
                <w:lang w:val="en-US" w:eastAsia="zh-CN" w:bidi="ar-SA"/>
              </w:rPr>
            </w:pPr>
            <w:r>
              <w:rPr>
                <w:rFonts w:hint="eastAsia" w:ascii="仿宋" w:hAnsi="仿宋" w:eastAsia="仿宋" w:cs="仿宋"/>
                <w:color w:val="000000"/>
                <w:sz w:val="16"/>
                <w:szCs w:val="16"/>
                <w:lang w:val="en-US" w:eastAsia="zh-CN" w:bidi="ar-SA"/>
              </w:rPr>
              <w:t>7.62mg/Nm³</w:t>
            </w:r>
          </w:p>
        </w:tc>
        <w:tc>
          <w:tcPr>
            <w:tcW w:w="104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bidi="ar-SA"/>
              </w:rPr>
            </w:pPr>
            <w:r>
              <w:rPr>
                <w:rFonts w:hint="eastAsia" w:ascii="仿宋" w:hAnsi="仿宋" w:eastAsia="仿宋" w:cs="仿宋"/>
                <w:color w:val="000000"/>
                <w:kern w:val="2"/>
                <w:sz w:val="15"/>
                <w:szCs w:val="15"/>
                <w:lang w:val="en-US" w:eastAsia="zh-CN" w:bidi="ar-SA"/>
              </w:rPr>
              <w:t>120mg/m</w:t>
            </w:r>
            <w:r>
              <w:rPr>
                <w:rFonts w:hint="eastAsia" w:ascii="仿宋" w:hAnsi="仿宋" w:eastAsia="仿宋" w:cs="仿宋"/>
                <w:color w:val="000000"/>
                <w:kern w:val="2"/>
                <w:sz w:val="15"/>
                <w:szCs w:val="15"/>
                <w:vertAlign w:val="superscript"/>
                <w:lang w:val="en-US" w:eastAsia="zh-CN" w:bidi="ar-SA"/>
              </w:rPr>
              <w:t>3</w:t>
            </w:r>
          </w:p>
        </w:tc>
        <w:tc>
          <w:tcPr>
            <w:tcW w:w="87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bidi="ar-SA"/>
              </w:rPr>
            </w:pPr>
          </w:p>
        </w:tc>
        <w:tc>
          <w:tcPr>
            <w:tcW w:w="1103"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lang w:val="en-US" w:eastAsia="zh-CN" w:bidi="ar-SA"/>
              </w:rPr>
            </w:pPr>
          </w:p>
        </w:tc>
        <w:tc>
          <w:tcPr>
            <w:tcW w:w="1024"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bidi="ar-SA"/>
              </w:rPr>
            </w:pPr>
            <w:r>
              <w:rPr>
                <w:rFonts w:hint="eastAsia" w:ascii="仿宋" w:hAnsi="仿宋" w:eastAsia="仿宋" w:cs="仿宋"/>
                <w:color w:val="000000"/>
                <w:kern w:val="2"/>
                <w:sz w:val="15"/>
                <w:szCs w:val="15"/>
                <w:lang w:val="en-US" w:eastAsia="zh-CN" w:bidi="ar-SA"/>
              </w:rPr>
              <w:t>0.205t/a</w:t>
            </w:r>
          </w:p>
        </w:tc>
        <w:tc>
          <w:tcPr>
            <w:tcW w:w="995"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default" w:ascii="仿宋" w:hAnsi="仿宋" w:eastAsia="仿宋" w:cs="仿宋"/>
                <w:color w:val="000000"/>
                <w:kern w:val="2"/>
                <w:sz w:val="15"/>
                <w:szCs w:val="15"/>
                <w:lang w:val="en-US" w:eastAsia="zh-CN" w:bidi="ar-SA"/>
              </w:rPr>
            </w:pPr>
            <w:r>
              <w:rPr>
                <w:rFonts w:hint="eastAsia" w:ascii="仿宋" w:hAnsi="仿宋" w:eastAsia="仿宋" w:cs="仿宋"/>
                <w:color w:val="000000"/>
                <w:kern w:val="2"/>
                <w:sz w:val="15"/>
                <w:szCs w:val="15"/>
                <w:lang w:val="en-US" w:eastAsia="zh-CN" w:bidi="ar-SA"/>
              </w:rPr>
              <w:t>0.961t/a</w:t>
            </w:r>
          </w:p>
        </w:tc>
        <w:tc>
          <w:tcPr>
            <w:tcW w:w="2319"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900"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leftChars="0" w:right="0" w:rightChars="0"/>
              <w:jc w:val="center"/>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lang w:val="en-US" w:eastAsia="zh-CN" w:bidi="ar-SA"/>
              </w:rPr>
              <w:t>0.205t/a</w:t>
            </w:r>
          </w:p>
        </w:tc>
        <w:tc>
          <w:tcPr>
            <w:tcW w:w="1097"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leftChars="0" w:right="0" w:rightChars="0"/>
              <w:jc w:val="center"/>
              <w:rPr>
                <w:rFonts w:hint="eastAsia" w:ascii="仿宋" w:hAnsi="仿宋" w:eastAsia="仿宋" w:cs="仿宋"/>
                <w:color w:val="000000"/>
                <w:kern w:val="2"/>
                <w:sz w:val="15"/>
                <w:szCs w:val="15"/>
              </w:rPr>
            </w:pPr>
            <w:r>
              <w:rPr>
                <w:rFonts w:hint="eastAsia" w:ascii="仿宋" w:hAnsi="仿宋" w:eastAsia="仿宋" w:cs="仿宋"/>
                <w:color w:val="000000"/>
                <w:kern w:val="2"/>
                <w:sz w:val="15"/>
                <w:szCs w:val="15"/>
                <w:lang w:val="en-US" w:eastAsia="zh-CN" w:bidi="ar-SA"/>
              </w:rPr>
              <w:t>0.961t/a</w:t>
            </w:r>
          </w:p>
        </w:tc>
        <w:tc>
          <w:tcPr>
            <w:tcW w:w="1049" w:type="dxa"/>
            <w:gridSpan w:val="2"/>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c>
          <w:tcPr>
            <w:tcW w:w="1038" w:type="dxa"/>
            <w:tcBorders>
              <w:top w:val="single" w:color="auto" w:sz="4" w:space="0"/>
              <w:left w:val="single" w:color="auto" w:sz="4" w:space="0"/>
              <w:bottom w:val="single" w:color="auto" w:sz="4" w:space="0"/>
              <w:right w:val="single" w:color="auto" w:sz="8" w:space="0"/>
            </w:tcBorders>
            <w:noWrap w:val="0"/>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0" w:lineRule="atLeast"/>
              <w:ind w:left="0" w:right="0"/>
              <w:jc w:val="center"/>
              <w:rPr>
                <w:rFonts w:hint="eastAsia" w:ascii="仿宋" w:hAnsi="仿宋" w:eastAsia="仿宋" w:cs="仿宋"/>
                <w:color w:val="000000"/>
                <w:kern w:val="2"/>
                <w:sz w:val="15"/>
                <w:szCs w:val="15"/>
              </w:rPr>
            </w:pPr>
          </w:p>
        </w:tc>
      </w:tr>
    </w:tbl>
    <w:p>
      <w:pPr>
        <w:pStyle w:val="20"/>
        <w:rPr>
          <w:rFonts w:hint="eastAsia" w:ascii="仿宋" w:hAnsi="仿宋" w:eastAsia="仿宋" w:cs="仿宋"/>
          <w:sz w:val="28"/>
          <w:szCs w:val="28"/>
          <w:lang w:val="en-US" w:eastAsia="zh-CN"/>
        </w:rPr>
        <w:sectPr>
          <w:footerReference r:id="rId6" w:type="default"/>
          <w:pgSz w:w="16838" w:h="11906" w:orient="landscape"/>
          <w:pgMar w:top="720" w:right="720" w:bottom="720" w:left="720" w:header="510" w:footer="510" w:gutter="0"/>
          <w:pgBorders>
            <w:top w:val="none" w:sz="0" w:space="0"/>
            <w:left w:val="none" w:sz="0" w:space="0"/>
            <w:bottom w:val="none" w:sz="0" w:space="0"/>
            <w:right w:val="none" w:sz="0" w:space="0"/>
          </w:pgBorders>
          <w:pgNumType w:fmt="decimal"/>
          <w:cols w:space="0" w:num="1"/>
          <w:rtlGutter w:val="0"/>
          <w:docGrid w:type="lines" w:linePitch="319" w:charSpace="0"/>
        </w:sectPr>
      </w:pPr>
      <w:r>
        <w:rPr>
          <w:rFonts w:hint="eastAsia" w:ascii="仿宋" w:hAnsi="仿宋" w:eastAsia="仿宋" w:cs="仿宋"/>
          <w:b/>
          <w:bCs/>
          <w:sz w:val="13"/>
          <w:szCs w:val="13"/>
          <w:lang w:val="en-US" w:eastAsia="zh-CN"/>
        </w:rPr>
        <w:t>注：1、排放增减量：（+）表示增加，（-）表示减少。2、（12）=（6）-（8）-（11），（9）=（4）-（5）-（8）-（11）+（1）.3、计量单位：废水排放量—万吨/年；废气排放量—万标立方米/年；工业固体废物排放量—万吨/年；水污染物排放浓度—毫克</w:t>
      </w:r>
    </w:p>
    <w:p>
      <w:pPr>
        <w:pStyle w:val="4"/>
        <w:bidi w:val="0"/>
        <w:ind w:left="0" w:leftChars="0" w:firstLine="0" w:firstLineChars="0"/>
        <w:rPr>
          <w:rFonts w:hint="eastAsia"/>
          <w:lang w:val="en-US" w:eastAsia="zh-CN"/>
        </w:rPr>
      </w:pPr>
      <w:bookmarkStart w:id="33" w:name="_Toc19478"/>
      <w:r>
        <w:rPr>
          <w:rFonts w:hint="eastAsia"/>
          <w:lang w:val="en-US" w:eastAsia="zh-CN"/>
        </w:rPr>
        <w:t>附件6：竣工环境保护验收意见</w:t>
      </w:r>
      <w:bookmarkEnd w:id="33"/>
    </w:p>
    <w:p>
      <w:pPr>
        <w:pStyle w:val="20"/>
        <w:rPr>
          <w:rFonts w:hint="default" w:ascii="仿宋" w:hAnsi="仿宋" w:eastAsia="仿宋" w:cs="仿宋"/>
          <w:bCs/>
          <w:snapToGrid w:val="0"/>
          <w:kern w:val="0"/>
          <w:sz w:val="24"/>
          <w:lang w:val="en-US" w:eastAsia="zh-CN"/>
        </w:rPr>
        <w:sectPr>
          <w:footerReference r:id="rId7"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bCs/>
          <w:snapToGrid w:val="0"/>
          <w:kern w:val="0"/>
          <w:sz w:val="24"/>
          <w:lang w:val="en-US" w:eastAsia="zh-CN"/>
        </w:rPr>
        <w:drawing>
          <wp:inline distT="0" distB="0" distL="114300" distR="114300">
            <wp:extent cx="5274310" cy="6571615"/>
            <wp:effectExtent l="0" t="0" r="2540" b="635"/>
            <wp:docPr id="20" name="图片 20" descr="168705010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687050100978"/>
                    <pic:cNvPicPr>
                      <a:picLocks noChangeAspect="1"/>
                    </pic:cNvPicPr>
                  </pic:nvPicPr>
                  <pic:blipFill>
                    <a:blip r:embed="rId24"/>
                    <a:stretch>
                      <a:fillRect/>
                    </a:stretch>
                  </pic:blipFill>
                  <pic:spPr>
                    <a:xfrm>
                      <a:off x="0" y="0"/>
                      <a:ext cx="5274310" cy="6571615"/>
                    </a:xfrm>
                    <a:prstGeom prst="rect">
                      <a:avLst/>
                    </a:prstGeom>
                  </pic:spPr>
                </pic:pic>
              </a:graphicData>
            </a:graphic>
          </wp:inline>
        </w:drawing>
      </w:r>
      <w:r>
        <w:rPr>
          <w:rFonts w:hint="eastAsia" w:ascii="仿宋" w:hAnsi="仿宋" w:eastAsia="仿宋" w:cs="仿宋"/>
          <w:bCs/>
          <w:snapToGrid w:val="0"/>
          <w:kern w:val="0"/>
          <w:sz w:val="24"/>
          <w:lang w:val="en-US" w:eastAsia="zh-CN"/>
        </w:rPr>
        <w:drawing>
          <wp:inline distT="0" distB="0" distL="114300" distR="114300">
            <wp:extent cx="5067300" cy="6648450"/>
            <wp:effectExtent l="0" t="0" r="0" b="0"/>
            <wp:docPr id="25" name="图片 25" descr="168705012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687050123280"/>
                    <pic:cNvPicPr>
                      <a:picLocks noChangeAspect="1"/>
                    </pic:cNvPicPr>
                  </pic:nvPicPr>
                  <pic:blipFill>
                    <a:blip r:embed="rId25"/>
                    <a:stretch>
                      <a:fillRect/>
                    </a:stretch>
                  </pic:blipFill>
                  <pic:spPr>
                    <a:xfrm>
                      <a:off x="0" y="0"/>
                      <a:ext cx="5067300" cy="6648450"/>
                    </a:xfrm>
                    <a:prstGeom prst="rect">
                      <a:avLst/>
                    </a:prstGeom>
                  </pic:spPr>
                </pic:pic>
              </a:graphicData>
            </a:graphic>
          </wp:inline>
        </w:drawing>
      </w:r>
      <w:r>
        <w:rPr>
          <w:rFonts w:hint="eastAsia" w:ascii="仿宋" w:hAnsi="仿宋" w:eastAsia="仿宋" w:cs="仿宋"/>
          <w:bCs/>
          <w:snapToGrid w:val="0"/>
          <w:kern w:val="0"/>
          <w:sz w:val="24"/>
          <w:lang w:val="en-US" w:eastAsia="zh-CN"/>
        </w:rPr>
        <w:drawing>
          <wp:inline distT="0" distB="0" distL="114300" distR="114300">
            <wp:extent cx="5271135" cy="6376035"/>
            <wp:effectExtent l="0" t="0" r="5715" b="5715"/>
            <wp:docPr id="26" name="图片 26" descr="168705014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687050140048"/>
                    <pic:cNvPicPr>
                      <a:picLocks noChangeAspect="1"/>
                    </pic:cNvPicPr>
                  </pic:nvPicPr>
                  <pic:blipFill>
                    <a:blip r:embed="rId26"/>
                    <a:stretch>
                      <a:fillRect/>
                    </a:stretch>
                  </pic:blipFill>
                  <pic:spPr>
                    <a:xfrm>
                      <a:off x="0" y="0"/>
                      <a:ext cx="5271135" cy="6376035"/>
                    </a:xfrm>
                    <a:prstGeom prst="rect">
                      <a:avLst/>
                    </a:prstGeom>
                  </pic:spPr>
                </pic:pic>
              </a:graphicData>
            </a:graphic>
          </wp:inline>
        </w:drawing>
      </w:r>
      <w:r>
        <w:drawing>
          <wp:inline distT="0" distB="0" distL="114300" distR="114300">
            <wp:extent cx="5267325" cy="6610350"/>
            <wp:effectExtent l="0" t="0" r="9525" b="0"/>
            <wp:docPr id="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
                    <pic:cNvPicPr>
                      <a:picLocks noChangeAspect="1"/>
                    </pic:cNvPicPr>
                  </pic:nvPicPr>
                  <pic:blipFill>
                    <a:blip r:embed="rId27"/>
                    <a:stretch>
                      <a:fillRect/>
                    </a:stretch>
                  </pic:blipFill>
                  <pic:spPr>
                    <a:xfrm>
                      <a:off x="0" y="0"/>
                      <a:ext cx="5267325" cy="6610350"/>
                    </a:xfrm>
                    <a:prstGeom prst="rect">
                      <a:avLst/>
                    </a:prstGeom>
                    <a:noFill/>
                    <a:ln>
                      <a:noFill/>
                    </a:ln>
                  </pic:spPr>
                </pic:pic>
              </a:graphicData>
            </a:graphic>
          </wp:inline>
        </w:drawing>
      </w:r>
      <w:r>
        <w:rPr>
          <w:rFonts w:hint="eastAsia" w:ascii="仿宋" w:hAnsi="仿宋" w:eastAsia="仿宋" w:cs="仿宋"/>
          <w:bCs/>
          <w:snapToGrid w:val="0"/>
          <w:kern w:val="0"/>
          <w:sz w:val="24"/>
          <w:lang w:val="en-US" w:eastAsia="zh-CN"/>
        </w:rPr>
        <w:drawing>
          <wp:inline distT="0" distB="0" distL="114300" distR="114300">
            <wp:extent cx="5269865" cy="6606540"/>
            <wp:effectExtent l="0" t="0" r="6985" b="3810"/>
            <wp:docPr id="31" name="图片 31" descr="168705017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687050173285"/>
                    <pic:cNvPicPr>
                      <a:picLocks noChangeAspect="1"/>
                    </pic:cNvPicPr>
                  </pic:nvPicPr>
                  <pic:blipFill>
                    <a:blip r:embed="rId28"/>
                    <a:stretch>
                      <a:fillRect/>
                    </a:stretch>
                  </pic:blipFill>
                  <pic:spPr>
                    <a:xfrm>
                      <a:off x="0" y="0"/>
                      <a:ext cx="5269865" cy="6606540"/>
                    </a:xfrm>
                    <a:prstGeom prst="rect">
                      <a:avLst/>
                    </a:prstGeom>
                  </pic:spPr>
                </pic:pic>
              </a:graphicData>
            </a:graphic>
          </wp:inline>
        </w:drawing>
      </w:r>
      <w:r>
        <w:rPr>
          <w:rFonts w:hint="eastAsia" w:ascii="仿宋" w:hAnsi="仿宋" w:eastAsia="仿宋" w:cs="仿宋"/>
          <w:bCs/>
          <w:snapToGrid w:val="0"/>
          <w:kern w:val="0"/>
          <w:sz w:val="24"/>
          <w:lang w:val="en-US" w:eastAsia="zh-CN"/>
        </w:rPr>
        <w:drawing>
          <wp:inline distT="0" distB="0" distL="114300" distR="114300">
            <wp:extent cx="5271135" cy="6600825"/>
            <wp:effectExtent l="0" t="0" r="5715" b="9525"/>
            <wp:docPr id="56" name="图片 56" descr="1687050188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1687050188156"/>
                    <pic:cNvPicPr>
                      <a:picLocks noChangeAspect="1"/>
                    </pic:cNvPicPr>
                  </pic:nvPicPr>
                  <pic:blipFill>
                    <a:blip r:embed="rId29"/>
                    <a:stretch>
                      <a:fillRect/>
                    </a:stretch>
                  </pic:blipFill>
                  <pic:spPr>
                    <a:xfrm>
                      <a:off x="0" y="0"/>
                      <a:ext cx="5271135" cy="6600825"/>
                    </a:xfrm>
                    <a:prstGeom prst="rect">
                      <a:avLst/>
                    </a:prstGeom>
                  </pic:spPr>
                </pic:pic>
              </a:graphicData>
            </a:graphic>
          </wp:inline>
        </w:drawing>
      </w:r>
      <w:r>
        <w:rPr>
          <w:rFonts w:hint="eastAsia" w:ascii="仿宋" w:hAnsi="仿宋" w:eastAsia="仿宋" w:cs="仿宋"/>
          <w:bCs/>
          <w:snapToGrid w:val="0"/>
          <w:kern w:val="0"/>
          <w:sz w:val="24"/>
          <w:lang w:val="en-US" w:eastAsia="zh-CN"/>
        </w:rPr>
        <w:drawing>
          <wp:inline distT="0" distB="0" distL="114300" distR="114300">
            <wp:extent cx="5269230" cy="6681470"/>
            <wp:effectExtent l="0" t="0" r="7620" b="5080"/>
            <wp:docPr id="57" name="图片 57" descr="168705020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1687050204289"/>
                    <pic:cNvPicPr>
                      <a:picLocks noChangeAspect="1"/>
                    </pic:cNvPicPr>
                  </pic:nvPicPr>
                  <pic:blipFill>
                    <a:blip r:embed="rId30"/>
                    <a:stretch>
                      <a:fillRect/>
                    </a:stretch>
                  </pic:blipFill>
                  <pic:spPr>
                    <a:xfrm>
                      <a:off x="0" y="0"/>
                      <a:ext cx="5269230" cy="6681470"/>
                    </a:xfrm>
                    <a:prstGeom prst="rect">
                      <a:avLst/>
                    </a:prstGeom>
                  </pic:spPr>
                </pic:pic>
              </a:graphicData>
            </a:graphic>
          </wp:inline>
        </w:drawing>
      </w:r>
      <w:r>
        <w:rPr>
          <w:rFonts w:hint="eastAsia" w:ascii="仿宋" w:hAnsi="仿宋" w:eastAsia="仿宋" w:cs="仿宋"/>
          <w:bCs/>
          <w:snapToGrid w:val="0"/>
          <w:kern w:val="0"/>
          <w:sz w:val="24"/>
          <w:lang w:val="en-US" w:eastAsia="zh-CN"/>
        </w:rPr>
        <w:drawing>
          <wp:inline distT="0" distB="0" distL="114300" distR="114300">
            <wp:extent cx="5269230" cy="7025640"/>
            <wp:effectExtent l="0" t="0" r="7620" b="3810"/>
            <wp:docPr id="58" name="图片 58" descr="bdb7f492a33e5c7a556a4df120eac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bdb7f492a33e5c7a556a4df120eacd1"/>
                    <pic:cNvPicPr>
                      <a:picLocks noChangeAspect="1"/>
                    </pic:cNvPicPr>
                  </pic:nvPicPr>
                  <pic:blipFill>
                    <a:blip r:embed="rId31"/>
                    <a:stretch>
                      <a:fillRect/>
                    </a:stretch>
                  </pic:blipFill>
                  <pic:spPr>
                    <a:xfrm>
                      <a:off x="0" y="0"/>
                      <a:ext cx="5269230" cy="7025640"/>
                    </a:xfrm>
                    <a:prstGeom prst="rect">
                      <a:avLst/>
                    </a:prstGeom>
                  </pic:spPr>
                </pic:pic>
              </a:graphicData>
            </a:graphic>
          </wp:inline>
        </w:drawing>
      </w:r>
    </w:p>
    <w:p>
      <w:pPr>
        <w:pStyle w:val="4"/>
        <w:bidi w:val="0"/>
        <w:ind w:left="0" w:leftChars="0" w:firstLine="0" w:firstLineChars="0"/>
        <w:rPr>
          <w:rFonts w:hint="eastAsia"/>
          <w:lang w:val="en-US" w:eastAsia="zh-CN"/>
        </w:rPr>
      </w:pPr>
      <w:bookmarkStart w:id="34" w:name="_GoBack"/>
      <w:bookmarkEnd w:id="34"/>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spacing w:after="0"/>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after="0"/>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rPr>
                              <w:sz w:val="20"/>
                              <w:szCs w:val="20"/>
                            </w:rPr>
                            <w:fldChar w:fldCharType="begin"/>
                          </w:r>
                          <w:r>
                            <w:rPr>
                              <w:sz w:val="20"/>
                              <w:szCs w:val="20"/>
                            </w:rPr>
                            <w:instrText xml:space="preserve"> PAGE  \* MERGEFORMAT </w:instrText>
                          </w:r>
                          <w:r>
                            <w:rPr>
                              <w:sz w:val="20"/>
                              <w:szCs w:val="20"/>
                            </w:rPr>
                            <w:fldChar w:fldCharType="separate"/>
                          </w:r>
                          <w:r>
                            <w:rPr>
                              <w:sz w:val="20"/>
                              <w:szCs w:val="20"/>
                            </w:rPr>
                            <w:t>I</w:t>
                          </w:r>
                          <w:r>
                            <w:rPr>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2"/>
                    </w:pPr>
                    <w:r>
                      <w:rPr>
                        <w:sz w:val="20"/>
                        <w:szCs w:val="20"/>
                      </w:rPr>
                      <w:fldChar w:fldCharType="begin"/>
                    </w:r>
                    <w:r>
                      <w:rPr>
                        <w:sz w:val="20"/>
                        <w:szCs w:val="20"/>
                      </w:rPr>
                      <w:instrText xml:space="preserve"> PAGE  \* MERGEFORMAT </w:instrText>
                    </w:r>
                    <w:r>
                      <w:rPr>
                        <w:sz w:val="20"/>
                        <w:szCs w:val="20"/>
                      </w:rPr>
                      <w:fldChar w:fldCharType="separate"/>
                    </w:r>
                    <w:r>
                      <w:rPr>
                        <w:sz w:val="20"/>
                        <w:szCs w:val="20"/>
                      </w:rPr>
                      <w:t>I</w:t>
                    </w:r>
                    <w:r>
                      <w:rPr>
                        <w:sz w:val="20"/>
                        <w:szCs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XXXV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XXXV</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A3B9D"/>
    <w:multiLevelType w:val="multilevel"/>
    <w:tmpl w:val="86BA3B9D"/>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378BBC06"/>
    <w:multiLevelType w:val="singleLevel"/>
    <w:tmpl w:val="378BBC06"/>
    <w:lvl w:ilvl="0" w:tentative="0">
      <w:start w:val="3"/>
      <w:numFmt w:val="decimal"/>
      <w:suff w:val="nothing"/>
      <w:lvlText w:val="%1、"/>
      <w:lvlJc w:val="left"/>
    </w:lvl>
  </w:abstractNum>
  <w:abstractNum w:abstractNumId="2">
    <w:nsid w:val="541B6F35"/>
    <w:multiLevelType w:val="singleLevel"/>
    <w:tmpl w:val="541B6F35"/>
    <w:lvl w:ilvl="0" w:tentative="0">
      <w:start w:val="1"/>
      <w:numFmt w:val="upperLetter"/>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OTNkZjM5NWFjZTJlMGEwOWM0ZDAyYjE2MDcxMWMifQ=="/>
  </w:docVars>
  <w:rsids>
    <w:rsidRoot w:val="00172A27"/>
    <w:rsid w:val="01027FD7"/>
    <w:rsid w:val="017D4F5C"/>
    <w:rsid w:val="018F4C90"/>
    <w:rsid w:val="0214111D"/>
    <w:rsid w:val="02701176"/>
    <w:rsid w:val="029B1A91"/>
    <w:rsid w:val="02A209F3"/>
    <w:rsid w:val="02FB3AD8"/>
    <w:rsid w:val="03DB1292"/>
    <w:rsid w:val="03F21651"/>
    <w:rsid w:val="0402799B"/>
    <w:rsid w:val="04221DEB"/>
    <w:rsid w:val="044219D7"/>
    <w:rsid w:val="04E10A25"/>
    <w:rsid w:val="05B90B5D"/>
    <w:rsid w:val="05F3010D"/>
    <w:rsid w:val="068E19BA"/>
    <w:rsid w:val="06A27213"/>
    <w:rsid w:val="0729785D"/>
    <w:rsid w:val="073267E9"/>
    <w:rsid w:val="07A83E73"/>
    <w:rsid w:val="080212A5"/>
    <w:rsid w:val="087B5F6E"/>
    <w:rsid w:val="08B05220"/>
    <w:rsid w:val="09267C87"/>
    <w:rsid w:val="09320F20"/>
    <w:rsid w:val="09A32CA0"/>
    <w:rsid w:val="09D207A8"/>
    <w:rsid w:val="0A0965B8"/>
    <w:rsid w:val="0A0B1E3D"/>
    <w:rsid w:val="0B756CA4"/>
    <w:rsid w:val="0BBA0684"/>
    <w:rsid w:val="0BEF0FB0"/>
    <w:rsid w:val="0C3A5AB7"/>
    <w:rsid w:val="0C456ED4"/>
    <w:rsid w:val="0C476893"/>
    <w:rsid w:val="0CA471CD"/>
    <w:rsid w:val="0CAE43B6"/>
    <w:rsid w:val="0CDE5079"/>
    <w:rsid w:val="0CEB0A11"/>
    <w:rsid w:val="0D374B59"/>
    <w:rsid w:val="0D4E3C51"/>
    <w:rsid w:val="0DED6FC6"/>
    <w:rsid w:val="0EEC1215"/>
    <w:rsid w:val="0F152C78"/>
    <w:rsid w:val="102173FB"/>
    <w:rsid w:val="10D6167E"/>
    <w:rsid w:val="116D37B3"/>
    <w:rsid w:val="11F32AD7"/>
    <w:rsid w:val="120D4D00"/>
    <w:rsid w:val="12440FD3"/>
    <w:rsid w:val="12567426"/>
    <w:rsid w:val="12C0739F"/>
    <w:rsid w:val="136B2A99"/>
    <w:rsid w:val="13B87687"/>
    <w:rsid w:val="13EE3A98"/>
    <w:rsid w:val="14A83D2A"/>
    <w:rsid w:val="14DC5D4E"/>
    <w:rsid w:val="14E410B8"/>
    <w:rsid w:val="15004AF8"/>
    <w:rsid w:val="153E685B"/>
    <w:rsid w:val="15755AC5"/>
    <w:rsid w:val="1582093B"/>
    <w:rsid w:val="159C3A1F"/>
    <w:rsid w:val="167D1103"/>
    <w:rsid w:val="16A33E4A"/>
    <w:rsid w:val="16C1469A"/>
    <w:rsid w:val="170B2B2D"/>
    <w:rsid w:val="177E4F72"/>
    <w:rsid w:val="177E7494"/>
    <w:rsid w:val="17D03473"/>
    <w:rsid w:val="18055854"/>
    <w:rsid w:val="180C3B87"/>
    <w:rsid w:val="181D494B"/>
    <w:rsid w:val="184E4899"/>
    <w:rsid w:val="18C1177B"/>
    <w:rsid w:val="18C64499"/>
    <w:rsid w:val="18EC7208"/>
    <w:rsid w:val="18ED431E"/>
    <w:rsid w:val="19C67825"/>
    <w:rsid w:val="19F416DC"/>
    <w:rsid w:val="19F858DF"/>
    <w:rsid w:val="1AC80C61"/>
    <w:rsid w:val="1AF3236D"/>
    <w:rsid w:val="1B2F3600"/>
    <w:rsid w:val="1BA83C95"/>
    <w:rsid w:val="1BC3580A"/>
    <w:rsid w:val="1CA70C88"/>
    <w:rsid w:val="1D153156"/>
    <w:rsid w:val="1DFC14F9"/>
    <w:rsid w:val="1EA27958"/>
    <w:rsid w:val="1F625C03"/>
    <w:rsid w:val="1F7F1B30"/>
    <w:rsid w:val="20A442B8"/>
    <w:rsid w:val="20C55B80"/>
    <w:rsid w:val="21122A7A"/>
    <w:rsid w:val="229138A9"/>
    <w:rsid w:val="237648E2"/>
    <w:rsid w:val="239C0AB6"/>
    <w:rsid w:val="23C13E08"/>
    <w:rsid w:val="23DE44FE"/>
    <w:rsid w:val="23F84BCF"/>
    <w:rsid w:val="241E152A"/>
    <w:rsid w:val="24DD793C"/>
    <w:rsid w:val="24F00D44"/>
    <w:rsid w:val="2540611D"/>
    <w:rsid w:val="25DE3E6F"/>
    <w:rsid w:val="261E020C"/>
    <w:rsid w:val="27714D5C"/>
    <w:rsid w:val="27DA318A"/>
    <w:rsid w:val="28365E03"/>
    <w:rsid w:val="2882346C"/>
    <w:rsid w:val="28D41056"/>
    <w:rsid w:val="28E35333"/>
    <w:rsid w:val="29DC0237"/>
    <w:rsid w:val="2A364F86"/>
    <w:rsid w:val="2AC51A71"/>
    <w:rsid w:val="2B7E4B0A"/>
    <w:rsid w:val="2C00655C"/>
    <w:rsid w:val="2C5214E3"/>
    <w:rsid w:val="2C9035AF"/>
    <w:rsid w:val="2E494294"/>
    <w:rsid w:val="2E905A1F"/>
    <w:rsid w:val="2EC80FF0"/>
    <w:rsid w:val="2F2C2C97"/>
    <w:rsid w:val="2F631386"/>
    <w:rsid w:val="2FCD296C"/>
    <w:rsid w:val="302503E9"/>
    <w:rsid w:val="30500B12"/>
    <w:rsid w:val="3146704B"/>
    <w:rsid w:val="318D5F30"/>
    <w:rsid w:val="319F4E44"/>
    <w:rsid w:val="32133C6C"/>
    <w:rsid w:val="323A3D4C"/>
    <w:rsid w:val="33751688"/>
    <w:rsid w:val="33E44DA2"/>
    <w:rsid w:val="33FA3BC4"/>
    <w:rsid w:val="34343484"/>
    <w:rsid w:val="344C4197"/>
    <w:rsid w:val="34CC3D2E"/>
    <w:rsid w:val="35D07049"/>
    <w:rsid w:val="36AF2C4D"/>
    <w:rsid w:val="372F4AD9"/>
    <w:rsid w:val="37714421"/>
    <w:rsid w:val="3807313D"/>
    <w:rsid w:val="382014FF"/>
    <w:rsid w:val="38334D46"/>
    <w:rsid w:val="389C0A0B"/>
    <w:rsid w:val="38AE5D66"/>
    <w:rsid w:val="38C5276A"/>
    <w:rsid w:val="38F1355F"/>
    <w:rsid w:val="38F239D4"/>
    <w:rsid w:val="38FD1F03"/>
    <w:rsid w:val="3979605F"/>
    <w:rsid w:val="39BC3B6C"/>
    <w:rsid w:val="39E135D3"/>
    <w:rsid w:val="3A51286A"/>
    <w:rsid w:val="3AE710BD"/>
    <w:rsid w:val="3B135A0E"/>
    <w:rsid w:val="3C2E234B"/>
    <w:rsid w:val="3C3806BD"/>
    <w:rsid w:val="3C836BC3"/>
    <w:rsid w:val="3D0F200E"/>
    <w:rsid w:val="3DC0161B"/>
    <w:rsid w:val="3F634A8A"/>
    <w:rsid w:val="401A339B"/>
    <w:rsid w:val="40251AB5"/>
    <w:rsid w:val="407231D7"/>
    <w:rsid w:val="40B51316"/>
    <w:rsid w:val="40FA40D7"/>
    <w:rsid w:val="4110465F"/>
    <w:rsid w:val="41306979"/>
    <w:rsid w:val="41691A27"/>
    <w:rsid w:val="41C21637"/>
    <w:rsid w:val="42503413"/>
    <w:rsid w:val="43076B51"/>
    <w:rsid w:val="4332407F"/>
    <w:rsid w:val="44574CCB"/>
    <w:rsid w:val="449F3D44"/>
    <w:rsid w:val="44E77FB0"/>
    <w:rsid w:val="45495693"/>
    <w:rsid w:val="45AA1AB9"/>
    <w:rsid w:val="46DD15C6"/>
    <w:rsid w:val="470E18F7"/>
    <w:rsid w:val="47990723"/>
    <w:rsid w:val="479E2051"/>
    <w:rsid w:val="488A12CF"/>
    <w:rsid w:val="48AD4B08"/>
    <w:rsid w:val="48BB466E"/>
    <w:rsid w:val="48EF4A64"/>
    <w:rsid w:val="4A153924"/>
    <w:rsid w:val="4AC21005"/>
    <w:rsid w:val="4B1F5D09"/>
    <w:rsid w:val="4B6338E3"/>
    <w:rsid w:val="4BE33F57"/>
    <w:rsid w:val="4C6C569D"/>
    <w:rsid w:val="4C7D2F53"/>
    <w:rsid w:val="4C98093F"/>
    <w:rsid w:val="4CA54934"/>
    <w:rsid w:val="4D354A04"/>
    <w:rsid w:val="4F950C90"/>
    <w:rsid w:val="5006393C"/>
    <w:rsid w:val="50B734D4"/>
    <w:rsid w:val="50DB51FC"/>
    <w:rsid w:val="51316796"/>
    <w:rsid w:val="51330760"/>
    <w:rsid w:val="52FF6304"/>
    <w:rsid w:val="535D6464"/>
    <w:rsid w:val="5387035C"/>
    <w:rsid w:val="538C4158"/>
    <w:rsid w:val="53C11F14"/>
    <w:rsid w:val="53E038CD"/>
    <w:rsid w:val="543D64F7"/>
    <w:rsid w:val="54DA0EF3"/>
    <w:rsid w:val="54F41FB5"/>
    <w:rsid w:val="5502171C"/>
    <w:rsid w:val="551E1D72"/>
    <w:rsid w:val="5534747A"/>
    <w:rsid w:val="554B78D9"/>
    <w:rsid w:val="55970CFF"/>
    <w:rsid w:val="55FF7473"/>
    <w:rsid w:val="566F083A"/>
    <w:rsid w:val="568B4B9B"/>
    <w:rsid w:val="56A3771E"/>
    <w:rsid w:val="56C436BB"/>
    <w:rsid w:val="56FC7846"/>
    <w:rsid w:val="574B60D8"/>
    <w:rsid w:val="57911E3E"/>
    <w:rsid w:val="57A428C1"/>
    <w:rsid w:val="583B7EFB"/>
    <w:rsid w:val="586349D7"/>
    <w:rsid w:val="5872382C"/>
    <w:rsid w:val="588F2C64"/>
    <w:rsid w:val="58FE1654"/>
    <w:rsid w:val="59756D90"/>
    <w:rsid w:val="597B2CA5"/>
    <w:rsid w:val="5AE64A95"/>
    <w:rsid w:val="5B266C42"/>
    <w:rsid w:val="5C6729FA"/>
    <w:rsid w:val="5D0A3096"/>
    <w:rsid w:val="5D29440C"/>
    <w:rsid w:val="5D3F4519"/>
    <w:rsid w:val="5D587FCA"/>
    <w:rsid w:val="5E54596F"/>
    <w:rsid w:val="5EDB4852"/>
    <w:rsid w:val="5F8F0B9F"/>
    <w:rsid w:val="60251B8A"/>
    <w:rsid w:val="602F731A"/>
    <w:rsid w:val="612D607A"/>
    <w:rsid w:val="6155027F"/>
    <w:rsid w:val="61663E8E"/>
    <w:rsid w:val="6186633E"/>
    <w:rsid w:val="61D008CD"/>
    <w:rsid w:val="623F6742"/>
    <w:rsid w:val="62BE1B6C"/>
    <w:rsid w:val="63206A91"/>
    <w:rsid w:val="637F15E3"/>
    <w:rsid w:val="63EB020D"/>
    <w:rsid w:val="643028DD"/>
    <w:rsid w:val="644840CB"/>
    <w:rsid w:val="64E56562"/>
    <w:rsid w:val="65257F68"/>
    <w:rsid w:val="65515900"/>
    <w:rsid w:val="66930105"/>
    <w:rsid w:val="66B9554C"/>
    <w:rsid w:val="66D85816"/>
    <w:rsid w:val="67230106"/>
    <w:rsid w:val="672D6CEC"/>
    <w:rsid w:val="672E57FA"/>
    <w:rsid w:val="678F3DBF"/>
    <w:rsid w:val="67CE0D8B"/>
    <w:rsid w:val="68152516"/>
    <w:rsid w:val="687D4640"/>
    <w:rsid w:val="6A002D52"/>
    <w:rsid w:val="6A5A4B58"/>
    <w:rsid w:val="6A622DB2"/>
    <w:rsid w:val="6B4513E9"/>
    <w:rsid w:val="6B476AF5"/>
    <w:rsid w:val="6C7B4A74"/>
    <w:rsid w:val="6CBB59AC"/>
    <w:rsid w:val="6CD40BF2"/>
    <w:rsid w:val="6CD97035"/>
    <w:rsid w:val="6CDC3602"/>
    <w:rsid w:val="6D005037"/>
    <w:rsid w:val="6D082649"/>
    <w:rsid w:val="6D5D01BC"/>
    <w:rsid w:val="6DEF12E1"/>
    <w:rsid w:val="6E91041D"/>
    <w:rsid w:val="6EDF4DB3"/>
    <w:rsid w:val="6EF90AB4"/>
    <w:rsid w:val="6F073BDF"/>
    <w:rsid w:val="6F0E1408"/>
    <w:rsid w:val="6F311DB8"/>
    <w:rsid w:val="6F765FA8"/>
    <w:rsid w:val="6F8C467D"/>
    <w:rsid w:val="706803F2"/>
    <w:rsid w:val="707B0107"/>
    <w:rsid w:val="70B86135"/>
    <w:rsid w:val="71382BBE"/>
    <w:rsid w:val="71606681"/>
    <w:rsid w:val="717254AD"/>
    <w:rsid w:val="71771990"/>
    <w:rsid w:val="72282267"/>
    <w:rsid w:val="7269029A"/>
    <w:rsid w:val="73532145"/>
    <w:rsid w:val="74650948"/>
    <w:rsid w:val="74C1163E"/>
    <w:rsid w:val="75222256"/>
    <w:rsid w:val="75495BC7"/>
    <w:rsid w:val="76186803"/>
    <w:rsid w:val="761A519B"/>
    <w:rsid w:val="768D1F69"/>
    <w:rsid w:val="775B48DB"/>
    <w:rsid w:val="77B04C47"/>
    <w:rsid w:val="7883527A"/>
    <w:rsid w:val="78E977D3"/>
    <w:rsid w:val="79FC7092"/>
    <w:rsid w:val="7A0E5113"/>
    <w:rsid w:val="7A7255A6"/>
    <w:rsid w:val="7A854972"/>
    <w:rsid w:val="7A8F4BF5"/>
    <w:rsid w:val="7AB931D5"/>
    <w:rsid w:val="7B4909FD"/>
    <w:rsid w:val="7BC67BE1"/>
    <w:rsid w:val="7CED68BD"/>
    <w:rsid w:val="7D52444D"/>
    <w:rsid w:val="7DEC2710"/>
    <w:rsid w:val="7E156974"/>
    <w:rsid w:val="7E9A0D84"/>
    <w:rsid w:val="7F541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3">
    <w:name w:val="heading 1"/>
    <w:basedOn w:val="1"/>
    <w:next w:val="1"/>
    <w:qFormat/>
    <w:uiPriority w:val="0"/>
    <w:pPr>
      <w:keepNext/>
      <w:keepLines/>
      <w:spacing w:line="520" w:lineRule="exact"/>
      <w:outlineLvl w:val="0"/>
    </w:pPr>
    <w:rPr>
      <w:rFonts w:eastAsia="仿宋"/>
      <w:b/>
      <w:bCs/>
      <w:kern w:val="44"/>
      <w:sz w:val="28"/>
      <w:szCs w:val="44"/>
    </w:rPr>
  </w:style>
  <w:style w:type="paragraph" w:styleId="4">
    <w:name w:val="heading 2"/>
    <w:basedOn w:val="1"/>
    <w:next w:val="1"/>
    <w:unhideWhenUsed/>
    <w:qFormat/>
    <w:uiPriority w:val="0"/>
    <w:pPr>
      <w:keepNext/>
      <w:keepLines/>
      <w:spacing w:before="80" w:beforeAutospacing="0" w:after="80" w:afterLines="0" w:afterAutospacing="0" w:line="240" w:lineRule="exact"/>
      <w:ind w:firstLine="883" w:firstLineChars="200"/>
      <w:outlineLvl w:val="1"/>
    </w:pPr>
    <w:rPr>
      <w:rFonts w:ascii="仿宋" w:hAnsi="仿宋" w:eastAsia="仿宋"/>
      <w:b/>
      <w:sz w:val="24"/>
    </w:rPr>
  </w:style>
  <w:style w:type="paragraph" w:styleId="5">
    <w:name w:val="heading 3"/>
    <w:basedOn w:val="1"/>
    <w:next w:val="1"/>
    <w:unhideWhenUsed/>
    <w:qFormat/>
    <w:uiPriority w:val="0"/>
    <w:pPr>
      <w:keepNext/>
      <w:keepLines/>
      <w:spacing w:before="20" w:beforeLines="0" w:beforeAutospacing="0" w:after="20" w:afterLines="0" w:afterAutospacing="0" w:line="413" w:lineRule="auto"/>
      <w:ind w:leftChars="200"/>
      <w:outlineLvl w:val="2"/>
    </w:pPr>
    <w:rPr>
      <w:rFonts w:eastAsia="仿宋"/>
      <w:b/>
      <w:sz w:val="24"/>
    </w:rPr>
  </w:style>
  <w:style w:type="paragraph" w:styleId="6">
    <w:name w:val="heading 4"/>
    <w:basedOn w:val="1"/>
    <w:next w:val="1"/>
    <w:qFormat/>
    <w:uiPriority w:val="0"/>
    <w:pPr>
      <w:keepNext/>
      <w:keepLines/>
      <w:outlineLvl w:val="3"/>
    </w:pPr>
    <w:rPr>
      <w:rFonts w:ascii="Arial" w:hAnsi="Arial"/>
      <w:bCs/>
      <w:szCs w:val="28"/>
    </w:rPr>
  </w:style>
  <w:style w:type="character" w:default="1" w:styleId="19">
    <w:name w:val="Default Paragraph Font"/>
    <w:semiHidden/>
    <w:qFormat/>
    <w:uiPriority w:val="0"/>
  </w:style>
  <w:style w:type="table" w:default="1" w:styleId="1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2"/>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styleId="7">
    <w:name w:val="Normal Indent"/>
    <w:basedOn w:val="1"/>
    <w:next w:val="1"/>
    <w:qFormat/>
    <w:uiPriority w:val="0"/>
    <w:pPr>
      <w:spacing w:before="0" w:beforeAutospacing="0" w:after="0" w:afterAutospacing="0" w:line="240" w:lineRule="atLeast"/>
      <w:ind w:left="0" w:right="0" w:firstLine="420" w:firstLineChars="200"/>
      <w:jc w:val="left"/>
    </w:pPr>
    <w:rPr>
      <w:rFonts w:hint="eastAsia" w:ascii="宋体" w:hAnsi="宋体" w:eastAsia="宋体" w:cs="Times New Roman"/>
      <w:kern w:val="2"/>
      <w:sz w:val="28"/>
      <w:szCs w:val="28"/>
      <w:lang w:val="en-US" w:eastAsia="zh-CN" w:bidi="ar"/>
    </w:rPr>
  </w:style>
  <w:style w:type="paragraph" w:styleId="8">
    <w:name w:val="Body Text Indent"/>
    <w:basedOn w:val="1"/>
    <w:qFormat/>
    <w:uiPriority w:val="0"/>
    <w:pPr>
      <w:spacing w:after="120"/>
      <w:ind w:left="420" w:leftChars="200"/>
    </w:pPr>
  </w:style>
  <w:style w:type="paragraph" w:styleId="9">
    <w:name w:val="Plain Text"/>
    <w:basedOn w:val="1"/>
    <w:next w:val="10"/>
    <w:qFormat/>
    <w:uiPriority w:val="99"/>
    <w:pPr>
      <w:widowControl w:val="0"/>
      <w:adjustRightInd/>
      <w:snapToGrid/>
      <w:spacing w:line="240" w:lineRule="auto"/>
      <w:ind w:firstLine="0" w:firstLineChars="0"/>
      <w:jc w:val="both"/>
    </w:pPr>
    <w:rPr>
      <w:rFonts w:ascii="宋体" w:hAnsi="Courier New"/>
      <w:kern w:val="2"/>
    </w:rPr>
  </w:style>
  <w:style w:type="paragraph" w:styleId="10">
    <w:name w:val="toc 1"/>
    <w:basedOn w:val="1"/>
    <w:next w:val="1"/>
    <w:qFormat/>
    <w:uiPriority w:val="0"/>
  </w:style>
  <w:style w:type="paragraph" w:styleId="11">
    <w:name w:val="Body Text Indent 2"/>
    <w:basedOn w:val="1"/>
    <w:next w:val="1"/>
    <w:qFormat/>
    <w:uiPriority w:val="0"/>
    <w:pPr>
      <w:spacing w:line="520" w:lineRule="atLeast"/>
      <w:ind w:firstLine="435"/>
    </w:pPr>
    <w:rPr>
      <w:rFonts w:ascii="宋体" w:hAnsi="宋体"/>
      <w:kern w:val="2"/>
      <w:sz w:val="28"/>
    </w:rPr>
  </w:style>
  <w:style w:type="paragraph" w:styleId="12">
    <w:name w:val="footer"/>
    <w:basedOn w:val="1"/>
    <w:unhideWhenUsed/>
    <w:qFormat/>
    <w:uiPriority w:val="99"/>
    <w:pPr>
      <w:tabs>
        <w:tab w:val="center" w:pos="4153"/>
        <w:tab w:val="right" w:pos="8306"/>
      </w:tabs>
    </w:pPr>
    <w:rPr>
      <w:sz w:val="18"/>
      <w:szCs w:val="18"/>
    </w:rPr>
  </w:style>
  <w:style w:type="paragraph" w:styleId="13">
    <w:name w:val="header"/>
    <w:basedOn w:val="1"/>
    <w:unhideWhenUsed/>
    <w:qFormat/>
    <w:uiPriority w:val="0"/>
    <w:pPr>
      <w:pBdr>
        <w:bottom w:val="single" w:color="auto" w:sz="6" w:space="1"/>
      </w:pBdr>
      <w:tabs>
        <w:tab w:val="center" w:pos="4153"/>
        <w:tab w:val="right" w:pos="8306"/>
      </w:tabs>
      <w:jc w:val="center"/>
    </w:pPr>
    <w:rPr>
      <w:sz w:val="18"/>
      <w:szCs w:val="18"/>
    </w:rPr>
  </w:style>
  <w:style w:type="paragraph" w:styleId="14">
    <w:name w:val="toc 2"/>
    <w:basedOn w:val="1"/>
    <w:next w:val="1"/>
    <w:qFormat/>
    <w:uiPriority w:val="0"/>
    <w:pPr>
      <w:ind w:left="420" w:leftChars="200"/>
    </w:pPr>
  </w:style>
  <w:style w:type="paragraph" w:styleId="15">
    <w:name w:val="Normal (Web)"/>
    <w:basedOn w:val="1"/>
    <w:qFormat/>
    <w:uiPriority w:val="0"/>
    <w:pPr>
      <w:adjustRightInd/>
      <w:snapToGrid/>
      <w:spacing w:before="0" w:beforeAutospacing="1" w:after="0" w:afterAutospacing="1"/>
      <w:ind w:left="0" w:right="0"/>
      <w:jc w:val="left"/>
    </w:pPr>
    <w:rPr>
      <w:rFonts w:ascii="宋体" w:hAnsi="宋体" w:eastAsia="宋体" w:cs="宋体"/>
      <w:snapToGrid/>
      <w:kern w:val="0"/>
      <w:sz w:val="24"/>
      <w:szCs w:val="24"/>
      <w:lang w:val="en-US" w:eastAsia="zh-CN" w:bidi="ar"/>
    </w:rPr>
  </w:style>
  <w:style w:type="paragraph" w:styleId="16">
    <w:name w:val="Body Text First Indent 2"/>
    <w:basedOn w:val="8"/>
    <w:next w:val="1"/>
    <w:qFormat/>
    <w:uiPriority w:val="0"/>
    <w:pPr>
      <w:spacing w:after="120" w:line="240" w:lineRule="auto"/>
      <w:ind w:left="420" w:leftChars="200" w:firstLine="420" w:firstLineChars="200"/>
      <w:jc w:val="both"/>
    </w:pPr>
    <w:rPr>
      <w:sz w:val="21"/>
    </w:rPr>
  </w:style>
  <w:style w:type="table" w:styleId="18">
    <w:name w:val="Table Grid"/>
    <w:basedOn w:val="17"/>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2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customStyle="1" w:styleId="22">
    <w:name w:val="标准正文"/>
    <w:basedOn w:val="1"/>
    <w:qFormat/>
    <w:uiPriority w:val="0"/>
    <w:pPr>
      <w:spacing w:line="360" w:lineRule="auto"/>
      <w:ind w:firstLine="200" w:firstLineChars="200"/>
      <w:jc w:val="left"/>
    </w:pPr>
    <w:rPr>
      <w:rFonts w:ascii="宋体" w:hAnsi="宋体"/>
      <w:b/>
      <w:snapToGrid w:val="0"/>
      <w:color w:val="0000FF"/>
      <w:sz w:val="24"/>
      <w:szCs w:val="22"/>
    </w:rPr>
  </w:style>
  <w:style w:type="paragraph" w:customStyle="1" w:styleId="23">
    <w:name w:val="26磅正文"/>
    <w:basedOn w:val="1"/>
    <w:qFormat/>
    <w:uiPriority w:val="0"/>
    <w:pPr>
      <w:spacing w:line="520" w:lineRule="exact"/>
      <w:ind w:firstLine="480" w:firstLineChars="200"/>
    </w:pPr>
    <w:rPr>
      <w:rFonts w:ascii="宋体" w:hAnsi="宋体"/>
      <w:color w:val="000000"/>
      <w:sz w:val="24"/>
    </w:rPr>
  </w:style>
  <w:style w:type="paragraph" w:customStyle="1" w:styleId="24">
    <w:name w:val="正文_4"/>
    <w:qFormat/>
    <w:uiPriority w:val="0"/>
    <w:pPr>
      <w:widowControl w:val="0"/>
      <w:jc w:val="both"/>
    </w:pPr>
    <w:rPr>
      <w:rFonts w:ascii="Calibri" w:hAnsi="Calibri" w:eastAsia="宋体" w:cs="Times New Roman"/>
      <w:kern w:val="2"/>
      <w:sz w:val="21"/>
      <w:lang w:val="en-US" w:eastAsia="zh-CN" w:bidi="ar-SA"/>
    </w:rPr>
  </w:style>
  <w:style w:type="paragraph" w:customStyle="1" w:styleId="25">
    <w:name w:val="表格文字"/>
    <w:basedOn w:val="1"/>
    <w:qFormat/>
    <w:uiPriority w:val="0"/>
    <w:pPr>
      <w:adjustRightInd/>
      <w:snapToGrid/>
      <w:spacing w:line="280" w:lineRule="exact"/>
      <w:jc w:val="center"/>
    </w:pPr>
    <w:rPr>
      <w:kern w:val="2"/>
    </w:rPr>
  </w:style>
  <w:style w:type="paragraph" w:customStyle="1" w:styleId="26">
    <w:name w:val="大表格文字"/>
    <w:qFormat/>
    <w:uiPriority w:val="99"/>
    <w:pPr>
      <w:adjustRightInd w:val="0"/>
      <w:snapToGrid w:val="0"/>
      <w:spacing w:before="80" w:after="80"/>
      <w:jc w:val="center"/>
    </w:pPr>
    <w:rPr>
      <w:rFonts w:ascii="Times New Roman" w:hAnsi="Times New Roman" w:eastAsia="宋体" w:cs="Times New Roman"/>
      <w:sz w:val="24"/>
      <w:szCs w:val="24"/>
      <w:lang w:val="en-US" w:eastAsia="en-US" w:bidi="ar-SA"/>
    </w:rPr>
  </w:style>
  <w:style w:type="paragraph" w:styleId="27">
    <w:name w:val="List Paragraph"/>
    <w:basedOn w:val="1"/>
    <w:qFormat/>
    <w:uiPriority w:val="0"/>
    <w:pPr>
      <w:ind w:firstLine="420" w:firstLineChars="200"/>
    </w:pPr>
  </w:style>
  <w:style w:type="paragraph" w:customStyle="1" w:styleId="28">
    <w:name w:val="表格内"/>
    <w:basedOn w:val="1"/>
    <w:next w:val="1"/>
    <w:qFormat/>
    <w:uiPriority w:val="0"/>
    <w:pPr>
      <w:spacing w:line="240" w:lineRule="auto"/>
      <w:jc w:val="center"/>
    </w:pPr>
    <w:rPr>
      <w:kern w:val="0"/>
      <w:sz w:val="20"/>
      <w:szCs w:val="24"/>
    </w:rPr>
  </w:style>
  <w:style w:type="paragraph" w:customStyle="1" w:styleId="29">
    <w:name w:val="正文2"/>
    <w:basedOn w:val="30"/>
    <w:qFormat/>
    <w:uiPriority w:val="0"/>
    <w:pPr>
      <w:ind w:firstLine="480"/>
    </w:pPr>
    <w:rPr>
      <w:iCs/>
      <w:kern w:val="11"/>
      <w:szCs w:val="24"/>
    </w:rPr>
  </w:style>
  <w:style w:type="paragraph" w:customStyle="1" w:styleId="30">
    <w:name w:val="00正文"/>
    <w:basedOn w:val="1"/>
    <w:qFormat/>
    <w:uiPriority w:val="0"/>
    <w:pPr>
      <w:adjustRightInd/>
      <w:snapToGrid/>
      <w:ind w:firstLine="200" w:firstLineChars="200"/>
    </w:pPr>
    <w:rPr>
      <w:kern w:val="2"/>
      <w:szCs w:val="22"/>
    </w:rPr>
  </w:style>
  <w:style w:type="paragraph" w:customStyle="1" w:styleId="31">
    <w:name w:val="Char Char Char Char"/>
    <w:basedOn w:val="1"/>
    <w:next w:val="1"/>
    <w:qFormat/>
    <w:uiPriority w:val="0"/>
    <w:pPr>
      <w:spacing w:line="360" w:lineRule="auto"/>
      <w:ind w:firstLine="200" w:firstLineChars="200"/>
    </w:pPr>
    <w:rPr>
      <w:rFonts w:ascii="宋体" w:hAnsi="宋体" w:cs="宋体"/>
      <w:sz w:val="24"/>
    </w:rPr>
  </w:style>
  <w:style w:type="character" w:customStyle="1" w:styleId="32">
    <w:name w:val="font51"/>
    <w:basedOn w:val="19"/>
    <w:qFormat/>
    <w:uiPriority w:val="0"/>
    <w:rPr>
      <w:rFonts w:hint="eastAsia" w:ascii="宋体" w:hAnsi="宋体" w:eastAsia="宋体" w:cs="宋体"/>
      <w:color w:val="000000"/>
      <w:sz w:val="22"/>
      <w:szCs w:val="22"/>
      <w:u w:val="none"/>
    </w:rPr>
  </w:style>
  <w:style w:type="character" w:customStyle="1" w:styleId="33">
    <w:name w:val="font61"/>
    <w:basedOn w:val="19"/>
    <w:qFormat/>
    <w:uiPriority w:val="0"/>
    <w:rPr>
      <w:rFonts w:hint="eastAsia" w:ascii="宋体" w:hAnsi="宋体" w:eastAsia="宋体" w:cs="宋体"/>
      <w:color w:val="000000"/>
      <w:sz w:val="22"/>
      <w:szCs w:val="22"/>
      <w:u w:val="none"/>
    </w:rPr>
  </w:style>
  <w:style w:type="character" w:customStyle="1" w:styleId="34">
    <w:name w:val="font11"/>
    <w:basedOn w:val="19"/>
    <w:qFormat/>
    <w:uiPriority w:val="0"/>
    <w:rPr>
      <w:rFonts w:hint="eastAsia" w:ascii="宋体" w:hAnsi="宋体" w:eastAsia="宋体" w:cs="宋体"/>
      <w:color w:val="000000"/>
      <w:sz w:val="22"/>
      <w:szCs w:val="22"/>
      <w:u w:val="none"/>
    </w:rPr>
  </w:style>
  <w:style w:type="character" w:customStyle="1" w:styleId="35">
    <w:name w:val="font01"/>
    <w:basedOn w:val="19"/>
    <w:qFormat/>
    <w:uiPriority w:val="0"/>
    <w:rPr>
      <w:rFonts w:hint="eastAsia" w:ascii="宋体" w:hAnsi="宋体" w:eastAsia="宋体" w:cs="宋体"/>
      <w:color w:val="000000"/>
      <w:sz w:val="22"/>
      <w:szCs w:val="22"/>
      <w:u w:val="none"/>
    </w:rPr>
  </w:style>
  <w:style w:type="paragraph" w:customStyle="1" w:styleId="36">
    <w:name w:val="表格"/>
    <w:basedOn w:val="9"/>
    <w:next w:val="1"/>
    <w:qFormat/>
    <w:uiPriority w:val="0"/>
    <w:pPr>
      <w:spacing w:line="259" w:lineRule="auto"/>
      <w:jc w:val="center"/>
    </w:pPr>
    <w:rPr>
      <w:rFonts w:hAnsi="Times New Roman"/>
      <w:kern w:val="0"/>
    </w:rPr>
  </w:style>
  <w:style w:type="character" w:customStyle="1" w:styleId="37">
    <w:name w:val="font31"/>
    <w:basedOn w:val="19"/>
    <w:qFormat/>
    <w:uiPriority w:val="0"/>
    <w:rPr>
      <w:rFonts w:ascii="宋体" w:hAnsi="宋体" w:eastAsia="宋体" w:cs="宋体"/>
      <w:color w:val="000000"/>
      <w:sz w:val="22"/>
      <w:szCs w:val="22"/>
      <w:u w:val="none"/>
    </w:rPr>
  </w:style>
  <w:style w:type="character" w:customStyle="1" w:styleId="38">
    <w:name w:val="font21"/>
    <w:basedOn w:val="19"/>
    <w:qFormat/>
    <w:uiPriority w:val="0"/>
    <w:rPr>
      <w:rFonts w:hint="eastAsia" w:ascii="仿宋" w:hAnsi="仿宋" w:eastAsia="仿宋" w:cs="仿宋"/>
      <w:color w:val="002254"/>
      <w:sz w:val="22"/>
      <w:szCs w:val="22"/>
      <w:u w:val="none"/>
    </w:rPr>
  </w:style>
  <w:style w:type="character" w:customStyle="1" w:styleId="39">
    <w:name w:val="font41"/>
    <w:basedOn w:val="19"/>
    <w:qFormat/>
    <w:uiPriority w:val="0"/>
    <w:rPr>
      <w:rFonts w:ascii="宋体" w:hAnsi="宋体" w:eastAsia="宋体" w:cs="宋体"/>
      <w:b/>
      <w:bCs/>
      <w:color w:val="000000"/>
      <w:sz w:val="20"/>
      <w:szCs w:val="20"/>
      <w:u w:val="none"/>
    </w:rPr>
  </w:style>
  <w:style w:type="character" w:customStyle="1" w:styleId="40">
    <w:name w:val="font81"/>
    <w:basedOn w:val="19"/>
    <w:qFormat/>
    <w:uiPriority w:val="0"/>
    <w:rPr>
      <w:rFonts w:ascii="宋体" w:hAnsi="宋体" w:eastAsia="宋体" w:cs="宋体"/>
      <w:color w:val="001660"/>
      <w:sz w:val="20"/>
      <w:szCs w:val="20"/>
      <w:u w:val="none"/>
    </w:rPr>
  </w:style>
  <w:style w:type="character" w:customStyle="1" w:styleId="41">
    <w:name w:val="font71"/>
    <w:basedOn w:val="19"/>
    <w:qFormat/>
    <w:uiPriority w:val="0"/>
    <w:rPr>
      <w:rFonts w:ascii="宋体" w:hAnsi="宋体" w:eastAsia="宋体" w:cs="宋体"/>
      <w:color w:val="002272"/>
      <w:sz w:val="20"/>
      <w:szCs w:val="20"/>
      <w:u w:val="none"/>
    </w:rPr>
  </w:style>
  <w:style w:type="character" w:customStyle="1" w:styleId="42">
    <w:name w:val="font91"/>
    <w:basedOn w:val="19"/>
    <w:qFormat/>
    <w:uiPriority w:val="0"/>
    <w:rPr>
      <w:rFonts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2.jpeg"/><Relationship Id="rId30" Type="http://schemas.openxmlformats.org/officeDocument/2006/relationships/image" Target="media/image21.png"/><Relationship Id="rId3" Type="http://schemas.openxmlformats.org/officeDocument/2006/relationships/footnotes" Target="footnotes.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emf"/><Relationship Id="rId18" Type="http://schemas.openxmlformats.org/officeDocument/2006/relationships/oleObject" Target="embeddings/oleObject1.bin"/><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20061</Words>
  <Characters>24727</Characters>
  <Lines>1</Lines>
  <Paragraphs>1</Paragraphs>
  <TotalTime>1</TotalTime>
  <ScaleCrop>false</ScaleCrop>
  <LinksUpToDate>false</LinksUpToDate>
  <CharactersWithSpaces>25138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2022-03-24T08:37:00Z</dcterms:created>
  <dc:creator>A电视背景墙</dc:creator>
  <cp:lastModifiedBy>⿻゛马柒柒ᵎ</cp:lastModifiedBy>
  <cp:lastPrinted>2023-06-16T03:16:00Z</cp:lastPrinted>
  <dcterms:modified xsi:type="dcterms:W3CDTF">2023-06-19T01:58:46Z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AD2269D9D62548D0B0F9FFFE2A0A1050_13</vt:lpwstr>
  </property>
</Properties>
</file>