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lang w:eastAsia="zh-CN"/>
        </w:rPr>
        <w:t>济南西门子变压器有限公司</w:t>
      </w:r>
    </w:p>
    <w:p>
      <w:pPr>
        <w:pStyle w:val="16"/>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lang w:val="en-US" w:eastAsia="zh-CN"/>
        </w:rPr>
        <w:t>海上风电变压器扩建项目</w:t>
      </w:r>
    </w:p>
    <w:p>
      <w:pPr>
        <w:pStyle w:val="16"/>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ascii="仿宋" w:hAnsi="仿宋" w:eastAsia="仿宋" w:cs="Times New Roman"/>
          <w:b/>
          <w:sz w:val="28"/>
          <w:szCs w:val="28"/>
        </w:rPr>
      </w:pPr>
      <w:r>
        <w:rPr>
          <w:rFonts w:hint="eastAsia" w:asciiTheme="minorEastAsia" w:hAnsiTheme="minorEastAsia" w:eastAsiaTheme="minorEastAsia" w:cstheme="minorEastAsia"/>
          <w:b/>
          <w:bCs/>
        </w:rPr>
        <w:t>竣工环境保护验收组意见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cs="Times New Roman" w:eastAsiaTheme="minorEastAsia"/>
          <w:bCs/>
          <w:kern w:val="2"/>
          <w:sz w:val="24"/>
          <w:szCs w:val="24"/>
        </w:rPr>
        <w:t>根据《建设项目环境保护管理条例》（国务院令第682号）和《建设项目竣工环境保护验收暂行办法》（国环规环评[2017]4号）要</w:t>
      </w:r>
      <w:r>
        <w:rPr>
          <w:rFonts w:hint="default" w:ascii="Times New Roman" w:hAnsi="Times New Roman" w:cs="Times New Roman" w:eastAsiaTheme="minorEastAsia"/>
          <w:bCs/>
          <w:color w:val="auto"/>
          <w:kern w:val="2"/>
          <w:sz w:val="24"/>
          <w:szCs w:val="24"/>
        </w:rPr>
        <w:t>求，</w:t>
      </w:r>
      <w:r>
        <w:rPr>
          <w:rFonts w:hint="eastAsia" w:ascii="Times New Roman" w:hAnsi="Times New Roman" w:cs="Times New Roman" w:eastAsiaTheme="minorEastAsia"/>
          <w:bCs/>
          <w:color w:val="auto"/>
          <w:kern w:val="2"/>
          <w:sz w:val="24"/>
          <w:szCs w:val="24"/>
          <w:lang w:eastAsia="zh-CN"/>
        </w:rPr>
        <w:t>202</w:t>
      </w:r>
      <w:r>
        <w:rPr>
          <w:rFonts w:hint="eastAsia" w:ascii="Times New Roman" w:hAnsi="Times New Roman" w:cs="Times New Roman" w:eastAsiaTheme="minorEastAsia"/>
          <w:bCs/>
          <w:color w:val="auto"/>
          <w:kern w:val="2"/>
          <w:sz w:val="24"/>
          <w:szCs w:val="24"/>
          <w:lang w:val="en-US" w:eastAsia="zh-CN"/>
        </w:rPr>
        <w:t>1</w:t>
      </w:r>
      <w:r>
        <w:rPr>
          <w:rFonts w:hint="eastAsia" w:ascii="Times New Roman" w:hAnsi="Times New Roman" w:cs="Times New Roman" w:eastAsiaTheme="minorEastAsia"/>
          <w:bCs/>
          <w:color w:val="auto"/>
          <w:kern w:val="2"/>
          <w:sz w:val="24"/>
          <w:szCs w:val="24"/>
          <w:lang w:eastAsia="zh-CN"/>
        </w:rPr>
        <w:t>年</w:t>
      </w:r>
      <w:r>
        <w:rPr>
          <w:rFonts w:hint="eastAsia" w:ascii="Times New Roman" w:hAnsi="Times New Roman" w:cs="Times New Roman" w:eastAsiaTheme="minorEastAsia"/>
          <w:bCs/>
          <w:color w:val="auto"/>
          <w:kern w:val="2"/>
          <w:sz w:val="24"/>
          <w:szCs w:val="24"/>
          <w:lang w:val="en-US" w:eastAsia="zh-CN"/>
        </w:rPr>
        <w:t>11</w:t>
      </w:r>
      <w:r>
        <w:rPr>
          <w:rFonts w:hint="eastAsia" w:ascii="Times New Roman" w:hAnsi="Times New Roman" w:cs="Times New Roman" w:eastAsiaTheme="minorEastAsia"/>
          <w:bCs/>
          <w:color w:val="auto"/>
          <w:kern w:val="2"/>
          <w:sz w:val="24"/>
          <w:szCs w:val="24"/>
          <w:lang w:eastAsia="zh-CN"/>
        </w:rPr>
        <w:t>月</w:t>
      </w:r>
      <w:r>
        <w:rPr>
          <w:rFonts w:hint="eastAsia" w:ascii="Times New Roman" w:hAnsi="Times New Roman" w:cs="Times New Roman" w:eastAsiaTheme="minorEastAsia"/>
          <w:bCs/>
          <w:color w:val="auto"/>
          <w:kern w:val="2"/>
          <w:sz w:val="24"/>
          <w:szCs w:val="24"/>
          <w:lang w:val="en-US" w:eastAsia="zh-CN"/>
        </w:rPr>
        <w:t>19</w:t>
      </w:r>
      <w:r>
        <w:rPr>
          <w:rFonts w:hint="eastAsia" w:ascii="Times New Roman" w:hAnsi="Times New Roman" w:cs="Times New Roman" w:eastAsiaTheme="minorEastAsia"/>
          <w:bCs/>
          <w:color w:val="auto"/>
          <w:kern w:val="2"/>
          <w:sz w:val="24"/>
          <w:szCs w:val="24"/>
          <w:lang w:eastAsia="zh-CN"/>
        </w:rPr>
        <w:t>日</w:t>
      </w:r>
      <w:r>
        <w:rPr>
          <w:rFonts w:hint="default" w:ascii="Times New Roman" w:hAnsi="Times New Roman" w:cs="Times New Roman" w:eastAsiaTheme="minorEastAsia"/>
          <w:bCs/>
          <w:color w:val="auto"/>
          <w:kern w:val="2"/>
          <w:sz w:val="24"/>
          <w:szCs w:val="24"/>
        </w:rPr>
        <w:t>，</w:t>
      </w:r>
      <w:r>
        <w:rPr>
          <w:rFonts w:hint="eastAsia" w:ascii="Times New Roman" w:hAnsi="Times New Roman" w:cs="Times New Roman" w:eastAsiaTheme="minorEastAsia"/>
          <w:bCs/>
          <w:color w:val="auto"/>
          <w:kern w:val="2"/>
          <w:sz w:val="24"/>
          <w:szCs w:val="24"/>
          <w:lang w:eastAsia="zh-CN"/>
        </w:rPr>
        <w:t>济南西门子变压器有限公司</w:t>
      </w:r>
      <w:r>
        <w:rPr>
          <w:rFonts w:hint="default" w:ascii="Times New Roman" w:hAnsi="Times New Roman" w:cs="Times New Roman" w:eastAsiaTheme="minorEastAsia"/>
          <w:bCs/>
          <w:color w:val="auto"/>
          <w:kern w:val="2"/>
          <w:sz w:val="24"/>
          <w:szCs w:val="24"/>
        </w:rPr>
        <w:t>在</w:t>
      </w:r>
      <w:r>
        <w:rPr>
          <w:rFonts w:hint="eastAsia" w:ascii="Times New Roman" w:hAnsi="Times New Roman" w:cs="Times New Roman" w:eastAsiaTheme="minorEastAsia"/>
          <w:bCs/>
          <w:color w:val="auto"/>
          <w:kern w:val="2"/>
          <w:sz w:val="24"/>
          <w:szCs w:val="24"/>
          <w:lang w:eastAsia="zh-CN"/>
        </w:rPr>
        <w:t>济南西门子变压器有限公司</w:t>
      </w:r>
      <w:r>
        <w:rPr>
          <w:rFonts w:hint="eastAsia" w:ascii="Times New Roman" w:hAnsi="Times New Roman" w:cs="Times New Roman" w:eastAsiaTheme="minorEastAsia"/>
          <w:bCs/>
          <w:color w:val="auto"/>
          <w:kern w:val="2"/>
          <w:sz w:val="24"/>
          <w:szCs w:val="24"/>
          <w:lang w:val="zh-CN"/>
        </w:rPr>
        <w:t>会议室内</w:t>
      </w:r>
      <w:r>
        <w:rPr>
          <w:rFonts w:hint="default" w:ascii="Times New Roman" w:hAnsi="Times New Roman" w:cs="Times New Roman" w:eastAsiaTheme="minorEastAsia"/>
          <w:bCs/>
          <w:color w:val="auto"/>
          <w:kern w:val="2"/>
          <w:sz w:val="24"/>
          <w:szCs w:val="24"/>
        </w:rPr>
        <w:t>召开了</w:t>
      </w:r>
      <w:r>
        <w:rPr>
          <w:rFonts w:hint="eastAsia" w:ascii="Times New Roman" w:hAnsi="Times New Roman" w:cs="Times New Roman" w:eastAsiaTheme="minorEastAsia"/>
          <w:bCs/>
          <w:color w:val="auto"/>
          <w:kern w:val="2"/>
          <w:sz w:val="24"/>
          <w:szCs w:val="24"/>
          <w:lang w:eastAsia="zh-CN"/>
        </w:rPr>
        <w:t>济南西门子变压器有限公司</w:t>
      </w:r>
      <w:r>
        <w:rPr>
          <w:rFonts w:hint="eastAsia" w:ascii="Times New Roman" w:hAnsi="Times New Roman" w:cs="Times New Roman" w:eastAsiaTheme="minorEastAsia"/>
          <w:bCs/>
          <w:color w:val="auto"/>
          <w:kern w:val="2"/>
          <w:sz w:val="24"/>
          <w:szCs w:val="24"/>
          <w:lang w:val="en-US" w:eastAsia="zh-CN"/>
        </w:rPr>
        <w:t>海上风电变压器扩建项目</w:t>
      </w:r>
      <w:r>
        <w:rPr>
          <w:rFonts w:hint="default" w:ascii="Times New Roman" w:hAnsi="Times New Roman" w:cs="Times New Roman" w:eastAsiaTheme="minorEastAsia"/>
          <w:bCs/>
          <w:color w:val="auto"/>
          <w:kern w:val="2"/>
          <w:sz w:val="24"/>
          <w:szCs w:val="24"/>
          <w:lang w:eastAsia="zh-CN"/>
        </w:rPr>
        <w:t>竣工环境保护验收会议</w:t>
      </w:r>
      <w:r>
        <w:rPr>
          <w:rFonts w:hint="default" w:ascii="Times New Roman" w:hAnsi="Times New Roman" w:cs="Times New Roman" w:eastAsiaTheme="minorEastAsia"/>
          <w:bCs/>
          <w:color w:val="auto"/>
          <w:kern w:val="2"/>
          <w:sz w:val="24"/>
          <w:szCs w:val="24"/>
        </w:rPr>
        <w:t>。验收组由建设单位-</w:t>
      </w:r>
      <w:r>
        <w:rPr>
          <w:rFonts w:hint="eastAsia" w:ascii="Times New Roman" w:hAnsi="Times New Roman" w:cs="Times New Roman" w:eastAsiaTheme="minorEastAsia"/>
          <w:bCs/>
          <w:color w:val="auto"/>
          <w:kern w:val="2"/>
          <w:sz w:val="24"/>
          <w:szCs w:val="24"/>
          <w:lang w:eastAsia="zh-CN"/>
        </w:rPr>
        <w:t>济南西门子变压器有限公司</w:t>
      </w:r>
      <w:r>
        <w:rPr>
          <w:rFonts w:hint="default" w:ascii="Times New Roman" w:hAnsi="Times New Roman" w:cs="Times New Roman" w:eastAsiaTheme="minorEastAsia"/>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eastAsia"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eastAsia" w:ascii="Times New Roman" w:hAnsi="Times New Roman" w:eastAsia="宋体" w:cs="Times New Roman"/>
          <w:kern w:val="2"/>
          <w:sz w:val="24"/>
          <w:szCs w:val="24"/>
          <w:lang w:eastAsia="zh-CN"/>
        </w:rPr>
        <w:t>及两名特邀专家组成</w:t>
      </w:r>
      <w:r>
        <w:rPr>
          <w:rFonts w:hint="default" w:ascii="Times New Roman" w:hAnsi="Times New Roman" w:eastAsia="宋体" w:cs="Times New Roman"/>
          <w:kern w:val="2"/>
          <w:sz w:val="24"/>
          <w:szCs w:val="24"/>
        </w:rPr>
        <w:t>（验收组名单附后）。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cs="Times New Roman" w:eastAsiaTheme="minorEastAsia"/>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eastAsia" w:ascii="Times New Roman" w:hAnsi="Times New Roman" w:eastAsia="宋体" w:cs="Times New Roman"/>
          <w:b/>
          <w:bCs/>
          <w:sz w:val="28"/>
          <w:szCs w:val="28"/>
        </w:rPr>
      </w:pPr>
      <w:r>
        <w:rPr>
          <w:rFonts w:hint="eastAsia" w:ascii="Times New Roman" w:hAnsi="Times New Roman" w:eastAsia="宋体" w:cs="Times New Roman"/>
          <w:b/>
          <w:bCs/>
          <w:sz w:val="28"/>
          <w:szCs w:val="28"/>
        </w:rPr>
        <w:t>一、工程建设基本情况</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cs="Times New Roman" w:eastAsiaTheme="minorEastAsia"/>
          <w:bCs/>
          <w:color w:val="auto"/>
          <w:kern w:val="2"/>
          <w:sz w:val="24"/>
          <w:szCs w:val="24"/>
          <w:lang w:val="en-US" w:eastAsia="zh-CN"/>
        </w:rPr>
        <w:t>海上风电变压器扩建项目</w:t>
      </w:r>
    </w:p>
    <w:p>
      <w:pPr>
        <w:keepNext w:val="0"/>
        <w:keepLines w:val="0"/>
        <w:pageBreakBefore w:val="0"/>
        <w:widowControl w:val="0"/>
        <w:kinsoku/>
        <w:overflowPunct/>
        <w:topLinePunct w:val="0"/>
        <w:bidi w:val="0"/>
        <w:spacing w:after="0" w:line="360" w:lineRule="auto"/>
        <w:ind w:leftChars="0" w:right="0" w:firstLine="560"/>
        <w:rPr>
          <w:rFonts w:hint="eastAsia"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cs="Times New Roman" w:eastAsiaTheme="minorEastAsia"/>
          <w:bCs/>
          <w:color w:val="auto"/>
          <w:kern w:val="2"/>
          <w:sz w:val="24"/>
          <w:szCs w:val="24"/>
          <w:lang w:eastAsia="zh-CN"/>
        </w:rPr>
        <w:t>济南西门子变压器有限公司</w:t>
      </w:r>
    </w:p>
    <w:p>
      <w:pPr>
        <w:keepNext w:val="0"/>
        <w:keepLines w:val="0"/>
        <w:pageBreakBefore w:val="0"/>
        <w:widowControl w:val="0"/>
        <w:kinsoku/>
        <w:overflowPunct/>
        <w:topLinePunct w:val="0"/>
        <w:bidi w:val="0"/>
        <w:spacing w:after="0" w:line="360" w:lineRule="auto"/>
        <w:ind w:leftChars="0" w:right="0" w:firstLine="560"/>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val="en-US" w:eastAsia="zh-CN"/>
        </w:rPr>
        <w:t>扩建</w:t>
      </w:r>
    </w:p>
    <w:p>
      <w:pPr>
        <w:keepNext w:val="0"/>
        <w:keepLines w:val="0"/>
        <w:pageBreakBefore w:val="0"/>
        <w:kinsoku/>
        <w:overflowPunct/>
        <w:topLinePunct w:val="0"/>
        <w:bidi w:val="0"/>
        <w:spacing w:after="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山东省济南市市中区魏华西路10号</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建设规模：济南西门子变压器有限公司总投资7290万元，其中环保投资100万元，建设海上风电变压器扩建项目。该项目总建筑面积2483m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，职工定员111人，年生产天数300天，每天两班，每班8小时。</w:t>
      </w:r>
    </w:p>
    <w:p>
      <w:pPr>
        <w:keepNext w:val="0"/>
        <w:keepLines w:val="0"/>
        <w:pageBreakBefore w:val="0"/>
        <w:kinsoku/>
        <w:overflowPunct/>
        <w:topLinePunct w:val="0"/>
        <w:bidi w:val="0"/>
        <w:spacing w:after="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keepNext w:val="0"/>
        <w:keepLines w:val="0"/>
        <w:pageBreakBefore w:val="0"/>
        <w:widowControl/>
        <w:kinsoku/>
        <w:wordWrap/>
        <w:overflowPunct/>
        <w:topLinePunct w:val="0"/>
        <w:autoSpaceDE/>
        <w:autoSpaceDN/>
        <w:bidi w:val="0"/>
        <w:adjustRightInd w:val="0"/>
        <w:snapToGrid w:val="0"/>
        <w:spacing w:after="0" w:line="360" w:lineRule="auto"/>
        <w:ind w:left="0" w:leftChars="0" w:right="0" w:firstLine="480" w:firstLineChars="200"/>
        <w:textAlignment w:val="auto"/>
        <w:rPr>
          <w:rFonts w:hint="default" w:ascii="Times New Roman" w:hAnsi="Times New Roman" w:cs="Times New Roman" w:eastAsiaTheme="minorEastAsia"/>
          <w:bCs/>
          <w:color w:val="auto"/>
          <w:kern w:val="2"/>
          <w:sz w:val="24"/>
          <w:szCs w:val="24"/>
          <w:lang w:val="en-US" w:eastAsia="zh-CN" w:bidi="ar-SA"/>
        </w:rPr>
      </w:pPr>
      <w:r>
        <w:rPr>
          <w:rFonts w:hint="default" w:ascii="Times New Roman" w:hAnsi="Times New Roman" w:cs="Times New Roman" w:eastAsiaTheme="minorEastAsia"/>
          <w:bCs/>
          <w:color w:val="auto"/>
          <w:kern w:val="2"/>
          <w:sz w:val="24"/>
          <w:szCs w:val="24"/>
          <w:lang w:val="en-US" w:eastAsia="zh-CN" w:bidi="ar-SA"/>
        </w:rPr>
        <w:t>济南西门子变压器有限公司2020年7月委托山东环保产业集团有限公司编制完成了《济南西门子变压器有限公司海上风电变压器扩建项目环境影响报告表》，并于2020年12月31日经济南市生态环境局市中分局审批（市中环报告表［2020］41号）。</w:t>
      </w:r>
    </w:p>
    <w:p>
      <w:pPr>
        <w:keepNext w:val="0"/>
        <w:keepLines w:val="0"/>
        <w:pageBreakBefore w:val="0"/>
        <w:widowControl/>
        <w:kinsoku/>
        <w:wordWrap/>
        <w:overflowPunct/>
        <w:topLinePunct w:val="0"/>
        <w:autoSpaceDE/>
        <w:autoSpaceDN/>
        <w:bidi w:val="0"/>
        <w:adjustRightInd w:val="0"/>
        <w:snapToGrid w:val="0"/>
        <w:spacing w:after="0" w:line="360" w:lineRule="auto"/>
        <w:ind w:left="0" w:leftChars="0" w:right="0" w:firstLine="480" w:firstLineChars="200"/>
        <w:textAlignment w:val="auto"/>
        <w:rPr>
          <w:rFonts w:hint="default" w:ascii="Times New Roman" w:hAnsi="Times New Roman" w:cs="Times New Roman" w:eastAsiaTheme="minorEastAsia"/>
          <w:bCs/>
          <w:color w:val="auto"/>
          <w:kern w:val="2"/>
          <w:sz w:val="24"/>
          <w:szCs w:val="24"/>
          <w:lang w:val="en-US" w:eastAsia="zh-CN" w:bidi="ar-SA"/>
        </w:rPr>
      </w:pPr>
      <w:r>
        <w:rPr>
          <w:rFonts w:hint="default" w:ascii="Times New Roman" w:hAnsi="Times New Roman" w:cs="Times New Roman" w:eastAsiaTheme="minorEastAsia"/>
          <w:bCs/>
          <w:color w:val="auto"/>
          <w:kern w:val="2"/>
          <w:sz w:val="24"/>
          <w:szCs w:val="24"/>
          <w:lang w:val="en-US" w:eastAsia="zh-CN" w:bidi="ar-SA"/>
        </w:rPr>
        <w:t>本项目于2021年1月开工建设，2021年8月建成，2021年9月投入试生产阶段，运营期间运行状况良好，环保设施同时进行试运行，具备竣工验收条件。</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color w:val="000000"/>
          <w:spacing w:val="0"/>
          <w:kern w:val="21"/>
          <w:sz w:val="24"/>
          <w:szCs w:val="24"/>
        </w:rPr>
      </w:pPr>
      <w:r>
        <w:rPr>
          <w:rFonts w:hint="default" w:ascii="Times New Roman" w:hAnsi="Times New Roman" w:eastAsia="宋体" w:cs="Times New Roman"/>
          <w:color w:val="000000"/>
          <w:spacing w:val="0"/>
          <w:kern w:val="21"/>
          <w:sz w:val="24"/>
          <w:szCs w:val="24"/>
        </w:rPr>
        <w:t>本项目建设无分期，本次验收内容为济南西门子变压器有限公司海上风电变压器扩建项目建成后的全部内容。</w:t>
      </w:r>
    </w:p>
    <w:p>
      <w:pPr>
        <w:keepNext w:val="0"/>
        <w:keepLines w:val="0"/>
        <w:pageBreakBefore w:val="0"/>
        <w:kinsoku/>
        <w:overflowPunct/>
        <w:topLinePunct w:val="0"/>
        <w:bidi w:val="0"/>
        <w:adjustRightInd/>
        <w:spacing w:after="0" w:line="360" w:lineRule="auto"/>
        <w:ind w:leftChars="0" w:right="0" w:firstLine="562"/>
        <w:rPr>
          <w:rFonts w:ascii="Times New Roman" w:hAnsi="Times New Roman" w:eastAsia="宋体" w:cs="Times New Roman"/>
          <w:b/>
          <w:color w:val="000000"/>
          <w:sz w:val="28"/>
          <w:szCs w:val="28"/>
        </w:rPr>
      </w:pPr>
      <w:r>
        <w:rPr>
          <w:rFonts w:hint="eastAsia" w:ascii="Times New Roman" w:hAnsi="Times New Roman" w:eastAsia="宋体" w:cs="Times New Roman"/>
          <w:b/>
          <w:color w:val="000000"/>
          <w:sz w:val="28"/>
          <w:szCs w:val="28"/>
        </w:rPr>
        <w:t>二、工程变动情况</w:t>
      </w:r>
    </w:p>
    <w:p>
      <w:pPr>
        <w:keepNext w:val="0"/>
        <w:keepLines w:val="0"/>
        <w:pageBreakBefore w:val="0"/>
        <w:kinsoku/>
        <w:overflowPunct/>
        <w:topLinePunct w:val="0"/>
        <w:bidi w:val="0"/>
        <w:spacing w:after="0" w:line="360" w:lineRule="auto"/>
        <w:ind w:leftChars="0" w:right="0" w:firstLine="560"/>
        <w:rPr>
          <w:rFonts w:hint="eastAsia" w:ascii="Times New Roman" w:hAnsi="Times New Roman" w:eastAsia="宋体" w:cs="Times New Roman"/>
          <w:b w:val="0"/>
          <w:bCs w:val="0"/>
          <w:kern w:val="2"/>
          <w:sz w:val="24"/>
          <w:szCs w:val="24"/>
          <w:lang w:val="en-US" w:eastAsia="zh-CN"/>
        </w:rPr>
      </w:pPr>
      <w:r>
        <w:rPr>
          <w:rFonts w:hint="eastAsia" w:ascii="Times New Roman" w:hAnsi="Times New Roman" w:eastAsia="宋体" w:cs="Times New Roman"/>
          <w:b w:val="0"/>
          <w:bCs w:val="0"/>
          <w:kern w:val="2"/>
          <w:sz w:val="24"/>
          <w:szCs w:val="24"/>
          <w:lang w:val="en-US" w:eastAsia="zh-CN"/>
        </w:rPr>
        <w:t>与环评相比较，本项目实际建设过程中补漆工序废气处理方式从通过距地面15米高的排气筒排放变更为通过距地面20米高的排气筒排放；变压器油储罐大小呼吸产生的有机废气：储罐上安装有硅胶-活性炭吸附装置变更为储罐上安装有硅胶吸附装置。</w:t>
      </w:r>
    </w:p>
    <w:p>
      <w:pPr>
        <w:keepNext w:val="0"/>
        <w:keepLines w:val="0"/>
        <w:pageBreakBefore w:val="0"/>
        <w:kinsoku/>
        <w:overflowPunct/>
        <w:topLinePunct w:val="0"/>
        <w:bidi w:val="0"/>
        <w:spacing w:after="0" w:line="360" w:lineRule="auto"/>
        <w:ind w:leftChars="0" w:right="0" w:firstLine="560"/>
        <w:rPr>
          <w:rFonts w:hint="eastAsia" w:ascii="Times New Roman" w:hAnsi="Times New Roman" w:eastAsia="宋体" w:cs="Times New Roman"/>
          <w:b w:val="0"/>
          <w:bCs w:val="0"/>
          <w:kern w:val="2"/>
          <w:sz w:val="24"/>
          <w:szCs w:val="24"/>
          <w:lang w:val="en-US" w:eastAsia="zh-CN"/>
        </w:rPr>
      </w:pPr>
      <w:r>
        <w:rPr>
          <w:rFonts w:hint="eastAsia" w:ascii="Times New Roman" w:hAnsi="Times New Roman" w:eastAsia="宋体" w:cs="Times New Roman"/>
          <w:b w:val="0"/>
          <w:bCs w:val="0"/>
          <w:kern w:val="2"/>
          <w:sz w:val="24"/>
          <w:szCs w:val="24"/>
          <w:lang w:val="en-US" w:eastAsia="zh-CN"/>
        </w:rPr>
        <w:t>因此，该项目实际建设过程中项目的性质、规模、地点、运营工艺等其他内容未发生重大变动，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不属于重大变更，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三、环境保护设施建设情况</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本项目生产过程产生的有组织废气主要为焊接废气、补漆工序废气和变压器油储罐呼吸废气。</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1）焊接废气</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本项目焊接过程中产生的焊接烟尘经焊烟净化器处理后无组织排放。</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2）补漆工序废气</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 刷漆过程中产生的废气苯、甲苯、二甲苯、VOCs，废气经“集气罩+两级活性炭吸附”废气处理装置处理后，通过距地面20米高的排气筒排放。</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3）变压器油储罐呼吸废气</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储罐上安装有硅胶吸附装置，废气经处理后无组织排放。</w:t>
      </w:r>
    </w:p>
    <w:p>
      <w:pPr>
        <w:keepNext w:val="0"/>
        <w:keepLines w:val="0"/>
        <w:pageBreakBefore w:val="0"/>
        <w:kinsoku/>
        <w:overflowPunct/>
        <w:topLinePunct w:val="0"/>
        <w:bidi w:val="0"/>
        <w:adjustRightInd/>
        <w:spacing w:after="0" w:line="360" w:lineRule="auto"/>
        <w:ind w:right="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2、废水</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本项目废水主要为生活污水、软水制备废水、循环水外排水和清洗棚清洗废水。生活污水经化粪池沉淀后排入厂区自建中水站；清洗废水经隔油池处理后排入厂区自建中水站；生产废水主要是循环水外排废水和软水制备废水，均排入厂区中水站进行处理；废水由中水站处理后满足《污水排入城镇下水道水质标准》（GB/T31962-2015）A 级标准，由市政污水管网排入光大水务济南有限公司水质净化四厂深度处理，处理达《城镇污水处理厂污染物排放标准》(GB18918-2002)要求后排入小清河。</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3、噪声</w:t>
      </w:r>
    </w:p>
    <w:p>
      <w:pPr>
        <w:keepNext w:val="0"/>
        <w:keepLines w:val="0"/>
        <w:pageBreakBefore w:val="0"/>
        <w:kinsoku/>
        <w:overflowPunct/>
        <w:topLinePunct w:val="0"/>
        <w:bidi w:val="0"/>
        <w:adjustRightInd/>
        <w:spacing w:after="0" w:line="360" w:lineRule="auto"/>
        <w:ind w:left="0" w:leftChars="0" w:right="0" w:firstLine="480" w:firstLineChars="200"/>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本项目噪声源主要是卧式绕线机、器身干燥罐以及移动式真空滤油机等各种机械设备运行时产生的机械声，以及风机运转产生的噪声，噪声值在65-90dB(A)。本项目所有设备均设置在车间内，厂房隔声，选择低噪声设备，基础减振，在设备安装及设备与管路连接处可采用减震垫或者柔性接头等措施减振、降噪。加强管理，经常保养和维护设备，避免设备在不良状态下运行等。</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2"/>
        <w:keepNext w:val="0"/>
        <w:keepLines w:val="0"/>
        <w:pageBreakBefore w:val="0"/>
        <w:kinsoku/>
        <w:overflowPunct/>
        <w:topLinePunct w:val="0"/>
        <w:bidi w:val="0"/>
        <w:spacing w:line="360" w:lineRule="auto"/>
        <w:ind w:leftChars="0" w:right="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生产过程中产生的固体废物包括危险废物和一般固废。危险废物主要为废矿物油、废油漆、废环氧树脂胶、废油漆桶、废胶桶、废滤芯、废活性炭。一般固废主要包括废木包装、废电磁线、废铁、废边角料、废焊条和生活垃圾。</w:t>
      </w:r>
    </w:p>
    <w:p>
      <w:pPr>
        <w:pStyle w:val="22"/>
        <w:keepNext w:val="0"/>
        <w:keepLines w:val="0"/>
        <w:pageBreakBefore w:val="0"/>
        <w:kinsoku/>
        <w:overflowPunct/>
        <w:topLinePunct w:val="0"/>
        <w:bidi w:val="0"/>
        <w:spacing w:line="360" w:lineRule="auto"/>
        <w:ind w:leftChars="0" w:right="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危险废物：废矿物油收集后暂存于危废暂存间，委托济南市鑫源物资开发利用有限公司处置；废油漆、废环氧树脂胶、废油漆桶、废胶桶、废滤芯、废活性炭等危险废物收集后暂存于危废暂存间，委托渤瑞环保股份有限公司处置。</w:t>
      </w:r>
    </w:p>
    <w:p>
      <w:pPr>
        <w:pStyle w:val="22"/>
        <w:keepNext w:val="0"/>
        <w:keepLines w:val="0"/>
        <w:pageBreakBefore w:val="0"/>
        <w:kinsoku/>
        <w:overflowPunct/>
        <w:topLinePunct w:val="0"/>
        <w:bidi w:val="0"/>
        <w:spacing w:line="360" w:lineRule="auto"/>
        <w:ind w:leftChars="0" w:right="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一般固废：废木包装统一收集后，外售给包装公司综合利用；废电磁线统一收集后，由厂家回收处置；废铁、边角料和废焊条统一收集后，由废品回收单位回收利用；生活垃圾统一收集后，由环保部门定期清运处理。</w:t>
      </w:r>
    </w:p>
    <w:p>
      <w:pPr>
        <w:keepNext w:val="0"/>
        <w:keepLines w:val="0"/>
        <w:pageBreakBefore w:val="0"/>
        <w:kinsoku/>
        <w:overflowPunct/>
        <w:topLinePunct w:val="0"/>
        <w:bidi w:val="0"/>
        <w:spacing w:after="0" w:line="360" w:lineRule="auto"/>
        <w:ind w:leftChars="0" w:right="0" w:firstLine="562"/>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四、环境保护设施调试效果</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lang w:val="en-US" w:eastAsia="zh-CN"/>
        </w:rPr>
        <w:t>济南西门子变压器有限公司海上风电变压器扩建项目</w:t>
      </w:r>
      <w:r>
        <w:rPr>
          <w:rFonts w:hint="default" w:ascii="Times New Roman" w:hAnsi="Times New Roman" w:eastAsia="宋体" w:cs="Times New Roman"/>
          <w:color w:val="auto"/>
          <w:kern w:val="2"/>
          <w:sz w:val="24"/>
          <w:szCs w:val="24"/>
        </w:rPr>
        <w:t>竣工环境保护验收</w:t>
      </w:r>
      <w:r>
        <w:rPr>
          <w:rFonts w:hint="eastAsia"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监测期间，该企业生产正常，工况稳定，满足验收监测技术规范要求。</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r>
        <w:rPr>
          <w:rFonts w:hint="eastAsia" w:ascii="Times New Roman" w:hAnsi="Times New Roman" w:eastAsia="宋体" w:cs="Times New Roman"/>
          <w:kern w:val="2"/>
          <w:sz w:val="24"/>
          <w:szCs w:val="24"/>
          <w:lang w:val="en-US" w:eastAsia="zh-CN"/>
        </w:rPr>
        <w:t>：</w:t>
      </w:r>
    </w:p>
    <w:p>
      <w:pPr>
        <w:pStyle w:val="9"/>
        <w:spacing w:line="360" w:lineRule="auto"/>
        <w:ind w:left="0" w:leftChars="0" w:firstLine="480" w:firstLineChars="200"/>
        <w:jc w:val="left"/>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正常运行，补漆工序废气排气筒P1VOCs（非甲烷总烃）</w:t>
      </w:r>
      <w:r>
        <w:rPr>
          <w:rFonts w:hint="default" w:ascii="Times New Roman" w:hAnsi="Times New Roman" w:eastAsia="宋体" w:cs="Times New Roman"/>
          <w:sz w:val="24"/>
          <w:highlight w:val="none"/>
          <w:lang w:val="en-US" w:eastAsia="zh-CN"/>
        </w:rPr>
        <w:t>最大排放浓度为5.26mg/m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，最大排放速率为0.057kg/h；</w:t>
      </w:r>
      <w:r>
        <w:rPr>
          <w:rFonts w:hint="default" w:ascii="Times New Roman" w:hAnsi="Times New Roman" w:eastAsia="宋体" w:cs="Times New Roman"/>
          <w:sz w:val="24"/>
          <w:highlight w:val="none"/>
          <w:lang w:eastAsia="zh-CN"/>
        </w:rPr>
        <w:t>苯</w:t>
      </w:r>
      <w:r>
        <w:rPr>
          <w:rFonts w:hint="default" w:ascii="Times New Roman" w:hAnsi="Times New Roman" w:eastAsia="宋体" w:cs="Times New Roman"/>
          <w:sz w:val="24"/>
          <w:highlight w:val="none"/>
          <w:lang w:val="en-US" w:eastAsia="zh-CN"/>
        </w:rPr>
        <w:t>为未检出；</w:t>
      </w:r>
      <w:r>
        <w:rPr>
          <w:rFonts w:hint="default" w:ascii="Times New Roman" w:hAnsi="Times New Roman" w:eastAsia="宋体" w:cs="Times New Roman"/>
          <w:sz w:val="24"/>
          <w:highlight w:val="none"/>
          <w:lang w:eastAsia="zh-CN"/>
        </w:rPr>
        <w:t>甲苯</w:t>
      </w:r>
      <w:r>
        <w:rPr>
          <w:rFonts w:hint="default" w:ascii="Times New Roman" w:hAnsi="Times New Roman" w:eastAsia="宋体" w:cs="Times New Roman"/>
          <w:sz w:val="24"/>
          <w:highlight w:val="none"/>
          <w:lang w:val="en-US" w:eastAsia="zh-CN"/>
        </w:rPr>
        <w:t>最大排放浓度为0.226mg/m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，最大排放速率为2.5×10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kg/h；二</w:t>
      </w:r>
      <w:r>
        <w:rPr>
          <w:rFonts w:hint="default" w:ascii="Times New Roman" w:hAnsi="Times New Roman" w:eastAsia="宋体" w:cs="Times New Roman"/>
          <w:sz w:val="24"/>
          <w:highlight w:val="none"/>
          <w:lang w:eastAsia="zh-CN"/>
        </w:rPr>
        <w:t>甲苯</w:t>
      </w:r>
      <w:r>
        <w:rPr>
          <w:rFonts w:hint="default" w:ascii="Times New Roman" w:hAnsi="Times New Roman" w:eastAsia="宋体" w:cs="Times New Roman"/>
          <w:sz w:val="24"/>
          <w:highlight w:val="none"/>
          <w:lang w:val="en-US" w:eastAsia="zh-CN"/>
        </w:rPr>
        <w:t>最大排放浓度为0.285mg/m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，最大排放速率为2.9×10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kg/h。</w:t>
      </w:r>
    </w:p>
    <w:p>
      <w:pPr>
        <w:pStyle w:val="9"/>
        <w:spacing w:line="360" w:lineRule="auto"/>
        <w:ind w:left="0" w:leftChars="0" w:firstLine="480" w:firstLineChars="200"/>
        <w:jc w:val="left"/>
        <w:rPr>
          <w:rFonts w:hint="default" w:ascii="Times New Roman" w:hAnsi="Times New Roman" w:eastAsia="宋体" w:cs="Times New Roman"/>
          <w:color w:val="0D0D0D"/>
          <w:sz w:val="24"/>
          <w:szCs w:val="24"/>
          <w:lang w:val="en-US" w:eastAsia="zh-CN"/>
        </w:rPr>
      </w:pPr>
      <w:r>
        <w:rPr>
          <w:rFonts w:hint="default" w:ascii="Times New Roman" w:hAnsi="Times New Roman" w:eastAsia="宋体" w:cs="Times New Roman"/>
          <w:sz w:val="24"/>
          <w:szCs w:val="24"/>
        </w:rPr>
        <w:t>项目</w:t>
      </w:r>
      <w:r>
        <w:rPr>
          <w:rFonts w:hint="default" w:ascii="Times New Roman" w:hAnsi="Times New Roman" w:eastAsia="宋体" w:cs="Times New Roman"/>
          <w:color w:val="0D0D0D"/>
          <w:sz w:val="24"/>
          <w:szCs w:val="24"/>
          <w:lang w:val="en-US" w:eastAsia="zh-CN"/>
        </w:rPr>
        <w:t>VOCs （非甲烷总烃）、</w:t>
      </w:r>
      <w:r>
        <w:rPr>
          <w:rFonts w:hint="default" w:ascii="Times New Roman" w:hAnsi="Times New Roman" w:eastAsia="宋体" w:cs="Times New Roman"/>
          <w:sz w:val="24"/>
          <w:highlight w:val="none"/>
          <w:lang w:val="en-US" w:eastAsia="zh-CN"/>
        </w:rPr>
        <w:t>苯、甲苯、二甲苯</w:t>
      </w:r>
      <w:r>
        <w:rPr>
          <w:rFonts w:hint="default" w:ascii="Times New Roman" w:hAnsi="Times New Roman" w:eastAsia="宋体" w:cs="Times New Roman"/>
          <w:color w:val="0D0D0D"/>
          <w:sz w:val="24"/>
          <w:szCs w:val="24"/>
          <w:lang w:val="en-US" w:eastAsia="zh-CN"/>
        </w:rPr>
        <w:t>有组织排放满足《挥发性有机物排放标准 第 5 部分：表面涂 装行业》（DB37/2801.5-2018）表 2 中标准要求。</w:t>
      </w:r>
      <w:r>
        <w:rPr>
          <w:rFonts w:hint="default" w:ascii="Times New Roman" w:hAnsi="Times New Roman" w:eastAsia="宋体" w:cs="Times New Roman"/>
          <w:color w:val="000000"/>
          <w:kern w:val="0"/>
          <w:sz w:val="24"/>
          <w:szCs w:val="24"/>
          <w:lang w:val="en-US" w:eastAsia="zh-CN" w:bidi="ar"/>
        </w:rPr>
        <w:t>（VOCs：50mg/m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；2.0kg/h）（苯：0.5mg/m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；0.2kg/h）（甲苯5.0mg/m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；0.6kg/h）（二甲苯15mg/m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；0.8kg/h）。</w:t>
      </w:r>
    </w:p>
    <w:p>
      <w:pPr>
        <w:pStyle w:val="3"/>
        <w:numPr>
          <w:ilvl w:val="0"/>
          <w:numId w:val="0"/>
        </w:numPr>
        <w:adjustRightInd w:val="0"/>
        <w:snapToGrid w:val="0"/>
        <w:spacing w:after="0" w:line="360" w:lineRule="auto"/>
        <w:ind w:firstLine="480" w:firstLineChars="200"/>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本项目颗粒物</w:t>
      </w:r>
      <w:r>
        <w:rPr>
          <w:rFonts w:hint="default" w:ascii="Times New Roman" w:hAnsi="Times New Roman" w:eastAsia="宋体" w:cs="Times New Roman"/>
          <w:sz w:val="24"/>
          <w:szCs w:val="24"/>
        </w:rPr>
        <w:t>厂界浓度最大值为</w:t>
      </w:r>
      <w:r>
        <w:rPr>
          <w:rFonts w:hint="default" w:ascii="Times New Roman" w:hAnsi="Times New Roman" w:eastAsia="宋体" w:cs="Times New Roman"/>
          <w:sz w:val="24"/>
          <w:szCs w:val="24"/>
          <w:lang w:val="en-US" w:eastAsia="zh-CN"/>
        </w:rPr>
        <w:t>232</w:t>
      </w:r>
      <w:r>
        <w:rPr>
          <w:rFonts w:hint="default" w:ascii="Times New Roman" w:hAnsi="Times New Roman" w:eastAsia="宋体" w:cs="Times New Roman"/>
          <w:bCs w:val="0"/>
          <w:color w:val="auto"/>
          <w:kern w:val="0"/>
          <w:sz w:val="21"/>
          <w:szCs w:val="21"/>
          <w:lang w:eastAsia="zh-CN" w:bidi="ar"/>
        </w:rPr>
        <w:t>μ</w:t>
      </w:r>
      <w:r>
        <w:rPr>
          <w:rFonts w:hint="default" w:ascii="Times New Roman" w:hAnsi="Times New Roman" w:eastAsia="宋体" w:cs="Times New Roman"/>
          <w:color w:val="auto"/>
          <w:kern w:val="0"/>
          <w:sz w:val="21"/>
          <w:szCs w:val="21"/>
          <w:lang w:bidi="ar"/>
        </w:rPr>
        <w:t>g/m</w:t>
      </w:r>
      <w:r>
        <w:rPr>
          <w:rFonts w:hint="default" w:ascii="Times New Roman" w:hAnsi="Times New Roman" w:eastAsia="宋体" w:cs="Times New Roman"/>
          <w:color w:val="auto"/>
          <w:kern w:val="0"/>
          <w:sz w:val="21"/>
          <w:szCs w:val="21"/>
          <w:vertAlign w:val="superscript"/>
          <w:lang w:bidi="ar"/>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VOCs（非甲烷总烃）</w:t>
      </w:r>
      <w:r>
        <w:rPr>
          <w:rFonts w:hint="default" w:ascii="Times New Roman" w:hAnsi="Times New Roman" w:eastAsia="宋体" w:cs="Times New Roman"/>
          <w:sz w:val="24"/>
          <w:szCs w:val="24"/>
        </w:rPr>
        <w:t>厂界浓度最大值为</w:t>
      </w:r>
      <w:r>
        <w:rPr>
          <w:rFonts w:hint="default" w:ascii="Times New Roman" w:hAnsi="Times New Roman" w:eastAsia="宋体" w:cs="Times New Roman"/>
          <w:color w:val="auto"/>
          <w:sz w:val="24"/>
          <w:szCs w:val="24"/>
          <w:lang w:val="en-US" w:eastAsia="zh-CN"/>
        </w:rPr>
        <w:t>1.2mg/m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eastAsia="zh-CN"/>
        </w:rPr>
        <w:t>，苯、甲苯、二甲苯均为未检出</w:t>
      </w:r>
      <w:r>
        <w:rPr>
          <w:rFonts w:hint="default" w:ascii="Times New Roman" w:hAnsi="Times New Roman" w:eastAsia="宋体" w:cs="Times New Roman"/>
          <w:color w:val="auto"/>
          <w:sz w:val="24"/>
          <w:szCs w:val="24"/>
          <w:vertAlign w:val="baseline"/>
          <w:lang w:val="en-US" w:eastAsia="zh-CN"/>
        </w:rPr>
        <w:t>。</w:t>
      </w:r>
    </w:p>
    <w:p>
      <w:pPr>
        <w:pStyle w:val="3"/>
        <w:numPr>
          <w:ilvl w:val="0"/>
          <w:numId w:val="0"/>
        </w:numPr>
        <w:adjustRightInd w:val="0"/>
        <w:snapToGrid w:val="0"/>
        <w:spacing w:after="0" w:line="360" w:lineRule="auto"/>
        <w:ind w:firstLine="480" w:firstLineChars="200"/>
        <w:rPr>
          <w:rFonts w:hint="default" w:ascii="Times New Roman" w:hAnsi="Times New Roman" w:eastAsia="宋体" w:cs="Times New Roman"/>
          <w:color w:val="auto"/>
          <w:sz w:val="24"/>
          <w:szCs w:val="24"/>
          <w:vertAlign w:val="baseline"/>
          <w:lang w:val="en-US" w:eastAsia="zh-CN"/>
        </w:rPr>
      </w:pPr>
      <w:r>
        <w:rPr>
          <w:rFonts w:hint="default" w:ascii="Times New Roman" w:hAnsi="Times New Roman" w:eastAsia="宋体" w:cs="Times New Roman"/>
          <w:color w:val="auto"/>
          <w:sz w:val="24"/>
          <w:szCs w:val="24"/>
          <w:lang w:val="en-US" w:eastAsia="zh-CN"/>
        </w:rPr>
        <w:t>项目</w:t>
      </w:r>
      <w:r>
        <w:rPr>
          <w:rFonts w:hint="default" w:ascii="Times New Roman" w:hAnsi="Times New Roman" w:eastAsia="宋体" w:cs="Times New Roman"/>
          <w:color w:val="000000"/>
          <w:kern w:val="0"/>
          <w:sz w:val="24"/>
          <w:szCs w:val="24"/>
          <w:lang w:val="en-US" w:eastAsia="zh-CN" w:bidi="ar"/>
        </w:rPr>
        <w:t>VOCs（非甲烷总烃）、苯、甲苯、二甲苯</w:t>
      </w:r>
      <w:r>
        <w:rPr>
          <w:rFonts w:hint="default" w:ascii="Times New Roman" w:hAnsi="Times New Roman" w:eastAsia="宋体" w:cs="Times New Roman"/>
          <w:color w:val="auto"/>
          <w:sz w:val="24"/>
          <w:szCs w:val="24"/>
          <w:lang w:val="en-US" w:eastAsia="zh-CN"/>
        </w:rPr>
        <w:t>无组织排放</w:t>
      </w:r>
      <w:r>
        <w:rPr>
          <w:rFonts w:hint="default" w:ascii="Times New Roman" w:hAnsi="Times New Roman" w:eastAsia="宋体" w:cs="Times New Roman"/>
          <w:color w:val="000000"/>
          <w:kern w:val="0"/>
          <w:sz w:val="24"/>
          <w:szCs w:val="24"/>
          <w:lang w:val="en-US" w:eastAsia="zh-CN" w:bidi="ar"/>
        </w:rPr>
        <w:t>满足《挥发性有机物无组织排放控制标准》（GB 37822-2019）、《挥发性有 机物排放标准第5部分：表面涂装行业》（DB37/2801.5-2018）表3厂界监控点浓度限值和《挥发性有机物排放标准第7部分：其他行业》（DB37/2801.7-2019）表2中厂界监控点浓度限值的管控要求（VOCs（非甲烷总烃）：2.0mg/m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vertAlign w:val="baseline"/>
          <w:lang w:val="en-US" w:eastAsia="zh-CN" w:bidi="ar"/>
        </w:rPr>
        <w:t>；苯</w:t>
      </w:r>
      <w:r>
        <w:rPr>
          <w:rFonts w:hint="default" w:ascii="Times New Roman" w:hAnsi="Times New Roman" w:eastAsia="宋体" w:cs="Times New Roman"/>
          <w:color w:val="000000"/>
          <w:kern w:val="0"/>
          <w:sz w:val="24"/>
          <w:szCs w:val="24"/>
          <w:lang w:val="en-US" w:eastAsia="zh-CN" w:bidi="ar"/>
        </w:rPr>
        <w:t>0.1mg/m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vertAlign w:val="baseline"/>
          <w:lang w:val="en-US" w:eastAsia="zh-CN" w:bidi="ar"/>
        </w:rPr>
        <w:t>；甲苯</w:t>
      </w:r>
      <w:r>
        <w:rPr>
          <w:rFonts w:hint="default" w:ascii="Times New Roman" w:hAnsi="Times New Roman" w:eastAsia="宋体" w:cs="Times New Roman"/>
          <w:color w:val="000000"/>
          <w:kern w:val="0"/>
          <w:sz w:val="24"/>
          <w:szCs w:val="24"/>
          <w:lang w:val="en-US" w:eastAsia="zh-CN" w:bidi="ar"/>
        </w:rPr>
        <w:t>0.2mg/m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vertAlign w:val="baseline"/>
          <w:lang w:val="en-US" w:eastAsia="zh-CN" w:bidi="ar"/>
        </w:rPr>
        <w:t>；二甲苯</w:t>
      </w:r>
      <w:r>
        <w:rPr>
          <w:rFonts w:hint="default" w:ascii="Times New Roman" w:hAnsi="Times New Roman" w:eastAsia="宋体" w:cs="Times New Roman"/>
          <w:color w:val="000000"/>
          <w:kern w:val="0"/>
          <w:sz w:val="24"/>
          <w:szCs w:val="24"/>
          <w:lang w:val="en-US" w:eastAsia="zh-CN" w:bidi="ar"/>
        </w:rPr>
        <w:t>0.2mg/m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）；颗粒物无组织排放满足《大气污染物综合排放标准》（GB16297-1996）表2中颗粒物无组织排放监控浓度限值（周界外浓度最高点1.0mg/m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w:t>
      </w:r>
    </w:p>
    <w:p>
      <w:pPr>
        <w:keepNext w:val="0"/>
        <w:keepLines w:val="0"/>
        <w:pageBreakBefore w:val="0"/>
        <w:widowControl w:val="0"/>
        <w:numPr>
          <w:ilvl w:val="0"/>
          <w:numId w:val="2"/>
        </w:numPr>
        <w:kinsoku/>
        <w:overflowPunct/>
        <w:topLinePunct w:val="0"/>
        <w:bidi w:val="0"/>
        <w:spacing w:after="0" w:line="360" w:lineRule="auto"/>
        <w:ind w:leftChars="0" w:right="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废水：监测期间，厂区中水站出水水质pH值、氨氮、悬浮物、总磷、化学需氧量、石油类、动植物油类、全盐量最大检测浓度（检测值）分别为7.1-7.3、22.3mg/L、58mg/L、0.66mg/L、211mg/L、0.89mg/L、0.52mg/L、874mg/L，满足《污水排入城镇下水道水质标准》（GB/T31962 -2015）的A级排放标准。</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3）噪声：监测期间，项目东、南、西、北厂界监测点昼间噪声最大值分别为58.1dB（A）、57.9dB（A）、53.7dB（A）、54.5dB（A），夜间噪声最大值分别为45.7dB（A）、43.6dB（A）、46.4dB（A）、47.1dB（A），厂界昼间、夜间噪声均满足《工业企业厂界环境噪声排放标准》（GB12348-2008）中 2 类标准要求；乐都佳园、魏华园新区、联发公寓监测点昼间噪声最大值分别为55.4dB（A）、56.3dB（A）、58.2dB（A），夜间噪声最大值分别为45.3dB（A）、46.6dB（A）、46.7dB（A），敏感点昼间、夜间噪声均满足《声环境质量标准》（GB3096-2018）中2类标准要求。</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（4）固体废物：</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项目生产过程中产生的固体废物包括危险废物和一般固废。危险废物主要为废矿 物油、废油漆、废环氧树脂胶、废油漆桶、废胶桶、废滤芯、废活性炭。一般固废主要包括废木包装、废电磁线、废铁、废边角料、废焊条和生活垃圾。</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危险废物：</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1）废矿物油：根据企业提供资料，由于本项目建成投入运行时间较短，暂无废矿物油产生，待产生废矿物油时，收集后暂存于危险废物暂存间，委托济南市鑫源物资开发利用有限公司处置。</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2）废油漆：根据企业提供资料，由于本项目建成投入运行时间较短，暂无废油漆产生，待产生废油漆时，收集后暂存于危险废物暂存间，委托渤瑞环保股份有限公司处置。</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3）废环氧树脂胶：根据企业提供资料，由于本项目建成投入运行时间较短，暂无废环氧树脂胶产生，待产生废环氧树脂胶时，收集后暂存于危险废物暂存间，委托渤瑞环保股份有限公司处置。</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4）废油漆桶、废胶桶、废滤芯：根据企业提供资料，由于本项目建成投入运行时间较短，暂无废油漆桶、废胶桶、废滤芯产生，待产生废油漆桶、废胶桶、废滤芯时，收集后暂存于危险废物暂存间，委托渤瑞环保股份有限公司处置。</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5）废活性炭：根据企业提供资料，由于本项目建成投入运行时间较短，暂无废活性炭产生，待产生废活性炭时，收集后暂存于危险废物暂存间，委托渤瑞环保股份有限公司处置。</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一般固废：</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1）废木包装：根据企业提供资料，监测当月产生量1.66t，折合年产生量约为20t，统一收集后，外售给包装公司综合利用；</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2）废电磁线：根据企业提供资料，监测当月产生量1.66t，折合年产生量约为20t/a，统一收集后，由厂家回收处置；</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3）废铁、边角料和废焊条：根据企业提供资料，监测当月产生量3.75t，折合年产生量为45t/a，统一收集后，由废品回收单位回收利用；</w:t>
      </w:r>
    </w:p>
    <w:p>
      <w:pPr>
        <w:keepNext w:val="0"/>
        <w:keepLines w:val="0"/>
        <w:pageBreakBefore w:val="0"/>
        <w:widowControl w:val="0"/>
        <w:numPr>
          <w:ilvl w:val="0"/>
          <w:numId w:val="0"/>
        </w:numPr>
        <w:kinsoku/>
        <w:overflowPunct/>
        <w:topLinePunct w:val="0"/>
        <w:bidi w:val="0"/>
        <w:spacing w:after="0" w:line="360" w:lineRule="auto"/>
        <w:ind w:leftChars="0" w:right="0" w:firstLine="480" w:firstLineChars="200"/>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val="en-US" w:eastAsia="zh-CN"/>
        </w:rPr>
        <w:t>4）生活垃圾：根据企业提供资料，监测当月产生量1.38t，折合年产生量约为16.65t/a，生活垃圾经垃圾桶收集后，由环卫部门定期清</w:t>
      </w:r>
      <w:bookmarkStart w:id="0" w:name="_GoBack"/>
      <w:bookmarkEnd w:id="0"/>
      <w:r>
        <w:rPr>
          <w:rFonts w:hint="default" w:ascii="Times New Roman" w:hAnsi="Times New Roman" w:cs="Times New Roman" w:eastAsiaTheme="minorEastAsia"/>
          <w:b w:val="0"/>
          <w:bCs w:val="0"/>
          <w:color w:val="auto"/>
          <w:sz w:val="24"/>
          <w:szCs w:val="24"/>
          <w:lang w:val="en-US" w:eastAsia="zh-CN"/>
        </w:rPr>
        <w:t>运处置。</w:t>
      </w:r>
    </w:p>
    <w:p>
      <w:pPr>
        <w:widowControl w:val="0"/>
        <w:numPr>
          <w:ilvl w:val="0"/>
          <w:numId w:val="0"/>
        </w:numPr>
        <w:spacing w:after="0"/>
        <w:ind w:leftChars="0" w:firstLine="480"/>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一般固废处理方案满足《一般工业固体废物贮存和填埋污染控制标准》（GB 18599-2020）；危险废物的处理措施和处置方案满足《危险废物贮存污染控制标准》（GB18597-2001）及修改单要求。</w:t>
      </w:r>
    </w:p>
    <w:p>
      <w:pPr>
        <w:keepNext w:val="0"/>
        <w:keepLines w:val="0"/>
        <w:pageBreakBefore w:val="0"/>
        <w:kinsoku/>
        <w:overflowPunct/>
        <w:topLinePunct w:val="0"/>
        <w:bidi w:val="0"/>
        <w:spacing w:after="0" w:line="360" w:lineRule="auto"/>
        <w:ind w:leftChars="0" w:right="0" w:firstLine="562"/>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五、</w:t>
      </w:r>
      <w:r>
        <w:rPr>
          <w:rFonts w:hint="eastAsia" w:ascii="宋体" w:hAnsi="宋体" w:eastAsia="宋体" w:cs="宋体"/>
          <w:b/>
          <w:color w:val="000000"/>
          <w:sz w:val="28"/>
          <w:szCs w:val="28"/>
        </w:rPr>
        <w:t>工程建设对环境的影响</w:t>
      </w:r>
    </w:p>
    <w:p>
      <w:pPr>
        <w:pStyle w:val="22"/>
        <w:ind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drawing>
          <wp:inline distT="0" distB="0" distL="114300" distR="114300">
            <wp:extent cx="4958080" cy="8815070"/>
            <wp:effectExtent l="0" t="0" r="13970" b="5080"/>
            <wp:docPr id="1" name="图片 1" descr="84c637bf5ad82cd0b4e00364a15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4c637bf5ad82cd0b4e00364a151341"/>
                    <pic:cNvPicPr>
                      <a:picLocks noChangeAspect="1"/>
                    </pic:cNvPicPr>
                  </pic:nvPicPr>
                  <pic:blipFill>
                    <a:blip r:embed="rId8"/>
                    <a:stretch>
                      <a:fillRect/>
                    </a:stretch>
                  </pic:blipFill>
                  <pic:spPr>
                    <a:xfrm>
                      <a:off x="0" y="0"/>
                      <a:ext cx="4958080" cy="8815070"/>
                    </a:xfrm>
                    <a:prstGeom prst="rect">
                      <a:avLst/>
                    </a:prstGeom>
                  </pic:spPr>
                </pic:pic>
              </a:graphicData>
            </a:graphic>
          </wp:inline>
        </w:drawing>
      </w:r>
    </w:p>
    <w:sectPr>
      <w:headerReference r:id="rId5" w:type="default"/>
      <w:footerReference r:id="rId6" w:type="default"/>
      <w:pgSz w:w="11850" w:h="16783"/>
      <w:pgMar w:top="1440" w:right="1423" w:bottom="1440" w:left="1423"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CF05A3"/>
    <w:rsid w:val="045C3438"/>
    <w:rsid w:val="04773D02"/>
    <w:rsid w:val="04F64D61"/>
    <w:rsid w:val="05312C57"/>
    <w:rsid w:val="05982B91"/>
    <w:rsid w:val="06DC3814"/>
    <w:rsid w:val="074671CC"/>
    <w:rsid w:val="0766665A"/>
    <w:rsid w:val="07AD0944"/>
    <w:rsid w:val="093B00AF"/>
    <w:rsid w:val="09865549"/>
    <w:rsid w:val="0A5E79C8"/>
    <w:rsid w:val="0AA05173"/>
    <w:rsid w:val="0AE850E5"/>
    <w:rsid w:val="0B3D053A"/>
    <w:rsid w:val="0C793B3D"/>
    <w:rsid w:val="0C850E03"/>
    <w:rsid w:val="0D7C6268"/>
    <w:rsid w:val="0DAD0CD4"/>
    <w:rsid w:val="0F76507F"/>
    <w:rsid w:val="106525CA"/>
    <w:rsid w:val="10C304AB"/>
    <w:rsid w:val="10F37360"/>
    <w:rsid w:val="1110472C"/>
    <w:rsid w:val="116A15B6"/>
    <w:rsid w:val="11C86278"/>
    <w:rsid w:val="143A4ACA"/>
    <w:rsid w:val="145A1C25"/>
    <w:rsid w:val="14D33197"/>
    <w:rsid w:val="15553DF7"/>
    <w:rsid w:val="15B33D50"/>
    <w:rsid w:val="15E81ECB"/>
    <w:rsid w:val="15F26564"/>
    <w:rsid w:val="178E0669"/>
    <w:rsid w:val="188D7E54"/>
    <w:rsid w:val="1918245D"/>
    <w:rsid w:val="1A9B36F6"/>
    <w:rsid w:val="1AD71EA4"/>
    <w:rsid w:val="1D3D2E8E"/>
    <w:rsid w:val="1DCF6A15"/>
    <w:rsid w:val="1E061AFB"/>
    <w:rsid w:val="1FB0700F"/>
    <w:rsid w:val="1FB60655"/>
    <w:rsid w:val="1FE7169E"/>
    <w:rsid w:val="201D7A42"/>
    <w:rsid w:val="202F4709"/>
    <w:rsid w:val="20EF52E9"/>
    <w:rsid w:val="21081222"/>
    <w:rsid w:val="21B2626F"/>
    <w:rsid w:val="221B3059"/>
    <w:rsid w:val="226D3CFE"/>
    <w:rsid w:val="22D929C4"/>
    <w:rsid w:val="22FD2DEE"/>
    <w:rsid w:val="2306772B"/>
    <w:rsid w:val="24EE055F"/>
    <w:rsid w:val="256D51AD"/>
    <w:rsid w:val="25730E5F"/>
    <w:rsid w:val="25DA358A"/>
    <w:rsid w:val="27183FAE"/>
    <w:rsid w:val="28702BFD"/>
    <w:rsid w:val="287A70C8"/>
    <w:rsid w:val="28AD1D8E"/>
    <w:rsid w:val="29E52C04"/>
    <w:rsid w:val="2A7704C9"/>
    <w:rsid w:val="2C5A2F7C"/>
    <w:rsid w:val="2C631EE5"/>
    <w:rsid w:val="2D42357D"/>
    <w:rsid w:val="303B521B"/>
    <w:rsid w:val="30446957"/>
    <w:rsid w:val="31447B17"/>
    <w:rsid w:val="31545D96"/>
    <w:rsid w:val="322A6115"/>
    <w:rsid w:val="325E60DB"/>
    <w:rsid w:val="32A4059B"/>
    <w:rsid w:val="3307355C"/>
    <w:rsid w:val="33C81DD3"/>
    <w:rsid w:val="38105541"/>
    <w:rsid w:val="386F3A84"/>
    <w:rsid w:val="39493F69"/>
    <w:rsid w:val="3B0844DE"/>
    <w:rsid w:val="3C931740"/>
    <w:rsid w:val="3CE227B1"/>
    <w:rsid w:val="3E047166"/>
    <w:rsid w:val="3E083A98"/>
    <w:rsid w:val="3EBD4C50"/>
    <w:rsid w:val="3F307FC6"/>
    <w:rsid w:val="3F3F6175"/>
    <w:rsid w:val="3F5F5D14"/>
    <w:rsid w:val="3F8D744B"/>
    <w:rsid w:val="3FB36297"/>
    <w:rsid w:val="40225A34"/>
    <w:rsid w:val="417D1105"/>
    <w:rsid w:val="41FC7E24"/>
    <w:rsid w:val="420115B3"/>
    <w:rsid w:val="4420552A"/>
    <w:rsid w:val="44285812"/>
    <w:rsid w:val="455B5A78"/>
    <w:rsid w:val="455F2AA3"/>
    <w:rsid w:val="45B544A3"/>
    <w:rsid w:val="45E845F0"/>
    <w:rsid w:val="471E352A"/>
    <w:rsid w:val="47D8037F"/>
    <w:rsid w:val="493E0B7E"/>
    <w:rsid w:val="49506749"/>
    <w:rsid w:val="49C55197"/>
    <w:rsid w:val="49CD6A25"/>
    <w:rsid w:val="4A1168BD"/>
    <w:rsid w:val="4A5821EF"/>
    <w:rsid w:val="4B4674D2"/>
    <w:rsid w:val="4B7C5A47"/>
    <w:rsid w:val="4BCC3852"/>
    <w:rsid w:val="4BEB2588"/>
    <w:rsid w:val="4C144871"/>
    <w:rsid w:val="4C345582"/>
    <w:rsid w:val="4CFA33FC"/>
    <w:rsid w:val="4E7723EA"/>
    <w:rsid w:val="502B6E83"/>
    <w:rsid w:val="5078219D"/>
    <w:rsid w:val="51142D8E"/>
    <w:rsid w:val="511B243F"/>
    <w:rsid w:val="51AE70CE"/>
    <w:rsid w:val="529B46C0"/>
    <w:rsid w:val="52E349A0"/>
    <w:rsid w:val="52F62681"/>
    <w:rsid w:val="532458E8"/>
    <w:rsid w:val="54970FF4"/>
    <w:rsid w:val="54D041E8"/>
    <w:rsid w:val="55BC4161"/>
    <w:rsid w:val="56937BD7"/>
    <w:rsid w:val="57EE219F"/>
    <w:rsid w:val="586216B7"/>
    <w:rsid w:val="590D7306"/>
    <w:rsid w:val="59366F33"/>
    <w:rsid w:val="59610487"/>
    <w:rsid w:val="599F18F9"/>
    <w:rsid w:val="59A83D85"/>
    <w:rsid w:val="59B92F56"/>
    <w:rsid w:val="59E25E8C"/>
    <w:rsid w:val="5AB94A93"/>
    <w:rsid w:val="5C211791"/>
    <w:rsid w:val="5C8439DC"/>
    <w:rsid w:val="5CD62FD7"/>
    <w:rsid w:val="5CDE795B"/>
    <w:rsid w:val="5D2807D4"/>
    <w:rsid w:val="5DC22282"/>
    <w:rsid w:val="5DCC210D"/>
    <w:rsid w:val="5DD23BD9"/>
    <w:rsid w:val="5E1637D7"/>
    <w:rsid w:val="5E1F609D"/>
    <w:rsid w:val="5E50770E"/>
    <w:rsid w:val="5E54739E"/>
    <w:rsid w:val="5F190BA3"/>
    <w:rsid w:val="614F11BA"/>
    <w:rsid w:val="621D3446"/>
    <w:rsid w:val="62895E57"/>
    <w:rsid w:val="63113C8D"/>
    <w:rsid w:val="63A731B1"/>
    <w:rsid w:val="63AB48A9"/>
    <w:rsid w:val="63D037D4"/>
    <w:rsid w:val="63D41A4D"/>
    <w:rsid w:val="653B3E7E"/>
    <w:rsid w:val="654C556F"/>
    <w:rsid w:val="66306408"/>
    <w:rsid w:val="682436AA"/>
    <w:rsid w:val="68BD0ABC"/>
    <w:rsid w:val="68D80F78"/>
    <w:rsid w:val="68F1343C"/>
    <w:rsid w:val="6939445F"/>
    <w:rsid w:val="6AD54F6D"/>
    <w:rsid w:val="6B4E204F"/>
    <w:rsid w:val="6BFC5334"/>
    <w:rsid w:val="6C902169"/>
    <w:rsid w:val="6CFF7247"/>
    <w:rsid w:val="6E4A4A40"/>
    <w:rsid w:val="6F063E1D"/>
    <w:rsid w:val="6F4C183A"/>
    <w:rsid w:val="6F812984"/>
    <w:rsid w:val="6FFF6F45"/>
    <w:rsid w:val="70F21638"/>
    <w:rsid w:val="72130C84"/>
    <w:rsid w:val="728263F5"/>
    <w:rsid w:val="72B727BB"/>
    <w:rsid w:val="72D407BC"/>
    <w:rsid w:val="7388340E"/>
    <w:rsid w:val="73AB4460"/>
    <w:rsid w:val="73E63676"/>
    <w:rsid w:val="741A2FF9"/>
    <w:rsid w:val="74DD6887"/>
    <w:rsid w:val="750A7806"/>
    <w:rsid w:val="75703EEA"/>
    <w:rsid w:val="75BF4004"/>
    <w:rsid w:val="762228EF"/>
    <w:rsid w:val="77EE65ED"/>
    <w:rsid w:val="79426BD7"/>
    <w:rsid w:val="796A316D"/>
    <w:rsid w:val="798727B4"/>
    <w:rsid w:val="79F51CB5"/>
    <w:rsid w:val="7A5902CD"/>
    <w:rsid w:val="7A7748C0"/>
    <w:rsid w:val="7A971671"/>
    <w:rsid w:val="7A976B94"/>
    <w:rsid w:val="7AD11380"/>
    <w:rsid w:val="7B505291"/>
    <w:rsid w:val="7BDE3D7C"/>
    <w:rsid w:val="7C584461"/>
    <w:rsid w:val="7CB30260"/>
    <w:rsid w:val="7CD21CE4"/>
    <w:rsid w:val="7CEE7D3C"/>
    <w:rsid w:val="7DBE38D5"/>
    <w:rsid w:val="7E342880"/>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6">
    <w:name w:val="heading 1"/>
    <w:basedOn w:val="1"/>
    <w:next w:val="1"/>
    <w:link w:val="35"/>
    <w:qFormat/>
    <w:locked/>
    <w:uiPriority w:val="0"/>
    <w:pPr>
      <w:keepNext/>
      <w:keepLines/>
      <w:spacing w:before="340" w:after="330" w:line="578" w:lineRule="auto"/>
      <w:outlineLvl w:val="0"/>
    </w:pPr>
    <w:rPr>
      <w:b/>
      <w:bCs/>
      <w:kern w:val="44"/>
      <w:sz w:val="44"/>
      <w:szCs w:val="44"/>
    </w:rPr>
  </w:style>
  <w:style w:type="paragraph" w:styleId="7">
    <w:name w:val="heading 2"/>
    <w:basedOn w:val="1"/>
    <w:next w:val="1"/>
    <w:qFormat/>
    <w:locked/>
    <w:uiPriority w:val="0"/>
    <w:pPr>
      <w:keepNext/>
      <w:spacing w:line="360" w:lineRule="auto"/>
      <w:ind w:firstLine="0" w:firstLineChars="0"/>
      <w:outlineLvl w:val="1"/>
    </w:pPr>
    <w:rPr>
      <w:b/>
      <w:bCs/>
      <w:sz w:val="28"/>
    </w:rPr>
  </w:style>
  <w:style w:type="paragraph" w:styleId="8">
    <w:name w:val="heading 4"/>
    <w:basedOn w:val="1"/>
    <w:next w:val="1"/>
    <w:link w:val="33"/>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customStyle="1" w:styleId="4">
    <w:name w:val="样式 正文文本缩进 + 行距: 1.5 倍行距"/>
    <w:basedOn w:val="5"/>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2"/>
    <w:qFormat/>
    <w:uiPriority w:val="0"/>
    <w:pPr>
      <w:ind w:firstLine="420"/>
    </w:pPr>
    <w:rPr>
      <w:szCs w:val="20"/>
    </w:rPr>
  </w:style>
  <w:style w:type="paragraph" w:styleId="10">
    <w:name w:val="Document Map"/>
    <w:basedOn w:val="1"/>
    <w:link w:val="32"/>
    <w:semiHidden/>
    <w:qFormat/>
    <w:uiPriority w:val="99"/>
    <w:rPr>
      <w:rFonts w:ascii="宋体" w:eastAsia="宋体" w:cs="宋体"/>
      <w:sz w:val="18"/>
      <w:szCs w:val="18"/>
    </w:rPr>
  </w:style>
  <w:style w:type="paragraph" w:styleId="11">
    <w:name w:val="annotation text"/>
    <w:basedOn w:val="1"/>
    <w:qFormat/>
    <w:uiPriority w:val="0"/>
    <w:pPr>
      <w:jc w:val="left"/>
    </w:pPr>
  </w:style>
  <w:style w:type="paragraph" w:styleId="12">
    <w:name w:val="Body Text"/>
    <w:basedOn w:val="1"/>
    <w:next w:val="13"/>
    <w:link w:val="27"/>
    <w:qFormat/>
    <w:uiPriority w:val="99"/>
    <w:pPr>
      <w:widowControl w:val="0"/>
      <w:adjustRightInd/>
      <w:snapToGrid/>
      <w:spacing w:after="120"/>
    </w:pPr>
    <w:rPr>
      <w:rFonts w:ascii="Calibri" w:hAnsi="Calibri" w:eastAsia="宋体" w:cs="Times New Roman"/>
      <w:sz w:val="24"/>
      <w:szCs w:val="24"/>
    </w:rPr>
  </w:style>
  <w:style w:type="paragraph" w:styleId="13">
    <w:name w:val="List Bullet 5"/>
    <w:basedOn w:val="1"/>
    <w:semiHidden/>
    <w:unhideWhenUsed/>
    <w:qFormat/>
    <w:uiPriority w:val="99"/>
    <w:pPr>
      <w:numPr>
        <w:ilvl w:val="0"/>
        <w:numId w:val="1"/>
      </w:numPr>
    </w:pPr>
  </w:style>
  <w:style w:type="paragraph" w:styleId="14">
    <w:name w:val="footer"/>
    <w:basedOn w:val="1"/>
    <w:link w:val="26"/>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5">
    <w:name w:val="header"/>
    <w:basedOn w:val="1"/>
    <w:link w:val="25"/>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6">
    <w:name w:val="Title"/>
    <w:basedOn w:val="1"/>
    <w:next w:val="1"/>
    <w:link w:val="31"/>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7">
    <w:name w:val="Body Text First Indent"/>
    <w:basedOn w:val="12"/>
    <w:next w:val="1"/>
    <w:qFormat/>
    <w:uiPriority w:val="0"/>
    <w:pPr>
      <w:spacing w:after="120" w:line="240" w:lineRule="auto"/>
      <w:ind w:firstLine="420" w:firstLineChars="100"/>
    </w:pPr>
    <w:rPr>
      <w:sz w:val="28"/>
      <w:szCs w:val="24"/>
    </w:rPr>
  </w:style>
  <w:style w:type="table" w:styleId="19">
    <w:name w:val="Table Grid"/>
    <w:basedOn w:val="18"/>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locked/>
    <w:uiPriority w:val="0"/>
    <w:rPr>
      <w:b/>
      <w:bCs/>
    </w:rPr>
  </w:style>
  <w:style w:type="paragraph" w:customStyle="1" w:styleId="22">
    <w:name w:val="Default"/>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3">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4">
    <w:name w:val="样式 标题 1一级标题 + 段前: 0.5 行 段后: 0.5 行"/>
    <w:basedOn w:val="6"/>
    <w:qFormat/>
    <w:uiPriority w:val="0"/>
    <w:pPr>
      <w:spacing w:line="320" w:lineRule="exact"/>
      <w:outlineLvl w:val="9"/>
    </w:pPr>
    <w:rPr>
      <w:spacing w:val="-6"/>
      <w:kern w:val="0"/>
      <w:sz w:val="21"/>
      <w:szCs w:val="21"/>
    </w:rPr>
  </w:style>
  <w:style w:type="character" w:customStyle="1" w:styleId="25">
    <w:name w:val="页眉 Char"/>
    <w:link w:val="15"/>
    <w:qFormat/>
    <w:locked/>
    <w:uiPriority w:val="99"/>
    <w:rPr>
      <w:sz w:val="18"/>
      <w:szCs w:val="18"/>
    </w:rPr>
  </w:style>
  <w:style w:type="character" w:customStyle="1" w:styleId="26">
    <w:name w:val="页脚 Char"/>
    <w:link w:val="14"/>
    <w:qFormat/>
    <w:locked/>
    <w:uiPriority w:val="99"/>
    <w:rPr>
      <w:sz w:val="18"/>
      <w:szCs w:val="18"/>
    </w:rPr>
  </w:style>
  <w:style w:type="character" w:customStyle="1" w:styleId="27">
    <w:name w:val="正文文本 Char"/>
    <w:link w:val="12"/>
    <w:qFormat/>
    <w:locked/>
    <w:uiPriority w:val="99"/>
    <w:rPr>
      <w:rFonts w:eastAsia="宋体"/>
      <w:sz w:val="24"/>
      <w:szCs w:val="24"/>
    </w:rPr>
  </w:style>
  <w:style w:type="character" w:customStyle="1" w:styleId="28">
    <w:name w:val="Body Text Char1"/>
    <w:semiHidden/>
    <w:qFormat/>
    <w:uiPriority w:val="99"/>
    <w:rPr>
      <w:rFonts w:ascii="Tahoma" w:hAnsi="Tahoma" w:eastAsia="微软雅黑" w:cs="Tahoma"/>
      <w:kern w:val="0"/>
      <w:sz w:val="22"/>
    </w:rPr>
  </w:style>
  <w:style w:type="character" w:customStyle="1" w:styleId="29">
    <w:name w:val="正文文本 Char1"/>
    <w:semiHidden/>
    <w:qFormat/>
    <w:uiPriority w:val="99"/>
    <w:rPr>
      <w:rFonts w:ascii="Tahoma" w:hAnsi="Tahoma" w:eastAsia="微软雅黑" w:cs="Tahoma"/>
      <w:kern w:val="0"/>
      <w:sz w:val="22"/>
      <w:szCs w:val="22"/>
    </w:rPr>
  </w:style>
  <w:style w:type="paragraph" w:customStyle="1" w:styleId="30">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1">
    <w:name w:val="标题 Char"/>
    <w:link w:val="16"/>
    <w:qFormat/>
    <w:locked/>
    <w:uiPriority w:val="99"/>
    <w:rPr>
      <w:rFonts w:ascii="方正小标宋简体" w:hAnsi="宋体" w:eastAsia="方正小标宋简体" w:cs="方正小标宋简体"/>
      <w:sz w:val="36"/>
      <w:szCs w:val="36"/>
    </w:rPr>
  </w:style>
  <w:style w:type="character" w:customStyle="1" w:styleId="32">
    <w:name w:val="文档结构图 Char"/>
    <w:link w:val="10"/>
    <w:semiHidden/>
    <w:qFormat/>
    <w:locked/>
    <w:uiPriority w:val="99"/>
    <w:rPr>
      <w:rFonts w:ascii="宋体" w:hAnsi="Tahoma" w:eastAsia="宋体" w:cs="宋体"/>
      <w:kern w:val="0"/>
      <w:sz w:val="18"/>
      <w:szCs w:val="18"/>
    </w:rPr>
  </w:style>
  <w:style w:type="character" w:customStyle="1" w:styleId="33">
    <w:name w:val="标题 4 Char"/>
    <w:basedOn w:val="20"/>
    <w:link w:val="8"/>
    <w:qFormat/>
    <w:uiPriority w:val="0"/>
    <w:rPr>
      <w:rFonts w:ascii="Times New Roman" w:hAnsi="Times New Roman"/>
      <w:b/>
      <w:kern w:val="2"/>
      <w:sz w:val="28"/>
      <w:szCs w:val="28"/>
    </w:rPr>
  </w:style>
  <w:style w:type="paragraph" w:customStyle="1" w:styleId="34">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5">
    <w:name w:val="标题 1 Char"/>
    <w:basedOn w:val="20"/>
    <w:link w:val="6"/>
    <w:qFormat/>
    <w:uiPriority w:val="9"/>
    <w:rPr>
      <w:rFonts w:ascii="Tahoma" w:hAnsi="Tahoma" w:eastAsia="微软雅黑" w:cs="Tahoma"/>
      <w:b/>
      <w:bCs/>
      <w:kern w:val="44"/>
      <w:sz w:val="44"/>
      <w:szCs w:val="44"/>
    </w:rPr>
  </w:style>
  <w:style w:type="paragraph" w:customStyle="1" w:styleId="36">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6</Pages>
  <Words>3468</Words>
  <Characters>3882</Characters>
  <Lines>49</Lines>
  <Paragraphs>13</Paragraphs>
  <TotalTime>4</TotalTime>
  <ScaleCrop>false</ScaleCrop>
  <LinksUpToDate>false</LinksUpToDate>
  <CharactersWithSpaces>3912</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2021-11-19T08:12:00Z</cp:lastPrinted>
  <dcterms:modified xsi:type="dcterms:W3CDTF">2023-08-16T01:32:52Z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