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7"/>
        <w:keepNext w:val="0"/>
        <w:keepLines w:val="0"/>
        <w:pageBreakBefore w:val="0"/>
        <w:kinsoku/>
        <w:overflowPunct/>
        <w:topLinePunct w:val="0"/>
        <w:bidi w:val="0"/>
        <w:adjustRightInd w:val="0"/>
        <w:snapToGrid w:val="0"/>
        <w:spacing w:after="0" w:line="360" w:lineRule="auto"/>
        <w:ind w:left="0" w:leftChars="0" w:right="0" w:firstLine="0" w:firstLineChars="0"/>
        <w:jc w:val="center"/>
        <w:rPr>
          <w:rFonts w:hint="eastAsia" w:asciiTheme="minorEastAsia" w:hAnsiTheme="minorEastAsia" w:eastAsiaTheme="minorEastAsia" w:cstheme="minorEastAsia"/>
          <w:b/>
          <w:bCs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lang w:eastAsia="zh-CN"/>
        </w:rPr>
        <w:t>中铁诺德·绣惠生态城一期（住宅17、住宅19地块）项目临时建筑垃圾回收利用生产线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Chars="0" w:right="0" w:firstLine="0" w:firstLineChars="0"/>
        <w:textAlignment w:val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</w:rPr>
        <w:t>竣工环境保护验收组意见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bCs/>
          <w:kern w:val="2"/>
          <w:sz w:val="24"/>
          <w:szCs w:val="24"/>
        </w:rPr>
        <w:t>根据《建设项目环境保护管理条例》（国务院令第682号）和《建设项目竣工环境保护验收暂行办法》（国环规环评[2017]4号）要</w:t>
      </w:r>
      <w:r>
        <w:rPr>
          <w:rFonts w:hint="default" w:ascii="Times New Roman" w:hAnsi="Times New Roman" w:cs="Times New Roman" w:eastAsiaTheme="minorEastAsia"/>
          <w:bCs/>
          <w:color w:val="auto"/>
          <w:kern w:val="2"/>
          <w:sz w:val="24"/>
          <w:szCs w:val="24"/>
        </w:rPr>
        <w:t>求，</w:t>
      </w:r>
      <w:r>
        <w:rPr>
          <w:rFonts w:hint="eastAsia" w:ascii="Times New Roman" w:hAnsi="Times New Roman" w:cs="Times New Roman" w:eastAsiaTheme="minorEastAsia"/>
          <w:bCs/>
          <w:color w:val="auto"/>
          <w:kern w:val="2"/>
          <w:sz w:val="24"/>
          <w:szCs w:val="24"/>
          <w:lang w:eastAsia="zh-CN"/>
        </w:rPr>
        <w:t>2021年11月27日</w:t>
      </w:r>
      <w:r>
        <w:rPr>
          <w:rFonts w:hint="default" w:ascii="Times New Roman" w:hAnsi="Times New Roman" w:cs="Times New Roman" w:eastAsiaTheme="minorEastAsia"/>
          <w:bCs/>
          <w:color w:val="auto"/>
          <w:kern w:val="2"/>
          <w:sz w:val="24"/>
          <w:szCs w:val="24"/>
        </w:rPr>
        <w:t>，</w:t>
      </w:r>
      <w:r>
        <w:rPr>
          <w:rFonts w:hint="eastAsia" w:ascii="Times New Roman" w:hAnsi="Times New Roman" w:cs="Times New Roman" w:eastAsiaTheme="minorEastAsia"/>
          <w:bCs/>
          <w:color w:val="auto"/>
          <w:kern w:val="2"/>
          <w:sz w:val="24"/>
          <w:szCs w:val="24"/>
          <w:lang w:eastAsia="zh-CN"/>
        </w:rPr>
        <w:t>山东中惠新型建材有限责任公司</w:t>
      </w:r>
      <w:r>
        <w:rPr>
          <w:rFonts w:hint="default" w:ascii="Times New Roman" w:hAnsi="Times New Roman" w:cs="Times New Roman" w:eastAsiaTheme="minorEastAsia"/>
          <w:bCs/>
          <w:color w:val="auto"/>
          <w:kern w:val="2"/>
          <w:sz w:val="24"/>
          <w:szCs w:val="24"/>
        </w:rPr>
        <w:t>在</w:t>
      </w:r>
      <w:r>
        <w:rPr>
          <w:rFonts w:hint="eastAsia" w:ascii="Times New Roman" w:hAnsi="Times New Roman" w:cs="Times New Roman" w:eastAsiaTheme="minorEastAsia"/>
          <w:bCs/>
          <w:color w:val="auto"/>
          <w:kern w:val="2"/>
          <w:sz w:val="24"/>
          <w:szCs w:val="24"/>
          <w:lang w:eastAsia="zh-CN"/>
        </w:rPr>
        <w:t>山东中惠新型建材有限责任公司</w:t>
      </w:r>
      <w:r>
        <w:rPr>
          <w:rFonts w:hint="eastAsia" w:ascii="Times New Roman" w:hAnsi="Times New Roman" w:cs="Times New Roman" w:eastAsiaTheme="minorEastAsia"/>
          <w:bCs/>
          <w:color w:val="auto"/>
          <w:kern w:val="2"/>
          <w:sz w:val="24"/>
          <w:szCs w:val="24"/>
          <w:lang w:val="zh-CN"/>
        </w:rPr>
        <w:t>会议室内</w:t>
      </w:r>
      <w:r>
        <w:rPr>
          <w:rFonts w:hint="default" w:ascii="Times New Roman" w:hAnsi="Times New Roman" w:cs="Times New Roman" w:eastAsiaTheme="minorEastAsia"/>
          <w:bCs/>
          <w:color w:val="auto"/>
          <w:kern w:val="2"/>
          <w:sz w:val="24"/>
          <w:szCs w:val="24"/>
        </w:rPr>
        <w:t>召开了</w:t>
      </w:r>
      <w:r>
        <w:rPr>
          <w:rFonts w:hint="eastAsia" w:ascii="Times New Roman" w:hAnsi="Times New Roman" w:cs="Times New Roman" w:eastAsiaTheme="minorEastAsia"/>
          <w:bCs/>
          <w:color w:val="auto"/>
          <w:kern w:val="2"/>
          <w:sz w:val="24"/>
          <w:szCs w:val="24"/>
          <w:lang w:eastAsia="zh-CN"/>
        </w:rPr>
        <w:t>中铁诺德·绣惠生态城一期（住宅17、住宅19地块）项目临时建筑垃圾回收利用生产线</w:t>
      </w:r>
      <w:r>
        <w:rPr>
          <w:rFonts w:hint="default" w:ascii="Times New Roman" w:hAnsi="Times New Roman" w:cs="Times New Roman" w:eastAsiaTheme="minorEastAsia"/>
          <w:bCs/>
          <w:color w:val="auto"/>
          <w:kern w:val="2"/>
          <w:sz w:val="24"/>
          <w:szCs w:val="24"/>
          <w:lang w:eastAsia="zh-CN"/>
        </w:rPr>
        <w:t>竣工环境保护验收会议</w:t>
      </w:r>
      <w:r>
        <w:rPr>
          <w:rFonts w:hint="default" w:ascii="Times New Roman" w:hAnsi="Times New Roman" w:cs="Times New Roman" w:eastAsiaTheme="minorEastAsia"/>
          <w:bCs/>
          <w:color w:val="auto"/>
          <w:kern w:val="2"/>
          <w:sz w:val="24"/>
          <w:szCs w:val="24"/>
        </w:rPr>
        <w:t>。验收组由</w:t>
      </w:r>
      <w:r>
        <w:rPr>
          <w:rFonts w:hint="eastAsia" w:ascii="Times New Roman" w:hAnsi="Times New Roman" w:cs="Times New Roman" w:eastAsiaTheme="minorEastAsia"/>
          <w:bCs/>
          <w:color w:val="auto"/>
          <w:kern w:val="2"/>
          <w:sz w:val="24"/>
          <w:szCs w:val="24"/>
          <w:lang w:eastAsia="zh-CN"/>
        </w:rPr>
        <w:t>委托</w:t>
      </w:r>
      <w:r>
        <w:rPr>
          <w:rFonts w:hint="default" w:ascii="Times New Roman" w:hAnsi="Times New Roman" w:cs="Times New Roman" w:eastAsiaTheme="minorEastAsia"/>
          <w:bCs/>
          <w:color w:val="auto"/>
          <w:kern w:val="2"/>
          <w:sz w:val="24"/>
          <w:szCs w:val="24"/>
        </w:rPr>
        <w:t>单位-</w:t>
      </w:r>
      <w:r>
        <w:rPr>
          <w:rFonts w:hint="eastAsia" w:ascii="Times New Roman" w:hAnsi="Times New Roman" w:cs="Times New Roman" w:eastAsiaTheme="minorEastAsia"/>
          <w:bCs/>
          <w:color w:val="auto"/>
          <w:kern w:val="2"/>
          <w:sz w:val="24"/>
          <w:szCs w:val="24"/>
          <w:lang w:eastAsia="zh-CN"/>
        </w:rPr>
        <w:t>山东中惠新型建材有限责任公司</w:t>
      </w:r>
      <w:r>
        <w:rPr>
          <w:rFonts w:hint="default" w:ascii="Times New Roman" w:hAnsi="Times New Roman" w:cs="Times New Roman" w:eastAsiaTheme="minorEastAsia"/>
          <w:bCs/>
          <w:kern w:val="2"/>
          <w:sz w:val="24"/>
          <w:szCs w:val="24"/>
        </w:rPr>
        <w:t>、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验收监测单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</w:rPr>
        <w:t>位-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eastAsia="zh-CN"/>
        </w:rPr>
        <w:t>山东华晟环境检测有限公司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</w:rPr>
        <w:t>等单位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的代表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eastAsia="zh-CN"/>
        </w:rPr>
        <w:t>及两名特邀专家组成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（验收组名单附后）。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验收组听取了该工程环境保护执行情况和竣工环境保</w:t>
      </w:r>
      <w:bookmarkStart w:id="0" w:name="_GoBack"/>
      <w:bookmarkEnd w:id="0"/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护验收监测情况的汇报，对该工程环境保护设施的建设、运行情</w:t>
      </w:r>
      <w:r>
        <w:rPr>
          <w:rFonts w:hint="default" w:ascii="Times New Roman" w:hAnsi="Times New Roman" w:cs="Times New Roman" w:eastAsiaTheme="minorEastAsia"/>
          <w:bCs/>
          <w:kern w:val="2"/>
          <w:sz w:val="24"/>
          <w:szCs w:val="24"/>
        </w:rPr>
        <w:t>况进行了现场检查，核实了有关资料。</w:t>
      </w:r>
      <w:r>
        <w:rPr>
          <w:rFonts w:hint="default" w:ascii="Times New Roman" w:hAnsi="Times New Roman" w:eastAsia="宋体" w:cs="Times New Roman"/>
          <w:sz w:val="24"/>
          <w:szCs w:val="24"/>
        </w:rPr>
        <w:t>经认真讨论，形成竣工环境保护验收意见如下：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eastAsia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bCs/>
          <w:sz w:val="28"/>
          <w:szCs w:val="28"/>
        </w:rPr>
        <w:t>一、工程建设基本情况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（一）建设地点、规模、主要建设内容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</w:rPr>
        <w:t>项目名称：中铁诺德·绣惠生态城一期（住宅17、住宅19地块）项目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eastAsia="zh-CN"/>
        </w:rPr>
        <w:t>临时建筑垃圾回收利用生产线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eastAsia="zh-CN"/>
        </w:rPr>
        <w:t>委托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</w:rPr>
        <w:t>单位：</w:t>
      </w:r>
      <w:r>
        <w:rPr>
          <w:rFonts w:hint="eastAsia" w:ascii="Times New Roman" w:hAnsi="Times New Roman" w:cs="Times New Roman" w:eastAsiaTheme="minorEastAsia"/>
          <w:bCs/>
          <w:color w:val="auto"/>
          <w:kern w:val="2"/>
          <w:sz w:val="24"/>
          <w:szCs w:val="24"/>
          <w:lang w:eastAsia="zh-CN"/>
        </w:rPr>
        <w:t>山东中惠新型建材有限责任公司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建设性质：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新建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="0" w:leftChars="0" w:right="0" w:firstLine="480" w:firstLineChars="200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地理位置：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章丘区绣惠街道中心大街南侧，西关村委西侧地块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="0" w:leftChars="0" w:right="0" w:firstLine="480" w:firstLineChars="200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建设规模：临时建筑垃圾回收利用生产线新建生产车间13800m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vertAlign w:val="superscript"/>
        </w:rPr>
        <w:t>2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，办公室75m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vertAlign w:val="superscript"/>
        </w:rPr>
        <w:t>2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，新增破碎机、筛分机等设备。项目总投资1500万元，其中环保投资20万元。不新增劳动职工，生产线岗位人员由（配套材料加工中心部分）岗位进行调剂，年工作330天，实行昼间一班制，每天工作12小时。项目建成后年生产骨料180万吨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="0" w:leftChars="0" w:right="0" w:firstLine="480" w:firstLineChars="200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（二）建设过程及环保审批情况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="0" w:leftChars="0" w:right="0" w:firstLine="480" w:firstLineChars="200"/>
        <w:textAlignment w:val="auto"/>
        <w:rPr>
          <w:rFonts w:hint="default" w:ascii="Times New Roman" w:hAnsi="Times New Roman" w:cs="Times New Roman" w:eastAsiaTheme="minorEastAsia"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 w:eastAsiaTheme="minorEastAsia"/>
          <w:bCs/>
          <w:color w:val="auto"/>
          <w:kern w:val="2"/>
          <w:sz w:val="24"/>
          <w:szCs w:val="24"/>
          <w:lang w:val="en-US" w:eastAsia="zh-CN" w:bidi="ar-SA"/>
        </w:rPr>
        <w:t>济南中铁诺德文旅置业有限公司于2020年9月委托北京中科尚环境及水利水电科技有限公司编制完成了《济南中铁诺德文旅置业有限公司中铁诺德·绣惠生态城一期（住宅17、住宅19地块）项目环境影响报告表》，并于2020年9月25日经济南市生态环境局章丘分局审批（章环报告表（告）［2020］123号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="0" w:leftChars="0" w:right="0" w:firstLine="480" w:firstLineChars="200"/>
        <w:textAlignment w:val="auto"/>
        <w:rPr>
          <w:rFonts w:hint="default" w:ascii="Times New Roman" w:hAnsi="Times New Roman" w:cs="Times New Roman" w:eastAsiaTheme="minorEastAsia"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 w:eastAsiaTheme="minorEastAsia"/>
          <w:bCs/>
          <w:color w:val="auto"/>
          <w:kern w:val="2"/>
          <w:sz w:val="24"/>
          <w:szCs w:val="24"/>
          <w:lang w:val="en-US" w:eastAsia="zh-CN" w:bidi="ar-SA"/>
        </w:rPr>
        <w:t>临时建筑垃圾回收利用生产线于2021年5月开工建设，2021年9月建成，2021年10月投入试生产阶段，运营期间运行状况良好，环保设施同时进行试运行，具备竣工验收条件。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（三）验收范围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after="0" w:line="360" w:lineRule="auto"/>
        <w:ind w:leftChars="0" w:right="0" w:firstLine="562"/>
        <w:rPr>
          <w:rFonts w:hint="default" w:ascii="Times New Roman" w:hAnsi="Times New Roman" w:eastAsia="宋体" w:cs="Times New Roman"/>
          <w:color w:val="000000"/>
          <w:spacing w:val="0"/>
          <w:kern w:val="21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pacing w:val="0"/>
          <w:kern w:val="21"/>
          <w:sz w:val="24"/>
          <w:szCs w:val="24"/>
        </w:rPr>
        <w:t>本次验收内容为中铁诺德·绣惠生态城一期（住宅17、住宅19地块）项目</w:t>
      </w:r>
      <w:r>
        <w:rPr>
          <w:rFonts w:hint="eastAsia" w:ascii="Times New Roman" w:hAnsi="Times New Roman" w:eastAsia="宋体" w:cs="Times New Roman"/>
          <w:color w:val="000000"/>
          <w:spacing w:val="0"/>
          <w:kern w:val="21"/>
          <w:sz w:val="24"/>
          <w:szCs w:val="24"/>
          <w:lang w:eastAsia="zh-CN"/>
        </w:rPr>
        <w:t>临时建筑垃圾回收利用生产线</w:t>
      </w:r>
      <w:r>
        <w:rPr>
          <w:rFonts w:hint="default" w:ascii="Times New Roman" w:hAnsi="Times New Roman" w:eastAsia="宋体" w:cs="Times New Roman"/>
          <w:color w:val="000000"/>
          <w:spacing w:val="0"/>
          <w:kern w:val="21"/>
          <w:sz w:val="24"/>
          <w:szCs w:val="24"/>
        </w:rPr>
        <w:t>整体验收。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after="0" w:line="360" w:lineRule="auto"/>
        <w:ind w:leftChars="0" w:right="0" w:firstLine="562"/>
        <w:rPr>
          <w:rFonts w:ascii="Times New Roman" w:hAnsi="Times New Roman" w:eastAsia="宋体" w:cs="Times New Roman"/>
          <w:b/>
          <w:color w:val="000000"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color w:val="000000"/>
          <w:sz w:val="28"/>
          <w:szCs w:val="28"/>
        </w:rPr>
        <w:t>二、工程变动情况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/>
        </w:rPr>
        <w:t>与环评相比较，相应设备进行了调整，设备保养均为厂家上门进行保养，无废机油、废机油桶、含油废抹布产生，临时建筑垃圾回收利用生产线实际建设过程中与环评基本相符。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/>
        </w:rPr>
        <w:t>因此，该项目实际建设过程中项目的性质、规模、地点、运营工艺等其他内容未发生重大变动，根据《中华人民共和国环境影响评价法》、《建设项目环境保护管理条例》(国务院令第682号)、《关于印发环评管理中部分行业建设项目重大变动清单的通知》（环办[2015]52号）、《关于印发制浆造纸等十四个行业建设项目重大变动清单的通知》（环办环评[2018]6号）、《关于印发淀粉等五个行业建设项目重大变动清单的通知》（环办环评函[2019]934号）和关于印发《污染影响类建设项目重大变动清单（试行）》的通知（环办环评函[2020]688号）等的有关规定，不属于重大变更，应纳入竣工环境保护验收管理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after="0" w:line="360" w:lineRule="auto"/>
        <w:ind w:leftChars="0" w:right="0" w:firstLine="562"/>
        <w:rPr>
          <w:rFonts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bCs/>
          <w:sz w:val="28"/>
          <w:szCs w:val="28"/>
        </w:rPr>
        <w:t>三、环境保护设施建设情况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after="0" w:line="360" w:lineRule="auto"/>
        <w:ind w:left="0" w:leftChars="0" w:right="0" w:firstLine="480" w:firstLineChars="200"/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临时建筑垃圾回收利用生产线产生的废气主要为主要为卸料粉尘、投料粉尘、破碎粉尘、筛分粉尘及落料粉尘。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after="0" w:line="360" w:lineRule="auto"/>
        <w:ind w:left="0" w:leftChars="0" w:right="0" w:firstLine="480" w:firstLineChars="200"/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①卸料粉尘、投料粉尘、破碎粉尘、筛分粉尘及落料粉尘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after="0" w:line="360" w:lineRule="auto"/>
        <w:ind w:left="0" w:leftChars="0" w:right="0" w:firstLine="480" w:firstLineChars="200"/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破碎、筛分和落料产生的粉尘由集气罩收集，经布袋除尘器处理后，通过一根15m高排气筒排放。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default" w:ascii="Calibri" w:hAnsi="Calibri" w:eastAsia="宋体" w:cs="Calibri"/>
          <w:color w:val="auto"/>
          <w:sz w:val="24"/>
          <w:szCs w:val="24"/>
        </w:rPr>
        <w:t>②</w:t>
      </w:r>
      <w:r>
        <w:rPr>
          <w:rFonts w:hint="eastAsia" w:ascii="Calibri" w:hAnsi="Calibri" w:cs="Calibri"/>
          <w:color w:val="auto"/>
          <w:sz w:val="24"/>
          <w:szCs w:val="24"/>
          <w:lang w:eastAsia="zh-CN"/>
        </w:rPr>
        <w:t>集气罩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未</w:t>
      </w:r>
      <w:r>
        <w:rPr>
          <w:rFonts w:hint="eastAsia" w:cs="Times New Roman"/>
          <w:color w:val="auto"/>
          <w:sz w:val="24"/>
          <w:szCs w:val="24"/>
          <w:lang w:eastAsia="zh-CN"/>
        </w:rPr>
        <w:t>收集部分通过车间无组织排放，车间为封闭模式，设一个出入口，出入口设有两道门（卷帘门、布帘门），上方设有喷淋装置。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after="0" w:line="360" w:lineRule="auto"/>
        <w:ind w:right="0"/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2、废水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after="0" w:line="360" w:lineRule="auto"/>
        <w:ind w:left="0" w:leftChars="0" w:right="0" w:firstLine="480" w:firstLineChars="200"/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临时建筑垃圾回收利用生产线不新增员工，无新增职工生活用水。新增用水主要为厂区生产用水、喷淋用水，生产废水先排入厂区内沉淀水池沉淀后全部回用于搅拌工序，不外排。喷淋降尘用水全部蒸发，不外排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after="0" w:line="360" w:lineRule="auto"/>
        <w:ind w:left="0" w:leftChars="0" w:right="0" w:firstLine="480" w:firstLineChars="200"/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3、噪声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after="0" w:line="360" w:lineRule="auto"/>
        <w:ind w:left="0" w:leftChars="0" w:right="0" w:firstLine="480" w:firstLineChars="200"/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本项目产生噪声主要为破碎机、筛分机及风机等设备在生产过程中产生的噪声，噪声值在 80~90dB（A），车辆进出场生产过程中生产的噪声等，其源强约 80~95dB（A）。防护措施：通过合理布局，采取室内安装、基础减振等消声措施，经常保养和维护设备，避免设备在不良状态下运行。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pacing w:after="0" w:line="360" w:lineRule="auto"/>
        <w:ind w:left="0" w:leftChars="0" w:right="0" w:firstLine="480" w:firstLineChars="200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/>
        </w:rPr>
        <w:t>4、固体废物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bidi w:val="0"/>
        <w:spacing w:line="360" w:lineRule="auto"/>
        <w:ind w:leftChars="0" w:right="0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临时建筑垃圾回收利用生产线运行过程中会产生废竹木和废金属，收集后外售物质回收单位。临时建筑垃圾回收利用生产线设备保养均为厂家上门进行保养。无废机油、废机油桶、含油废抹布产生。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2"/>
        <w:rPr>
          <w:rFonts w:ascii="Times New Roman" w:hAnsi="Times New Roman" w:eastAsia="宋体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宋体" w:cs="Times New Roman"/>
          <w:b/>
          <w:color w:val="000000"/>
          <w:sz w:val="28"/>
          <w:szCs w:val="28"/>
        </w:rPr>
        <w:t>四、环境保护设施调试效果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</w:rPr>
        <w:t>根据《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中铁诺德·绣惠生态城一期（住宅17、住宅19地块）项目临时建筑垃圾回收利用生产线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</w:rPr>
        <w:t>竣工环境保护验收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eastAsia="zh-CN"/>
        </w:rPr>
        <w:t>检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</w:rPr>
        <w:t>测报告》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可知：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/>
        </w:rPr>
        <w:t>1、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监测期间的生产工况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监测期间，该企业生产正常，工况稳定，满足验收监测技术规范要求。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/>
        </w:rPr>
        <w:t>2、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污染物达标排放情况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（1）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/>
        </w:rPr>
        <w:t>废气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/>
        </w:rPr>
        <w:t>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D0D0D"/>
          <w:sz w:val="24"/>
          <w:szCs w:val="24"/>
          <w:lang w:val="en-US" w:eastAsia="zh-CN"/>
        </w:rPr>
      </w:pPr>
      <w:r>
        <w:rPr>
          <w:rFonts w:hint="eastAsia" w:cs="Times New Roman"/>
          <w:sz w:val="24"/>
          <w:szCs w:val="24"/>
          <w:lang w:eastAsia="zh-CN"/>
        </w:rPr>
        <w:t>验收</w:t>
      </w:r>
      <w:r>
        <w:rPr>
          <w:rFonts w:hint="default" w:ascii="Times New Roman" w:hAnsi="Times New Roman" w:eastAsia="宋体" w:cs="Times New Roman"/>
          <w:sz w:val="24"/>
          <w:szCs w:val="24"/>
        </w:rPr>
        <w:t>监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测期间，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本项目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各生产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工序</w:t>
      </w:r>
      <w:r>
        <w:rPr>
          <w:rFonts w:hint="default" w:ascii="Times New Roman" w:hAnsi="Times New Roman" w:eastAsia="宋体" w:cs="Times New Roman"/>
          <w:sz w:val="24"/>
          <w:lang w:eastAsia="zh-CN"/>
        </w:rPr>
        <w:t>正常运行，</w:t>
      </w:r>
      <w:r>
        <w:rPr>
          <w:rFonts w:hint="eastAsia" w:cs="Times New Roman"/>
          <w:sz w:val="24"/>
          <w:lang w:eastAsia="zh-CN"/>
        </w:rPr>
        <w:t>废气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排气筒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进</w:t>
      </w:r>
      <w:r>
        <w:rPr>
          <w:rFonts w:hint="default" w:ascii="Times New Roman" w:hAnsi="Times New Roman" w:eastAsia="宋体" w:cs="Times New Roman"/>
          <w:sz w:val="24"/>
          <w:szCs w:val="24"/>
        </w:rPr>
        <w:t>口颗粒物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最大</w:t>
      </w:r>
      <w:r>
        <w:rPr>
          <w:rFonts w:hint="eastAsia" w:cs="Times New Roman"/>
          <w:sz w:val="24"/>
          <w:szCs w:val="24"/>
          <w:lang w:eastAsia="zh-CN"/>
        </w:rPr>
        <w:t>排放浓度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为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19.1mg/m</w:t>
      </w:r>
      <w:r>
        <w:rPr>
          <w:rFonts w:hint="default" w:ascii="Times New Roman" w:hAnsi="Times New Roman" w:cs="Times New Roman"/>
          <w:sz w:val="24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sz w:val="24"/>
          <w:lang w:val="en-US" w:eastAsia="zh-CN"/>
        </w:rPr>
        <w:t>排放速率为0.278kg/h，</w:t>
      </w:r>
      <w:r>
        <w:rPr>
          <w:rFonts w:hint="default" w:ascii="Times New Roman" w:hAnsi="Times New Roman" w:cs="Times New Roman"/>
          <w:sz w:val="24"/>
          <w:lang w:eastAsia="zh-CN"/>
        </w:rPr>
        <w:t>废气</w:t>
      </w:r>
      <w:r>
        <w:rPr>
          <w:rFonts w:hint="default" w:ascii="Times New Roman" w:hAnsi="Times New Roman" w:eastAsia="宋体" w:cs="Times New Roman"/>
          <w:sz w:val="24"/>
          <w:lang w:val="en-US" w:eastAsia="zh-CN"/>
        </w:rPr>
        <w:t>排气筒</w:t>
      </w:r>
      <w:r>
        <w:rPr>
          <w:rFonts w:hint="default" w:ascii="Times New Roman" w:hAnsi="Times New Roman" w:eastAsia="宋体" w:cs="Times New Roman"/>
          <w:sz w:val="24"/>
          <w:szCs w:val="24"/>
        </w:rPr>
        <w:t>出口颗粒物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最大排放浓度为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3.1mg/m</w:t>
      </w:r>
      <w:r>
        <w:rPr>
          <w:rFonts w:hint="default" w:ascii="Times New Roman" w:hAnsi="Times New Roman" w:cs="Times New Roman"/>
          <w:sz w:val="24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sz w:val="24"/>
          <w:lang w:val="en-US" w:eastAsia="zh-CN"/>
        </w:rPr>
        <w:t>排放速率为</w:t>
      </w:r>
      <w:r>
        <w:rPr>
          <w:rFonts w:hint="default" w:ascii="Times New Roman" w:hAnsi="Times New Roman" w:cs="Times New Roman"/>
          <w:sz w:val="24"/>
          <w:lang w:val="en-US" w:eastAsia="zh-CN"/>
        </w:rPr>
        <w:t>0.051</w:t>
      </w:r>
      <w:r>
        <w:rPr>
          <w:rFonts w:hint="default" w:ascii="Times New Roman" w:hAnsi="Times New Roman" w:eastAsia="宋体" w:cs="Times New Roman"/>
          <w:sz w:val="24"/>
          <w:lang w:val="en-US" w:eastAsia="zh-CN"/>
        </w:rPr>
        <w:t>kg/h，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排放浓度满足</w:t>
      </w:r>
      <w:r>
        <w:rPr>
          <w:rFonts w:hint="default" w:ascii="Times New Roman" w:hAnsi="Times New Roman" w:eastAsia="宋体" w:cs="Times New Roman"/>
          <w:color w:val="0D0D0D"/>
          <w:sz w:val="24"/>
          <w:szCs w:val="24"/>
          <w:lang w:val="en-US" w:eastAsia="zh-CN"/>
        </w:rPr>
        <w:t>《建材工业大气污染物排放标准》（DB37/2373-2018）表 2 建筑石材业重点控制区限值要求（10mg/m</w:t>
      </w:r>
      <w:r>
        <w:rPr>
          <w:rFonts w:hint="default" w:ascii="Times New Roman" w:hAnsi="Times New Roman" w:eastAsia="宋体" w:cs="Times New Roman"/>
          <w:color w:val="0D0D0D"/>
          <w:sz w:val="24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color w:val="0D0D0D"/>
          <w:sz w:val="24"/>
          <w:szCs w:val="24"/>
          <w:lang w:val="en-US" w:eastAsia="zh-CN"/>
        </w:rPr>
        <w:t>），排放速率均</w:t>
      </w:r>
      <w:r>
        <w:rPr>
          <w:rFonts w:hint="eastAsia" w:ascii="Times New Roman" w:hAnsi="Times New Roman" w:cs="Times New Roman"/>
          <w:color w:val="0D0D0D"/>
          <w:sz w:val="24"/>
          <w:szCs w:val="24"/>
          <w:lang w:val="en-US" w:eastAsia="zh-CN"/>
        </w:rPr>
        <w:t>执行</w:t>
      </w:r>
      <w:r>
        <w:rPr>
          <w:rFonts w:hint="default" w:ascii="Times New Roman" w:hAnsi="Times New Roman" w:eastAsia="宋体" w:cs="Times New Roman"/>
          <w:color w:val="0D0D0D"/>
          <w:sz w:val="24"/>
          <w:szCs w:val="24"/>
          <w:lang w:val="en-US" w:eastAsia="zh-CN"/>
        </w:rPr>
        <w:t>《大气污染物综合排放标准》（GB16297-1996）表 2 中二级要求（3.5kg/h）。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default" w:ascii="Times New Roman" w:hAnsi="Times New Roman" w:eastAsia="宋体" w:cs="Times New Roman"/>
          <w:color w:val="0D0D0D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>验收</w:t>
      </w:r>
      <w:r>
        <w:rPr>
          <w:rFonts w:hint="default" w:ascii="Times New Roman" w:hAnsi="Times New Roman" w:eastAsia="宋体" w:cs="Times New Roman"/>
          <w:sz w:val="24"/>
          <w:szCs w:val="24"/>
        </w:rPr>
        <w:t>监测期间，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颗粒物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厂界</w:t>
      </w:r>
      <w:r>
        <w:rPr>
          <w:rFonts w:hint="default" w:ascii="Times New Roman" w:hAnsi="Times New Roman" w:eastAsia="宋体" w:cs="Times New Roman"/>
          <w:sz w:val="24"/>
          <w:szCs w:val="24"/>
        </w:rPr>
        <w:t>浓度最大值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为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232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kern w:val="0"/>
          <w:sz w:val="21"/>
          <w:szCs w:val="21"/>
          <w:lang w:val="en-US" w:eastAsia="zh-CN"/>
        </w:rPr>
        <w:t>μg/m</w:t>
      </w:r>
      <w:r>
        <w:rPr>
          <w:rFonts w:hint="eastAsia" w:ascii="Times New Roman" w:hAnsi="Times New Roman" w:eastAsia="宋体" w:cs="Times New Roman"/>
          <w:b w:val="0"/>
          <w:bCs w:val="0"/>
          <w:color w:val="000000"/>
          <w:kern w:val="0"/>
          <w:sz w:val="21"/>
          <w:szCs w:val="21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>，</w:t>
      </w:r>
      <w:r>
        <w:rPr>
          <w:rFonts w:hint="default" w:ascii="Times New Roman" w:hAnsi="Times New Roman" w:cs="Times New Roman"/>
          <w:vertAlign w:val="baseline"/>
          <w:lang w:val="en-US" w:eastAsia="zh-CN"/>
        </w:rPr>
        <w:t>厂界无组织颗粒物排放浓度满足</w:t>
      </w:r>
      <w:r>
        <w:rPr>
          <w:rFonts w:hint="default" w:ascii="Times New Roman" w:hAnsi="Times New Roman" w:eastAsia="宋体" w:cs="Times New Roman"/>
          <w:color w:val="0D0D0D"/>
          <w:sz w:val="24"/>
          <w:szCs w:val="24"/>
          <w:lang w:val="en-US" w:eastAsia="zh-CN"/>
        </w:rPr>
        <w:t>《建材工业大气污染物排放标准》（DB37/2373-2018）表 3 无组织排放监控浓度限值（除水泥外的其他建材）（1.0mg/m</w:t>
      </w:r>
      <w:r>
        <w:rPr>
          <w:rFonts w:hint="default" w:ascii="Times New Roman" w:hAnsi="Times New Roman" w:eastAsia="宋体" w:cs="Times New Roman"/>
          <w:color w:val="0D0D0D"/>
          <w:sz w:val="24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color w:val="0D0D0D"/>
          <w:sz w:val="24"/>
          <w:szCs w:val="24"/>
          <w:lang w:val="en-US" w:eastAsia="zh-CN"/>
        </w:rPr>
        <w:t>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bidi w:val="0"/>
        <w:spacing w:after="0" w:line="360" w:lineRule="auto"/>
        <w:ind w:leftChars="0" w:right="0" w:firstLine="480" w:firstLineChars="200"/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  <w:t>（</w:t>
      </w:r>
      <w:r>
        <w:rPr>
          <w:rFonts w:hint="eastAsia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  <w:t>）噪声：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bidi w:val="0"/>
        <w:spacing w:after="0" w:line="360" w:lineRule="auto"/>
        <w:ind w:leftChars="0" w:right="0" w:firstLine="480" w:firstLineChars="200"/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  <w:t>验收监测期间，项目东、南、西、北厂界监测点昼间噪声最大值分别为55.9dB（A）、54.6dB（A）、55.1dB（A）、55.6dB（A），厂界昼间噪声满足《工业企业厂界环境噪声排放标准》（GB12348-2008）中2类区域标准。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bidi w:val="0"/>
        <w:spacing w:after="0" w:line="360" w:lineRule="auto"/>
        <w:ind w:leftChars="0" w:right="0" w:firstLine="480" w:firstLineChars="200"/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  <w:t>（</w:t>
      </w:r>
      <w:r>
        <w:rPr>
          <w:rFonts w:hint="eastAsia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  <w:t>）固体废物：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bidi w:val="0"/>
        <w:spacing w:after="0" w:line="360" w:lineRule="auto"/>
        <w:ind w:leftChars="0" w:right="0" w:firstLine="480" w:firstLineChars="200"/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  <w:t>临时建筑垃圾回收利用生产线运行过程中会产生废竹木和废金属，收集后外售物质回收单位。临时建筑垃圾回收利用生产线设备保养均为厂家上门进行保养。无废机油、废机油桶、含油废抹布产生。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bidi w:val="0"/>
        <w:spacing w:after="0" w:line="360" w:lineRule="auto"/>
        <w:ind w:leftChars="0" w:right="0" w:firstLine="480" w:firstLineChars="200"/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  <w:szCs w:val="24"/>
          <w:lang w:val="en-US" w:eastAsia="zh-CN"/>
        </w:rPr>
        <w:t>一般固体废物满足《一般工业固体废物贮存和填埋污染控制标准》（GB18599-2020）要求。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2"/>
        <w:rPr>
          <w:rFonts w:hint="eastAsia" w:ascii="宋体" w:hAnsi="宋体" w:eastAsia="宋体" w:cs="宋体"/>
          <w:b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8"/>
          <w:lang w:eastAsia="zh-CN"/>
        </w:rPr>
        <w:t>五、</w:t>
      </w:r>
      <w:r>
        <w:rPr>
          <w:rFonts w:hint="eastAsia" w:ascii="宋体" w:hAnsi="宋体" w:eastAsia="宋体" w:cs="宋体"/>
          <w:b/>
          <w:color w:val="000000"/>
          <w:sz w:val="28"/>
          <w:szCs w:val="28"/>
        </w:rPr>
        <w:t>工程建设对环境的影响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pacing w:after="0" w:line="360" w:lineRule="auto"/>
        <w:ind w:right="0" w:rightChars="0" w:firstLine="480" w:firstLineChars="200"/>
        <w:rPr>
          <w:rFonts w:hint="eastAsia" w:ascii="宋体" w:hAnsi="宋体" w:eastAsia="宋体" w:cs="宋体"/>
          <w:b/>
          <w:color w:val="000000"/>
          <w:sz w:val="28"/>
          <w:szCs w:val="28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eastAsia="zh-CN"/>
        </w:rPr>
        <w:t>本项目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位于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章丘区绣惠街道中心大街南侧，西关村委西侧地块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，监测结果表明，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eastAsia="zh-CN"/>
        </w:rPr>
        <w:t>本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项目废气、噪声均符合国家标准要求，达标排放，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固体废物均合理处置，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对周围环境影响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较小。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2"/>
        <w:rPr>
          <w:rFonts w:ascii="仿宋" w:hAnsi="仿宋" w:eastAsia="仿宋"/>
          <w:b/>
          <w:kern w:val="2"/>
          <w:sz w:val="30"/>
          <w:szCs w:val="30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8"/>
        </w:rPr>
        <w:t>六、验收结论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default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根据该项目竣工环境保护验收报告和现场检查，项目环保手续已经完备，技术资料齐全，执行了环境影响评价和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default" w:ascii="Times New Roman" w:hAnsi="Times New Roman" w:eastAsia="宋体" w:cs="Times New Roman"/>
          <w:sz w:val="24"/>
          <w:szCs w:val="24"/>
        </w:rPr>
        <w:t>三同时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default" w:ascii="Times New Roman" w:hAnsi="Times New Roman" w:eastAsia="宋体" w:cs="Times New Roman"/>
          <w:sz w:val="24"/>
          <w:szCs w:val="24"/>
        </w:rPr>
        <w:t>管理制度，基本落实环评报告表及其审批意见所规定的各项环境污染防治措施，各类污染物能够实现达标排放要求，符合竣工环境保护验收条件，验收合格。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 w:val="0"/>
        <w:snapToGrid w:val="0"/>
        <w:spacing w:after="0" w:line="360" w:lineRule="auto"/>
        <w:ind w:leftChars="0" w:right="0" w:firstLine="582"/>
        <w:jc w:val="both"/>
        <w:rPr>
          <w:rFonts w:hint="eastAsia" w:ascii="宋体" w:hAnsi="宋体" w:eastAsia="宋体" w:cs="宋体"/>
          <w:b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</w:rPr>
        <w:t>七、建议和后续要求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 w:val="0"/>
        <w:snapToGrid w:val="0"/>
        <w:spacing w:after="0" w:line="360" w:lineRule="auto"/>
        <w:ind w:leftChars="0" w:right="0" w:firstLine="580"/>
        <w:jc w:val="both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（1）加强废气处理设施的管理与维护，建立并落实日常运行管理台账，确保废气环保设施的稳定运行和污染物长期稳定达标排放；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 w:val="0"/>
        <w:snapToGrid w:val="0"/>
        <w:spacing w:after="0" w:line="360" w:lineRule="auto"/>
        <w:ind w:leftChars="0" w:right="0" w:firstLine="580"/>
        <w:jc w:val="both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（2）加强高噪音设备的维修和保养，降低噪声污染，维持噪声排放达标。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 w:val="0"/>
        <w:snapToGrid w:val="0"/>
        <w:spacing w:after="0" w:line="360" w:lineRule="auto"/>
        <w:ind w:leftChars="0" w:right="0" w:firstLine="580"/>
        <w:jc w:val="both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（3）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eastAsia="zh-CN"/>
        </w:rPr>
        <w:t>根据国家有关标准规范采样口，设置排污口标识牌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2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八、验收人员信息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after="0" w:line="360" w:lineRule="auto"/>
        <w:ind w:leftChars="0" w:right="0" w:firstLine="560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验收人员信息见附件。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 w:val="0"/>
        <w:snapToGrid w:val="0"/>
        <w:spacing w:after="0" w:line="360" w:lineRule="auto"/>
        <w:ind w:leftChars="0" w:right="0" w:firstLine="580"/>
        <w:jc w:val="both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验收组签字：</w:t>
      </w:r>
    </w:p>
    <w:p>
      <w:pPr>
        <w:pStyle w:val="7"/>
        <w:spacing w:line="360" w:lineRule="auto"/>
        <w:jc w:val="right"/>
        <w:rPr>
          <w:rFonts w:hint="default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after="0" w:line="360" w:lineRule="auto"/>
        <w:ind w:leftChars="0" w:right="0" w:firstLine="602"/>
        <w:jc w:val="right"/>
        <w:rPr>
          <w:rFonts w:hint="default" w:ascii="Times New Roman" w:hAnsi="Times New Roman" w:eastAsia="仿宋" w:cs="Times New Roman"/>
          <w:b/>
          <w:color w:val="auto"/>
          <w:kern w:val="2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after="0" w:line="360" w:lineRule="auto"/>
        <w:ind w:leftChars="0" w:right="0" w:firstLine="580"/>
        <w:jc w:val="right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山东中惠新型建材有限责任公司</w:t>
      </w:r>
    </w:p>
    <w:p>
      <w:pPr>
        <w:widowControl/>
        <w:snapToGrid w:val="0"/>
        <w:ind w:firstLine="580"/>
        <w:jc w:val="righ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2021年11月27日</w:t>
      </w:r>
    </w:p>
    <w:p>
      <w:pPr>
        <w:pStyle w:val="2"/>
        <w:ind w:firstLine="0" w:firstLineChars="0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</w:p>
    <w:sectPr>
      <w:headerReference r:id="rId5" w:type="default"/>
      <w:footerReference r:id="rId6" w:type="default"/>
      <w:pgSz w:w="11850" w:h="16783"/>
      <w:pgMar w:top="1440" w:right="1423" w:bottom="1440" w:left="1423" w:header="851" w:footer="992" w:gutter="0"/>
      <w:cols w:space="0" w:num="1"/>
      <w:docGrid w:type="lines" w:linePitch="314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40"/>
      </w:pPr>
      <w:r>
        <w:separator/>
      </w:r>
    </w:p>
  </w:endnote>
  <w:endnote w:type="continuationSeparator" w:id="1">
    <w:p>
      <w:pPr>
        <w:spacing w:line="240" w:lineRule="auto"/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4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pBdr>
        <w:bottom w:val="none" w:color="auto" w:sz="0" w:space="0"/>
      </w:pBdr>
      <w:ind w:firstLine="360"/>
      <w:rPr>
        <w:rFonts w:cs="Tahom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80BCAD"/>
    <w:multiLevelType w:val="singleLevel"/>
    <w:tmpl w:val="FC80BCAD"/>
    <w:lvl w:ilvl="0" w:tentative="0">
      <w:start w:val="1"/>
      <w:numFmt w:val="bullet"/>
      <w:pStyle w:val="1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trackRevisions w:val="1"/>
  <w:documentProtection w:enforcement="0"/>
  <w:defaultTabStop w:val="420"/>
  <w:doNotHyphenateCaps/>
  <w:drawingGridVerticalSpacing w:val="157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5A13"/>
    <w:rsid w:val="0003659E"/>
    <w:rsid w:val="00051171"/>
    <w:rsid w:val="0005571D"/>
    <w:rsid w:val="00082D69"/>
    <w:rsid w:val="000B6AB9"/>
    <w:rsid w:val="000C5950"/>
    <w:rsid w:val="000D22C0"/>
    <w:rsid w:val="000D2C30"/>
    <w:rsid w:val="000E6A6D"/>
    <w:rsid w:val="00100522"/>
    <w:rsid w:val="00100D45"/>
    <w:rsid w:val="00112FCB"/>
    <w:rsid w:val="00123494"/>
    <w:rsid w:val="00123D3F"/>
    <w:rsid w:val="00136E9D"/>
    <w:rsid w:val="001374C9"/>
    <w:rsid w:val="00151430"/>
    <w:rsid w:val="001B2C20"/>
    <w:rsid w:val="001C4038"/>
    <w:rsid w:val="001E3192"/>
    <w:rsid w:val="001F25A9"/>
    <w:rsid w:val="00204BB3"/>
    <w:rsid w:val="00240D08"/>
    <w:rsid w:val="00244A46"/>
    <w:rsid w:val="002801F6"/>
    <w:rsid w:val="002849BC"/>
    <w:rsid w:val="002863EA"/>
    <w:rsid w:val="002874F0"/>
    <w:rsid w:val="002906CD"/>
    <w:rsid w:val="00294FC2"/>
    <w:rsid w:val="002B32BD"/>
    <w:rsid w:val="002F2B00"/>
    <w:rsid w:val="002F4D8C"/>
    <w:rsid w:val="002F5573"/>
    <w:rsid w:val="00304D4E"/>
    <w:rsid w:val="00306497"/>
    <w:rsid w:val="00321DDE"/>
    <w:rsid w:val="00345CAC"/>
    <w:rsid w:val="003A0123"/>
    <w:rsid w:val="003B47BB"/>
    <w:rsid w:val="003C26BC"/>
    <w:rsid w:val="003C3CA8"/>
    <w:rsid w:val="003E1ED5"/>
    <w:rsid w:val="003E323E"/>
    <w:rsid w:val="00411DD0"/>
    <w:rsid w:val="00436EA1"/>
    <w:rsid w:val="00454708"/>
    <w:rsid w:val="00464600"/>
    <w:rsid w:val="00474534"/>
    <w:rsid w:val="00475734"/>
    <w:rsid w:val="00476E07"/>
    <w:rsid w:val="0048437D"/>
    <w:rsid w:val="00493633"/>
    <w:rsid w:val="004A0639"/>
    <w:rsid w:val="004A497C"/>
    <w:rsid w:val="004B7E5F"/>
    <w:rsid w:val="004C36BB"/>
    <w:rsid w:val="004C40B4"/>
    <w:rsid w:val="004E2FE4"/>
    <w:rsid w:val="00522759"/>
    <w:rsid w:val="00532369"/>
    <w:rsid w:val="00587216"/>
    <w:rsid w:val="005A5206"/>
    <w:rsid w:val="005A6685"/>
    <w:rsid w:val="005B00F4"/>
    <w:rsid w:val="005B1BA4"/>
    <w:rsid w:val="005D72B5"/>
    <w:rsid w:val="005E0897"/>
    <w:rsid w:val="005E09DC"/>
    <w:rsid w:val="0060524E"/>
    <w:rsid w:val="00607661"/>
    <w:rsid w:val="0062738C"/>
    <w:rsid w:val="00635C38"/>
    <w:rsid w:val="00656C9A"/>
    <w:rsid w:val="00660B7E"/>
    <w:rsid w:val="006633A9"/>
    <w:rsid w:val="00675801"/>
    <w:rsid w:val="00675B32"/>
    <w:rsid w:val="00676B00"/>
    <w:rsid w:val="00687553"/>
    <w:rsid w:val="006915ED"/>
    <w:rsid w:val="006A00F0"/>
    <w:rsid w:val="006A4004"/>
    <w:rsid w:val="006F79A8"/>
    <w:rsid w:val="00710178"/>
    <w:rsid w:val="007371E6"/>
    <w:rsid w:val="00746AC2"/>
    <w:rsid w:val="0075590D"/>
    <w:rsid w:val="00777542"/>
    <w:rsid w:val="0079354C"/>
    <w:rsid w:val="0079381D"/>
    <w:rsid w:val="00794F0E"/>
    <w:rsid w:val="007B66FA"/>
    <w:rsid w:val="007B7205"/>
    <w:rsid w:val="007C652D"/>
    <w:rsid w:val="007D1C85"/>
    <w:rsid w:val="007F3A23"/>
    <w:rsid w:val="008017AA"/>
    <w:rsid w:val="008047FA"/>
    <w:rsid w:val="008105AC"/>
    <w:rsid w:val="00820E46"/>
    <w:rsid w:val="00827A40"/>
    <w:rsid w:val="00834FAD"/>
    <w:rsid w:val="008515B7"/>
    <w:rsid w:val="00856FE8"/>
    <w:rsid w:val="00860219"/>
    <w:rsid w:val="00876AD0"/>
    <w:rsid w:val="00892B1A"/>
    <w:rsid w:val="00892C76"/>
    <w:rsid w:val="008D1DEF"/>
    <w:rsid w:val="008F6892"/>
    <w:rsid w:val="0091374D"/>
    <w:rsid w:val="009318B7"/>
    <w:rsid w:val="0094565D"/>
    <w:rsid w:val="00987513"/>
    <w:rsid w:val="009A15C6"/>
    <w:rsid w:val="009B41E2"/>
    <w:rsid w:val="009C5305"/>
    <w:rsid w:val="009F29BA"/>
    <w:rsid w:val="00A00D62"/>
    <w:rsid w:val="00A12AFC"/>
    <w:rsid w:val="00A23A98"/>
    <w:rsid w:val="00A263F8"/>
    <w:rsid w:val="00A32939"/>
    <w:rsid w:val="00A57E27"/>
    <w:rsid w:val="00A87D8D"/>
    <w:rsid w:val="00A97E42"/>
    <w:rsid w:val="00AC4896"/>
    <w:rsid w:val="00AE567B"/>
    <w:rsid w:val="00AE7916"/>
    <w:rsid w:val="00B012B2"/>
    <w:rsid w:val="00B04612"/>
    <w:rsid w:val="00B15EB9"/>
    <w:rsid w:val="00B20B7C"/>
    <w:rsid w:val="00B25879"/>
    <w:rsid w:val="00B265CF"/>
    <w:rsid w:val="00B355D4"/>
    <w:rsid w:val="00B419D8"/>
    <w:rsid w:val="00B42638"/>
    <w:rsid w:val="00B50064"/>
    <w:rsid w:val="00B54C75"/>
    <w:rsid w:val="00B8081D"/>
    <w:rsid w:val="00B84B89"/>
    <w:rsid w:val="00B90D5E"/>
    <w:rsid w:val="00B9519E"/>
    <w:rsid w:val="00BA090A"/>
    <w:rsid w:val="00BE053E"/>
    <w:rsid w:val="00BE697B"/>
    <w:rsid w:val="00C273CD"/>
    <w:rsid w:val="00C65C81"/>
    <w:rsid w:val="00C7749F"/>
    <w:rsid w:val="00C82779"/>
    <w:rsid w:val="00C94515"/>
    <w:rsid w:val="00CE5494"/>
    <w:rsid w:val="00CE6E57"/>
    <w:rsid w:val="00D0629A"/>
    <w:rsid w:val="00D16BE8"/>
    <w:rsid w:val="00D27945"/>
    <w:rsid w:val="00D64752"/>
    <w:rsid w:val="00D705C2"/>
    <w:rsid w:val="00D96E1A"/>
    <w:rsid w:val="00DF6E75"/>
    <w:rsid w:val="00DF72AB"/>
    <w:rsid w:val="00E02AB0"/>
    <w:rsid w:val="00E4216C"/>
    <w:rsid w:val="00E46C72"/>
    <w:rsid w:val="00E544C5"/>
    <w:rsid w:val="00E749C3"/>
    <w:rsid w:val="00E770BA"/>
    <w:rsid w:val="00E81432"/>
    <w:rsid w:val="00E81D6E"/>
    <w:rsid w:val="00E852D0"/>
    <w:rsid w:val="00E87B21"/>
    <w:rsid w:val="00EB0F5B"/>
    <w:rsid w:val="00EB33EC"/>
    <w:rsid w:val="00EC287A"/>
    <w:rsid w:val="00ED368E"/>
    <w:rsid w:val="00F1024F"/>
    <w:rsid w:val="00F14097"/>
    <w:rsid w:val="00F14501"/>
    <w:rsid w:val="00F3369D"/>
    <w:rsid w:val="00F33F12"/>
    <w:rsid w:val="00F426D9"/>
    <w:rsid w:val="00F564CC"/>
    <w:rsid w:val="00FA009F"/>
    <w:rsid w:val="00FA255C"/>
    <w:rsid w:val="00FA5F64"/>
    <w:rsid w:val="00FA7250"/>
    <w:rsid w:val="00FB2A45"/>
    <w:rsid w:val="00FE02A1"/>
    <w:rsid w:val="00FE1F4C"/>
    <w:rsid w:val="00FE3872"/>
    <w:rsid w:val="00FF0264"/>
    <w:rsid w:val="00FF4184"/>
    <w:rsid w:val="02874060"/>
    <w:rsid w:val="02C7498E"/>
    <w:rsid w:val="03CF05A3"/>
    <w:rsid w:val="045C3438"/>
    <w:rsid w:val="04773D02"/>
    <w:rsid w:val="04F64D61"/>
    <w:rsid w:val="05312C57"/>
    <w:rsid w:val="05982B91"/>
    <w:rsid w:val="06DC3814"/>
    <w:rsid w:val="074671CC"/>
    <w:rsid w:val="0766665A"/>
    <w:rsid w:val="07AD0944"/>
    <w:rsid w:val="093B00AF"/>
    <w:rsid w:val="09865549"/>
    <w:rsid w:val="0A5E79C8"/>
    <w:rsid w:val="0AA05173"/>
    <w:rsid w:val="0AE850E5"/>
    <w:rsid w:val="0B3D053A"/>
    <w:rsid w:val="0C793B3D"/>
    <w:rsid w:val="0C850E03"/>
    <w:rsid w:val="0D7C6268"/>
    <w:rsid w:val="0DAD0CD4"/>
    <w:rsid w:val="0F76507F"/>
    <w:rsid w:val="106525CA"/>
    <w:rsid w:val="10C304AB"/>
    <w:rsid w:val="10F37360"/>
    <w:rsid w:val="1110472C"/>
    <w:rsid w:val="116A15B6"/>
    <w:rsid w:val="11C86278"/>
    <w:rsid w:val="135B3B62"/>
    <w:rsid w:val="143A4ACA"/>
    <w:rsid w:val="145A1C25"/>
    <w:rsid w:val="14D33197"/>
    <w:rsid w:val="15553DF7"/>
    <w:rsid w:val="155A6060"/>
    <w:rsid w:val="15B33D50"/>
    <w:rsid w:val="15E81ECB"/>
    <w:rsid w:val="15F26564"/>
    <w:rsid w:val="178E0669"/>
    <w:rsid w:val="188D7E54"/>
    <w:rsid w:val="1918245D"/>
    <w:rsid w:val="1A9B36F6"/>
    <w:rsid w:val="1AD71EA4"/>
    <w:rsid w:val="1D3D2E8E"/>
    <w:rsid w:val="1DCF6A15"/>
    <w:rsid w:val="1E061AFB"/>
    <w:rsid w:val="1FB0700F"/>
    <w:rsid w:val="1FB60655"/>
    <w:rsid w:val="1FE7169E"/>
    <w:rsid w:val="201D7A42"/>
    <w:rsid w:val="202F4709"/>
    <w:rsid w:val="20EF52E9"/>
    <w:rsid w:val="21081222"/>
    <w:rsid w:val="21B2626F"/>
    <w:rsid w:val="221B3059"/>
    <w:rsid w:val="226D3CFE"/>
    <w:rsid w:val="22D929C4"/>
    <w:rsid w:val="22FD2DEE"/>
    <w:rsid w:val="2306772B"/>
    <w:rsid w:val="24EE055F"/>
    <w:rsid w:val="256D51AD"/>
    <w:rsid w:val="25730E5F"/>
    <w:rsid w:val="25DA358A"/>
    <w:rsid w:val="27183FAE"/>
    <w:rsid w:val="28702BFD"/>
    <w:rsid w:val="287A70C8"/>
    <w:rsid w:val="28AD1D8E"/>
    <w:rsid w:val="29E52C04"/>
    <w:rsid w:val="2A7704C9"/>
    <w:rsid w:val="2C5A2F7C"/>
    <w:rsid w:val="2C631EE5"/>
    <w:rsid w:val="2D42357D"/>
    <w:rsid w:val="303B521B"/>
    <w:rsid w:val="30446957"/>
    <w:rsid w:val="31447B17"/>
    <w:rsid w:val="31545D96"/>
    <w:rsid w:val="322A6115"/>
    <w:rsid w:val="325E60DB"/>
    <w:rsid w:val="32A4059B"/>
    <w:rsid w:val="3307355C"/>
    <w:rsid w:val="33C81DD3"/>
    <w:rsid w:val="38105541"/>
    <w:rsid w:val="386F3A84"/>
    <w:rsid w:val="39493F69"/>
    <w:rsid w:val="3B0844DE"/>
    <w:rsid w:val="3C931740"/>
    <w:rsid w:val="3CE227B1"/>
    <w:rsid w:val="3E047166"/>
    <w:rsid w:val="3E083A98"/>
    <w:rsid w:val="3EBD4C50"/>
    <w:rsid w:val="3F307FC6"/>
    <w:rsid w:val="3F3F6175"/>
    <w:rsid w:val="3F5F5D14"/>
    <w:rsid w:val="3F8D744B"/>
    <w:rsid w:val="3FB36297"/>
    <w:rsid w:val="40225A34"/>
    <w:rsid w:val="417D1105"/>
    <w:rsid w:val="41FC7E24"/>
    <w:rsid w:val="420115B3"/>
    <w:rsid w:val="4420552A"/>
    <w:rsid w:val="44285812"/>
    <w:rsid w:val="455B5A78"/>
    <w:rsid w:val="455F2AA3"/>
    <w:rsid w:val="45B544A3"/>
    <w:rsid w:val="45E845F0"/>
    <w:rsid w:val="471E352A"/>
    <w:rsid w:val="47D8037F"/>
    <w:rsid w:val="493E0B7E"/>
    <w:rsid w:val="49506749"/>
    <w:rsid w:val="49C55197"/>
    <w:rsid w:val="49CD6A25"/>
    <w:rsid w:val="4A1168BD"/>
    <w:rsid w:val="4A5821EF"/>
    <w:rsid w:val="4B4674D2"/>
    <w:rsid w:val="4B7C5A47"/>
    <w:rsid w:val="4BCC3852"/>
    <w:rsid w:val="4BEB2588"/>
    <w:rsid w:val="4C144871"/>
    <w:rsid w:val="4C345582"/>
    <w:rsid w:val="4CFA33FC"/>
    <w:rsid w:val="4E7723EA"/>
    <w:rsid w:val="502B6E83"/>
    <w:rsid w:val="5078219D"/>
    <w:rsid w:val="51142D8E"/>
    <w:rsid w:val="511B243F"/>
    <w:rsid w:val="51AE70CE"/>
    <w:rsid w:val="529B46C0"/>
    <w:rsid w:val="52E349A0"/>
    <w:rsid w:val="52F62681"/>
    <w:rsid w:val="532458E8"/>
    <w:rsid w:val="545A07F1"/>
    <w:rsid w:val="54970FF4"/>
    <w:rsid w:val="54D041E8"/>
    <w:rsid w:val="55BC4161"/>
    <w:rsid w:val="56937BD7"/>
    <w:rsid w:val="57EE219F"/>
    <w:rsid w:val="58194454"/>
    <w:rsid w:val="586216B7"/>
    <w:rsid w:val="590D7306"/>
    <w:rsid w:val="59366F33"/>
    <w:rsid w:val="59610487"/>
    <w:rsid w:val="599F18F9"/>
    <w:rsid w:val="59A83D85"/>
    <w:rsid w:val="59B92F56"/>
    <w:rsid w:val="59E25E8C"/>
    <w:rsid w:val="5AB94A93"/>
    <w:rsid w:val="5C211791"/>
    <w:rsid w:val="5C8439DC"/>
    <w:rsid w:val="5C8E6E99"/>
    <w:rsid w:val="5CD62FD7"/>
    <w:rsid w:val="5CDE795B"/>
    <w:rsid w:val="5D2807D4"/>
    <w:rsid w:val="5DC22282"/>
    <w:rsid w:val="5DCC210D"/>
    <w:rsid w:val="5DD23BD9"/>
    <w:rsid w:val="5E1637D7"/>
    <w:rsid w:val="5E1F609D"/>
    <w:rsid w:val="5E50770E"/>
    <w:rsid w:val="5E54739E"/>
    <w:rsid w:val="5F190BA3"/>
    <w:rsid w:val="614F11BA"/>
    <w:rsid w:val="621D3446"/>
    <w:rsid w:val="62895E57"/>
    <w:rsid w:val="63113C8D"/>
    <w:rsid w:val="63A731B1"/>
    <w:rsid w:val="63AB48A9"/>
    <w:rsid w:val="63D037D4"/>
    <w:rsid w:val="63D41A4D"/>
    <w:rsid w:val="653B3E7E"/>
    <w:rsid w:val="654C556F"/>
    <w:rsid w:val="66306408"/>
    <w:rsid w:val="678470B0"/>
    <w:rsid w:val="682436AA"/>
    <w:rsid w:val="68BD0ABC"/>
    <w:rsid w:val="68D80F78"/>
    <w:rsid w:val="68F1343C"/>
    <w:rsid w:val="6939445F"/>
    <w:rsid w:val="6AD54F6D"/>
    <w:rsid w:val="6B4E204F"/>
    <w:rsid w:val="6BFC5334"/>
    <w:rsid w:val="6CFF7247"/>
    <w:rsid w:val="6E4A4A40"/>
    <w:rsid w:val="6F063E1D"/>
    <w:rsid w:val="6F4C183A"/>
    <w:rsid w:val="6F812984"/>
    <w:rsid w:val="6FBE4A4B"/>
    <w:rsid w:val="6FFF6F45"/>
    <w:rsid w:val="70F21638"/>
    <w:rsid w:val="72130C84"/>
    <w:rsid w:val="728263F5"/>
    <w:rsid w:val="72B727BB"/>
    <w:rsid w:val="72D407BC"/>
    <w:rsid w:val="7388340E"/>
    <w:rsid w:val="73AB4460"/>
    <w:rsid w:val="73E63676"/>
    <w:rsid w:val="741A2FF9"/>
    <w:rsid w:val="74DD6887"/>
    <w:rsid w:val="750A7806"/>
    <w:rsid w:val="75703EEA"/>
    <w:rsid w:val="75BF4004"/>
    <w:rsid w:val="762228EF"/>
    <w:rsid w:val="77EE65ED"/>
    <w:rsid w:val="79426BD7"/>
    <w:rsid w:val="796A316D"/>
    <w:rsid w:val="798727B4"/>
    <w:rsid w:val="79F51CB5"/>
    <w:rsid w:val="7A5902CD"/>
    <w:rsid w:val="7A7748C0"/>
    <w:rsid w:val="7A971671"/>
    <w:rsid w:val="7A976B94"/>
    <w:rsid w:val="7AD11380"/>
    <w:rsid w:val="7B505291"/>
    <w:rsid w:val="7BDE3D7C"/>
    <w:rsid w:val="7C584461"/>
    <w:rsid w:val="7CB30260"/>
    <w:rsid w:val="7CD21CE4"/>
    <w:rsid w:val="7CEE7D3C"/>
    <w:rsid w:val="7DBE38D5"/>
    <w:rsid w:val="7E342880"/>
    <w:rsid w:val="7F7C79D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0" w:semiHidden="0" w:name="heading 2" w:locked="1"/>
    <w:lsdException w:qFormat="1" w:uiPriority="0" w:name="heading 3" w:locked="1"/>
    <w:lsdException w:qFormat="1" w:unhideWhenUsed="0" w:uiPriority="0" w:semiHidden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qFormat="1"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nhideWhenUsed="0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 w:line="360" w:lineRule="auto"/>
      <w:ind w:firstLine="200" w:firstLineChars="200"/>
      <w:jc w:val="both"/>
    </w:pPr>
    <w:rPr>
      <w:rFonts w:ascii="Tahoma" w:hAnsi="Tahoma" w:eastAsia="微软雅黑" w:cs="Tahoma"/>
      <w:sz w:val="22"/>
      <w:szCs w:val="22"/>
      <w:lang w:val="en-US" w:eastAsia="zh-CN" w:bidi="ar-SA"/>
    </w:rPr>
  </w:style>
  <w:style w:type="paragraph" w:styleId="3">
    <w:name w:val="heading 1"/>
    <w:basedOn w:val="1"/>
    <w:next w:val="1"/>
    <w:link w:val="35"/>
    <w:qFormat/>
    <w:locked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locked/>
    <w:uiPriority w:val="0"/>
    <w:pPr>
      <w:keepNext/>
      <w:spacing w:line="360" w:lineRule="auto"/>
      <w:ind w:firstLine="0" w:firstLineChars="0"/>
      <w:outlineLvl w:val="1"/>
    </w:pPr>
    <w:rPr>
      <w:b/>
      <w:bCs/>
      <w:sz w:val="28"/>
    </w:rPr>
  </w:style>
  <w:style w:type="paragraph" w:styleId="5">
    <w:name w:val="heading 4"/>
    <w:basedOn w:val="1"/>
    <w:next w:val="1"/>
    <w:link w:val="33"/>
    <w:qFormat/>
    <w:locked/>
    <w:uiPriority w:val="0"/>
    <w:pPr>
      <w:widowControl w:val="0"/>
      <w:adjustRightInd/>
      <w:snapToGrid/>
      <w:spacing w:beforeLines="50" w:afterLines="50"/>
      <w:outlineLvl w:val="3"/>
    </w:pPr>
    <w:rPr>
      <w:rFonts w:ascii="Times New Roman" w:hAnsi="Times New Roman" w:eastAsia="宋体" w:cs="Times New Roman"/>
      <w:b/>
      <w:kern w:val="2"/>
      <w:sz w:val="28"/>
      <w:szCs w:val="28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  <w:spacing w:line="360" w:lineRule="auto"/>
      <w:ind w:firstLine="200" w:firstLineChars="200"/>
      <w:jc w:val="both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6">
    <w:name w:val="Normal Indent"/>
    <w:basedOn w:val="1"/>
    <w:next w:val="7"/>
    <w:qFormat/>
    <w:uiPriority w:val="0"/>
    <w:pPr>
      <w:ind w:firstLine="420"/>
    </w:pPr>
    <w:rPr>
      <w:szCs w:val="20"/>
    </w:rPr>
  </w:style>
  <w:style w:type="paragraph" w:styleId="7">
    <w:name w:val="Body Text First Indent 2"/>
    <w:basedOn w:val="8"/>
    <w:next w:val="1"/>
    <w:qFormat/>
    <w:uiPriority w:val="0"/>
    <w:pPr>
      <w:ind w:firstLine="420"/>
    </w:pPr>
    <w:rPr>
      <w:sz w:val="21"/>
    </w:rPr>
  </w:style>
  <w:style w:type="paragraph" w:styleId="8">
    <w:name w:val="Body Text Indent"/>
    <w:basedOn w:val="1"/>
    <w:next w:val="9"/>
    <w:qFormat/>
    <w:uiPriority w:val="0"/>
    <w:pPr>
      <w:spacing w:after="120"/>
      <w:ind w:left="420" w:leftChars="200"/>
    </w:pPr>
    <w:rPr>
      <w:sz w:val="20"/>
      <w:szCs w:val="20"/>
    </w:rPr>
  </w:style>
  <w:style w:type="paragraph" w:customStyle="1" w:styleId="9">
    <w:name w:val="样式 正文文本缩进 + 行距: 1.5 倍行距"/>
    <w:basedOn w:val="10"/>
    <w:qFormat/>
    <w:uiPriority w:val="0"/>
    <w:pPr>
      <w:snapToGrid/>
      <w:spacing w:before="0" w:after="120" w:line="360" w:lineRule="auto"/>
      <w:ind w:left="90" w:leftChars="32" w:firstLine="560" w:firstLineChars="200"/>
    </w:pPr>
    <w:rPr>
      <w:rFonts w:ascii="Times New Roman" w:eastAsia="宋体" w:cs="宋体"/>
    </w:rPr>
  </w:style>
  <w:style w:type="paragraph" w:customStyle="1" w:styleId="10">
    <w:name w:val="Body Text Indent"/>
    <w:basedOn w:val="1"/>
    <w:next w:val="9"/>
    <w:qFormat/>
    <w:uiPriority w:val="0"/>
    <w:pPr>
      <w:spacing w:after="120" w:afterLines="0"/>
      <w:ind w:left="420" w:leftChars="200"/>
    </w:pPr>
    <w:rPr>
      <w:rFonts w:ascii="Times New Roman" w:hAnsi="Times New Roman" w:eastAsia="宋体"/>
      <w:sz w:val="24"/>
    </w:rPr>
  </w:style>
  <w:style w:type="paragraph" w:styleId="11">
    <w:name w:val="Document Map"/>
    <w:basedOn w:val="1"/>
    <w:link w:val="32"/>
    <w:semiHidden/>
    <w:qFormat/>
    <w:uiPriority w:val="99"/>
    <w:rPr>
      <w:rFonts w:ascii="宋体" w:eastAsia="宋体" w:cs="宋体"/>
      <w:sz w:val="18"/>
      <w:szCs w:val="18"/>
    </w:rPr>
  </w:style>
  <w:style w:type="paragraph" w:styleId="12">
    <w:name w:val="annotation text"/>
    <w:basedOn w:val="1"/>
    <w:qFormat/>
    <w:uiPriority w:val="0"/>
    <w:pPr>
      <w:jc w:val="left"/>
    </w:pPr>
  </w:style>
  <w:style w:type="paragraph" w:styleId="13">
    <w:name w:val="Body Text"/>
    <w:basedOn w:val="1"/>
    <w:next w:val="14"/>
    <w:link w:val="27"/>
    <w:qFormat/>
    <w:uiPriority w:val="99"/>
    <w:pPr>
      <w:widowControl w:val="0"/>
      <w:adjustRightInd/>
      <w:snapToGrid/>
      <w:spacing w:after="120"/>
    </w:pPr>
    <w:rPr>
      <w:rFonts w:ascii="Calibri" w:hAnsi="Calibri" w:eastAsia="宋体" w:cs="Times New Roman"/>
      <w:sz w:val="24"/>
      <w:szCs w:val="24"/>
    </w:rPr>
  </w:style>
  <w:style w:type="paragraph" w:styleId="14">
    <w:name w:val="List Bullet 5"/>
    <w:basedOn w:val="1"/>
    <w:semiHidden/>
    <w:unhideWhenUsed/>
    <w:qFormat/>
    <w:uiPriority w:val="99"/>
    <w:pPr>
      <w:numPr>
        <w:ilvl w:val="0"/>
        <w:numId w:val="1"/>
      </w:numPr>
    </w:pPr>
  </w:style>
  <w:style w:type="paragraph" w:styleId="15">
    <w:name w:val="footer"/>
    <w:basedOn w:val="1"/>
    <w:link w:val="26"/>
    <w:qFormat/>
    <w:uiPriority w:val="99"/>
    <w:pPr>
      <w:widowControl w:val="0"/>
      <w:tabs>
        <w:tab w:val="center" w:pos="4153"/>
        <w:tab w:val="right" w:pos="8306"/>
      </w:tabs>
      <w:adjustRightInd/>
      <w:spacing w:after="0"/>
    </w:pPr>
    <w:rPr>
      <w:rFonts w:ascii="Calibri" w:hAnsi="Calibri" w:eastAsia="宋体" w:cs="Calibri"/>
      <w:kern w:val="2"/>
      <w:sz w:val="18"/>
      <w:szCs w:val="18"/>
    </w:rPr>
  </w:style>
  <w:style w:type="paragraph" w:styleId="16">
    <w:name w:val="header"/>
    <w:basedOn w:val="1"/>
    <w:link w:val="25"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adjustRightInd/>
      <w:spacing w:after="0"/>
      <w:jc w:val="center"/>
    </w:pPr>
    <w:rPr>
      <w:rFonts w:ascii="Calibri" w:hAnsi="Calibri" w:eastAsia="宋体" w:cs="Calibri"/>
      <w:kern w:val="2"/>
      <w:sz w:val="18"/>
      <w:szCs w:val="18"/>
    </w:rPr>
  </w:style>
  <w:style w:type="paragraph" w:styleId="17">
    <w:name w:val="Title"/>
    <w:basedOn w:val="1"/>
    <w:next w:val="1"/>
    <w:link w:val="31"/>
    <w:qFormat/>
    <w:uiPriority w:val="99"/>
    <w:pPr>
      <w:widowControl w:val="0"/>
      <w:adjustRightInd/>
      <w:snapToGrid/>
      <w:spacing w:after="0"/>
      <w:jc w:val="center"/>
    </w:pPr>
    <w:rPr>
      <w:rFonts w:ascii="方正小标宋简体" w:hAnsi="宋体" w:eastAsia="方正小标宋简体" w:cs="方正小标宋简体"/>
      <w:kern w:val="2"/>
      <w:sz w:val="36"/>
      <w:szCs w:val="36"/>
    </w:rPr>
  </w:style>
  <w:style w:type="paragraph" w:styleId="18">
    <w:name w:val="Body Text First Indent"/>
    <w:basedOn w:val="13"/>
    <w:next w:val="1"/>
    <w:qFormat/>
    <w:uiPriority w:val="0"/>
    <w:pPr>
      <w:spacing w:after="120" w:line="240" w:lineRule="auto"/>
      <w:ind w:firstLine="420" w:firstLineChars="100"/>
    </w:pPr>
    <w:rPr>
      <w:sz w:val="28"/>
      <w:szCs w:val="24"/>
    </w:rPr>
  </w:style>
  <w:style w:type="table" w:styleId="20">
    <w:name w:val="Table Grid"/>
    <w:basedOn w:val="19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locked/>
    <w:uiPriority w:val="0"/>
    <w:rPr>
      <w:b/>
      <w:bCs/>
    </w:rPr>
  </w:style>
  <w:style w:type="paragraph" w:customStyle="1" w:styleId="23">
    <w:name w:val="样式 样式 样式 样式 小四 左 首行缩进:  2 字符 + 首行缩进:  2 字符 Char + 右  0 字符1 + 首行缩...3"/>
    <w:basedOn w:val="1"/>
    <w:qFormat/>
    <w:uiPriority w:val="0"/>
    <w:pPr>
      <w:ind w:firstLine="480"/>
      <w:jc w:val="left"/>
      <w:textAlignment w:val="baseline"/>
    </w:pPr>
    <w:rPr>
      <w:rFonts w:cs="宋体"/>
      <w:sz w:val="24"/>
      <w:szCs w:val="20"/>
    </w:rPr>
  </w:style>
  <w:style w:type="paragraph" w:customStyle="1" w:styleId="24">
    <w:name w:val="样式 标题 1一级标题 + 段前: 0.5 行 段后: 0.5 行"/>
    <w:basedOn w:val="3"/>
    <w:qFormat/>
    <w:uiPriority w:val="0"/>
    <w:pPr>
      <w:spacing w:line="320" w:lineRule="exact"/>
      <w:outlineLvl w:val="9"/>
    </w:pPr>
    <w:rPr>
      <w:spacing w:val="-6"/>
      <w:kern w:val="0"/>
      <w:sz w:val="21"/>
      <w:szCs w:val="21"/>
    </w:rPr>
  </w:style>
  <w:style w:type="character" w:customStyle="1" w:styleId="25">
    <w:name w:val="页眉 Char"/>
    <w:link w:val="16"/>
    <w:qFormat/>
    <w:locked/>
    <w:uiPriority w:val="99"/>
    <w:rPr>
      <w:sz w:val="18"/>
      <w:szCs w:val="18"/>
    </w:rPr>
  </w:style>
  <w:style w:type="character" w:customStyle="1" w:styleId="26">
    <w:name w:val="页脚 Char"/>
    <w:link w:val="15"/>
    <w:qFormat/>
    <w:locked/>
    <w:uiPriority w:val="99"/>
    <w:rPr>
      <w:sz w:val="18"/>
      <w:szCs w:val="18"/>
    </w:rPr>
  </w:style>
  <w:style w:type="character" w:customStyle="1" w:styleId="27">
    <w:name w:val="正文文本 Char"/>
    <w:link w:val="13"/>
    <w:qFormat/>
    <w:locked/>
    <w:uiPriority w:val="99"/>
    <w:rPr>
      <w:rFonts w:eastAsia="宋体"/>
      <w:sz w:val="24"/>
      <w:szCs w:val="24"/>
    </w:rPr>
  </w:style>
  <w:style w:type="character" w:customStyle="1" w:styleId="28">
    <w:name w:val="Body Text Char1"/>
    <w:semiHidden/>
    <w:qFormat/>
    <w:uiPriority w:val="99"/>
    <w:rPr>
      <w:rFonts w:ascii="Tahoma" w:hAnsi="Tahoma" w:eastAsia="微软雅黑" w:cs="Tahoma"/>
      <w:kern w:val="0"/>
      <w:sz w:val="22"/>
    </w:rPr>
  </w:style>
  <w:style w:type="character" w:customStyle="1" w:styleId="29">
    <w:name w:val="正文文本 Char1"/>
    <w:semiHidden/>
    <w:qFormat/>
    <w:uiPriority w:val="99"/>
    <w:rPr>
      <w:rFonts w:ascii="Tahoma" w:hAnsi="Tahoma" w:eastAsia="微软雅黑" w:cs="Tahoma"/>
      <w:kern w:val="0"/>
      <w:sz w:val="22"/>
      <w:szCs w:val="22"/>
    </w:rPr>
  </w:style>
  <w:style w:type="paragraph" w:customStyle="1" w:styleId="30">
    <w:name w:val="Normal (Web)1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31">
    <w:name w:val="标题 Char"/>
    <w:link w:val="17"/>
    <w:qFormat/>
    <w:locked/>
    <w:uiPriority w:val="99"/>
    <w:rPr>
      <w:rFonts w:ascii="方正小标宋简体" w:hAnsi="宋体" w:eastAsia="方正小标宋简体" w:cs="方正小标宋简体"/>
      <w:sz w:val="36"/>
      <w:szCs w:val="36"/>
    </w:rPr>
  </w:style>
  <w:style w:type="character" w:customStyle="1" w:styleId="32">
    <w:name w:val="文档结构图 Char"/>
    <w:link w:val="11"/>
    <w:semiHidden/>
    <w:qFormat/>
    <w:locked/>
    <w:uiPriority w:val="99"/>
    <w:rPr>
      <w:rFonts w:ascii="宋体" w:hAnsi="Tahoma" w:eastAsia="宋体" w:cs="宋体"/>
      <w:kern w:val="0"/>
      <w:sz w:val="18"/>
      <w:szCs w:val="18"/>
    </w:rPr>
  </w:style>
  <w:style w:type="character" w:customStyle="1" w:styleId="33">
    <w:name w:val="标题 4 Char"/>
    <w:basedOn w:val="21"/>
    <w:link w:val="5"/>
    <w:qFormat/>
    <w:uiPriority w:val="0"/>
    <w:rPr>
      <w:rFonts w:ascii="Times New Roman" w:hAnsi="Times New Roman"/>
      <w:b/>
      <w:kern w:val="2"/>
      <w:sz w:val="28"/>
      <w:szCs w:val="28"/>
    </w:rPr>
  </w:style>
  <w:style w:type="paragraph" w:customStyle="1" w:styleId="34">
    <w:name w:val="陈光的正文"/>
    <w:basedOn w:val="1"/>
    <w:qFormat/>
    <w:uiPriority w:val="0"/>
    <w:pPr>
      <w:widowControl w:val="0"/>
      <w:spacing w:beforeLines="10" w:afterLines="10"/>
      <w:ind w:firstLine="560"/>
    </w:pPr>
    <w:rPr>
      <w:rFonts w:ascii="Times New Roman" w:hAnsi="Times New Roman" w:eastAsia="宋体" w:cs="Times New Roman"/>
      <w:kern w:val="2"/>
      <w:sz w:val="28"/>
      <w:szCs w:val="20"/>
    </w:rPr>
  </w:style>
  <w:style w:type="character" w:customStyle="1" w:styleId="35">
    <w:name w:val="标题 1 Char"/>
    <w:basedOn w:val="21"/>
    <w:link w:val="3"/>
    <w:qFormat/>
    <w:uiPriority w:val="9"/>
    <w:rPr>
      <w:rFonts w:ascii="Tahoma" w:hAnsi="Tahoma" w:eastAsia="微软雅黑" w:cs="Tahoma"/>
      <w:b/>
      <w:bCs/>
      <w:kern w:val="44"/>
      <w:sz w:val="44"/>
      <w:szCs w:val="44"/>
    </w:rPr>
  </w:style>
  <w:style w:type="paragraph" w:customStyle="1" w:styleId="36">
    <w:name w:val="文字描述"/>
    <w:basedOn w:val="1"/>
    <w:qFormat/>
    <w:uiPriority w:val="0"/>
    <w:pPr>
      <w:adjustRightInd w:val="0"/>
      <w:snapToGrid w:val="0"/>
      <w:spacing w:line="360" w:lineRule="auto"/>
      <w:ind w:firstLine="200" w:firstLineChars="200"/>
    </w:pPr>
    <w:rPr>
      <w:spacing w:val="-2"/>
      <w:sz w:val="24"/>
      <w:szCs w:val="24"/>
    </w:rPr>
  </w:style>
  <w:style w:type="paragraph" w:customStyle="1" w:styleId="37">
    <w:name w:val="Table Paragraph"/>
    <w:basedOn w:val="1"/>
    <w:unhideWhenUsed/>
    <w:qFormat/>
    <w:uiPriority w:val="1"/>
    <w:pPr>
      <w:spacing w:beforeLines="0" w:afterLines="0" w:line="240" w:lineRule="auto"/>
      <w:ind w:firstLine="0" w:firstLineChars="0"/>
      <w:jc w:val="center"/>
    </w:pPr>
    <w:rPr>
      <w:rFonts w:ascii="Times New Roman" w:hAnsi="Times New Roman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Company</Company>
  <Pages>6</Pages>
  <Words>3468</Words>
  <Characters>3882</Characters>
  <Lines>49</Lines>
  <Paragraphs>13</Paragraphs>
  <TotalTime>1</TotalTime>
  <ScaleCrop>false</ScaleCrop>
  <LinksUpToDate>false</LinksUpToDate>
  <CharactersWithSpaces>3912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2017-12-20T07:30:00Z</dcterms:created>
  <dc:creator>fay</dc:creator>
  <cp:lastModifiedBy>吕稳</cp:lastModifiedBy>
  <cp:lastPrinted>2021-11-19T08:12:00Z</cp:lastPrinted>
  <dcterms:modified xsi:type="dcterms:W3CDTF">2021-11-29T01:28:45Z</dcterms:modified>
  <cp:revision>133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CB9D0B4038C242BD806CE55AE569A3B2</vt:lpwstr>
  </property>
</Properties>
</file>