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济南兰普电气有限公司</w:t>
      </w:r>
    </w:p>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变压器加工生产优化项目</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2021年12月25日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济南兰普电气有限公司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济南兰普电气有限公司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变压器加工生产优化项目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济南兰普电气有限公司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变压器加工生产优化项目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济南兰普电气有限</w:t>
      </w:r>
      <w:bookmarkStart w:id="0" w:name="_GoBack"/>
      <w:bookmarkEnd w:id="0"/>
      <w:r>
        <w:rPr>
          <w:rFonts w:hint="eastAsia" w:ascii="Times New Roman" w:hAnsi="Times New Roman" w:eastAsia="宋体" w:cs="Times New Roman"/>
          <w:bCs/>
          <w:color w:val="auto"/>
          <w:kern w:val="2"/>
          <w:sz w:val="24"/>
          <w:szCs w:val="24"/>
          <w:lang w:eastAsia="zh-CN"/>
        </w:rPr>
        <w:t>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建设性质：技术改造</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山东省济南市天桥区梓东大道299号鑫茂齐鲁科技城91号楼101</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建设规模：由于车间内现有喷漆房无法满足环保要求，故将其进行拆除，并在1层车间北侧新建一座喷漆房；对现有喷漆房废气处理设施进行改造，将“过滤棉+UV 光催化氧化”升级改造为“水帘机+过滤棉+二级活性炭”处理装置；本项目在现有产能不变的情况下增加喷（刷）漆工艺，起到绝缘防锈的作用，提高产品品质。</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2021年10月13日济南市生态环境局天桥分局在执法检查中发现该企业“无环评手续的情况下增设一座喷漆房”的问题，济南市生态环境局天桥分局依据相关环保法律法规要求，对企业下达了行政处罚决定书（济环罚字[2021]TQ第J-2001号），企业已按要求办理环评手续，现申请项目竣工环境保护验收。</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济南兰普电气有限公司位于山东省济南市天桥区梓东大道299号鑫茂齐鲁科技城91号楼101。总投资50万元，其中环保投资10万元，不新增员工，从现有职工调配，每天工作8小时，年工作时间300天。</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济南兰普电气有限公司位于山东省济南市天桥区梓东大道299号鑫茂齐鲁科技城91号楼101。总投资50万元，其中环保投资10万元，不新增员工，从现有职工调配，每天工作8小时，年工作时间300天。</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济南兰普电气有限公司2021年11月委托山东国嘉环保科技有限公司编制完成了《变压器加工生产优化项目环境影响报告表》，并于2021年12月3日经济南市生态环境局天桥分局审批（济天环报告表［2021］77号）。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本项目于2021年9月开工建设，2021年10月建成并投入试生产阶段，运营期间运行状况良好，环保设施同时进行试运行，具备竣工验收条件。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变压器加工生产优化项目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与环评相较，本项目实际建设未发生变动。</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该项目实际建设过程中项目的性质、规模、地点、运营工艺等内容未发生重大变动，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本项目有组织废气主要为刷漆有机废气（VOCs、苯、甲苯、二甲苯）；喷漆有机废气（VOCs、苯、甲苯、二甲苯）和漆雾（颗粒物）；晾干有机废气（VOCs和苯、甲苯、二甲苯）。</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本项目无组织废气主要为未被收集的有机废气（VOCs、苯、甲苯、二甲苯）和漆雾（颗粒物）。</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本项目调漆、喷漆、刷漆、晾干过程均在喷漆房中进行，喷漆房密闭，刷漆、喷漆及晾干废气经负压收集，通过“水帘机+过滤棉+二级活性炭吸附”装置处理后，由一根15米高的排气筒DA001排放。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本项目无废水产生，项目水帘机用水经设备自带的过滤系统过滤处理后循环使用，定期补充，无生产废水产生；项目不新增员工，无生活污水产生。</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本项目运营过程中的噪声源主要为喷枪、水帘机、风机等设备产生的噪声，其噪声源强在70~90dB(A)左右。</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本项目设备布置于室内，采取门窗、墙体隔声，全部设备均选用低噪声设备并采取减振措施。加强管理，经常保养和维护机械设备避免设备在不良状态下运行。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本项目固废主要为油漆和稀释剂废包装桶、漆渣，废气处理装置产生的废活性炭、废过滤棉；均属于危险废物。收集后暂存于危废间，然后委托山东敬诚环保科技有限公司进行处置。</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变压器加工生产优化项目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
        <w:adjustRightInd w:val="0"/>
        <w:snapToGrid w:val="0"/>
        <w:spacing w:after="0" w:line="360" w:lineRule="auto"/>
        <w:ind w:left="0" w:leftChars="0" w:firstLine="480" w:firstLineChars="200"/>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本项目各生产工序正常运行，喷漆房排气筒DA001进口VOCs（非甲烷总烃）</w:t>
      </w:r>
      <w:r>
        <w:rPr>
          <w:rFonts w:hint="default" w:ascii="Times New Roman" w:hAnsi="Times New Roman" w:eastAsia="宋体" w:cs="Times New Roman"/>
          <w:sz w:val="24"/>
          <w:szCs w:val="24"/>
          <w:highlight w:val="none"/>
          <w:lang w:val="en-US" w:eastAsia="zh-CN"/>
        </w:rPr>
        <w:t>最大排放浓度为14.2mg/m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，排放速率为0.117kg/h；</w:t>
      </w:r>
      <w:r>
        <w:rPr>
          <w:rFonts w:hint="default" w:ascii="Times New Roman" w:hAnsi="Times New Roman" w:eastAsia="宋体" w:cs="Times New Roman"/>
          <w:sz w:val="24"/>
          <w:szCs w:val="24"/>
          <w:highlight w:val="none"/>
          <w:lang w:eastAsia="zh-CN"/>
        </w:rPr>
        <w:t>颗粒物</w:t>
      </w:r>
      <w:r>
        <w:rPr>
          <w:rFonts w:hint="default" w:ascii="Times New Roman" w:hAnsi="Times New Roman" w:eastAsia="宋体" w:cs="Times New Roman"/>
          <w:sz w:val="24"/>
          <w:szCs w:val="24"/>
          <w:highlight w:val="none"/>
          <w:lang w:val="en-US" w:eastAsia="zh-CN"/>
        </w:rPr>
        <w:t>最大排放浓度为24.2mg/m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，排放速率为0.200kg/h；</w:t>
      </w:r>
      <w:r>
        <w:rPr>
          <w:rFonts w:hint="default" w:ascii="Times New Roman" w:hAnsi="Times New Roman" w:eastAsia="宋体" w:cs="Times New Roman"/>
          <w:sz w:val="24"/>
          <w:szCs w:val="24"/>
          <w:highlight w:val="none"/>
          <w:lang w:eastAsia="zh-CN"/>
        </w:rPr>
        <w:t>二甲苯</w:t>
      </w:r>
      <w:r>
        <w:rPr>
          <w:rFonts w:hint="default" w:ascii="Times New Roman" w:hAnsi="Times New Roman" w:eastAsia="宋体" w:cs="Times New Roman"/>
          <w:sz w:val="24"/>
          <w:szCs w:val="24"/>
          <w:highlight w:val="none"/>
          <w:lang w:val="en-US" w:eastAsia="zh-CN"/>
        </w:rPr>
        <w:t>最大排放浓度为3.73mg/m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，排放速率为0.031kg/h；苯为未检出；甲苯为未检出。喷漆房排气筒DA001出口</w:t>
      </w:r>
      <w:r>
        <w:rPr>
          <w:rFonts w:hint="default" w:ascii="Times New Roman" w:hAnsi="Times New Roman" w:eastAsia="宋体" w:cs="Times New Roman"/>
          <w:sz w:val="24"/>
          <w:szCs w:val="24"/>
          <w:highlight w:val="none"/>
          <w:lang w:eastAsia="zh-CN"/>
        </w:rPr>
        <w:t>VOCs（非甲烷总烃）</w:t>
      </w:r>
      <w:r>
        <w:rPr>
          <w:rFonts w:hint="default" w:ascii="Times New Roman" w:hAnsi="Times New Roman" w:eastAsia="宋体" w:cs="Times New Roman"/>
          <w:sz w:val="24"/>
          <w:szCs w:val="24"/>
          <w:highlight w:val="none"/>
          <w:lang w:val="en-US" w:eastAsia="zh-CN"/>
        </w:rPr>
        <w:t>最大排放浓度为8.83mg/m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，排放速率为0.072kg/h；</w:t>
      </w:r>
      <w:r>
        <w:rPr>
          <w:rFonts w:hint="default" w:ascii="Times New Roman" w:hAnsi="Times New Roman" w:eastAsia="宋体" w:cs="Times New Roman"/>
          <w:sz w:val="24"/>
          <w:szCs w:val="24"/>
          <w:highlight w:val="none"/>
          <w:lang w:eastAsia="zh-CN"/>
        </w:rPr>
        <w:t>颗粒物最大排放浓度为1.5</w:t>
      </w:r>
      <w:r>
        <w:rPr>
          <w:rFonts w:hint="default" w:ascii="Times New Roman" w:hAnsi="Times New Roman" w:eastAsia="宋体" w:cs="Times New Roman"/>
          <w:sz w:val="24"/>
          <w:szCs w:val="24"/>
          <w:highlight w:val="none"/>
          <w:lang w:val="en-US" w:eastAsia="zh-CN"/>
        </w:rPr>
        <w:t>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，排放速率为0.012kg/h；</w:t>
      </w:r>
      <w:r>
        <w:rPr>
          <w:rFonts w:hint="default" w:ascii="Times New Roman" w:hAnsi="Times New Roman" w:eastAsia="宋体" w:cs="Times New Roman"/>
          <w:sz w:val="24"/>
          <w:szCs w:val="24"/>
          <w:highlight w:val="none"/>
          <w:lang w:eastAsia="zh-CN"/>
        </w:rPr>
        <w:t>二甲苯</w:t>
      </w:r>
      <w:r>
        <w:rPr>
          <w:rFonts w:hint="default" w:ascii="Times New Roman" w:hAnsi="Times New Roman" w:eastAsia="宋体" w:cs="Times New Roman"/>
          <w:sz w:val="24"/>
          <w:szCs w:val="24"/>
          <w:highlight w:val="none"/>
          <w:lang w:val="en-US" w:eastAsia="zh-CN"/>
        </w:rPr>
        <w:t>最大排放浓度为0.373mg/m</w:t>
      </w:r>
      <w:r>
        <w:rPr>
          <w:rFonts w:hint="default" w:ascii="Times New Roman" w:hAnsi="Times New Roman" w:eastAsia="宋体" w:cs="Times New Roman"/>
          <w:sz w:val="24"/>
          <w:szCs w:val="24"/>
          <w:highlight w:val="none"/>
          <w:vertAlign w:val="superscript"/>
          <w:lang w:val="en-US" w:eastAsia="zh-CN"/>
        </w:rPr>
        <w:t>3</w:t>
      </w:r>
      <w:r>
        <w:rPr>
          <w:rFonts w:hint="default" w:ascii="Times New Roman" w:hAnsi="Times New Roman" w:eastAsia="宋体" w:cs="Times New Roman"/>
          <w:sz w:val="24"/>
          <w:szCs w:val="24"/>
          <w:highlight w:val="none"/>
          <w:lang w:val="en-US" w:eastAsia="zh-CN"/>
        </w:rPr>
        <w:t>，排放速率为3.0×10</w:t>
      </w:r>
      <w:r>
        <w:rPr>
          <w:rFonts w:hint="default" w:ascii="Times New Roman" w:hAnsi="Times New Roman" w:eastAsia="宋体" w:cs="Times New Roman"/>
          <w:sz w:val="24"/>
          <w:szCs w:val="24"/>
          <w:highlight w:val="none"/>
          <w:vertAlign w:val="superscript"/>
          <w:lang w:val="en-US" w:eastAsia="zh-CN"/>
        </w:rPr>
        <w:t xml:space="preserve">-3 </w:t>
      </w:r>
      <w:r>
        <w:rPr>
          <w:rFonts w:hint="default" w:ascii="Times New Roman" w:hAnsi="Times New Roman" w:eastAsia="宋体" w:cs="Times New Roman"/>
          <w:sz w:val="24"/>
          <w:szCs w:val="24"/>
          <w:highlight w:val="none"/>
          <w:lang w:val="en-US" w:eastAsia="zh-CN"/>
        </w:rPr>
        <w:t>kg/h；苯为未检出；甲苯为未检出。</w:t>
      </w:r>
    </w:p>
    <w:p>
      <w:pPr>
        <w:adjustRightInd w:val="0"/>
        <w:snapToGrid w:val="0"/>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有组织</w:t>
      </w:r>
      <w:r>
        <w:rPr>
          <w:rFonts w:hint="default" w:ascii="Times New Roman" w:hAnsi="Times New Roman" w:eastAsia="宋体" w:cs="Times New Roman"/>
          <w:sz w:val="24"/>
          <w:szCs w:val="24"/>
        </w:rPr>
        <w:t>废气排放浓度和排放速率执行《挥发性有机物排放标准 第 5 部分：表面涂装行业》（DB37/2801.5-2018）表 2 标准</w:t>
      </w:r>
      <w:r>
        <w:rPr>
          <w:rFonts w:hint="default" w:ascii="Times New Roman" w:hAnsi="Times New Roman" w:eastAsia="宋体" w:cs="Times New Roman"/>
          <w:sz w:val="24"/>
          <w:szCs w:val="24"/>
          <w:lang w:eastAsia="zh-CN"/>
        </w:rPr>
        <w:t>（苯</w:t>
      </w:r>
      <w:r>
        <w:rPr>
          <w:rFonts w:hint="default" w:ascii="Times New Roman" w:hAnsi="Times New Roman" w:eastAsia="宋体" w:cs="Times New Roman"/>
          <w:sz w:val="24"/>
          <w:szCs w:val="24"/>
          <w:lang w:val="en-US" w:eastAsia="zh-CN"/>
        </w:rPr>
        <w:t>0.5mg/m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、0.2kg/h；甲苯5.0mg/m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、0.6kg/h；二甲苯15mg/m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、0.8kg/h；VOCs50mg/m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、2.0kg/h</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。有组织颗粒物排放浓度执行《区域性大气污染物综合排放标准》 （DB37/2376-2019）表 1 重点控制区标准要求；排放速率执行《大气污染物综合排放标准》（GB16297-1996）中表 2 二级标准要求</w:t>
      </w:r>
      <w:r>
        <w:rPr>
          <w:rFonts w:hint="default" w:ascii="Times New Roman" w:hAnsi="Times New Roman" w:eastAsia="宋体" w:cs="Times New Roman"/>
          <w:sz w:val="24"/>
          <w:szCs w:val="24"/>
          <w:lang w:eastAsia="zh-CN"/>
        </w:rPr>
        <w:t>（颗粒物</w:t>
      </w:r>
      <w:r>
        <w:rPr>
          <w:rFonts w:hint="default" w:ascii="Times New Roman" w:hAnsi="Times New Roman" w:eastAsia="宋体" w:cs="Times New Roman"/>
          <w:sz w:val="24"/>
          <w:szCs w:val="24"/>
          <w:lang w:val="en-US" w:eastAsia="zh-CN"/>
        </w:rPr>
        <w:t>10mg/m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、3.5kg/h</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pStyle w:val="3"/>
        <w:adjustRightInd w:val="0"/>
        <w:snapToGrid w:val="0"/>
        <w:spacing w:after="0" w:line="360" w:lineRule="auto"/>
        <w:ind w:left="0" w:leftChars="0"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本项目VOCs（非甲烷总烃）</w:t>
      </w:r>
      <w:r>
        <w:rPr>
          <w:rFonts w:hint="default" w:ascii="Times New Roman" w:hAnsi="Times New Roman" w:eastAsia="宋体" w:cs="Times New Roman"/>
          <w:color w:val="auto"/>
          <w:sz w:val="24"/>
          <w:szCs w:val="24"/>
          <w:highlight w:val="none"/>
        </w:rPr>
        <w:t>厂界浓度最大值为</w:t>
      </w:r>
      <w:r>
        <w:rPr>
          <w:rFonts w:hint="default" w:ascii="Times New Roman" w:hAnsi="Times New Roman" w:eastAsia="宋体" w:cs="Times New Roman"/>
          <w:color w:val="auto"/>
          <w:sz w:val="24"/>
          <w:szCs w:val="24"/>
          <w:highlight w:val="none"/>
          <w:lang w:val="en-US" w:eastAsia="zh-CN"/>
        </w:rPr>
        <w:t>1.28mg/m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eastAsia="zh-CN"/>
        </w:rPr>
        <w:t>；颗粒物</w:t>
      </w:r>
      <w:r>
        <w:rPr>
          <w:rFonts w:hint="default" w:ascii="Times New Roman" w:hAnsi="Times New Roman" w:eastAsia="宋体" w:cs="Times New Roman"/>
          <w:color w:val="auto"/>
          <w:sz w:val="24"/>
          <w:szCs w:val="24"/>
          <w:highlight w:val="none"/>
        </w:rPr>
        <w:t>厂界浓度最大值为</w:t>
      </w:r>
      <w:r>
        <w:rPr>
          <w:rFonts w:hint="default" w:ascii="Times New Roman" w:hAnsi="Times New Roman" w:eastAsia="宋体" w:cs="Times New Roman"/>
          <w:color w:val="auto"/>
          <w:sz w:val="24"/>
          <w:szCs w:val="24"/>
          <w:highlight w:val="none"/>
          <w:lang w:val="en-US" w:eastAsia="zh-CN"/>
        </w:rPr>
        <w:t>232μg/m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vertAlign w:val="baseline"/>
          <w:lang w:val="en-US" w:eastAsia="zh-CN"/>
        </w:rPr>
        <w:t>；</w:t>
      </w:r>
      <w:r>
        <w:rPr>
          <w:rFonts w:hint="default" w:ascii="Times New Roman" w:hAnsi="Times New Roman" w:eastAsia="宋体" w:cs="Times New Roman"/>
          <w:sz w:val="24"/>
          <w:szCs w:val="24"/>
          <w:highlight w:val="none"/>
          <w:lang w:val="en-US" w:eastAsia="zh-CN"/>
        </w:rPr>
        <w:t>苯为未检出；甲苯为未检出；二甲苯为未检出；</w:t>
      </w:r>
      <w:r>
        <w:rPr>
          <w:rFonts w:hint="default" w:ascii="Times New Roman" w:hAnsi="Times New Roman" w:eastAsia="宋体" w:cs="Times New Roman"/>
          <w:color w:val="auto"/>
          <w:sz w:val="24"/>
          <w:szCs w:val="24"/>
          <w:highlight w:val="none"/>
          <w:lang w:eastAsia="zh-CN"/>
        </w:rPr>
        <w:t>VOCs（非甲烷总烃）</w:t>
      </w:r>
      <w:r>
        <w:rPr>
          <w:rFonts w:hint="default" w:ascii="Times New Roman" w:hAnsi="Times New Roman" w:eastAsia="宋体" w:cs="Times New Roman"/>
          <w:sz w:val="24"/>
          <w:szCs w:val="24"/>
          <w:highlight w:val="none"/>
          <w:lang w:val="en-US" w:eastAsia="zh-CN"/>
        </w:rPr>
        <w:t>厂房外下风向1m处</w:t>
      </w:r>
      <w:r>
        <w:rPr>
          <w:rFonts w:hint="default" w:ascii="Times New Roman" w:hAnsi="Times New Roman" w:eastAsia="宋体" w:cs="Times New Roman"/>
          <w:color w:val="auto"/>
          <w:sz w:val="24"/>
          <w:szCs w:val="24"/>
          <w:highlight w:val="none"/>
        </w:rPr>
        <w:t>浓度最大值为</w:t>
      </w:r>
      <w:r>
        <w:rPr>
          <w:rFonts w:hint="default" w:ascii="Times New Roman" w:hAnsi="Times New Roman" w:eastAsia="宋体" w:cs="Times New Roman"/>
          <w:color w:val="auto"/>
          <w:sz w:val="24"/>
          <w:szCs w:val="24"/>
          <w:highlight w:val="none"/>
          <w:lang w:val="en-US" w:eastAsia="zh-CN"/>
        </w:rPr>
        <w:t>1.86mg/m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vertAlign w:val="baseline"/>
          <w:lang w:val="en-US" w:eastAsia="zh-CN"/>
        </w:rPr>
        <w:t>。</w:t>
      </w:r>
    </w:p>
    <w:p>
      <w:pPr>
        <w:adjustRightInd w:val="0"/>
        <w:snapToGrid w:val="0"/>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无组织废气执行《挥发性有机物排放标准 第 5 部分：表面涂装行业》（DB37/2801.5-2018）表 3 厂界监控点浓度限值和《挥发性有机物无组织排放控制标准》（GB37822-2019）相关要求</w:t>
      </w:r>
      <w:r>
        <w:rPr>
          <w:rFonts w:hint="default" w:ascii="Times New Roman" w:hAnsi="Times New Roman" w:eastAsia="宋体" w:cs="Times New Roman"/>
          <w:sz w:val="24"/>
          <w:szCs w:val="24"/>
          <w:lang w:eastAsia="zh-CN"/>
        </w:rPr>
        <w:t>（苯</w:t>
      </w:r>
      <w:r>
        <w:rPr>
          <w:rFonts w:hint="default" w:ascii="Times New Roman" w:hAnsi="Times New Roman" w:eastAsia="宋体" w:cs="Times New Roman"/>
          <w:sz w:val="24"/>
          <w:szCs w:val="24"/>
          <w:lang w:val="en-US" w:eastAsia="zh-CN"/>
        </w:rPr>
        <w:t>0.1mg/m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；甲苯0.2mg/m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；二甲苯0.2mg/m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；VOCs2.0mg/m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。无组织颗粒物执行《大气污染物综合排放标准》（GB16297-1996）表 2 无组织排放监控限值</w:t>
      </w:r>
      <w:r>
        <w:rPr>
          <w:rFonts w:hint="default" w:ascii="Times New Roman" w:hAnsi="Times New Roman" w:eastAsia="宋体" w:cs="Times New Roman"/>
          <w:sz w:val="24"/>
          <w:szCs w:val="24"/>
          <w:lang w:eastAsia="zh-CN"/>
        </w:rPr>
        <w:t>（颗粒物</w:t>
      </w:r>
      <w:r>
        <w:rPr>
          <w:rFonts w:hint="default" w:ascii="Times New Roman" w:hAnsi="Times New Roman" w:eastAsia="宋体" w:cs="Times New Roman"/>
          <w:sz w:val="24"/>
          <w:szCs w:val="24"/>
          <w:lang w:val="en-US" w:eastAsia="zh-CN"/>
        </w:rPr>
        <w:t>1.0mg/m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厂区内</w:t>
      </w:r>
      <w:r>
        <w:rPr>
          <w:rFonts w:hint="default" w:ascii="Times New Roman" w:hAnsi="Times New Roman" w:eastAsia="宋体" w:cs="Times New Roman"/>
          <w:sz w:val="24"/>
          <w:szCs w:val="24"/>
          <w:lang w:val="en-US" w:eastAsia="zh-CN"/>
        </w:rPr>
        <w:t>VOCs无组织排放浓度满足</w:t>
      </w:r>
      <w:r>
        <w:rPr>
          <w:rFonts w:hint="default" w:ascii="Times New Roman" w:hAnsi="Times New Roman" w:eastAsia="宋体" w:cs="Times New Roman"/>
          <w:sz w:val="24"/>
          <w:szCs w:val="24"/>
        </w:rPr>
        <w:t>《挥发性有机物无组织排放控制标准》（GB 37822-2019）</w:t>
      </w:r>
      <w:r>
        <w:rPr>
          <w:rFonts w:hint="default" w:ascii="Times New Roman" w:hAnsi="Times New Roman" w:eastAsia="宋体" w:cs="Times New Roman"/>
          <w:sz w:val="24"/>
          <w:szCs w:val="24"/>
          <w:lang w:eastAsia="zh-CN"/>
        </w:rPr>
        <w:t>表</w:t>
      </w:r>
      <w:r>
        <w:rPr>
          <w:rFonts w:hint="default" w:ascii="Times New Roman" w:hAnsi="Times New Roman" w:eastAsia="宋体" w:cs="Times New Roman"/>
          <w:sz w:val="24"/>
          <w:szCs w:val="24"/>
          <w:lang w:val="en-US" w:eastAsia="zh-CN"/>
        </w:rPr>
        <w:t>A.1厂区内VOCs无组织特别排放要求（</w:t>
      </w:r>
      <w:r>
        <w:rPr>
          <w:rFonts w:hint="default" w:ascii="Times New Roman" w:hAnsi="Times New Roman" w:eastAsia="宋体" w:cs="Times New Roman"/>
          <w:color w:val="auto"/>
          <w:spacing w:val="0"/>
          <w:sz w:val="24"/>
          <w:szCs w:val="24"/>
          <w:shd w:val="clear" w:color="auto" w:fill="auto"/>
          <w:lang w:val="en-US" w:eastAsia="zh-CN"/>
        </w:rPr>
        <w:t>NMHC10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numPr>
          <w:ilvl w:val="-1"/>
          <w:numId w:val="0"/>
        </w:numPr>
        <w:spacing w:after="0" w:afterLines="0"/>
        <w:ind w:firstLine="520"/>
        <w:rPr>
          <w:rFonts w:hint="default" w:ascii="Times New Roman" w:hAnsi="Times New Roman" w:eastAsia="宋体" w:cs="Times New Roman"/>
          <w:spacing w:val="10"/>
          <w:sz w:val="24"/>
        </w:rPr>
      </w:pPr>
      <w:r>
        <w:rPr>
          <w:rFonts w:hint="default" w:ascii="Times New Roman" w:hAnsi="Times New Roman" w:eastAsia="宋体" w:cs="Times New Roman"/>
          <w:spacing w:val="10"/>
          <w:sz w:val="24"/>
        </w:rPr>
        <w:t>本项目无废水产生，项目水帘机用水经设备自带的过滤系统过滤处理后循环使用，定期补充，无生产废水产生；项目不新增员工，无生活污水产生。</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监测期间，项目东、南、西、北厂界监测点昼间噪声最大值分别为56.4dB（A）、55.6dB（A）、58.7dB（A）、58.0dB（A），厂界昼间噪声满足《工业企业厂界环境噪声排放标准》（GB12348-2008）中3类标准。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本项目固废主要为油漆和稀释剂废包装桶、漆渣，废气处理装置产生的废活性炭、废过滤棉；均属于危险废物。收集后暂存于危废间，然后委托山东敬诚环保科技有限公司进行处置。</w:t>
      </w:r>
    </w:p>
    <w:p>
      <w:pPr>
        <w:pStyle w:val="24"/>
        <w:numPr>
          <w:ilvl w:val="0"/>
          <w:numId w:val="0"/>
        </w:numPr>
        <w:spacing w:after="0" w:afterLines="0"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山东省济南市天桥区梓东大道299号鑫茂齐鲁科技城91号楼101</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w:t>
      </w:r>
      <w:r>
        <w:rPr>
          <w:rFonts w:hint="eastAsia" w:ascii="Times New Roman" w:hAnsi="Times New Roman" w:eastAsia="宋体" w:cs="Times New Roman"/>
          <w:bCs/>
          <w:color w:val="auto"/>
          <w:kern w:val="2"/>
          <w:sz w:val="24"/>
          <w:szCs w:val="24"/>
          <w:lang w:eastAsia="zh-CN"/>
        </w:rPr>
        <w:t>济南兰普电气有限公司</w:t>
      </w:r>
      <w:r>
        <w:rPr>
          <w:rFonts w:hint="eastAsia" w:ascii="Times New Roman" w:hAnsi="Times New Roman" w:eastAsia="宋体" w:cs="Times New Roman"/>
          <w:kern w:val="2"/>
          <w:sz w:val="24"/>
          <w:szCs w:val="24"/>
          <w:lang w:eastAsia="zh-CN"/>
        </w:rPr>
        <w:t>变压器加工生产优化项目竣工环境保护验收名单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济南兰普电气有限公司</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2021年12月25日</w:t>
      </w:r>
    </w:p>
    <w:p>
      <w:pPr>
        <w:pStyle w:val="2"/>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keepNext w:val="0"/>
        <w:keepLines w:val="0"/>
        <w:pageBreakBefore w:val="0"/>
        <w:widowControl/>
        <w:kinsoku/>
        <w:wordWrap/>
        <w:overflowPunct/>
        <w:topLinePunct w:val="0"/>
        <w:autoSpaceDE w:val="0"/>
        <w:autoSpaceDN w:val="0"/>
        <w:bidi w:val="0"/>
        <w:adjustRightInd w:val="0"/>
        <w:snapToGrid w:val="0"/>
        <w:spacing w:after="0" w:line="240" w:lineRule="auto"/>
        <w:ind w:leftChars="-16" w:right="-68" w:rightChars="-31" w:hanging="38" w:hangingChars="16"/>
        <w:jc w:val="center"/>
        <w:textAlignment w:val="auto"/>
        <w:rPr>
          <w:rFonts w:hint="eastAsia" w:ascii="Times New Roman" w:hAnsi="Times New Roman" w:eastAsia="宋体" w:cs="Times New Roman"/>
          <w:b/>
          <w:bCs/>
          <w:kern w:val="2"/>
          <w:sz w:val="21"/>
          <w:szCs w:val="21"/>
          <w:lang w:val="zh-CN"/>
        </w:rPr>
      </w:pPr>
      <w:r>
        <w:rPr>
          <w:rFonts w:hint="default" w:ascii="Times New Roman" w:hAnsi="Times New Roman" w:eastAsia="宋体" w:cs="Times New Roman"/>
          <w:sz w:val="24"/>
          <w:szCs w:val="24"/>
          <w:lang w:val="en-US" w:eastAsia="zh-CN"/>
        </w:rPr>
        <w:drawing>
          <wp:inline distT="0" distB="0" distL="114300" distR="114300">
            <wp:extent cx="4335145" cy="7707630"/>
            <wp:effectExtent l="0" t="0" r="7620" b="8255"/>
            <wp:docPr id="2" name="图片 2" descr="ac8f665e5464cce3696384a88698e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c8f665e5464cce3696384a88698e5e"/>
                    <pic:cNvPicPr>
                      <a:picLocks noChangeAspect="1"/>
                    </pic:cNvPicPr>
                  </pic:nvPicPr>
                  <pic:blipFill>
                    <a:blip r:embed="rId8"/>
                    <a:stretch>
                      <a:fillRect/>
                    </a:stretch>
                  </pic:blipFill>
                  <pic:spPr>
                    <a:xfrm rot="16200000">
                      <a:off x="0" y="0"/>
                      <a:ext cx="4335145" cy="7707630"/>
                    </a:xfrm>
                    <a:prstGeom prst="rect">
                      <a:avLst/>
                    </a:prstGeom>
                  </pic:spPr>
                </pic:pic>
              </a:graphicData>
            </a:graphic>
          </wp:inline>
        </w:drawing>
      </w:r>
    </w:p>
    <w:p>
      <w:pPr>
        <w:pStyle w:val="23"/>
        <w:ind w:firstLine="0" w:firstLineChars="0"/>
        <w:rPr>
          <w:rFonts w:hint="default" w:ascii="Times New Roman" w:hAnsi="Times New Roman" w:eastAsia="宋体" w:cs="Times New Roman"/>
          <w:sz w:val="24"/>
          <w:szCs w:val="24"/>
          <w:lang w:val="en-US" w:eastAsia="zh-CN"/>
        </w:rPr>
      </w:pPr>
    </w:p>
    <w:p>
      <w:pPr>
        <w:pStyle w:val="2"/>
        <w:rPr>
          <w:rFonts w:hint="default"/>
          <w:lang w:val="en-US" w:eastAsia="zh-CN"/>
        </w:rPr>
      </w:pPr>
    </w:p>
    <w:p>
      <w:pPr>
        <w:pStyle w:val="23"/>
        <w:ind w:firstLine="0" w:firstLineChars="0"/>
        <w:rPr>
          <w:rFonts w:hint="default" w:ascii="Times New Roman" w:hAnsi="Times New Roman" w:eastAsia="宋体" w:cs="Times New Roman"/>
          <w:sz w:val="24"/>
          <w:szCs w:val="24"/>
          <w:lang w:val="en-US" w:eastAsia="zh-CN"/>
        </w:rPr>
      </w:pPr>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0F2A78"/>
    <w:rsid w:val="03CF05A3"/>
    <w:rsid w:val="04773D02"/>
    <w:rsid w:val="04F64D61"/>
    <w:rsid w:val="05312C57"/>
    <w:rsid w:val="05982B91"/>
    <w:rsid w:val="06DC3814"/>
    <w:rsid w:val="074671CC"/>
    <w:rsid w:val="0766665A"/>
    <w:rsid w:val="07AD0944"/>
    <w:rsid w:val="087B4B2D"/>
    <w:rsid w:val="093B00AF"/>
    <w:rsid w:val="09865549"/>
    <w:rsid w:val="0A5E79C8"/>
    <w:rsid w:val="0A7721C4"/>
    <w:rsid w:val="0AA05173"/>
    <w:rsid w:val="0AE850E5"/>
    <w:rsid w:val="0C793B3D"/>
    <w:rsid w:val="0C850E03"/>
    <w:rsid w:val="0D7C6268"/>
    <w:rsid w:val="0DAD0CD4"/>
    <w:rsid w:val="0E5C0ED0"/>
    <w:rsid w:val="0F76507F"/>
    <w:rsid w:val="106525CA"/>
    <w:rsid w:val="10C304AB"/>
    <w:rsid w:val="10F37360"/>
    <w:rsid w:val="1110472C"/>
    <w:rsid w:val="116A15B6"/>
    <w:rsid w:val="11C86278"/>
    <w:rsid w:val="139A1CD6"/>
    <w:rsid w:val="143A4ACA"/>
    <w:rsid w:val="145A1C25"/>
    <w:rsid w:val="14D33197"/>
    <w:rsid w:val="15553DF7"/>
    <w:rsid w:val="15B33D50"/>
    <w:rsid w:val="15DA0777"/>
    <w:rsid w:val="15E81ECB"/>
    <w:rsid w:val="15F26564"/>
    <w:rsid w:val="178E0669"/>
    <w:rsid w:val="188D7E54"/>
    <w:rsid w:val="1918245D"/>
    <w:rsid w:val="197511F7"/>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4EE055F"/>
    <w:rsid w:val="256D51AD"/>
    <w:rsid w:val="25730E5F"/>
    <w:rsid w:val="25DA358A"/>
    <w:rsid w:val="27183FAE"/>
    <w:rsid w:val="28702BFD"/>
    <w:rsid w:val="287A70C8"/>
    <w:rsid w:val="29E52C04"/>
    <w:rsid w:val="2A7704C9"/>
    <w:rsid w:val="2C5A2F7C"/>
    <w:rsid w:val="2C5B7A7A"/>
    <w:rsid w:val="2C631EE5"/>
    <w:rsid w:val="2D42357D"/>
    <w:rsid w:val="2FEE4FC6"/>
    <w:rsid w:val="303B521B"/>
    <w:rsid w:val="30446957"/>
    <w:rsid w:val="31165624"/>
    <w:rsid w:val="31447B17"/>
    <w:rsid w:val="31545D96"/>
    <w:rsid w:val="322A6115"/>
    <w:rsid w:val="325E60DB"/>
    <w:rsid w:val="32A4059B"/>
    <w:rsid w:val="3307355C"/>
    <w:rsid w:val="33C81DD3"/>
    <w:rsid w:val="38105541"/>
    <w:rsid w:val="386F3A84"/>
    <w:rsid w:val="39493F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5B5A78"/>
    <w:rsid w:val="455F2AA3"/>
    <w:rsid w:val="45B544A3"/>
    <w:rsid w:val="45E845F0"/>
    <w:rsid w:val="471E352A"/>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0F67ED"/>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A1B75A5"/>
    <w:rsid w:val="6AB86025"/>
    <w:rsid w:val="6AD54F6D"/>
    <w:rsid w:val="6B4E204F"/>
    <w:rsid w:val="6BFC5334"/>
    <w:rsid w:val="6CFF7247"/>
    <w:rsid w:val="6E4A4A40"/>
    <w:rsid w:val="6F063E1D"/>
    <w:rsid w:val="6F0E2C27"/>
    <w:rsid w:val="6F4C183A"/>
    <w:rsid w:val="6F812984"/>
    <w:rsid w:val="6FFF6F45"/>
    <w:rsid w:val="70F21638"/>
    <w:rsid w:val="72130C84"/>
    <w:rsid w:val="728263F5"/>
    <w:rsid w:val="72B727BB"/>
    <w:rsid w:val="72D407BC"/>
    <w:rsid w:val="7388340E"/>
    <w:rsid w:val="73AB4460"/>
    <w:rsid w:val="73E63676"/>
    <w:rsid w:val="741A2FF9"/>
    <w:rsid w:val="743F7A11"/>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6"/>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4"/>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3"/>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8"/>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List Bullet 5"/>
    <w:basedOn w:val="1"/>
    <w:semiHidden/>
    <w:unhideWhenUsed/>
    <w:qFormat/>
    <w:uiPriority w:val="99"/>
    <w:pPr>
      <w:numPr>
        <w:ilvl w:val="0"/>
        <w:numId w:val="1"/>
      </w:numPr>
    </w:pPr>
  </w:style>
  <w:style w:type="paragraph" w:styleId="15">
    <w:name w:val="footer"/>
    <w:basedOn w:val="1"/>
    <w:link w:val="27"/>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6"/>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2"/>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w:basedOn w:val="12"/>
    <w:next w:val="1"/>
    <w:qFormat/>
    <w:uiPriority w:val="0"/>
    <w:pPr>
      <w:spacing w:after="120" w:line="240" w:lineRule="auto"/>
      <w:ind w:firstLine="420" w:firstLineChars="100"/>
    </w:pPr>
    <w:rPr>
      <w:sz w:val="28"/>
      <w:szCs w:val="24"/>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4">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5">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6">
    <w:name w:val="页眉 Char"/>
    <w:link w:val="16"/>
    <w:qFormat/>
    <w:locked/>
    <w:uiPriority w:val="99"/>
    <w:rPr>
      <w:sz w:val="18"/>
      <w:szCs w:val="18"/>
    </w:rPr>
  </w:style>
  <w:style w:type="character" w:customStyle="1" w:styleId="27">
    <w:name w:val="页脚 Char"/>
    <w:link w:val="15"/>
    <w:qFormat/>
    <w:locked/>
    <w:uiPriority w:val="99"/>
    <w:rPr>
      <w:sz w:val="18"/>
      <w:szCs w:val="18"/>
    </w:rPr>
  </w:style>
  <w:style w:type="character" w:customStyle="1" w:styleId="28">
    <w:name w:val="正文文本 Char"/>
    <w:link w:val="12"/>
    <w:qFormat/>
    <w:locked/>
    <w:uiPriority w:val="99"/>
    <w:rPr>
      <w:rFonts w:eastAsia="宋体"/>
      <w:sz w:val="24"/>
      <w:szCs w:val="24"/>
    </w:rPr>
  </w:style>
  <w:style w:type="character" w:customStyle="1" w:styleId="29">
    <w:name w:val="Body Text Char1"/>
    <w:semiHidden/>
    <w:qFormat/>
    <w:uiPriority w:val="99"/>
    <w:rPr>
      <w:rFonts w:ascii="Tahoma" w:hAnsi="Tahoma" w:eastAsia="微软雅黑" w:cs="Tahoma"/>
      <w:kern w:val="0"/>
      <w:sz w:val="22"/>
    </w:rPr>
  </w:style>
  <w:style w:type="character" w:customStyle="1" w:styleId="30">
    <w:name w:val="正文文本 Char1"/>
    <w:semiHidden/>
    <w:qFormat/>
    <w:uiPriority w:val="99"/>
    <w:rPr>
      <w:rFonts w:ascii="Tahoma" w:hAnsi="Tahoma" w:eastAsia="微软雅黑" w:cs="Tahoma"/>
      <w:kern w:val="0"/>
      <w:sz w:val="22"/>
      <w:szCs w:val="22"/>
    </w:rPr>
  </w:style>
  <w:style w:type="paragraph" w:customStyle="1" w:styleId="31">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2">
    <w:name w:val="标题 Char"/>
    <w:link w:val="17"/>
    <w:qFormat/>
    <w:locked/>
    <w:uiPriority w:val="99"/>
    <w:rPr>
      <w:rFonts w:ascii="方正小标宋简体" w:hAnsi="宋体" w:eastAsia="方正小标宋简体" w:cs="方正小标宋简体"/>
      <w:sz w:val="36"/>
      <w:szCs w:val="36"/>
    </w:rPr>
  </w:style>
  <w:style w:type="character" w:customStyle="1" w:styleId="33">
    <w:name w:val="文档结构图 Char"/>
    <w:link w:val="10"/>
    <w:semiHidden/>
    <w:qFormat/>
    <w:locked/>
    <w:uiPriority w:val="99"/>
    <w:rPr>
      <w:rFonts w:ascii="宋体" w:hAnsi="Tahoma" w:eastAsia="宋体" w:cs="宋体"/>
      <w:kern w:val="0"/>
      <w:sz w:val="18"/>
      <w:szCs w:val="18"/>
    </w:rPr>
  </w:style>
  <w:style w:type="character" w:customStyle="1" w:styleId="34">
    <w:name w:val="标题 4 Char"/>
    <w:basedOn w:val="21"/>
    <w:link w:val="8"/>
    <w:qFormat/>
    <w:uiPriority w:val="0"/>
    <w:rPr>
      <w:rFonts w:ascii="Times New Roman" w:hAnsi="Times New Roman"/>
      <w:b/>
      <w:kern w:val="2"/>
      <w:sz w:val="28"/>
      <w:szCs w:val="28"/>
    </w:rPr>
  </w:style>
  <w:style w:type="paragraph" w:customStyle="1" w:styleId="35">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6">
    <w:name w:val="标题 1 Char"/>
    <w:basedOn w:val="21"/>
    <w:link w:val="6"/>
    <w:qFormat/>
    <w:uiPriority w:val="9"/>
    <w:rPr>
      <w:rFonts w:ascii="Tahoma" w:hAnsi="Tahoma" w:eastAsia="微软雅黑" w:cs="Tahoma"/>
      <w:b/>
      <w:bCs/>
      <w:kern w:val="44"/>
      <w:sz w:val="44"/>
      <w:szCs w:val="44"/>
    </w:rPr>
  </w:style>
  <w:style w:type="paragraph" w:customStyle="1" w:styleId="37">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0</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2021-12-24T03:22:00Z</cp:lastPrinted>
  <dcterms:modified xsi:type="dcterms:W3CDTF">2023-08-16T01:47:23Z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