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default" w:ascii="Times New Roman" w:hAnsi="Times New Roman" w:eastAsia="宋体" w:cs="Times New Roman"/>
          <w:b/>
          <w:bCs/>
          <w:sz w:val="30"/>
          <w:szCs w:val="30"/>
          <w:lang w:eastAsia="zh-CN"/>
        </w:rPr>
      </w:pPr>
      <w:r>
        <w:rPr>
          <w:rFonts w:hint="eastAsia" w:ascii="Times New Roman" w:hAnsi="Times New Roman" w:eastAsia="宋体" w:cs="Times New Roman"/>
          <w:b/>
          <w:bCs/>
          <w:sz w:val="30"/>
          <w:szCs w:val="30"/>
          <w:lang w:val="en-US" w:eastAsia="zh-CN"/>
        </w:rPr>
        <w:t>中国石油天然气股份有限公司山东济南销售分公司垛石加油站项目</w:t>
      </w:r>
    </w:p>
    <w:p>
      <w:pPr>
        <w:pStyle w:val="16"/>
        <w:keepNext w:val="0"/>
        <w:keepLines w:val="0"/>
        <w:pageBreakBefore w:val="0"/>
        <w:widowControl w:val="0"/>
        <w:kinsoku/>
        <w:wordWrap/>
        <w:overflowPunct/>
        <w:topLinePunct w:val="0"/>
        <w:autoSpaceDE/>
        <w:autoSpaceDN/>
        <w:bidi w:val="0"/>
        <w:adjustRightInd w:val="0"/>
        <w:snapToGrid w:val="0"/>
        <w:spacing w:after="0" w:line="360" w:lineRule="auto"/>
        <w:ind w:leftChars="0" w:right="0" w:firstLine="0" w:firstLineChars="0"/>
        <w:textAlignment w:val="auto"/>
        <w:rPr>
          <w:rFonts w:hint="default" w:ascii="Times New Roman" w:hAnsi="Times New Roman" w:eastAsia="宋体" w:cs="Times New Roman"/>
          <w:b/>
          <w:sz w:val="30"/>
          <w:szCs w:val="30"/>
        </w:rPr>
      </w:pPr>
      <w:r>
        <w:rPr>
          <w:rFonts w:hint="default" w:ascii="Times New Roman" w:hAnsi="Times New Roman" w:eastAsia="宋体" w:cs="Times New Roman"/>
          <w:b/>
          <w:bCs/>
          <w:sz w:val="30"/>
          <w:szCs w:val="30"/>
        </w:rPr>
        <w:t>竣工环境保护验收组意见</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bCs/>
          <w:kern w:val="2"/>
          <w:sz w:val="24"/>
          <w:szCs w:val="24"/>
        </w:rPr>
        <w:t>根据《建设项目环境保护管理条例》（国务院令第682号）和《建设项目竣工环境保护验收暂行办法》（国环规环评[2017]4号）要</w:t>
      </w:r>
      <w:r>
        <w:rPr>
          <w:rFonts w:hint="default" w:ascii="Times New Roman" w:hAnsi="Times New Roman" w:eastAsia="宋体" w:cs="Times New Roman"/>
          <w:bCs/>
          <w:color w:val="auto"/>
          <w:kern w:val="2"/>
          <w:sz w:val="24"/>
          <w:szCs w:val="24"/>
        </w:rPr>
        <w:t>求，</w:t>
      </w:r>
      <w:r>
        <w:rPr>
          <w:rFonts w:hint="default" w:ascii="Times New Roman" w:hAnsi="Times New Roman" w:eastAsia="宋体" w:cs="Times New Roman"/>
          <w:bCs/>
          <w:color w:val="auto"/>
          <w:kern w:val="2"/>
          <w:sz w:val="24"/>
          <w:szCs w:val="24"/>
          <w:lang w:eastAsia="zh-CN"/>
        </w:rPr>
        <w:t>202</w:t>
      </w:r>
      <w:r>
        <w:rPr>
          <w:rFonts w:hint="default" w:ascii="Times New Roman" w:hAnsi="Times New Roman" w:eastAsia="宋体" w:cs="Times New Roman"/>
          <w:bCs/>
          <w:color w:val="auto"/>
          <w:kern w:val="2"/>
          <w:sz w:val="24"/>
          <w:szCs w:val="24"/>
          <w:lang w:val="en-US" w:eastAsia="zh-CN"/>
        </w:rPr>
        <w:t>1</w:t>
      </w:r>
      <w:r>
        <w:rPr>
          <w:rFonts w:hint="default" w:ascii="Times New Roman" w:hAnsi="Times New Roman" w:eastAsia="宋体" w:cs="Times New Roman"/>
          <w:bCs/>
          <w:color w:val="auto"/>
          <w:kern w:val="2"/>
          <w:sz w:val="24"/>
          <w:szCs w:val="24"/>
          <w:lang w:eastAsia="zh-CN"/>
        </w:rPr>
        <w:t>年</w:t>
      </w:r>
      <w:r>
        <w:rPr>
          <w:rFonts w:hint="default" w:ascii="Times New Roman" w:hAnsi="Times New Roman" w:eastAsia="宋体" w:cs="Times New Roman"/>
          <w:bCs/>
          <w:color w:val="auto"/>
          <w:kern w:val="2"/>
          <w:sz w:val="24"/>
          <w:szCs w:val="24"/>
          <w:lang w:val="en-US" w:eastAsia="zh-CN"/>
        </w:rPr>
        <w:t>12</w:t>
      </w:r>
      <w:r>
        <w:rPr>
          <w:rFonts w:hint="default" w:ascii="Times New Roman" w:hAnsi="Times New Roman" w:eastAsia="宋体" w:cs="Times New Roman"/>
          <w:bCs/>
          <w:color w:val="auto"/>
          <w:kern w:val="2"/>
          <w:sz w:val="24"/>
          <w:szCs w:val="24"/>
          <w:lang w:eastAsia="zh-CN"/>
        </w:rPr>
        <w:t>月</w:t>
      </w:r>
      <w:r>
        <w:rPr>
          <w:rFonts w:hint="eastAsia" w:ascii="Times New Roman" w:hAnsi="Times New Roman" w:eastAsia="宋体" w:cs="Times New Roman"/>
          <w:bCs/>
          <w:color w:val="auto"/>
          <w:kern w:val="2"/>
          <w:sz w:val="24"/>
          <w:szCs w:val="24"/>
          <w:lang w:val="en-US" w:eastAsia="zh-CN"/>
        </w:rPr>
        <w:t>8</w:t>
      </w:r>
      <w:r>
        <w:rPr>
          <w:rFonts w:hint="default" w:ascii="Times New Roman" w:hAnsi="Times New Roman" w:eastAsia="宋体" w:cs="Times New Roman"/>
          <w:bCs/>
          <w:color w:val="auto"/>
          <w:kern w:val="2"/>
          <w:sz w:val="24"/>
          <w:szCs w:val="24"/>
          <w:lang w:eastAsia="zh-CN"/>
        </w:rPr>
        <w:t>日</w:t>
      </w:r>
      <w:r>
        <w:rPr>
          <w:rFonts w:hint="default" w:ascii="Times New Roman" w:hAnsi="Times New Roman" w:eastAsia="宋体" w:cs="Times New Roman"/>
          <w:bCs/>
          <w:color w:val="auto"/>
          <w:kern w:val="2"/>
          <w:sz w:val="24"/>
          <w:szCs w:val="24"/>
        </w:rPr>
        <w:t>，</w:t>
      </w:r>
      <w:r>
        <w:rPr>
          <w:rFonts w:hint="eastAsia" w:ascii="Times New Roman" w:hAnsi="Times New Roman" w:eastAsia="宋体" w:cs="Times New Roman"/>
          <w:bCs/>
          <w:color w:val="auto"/>
          <w:kern w:val="2"/>
          <w:sz w:val="24"/>
          <w:szCs w:val="24"/>
          <w:lang w:eastAsia="zh-CN"/>
        </w:rPr>
        <w:t>中国石油天然气股份有限公司山东销售分公司</w:t>
      </w:r>
      <w:r>
        <w:rPr>
          <w:rFonts w:hint="default" w:ascii="Times New Roman" w:hAnsi="Times New Roman" w:eastAsia="宋体" w:cs="Times New Roman"/>
          <w:bCs/>
          <w:color w:val="auto"/>
          <w:kern w:val="2"/>
          <w:sz w:val="24"/>
          <w:szCs w:val="24"/>
        </w:rPr>
        <w:t>在</w:t>
      </w:r>
      <w:r>
        <w:rPr>
          <w:rFonts w:hint="eastAsia" w:ascii="Times New Roman" w:hAnsi="Times New Roman" w:eastAsia="宋体" w:cs="Times New Roman"/>
          <w:bCs/>
          <w:color w:val="auto"/>
          <w:kern w:val="2"/>
          <w:sz w:val="24"/>
          <w:szCs w:val="24"/>
          <w:lang w:eastAsia="zh-CN"/>
        </w:rPr>
        <w:t>中国石油天然气股份有限公司山东销售分公司垛石加油站</w:t>
      </w:r>
      <w:r>
        <w:rPr>
          <w:rFonts w:hint="eastAsia" w:ascii="Times New Roman" w:hAnsi="Times New Roman" w:eastAsia="宋体" w:cs="Times New Roman"/>
          <w:bCs/>
          <w:color w:val="auto"/>
          <w:kern w:val="2"/>
          <w:sz w:val="24"/>
          <w:szCs w:val="24"/>
          <w:lang w:val="zh-CN"/>
        </w:rPr>
        <w:t>办公室</w:t>
      </w:r>
      <w:r>
        <w:rPr>
          <w:rFonts w:hint="default" w:ascii="Times New Roman" w:hAnsi="Times New Roman" w:eastAsia="宋体" w:cs="Times New Roman"/>
          <w:bCs/>
          <w:color w:val="auto"/>
          <w:kern w:val="2"/>
          <w:sz w:val="24"/>
          <w:szCs w:val="24"/>
          <w:lang w:val="zh-CN"/>
        </w:rPr>
        <w:t>内</w:t>
      </w:r>
      <w:r>
        <w:rPr>
          <w:rFonts w:hint="default" w:ascii="Times New Roman" w:hAnsi="Times New Roman" w:eastAsia="宋体" w:cs="Times New Roman"/>
          <w:bCs/>
          <w:color w:val="auto"/>
          <w:kern w:val="2"/>
          <w:sz w:val="24"/>
          <w:szCs w:val="24"/>
        </w:rPr>
        <w:t>召开了</w:t>
      </w:r>
      <w:r>
        <w:rPr>
          <w:rFonts w:hint="eastAsia" w:ascii="Times New Roman" w:hAnsi="Times New Roman" w:eastAsia="宋体" w:cs="Times New Roman"/>
          <w:bCs/>
          <w:color w:val="auto"/>
          <w:kern w:val="2"/>
          <w:sz w:val="24"/>
          <w:szCs w:val="24"/>
          <w:lang w:val="en-US" w:eastAsia="zh-CN"/>
        </w:rPr>
        <w:t>中国石油天然气股份有限公司山东济南销售分公司垛石加油站项目</w:t>
      </w:r>
      <w:r>
        <w:rPr>
          <w:rFonts w:hint="default" w:ascii="Times New Roman" w:hAnsi="Times New Roman" w:eastAsia="宋体" w:cs="Times New Roman"/>
          <w:bCs/>
          <w:color w:val="auto"/>
          <w:kern w:val="2"/>
          <w:sz w:val="24"/>
          <w:szCs w:val="24"/>
          <w:lang w:eastAsia="zh-CN"/>
        </w:rPr>
        <w:t>竣工环境保护验收会议</w:t>
      </w:r>
      <w:r>
        <w:rPr>
          <w:rFonts w:hint="default" w:ascii="Times New Roman" w:hAnsi="Times New Roman" w:eastAsia="宋体" w:cs="Times New Roman"/>
          <w:bCs/>
          <w:color w:val="auto"/>
          <w:kern w:val="2"/>
          <w:sz w:val="24"/>
          <w:szCs w:val="24"/>
        </w:rPr>
        <w:t>。验收组由建设单位-</w:t>
      </w:r>
      <w:r>
        <w:rPr>
          <w:rFonts w:hint="eastAsia" w:ascii="Times New Roman" w:hAnsi="Times New Roman" w:eastAsia="宋体" w:cs="Times New Roman"/>
          <w:bCs/>
          <w:color w:val="auto"/>
          <w:kern w:val="2"/>
          <w:sz w:val="24"/>
          <w:szCs w:val="24"/>
          <w:lang w:eastAsia="zh-CN"/>
        </w:rPr>
        <w:t>中国石油天然气股份有限公司山东销售分公司</w:t>
      </w:r>
      <w:r>
        <w:rPr>
          <w:rFonts w:hint="default" w:ascii="Times New Roman" w:hAnsi="Times New Roman" w:eastAsia="宋体" w:cs="Times New Roman"/>
          <w:bCs/>
          <w:kern w:val="2"/>
          <w:sz w:val="24"/>
          <w:szCs w:val="24"/>
        </w:rPr>
        <w:t>、</w:t>
      </w:r>
      <w:r>
        <w:rPr>
          <w:rFonts w:hint="default" w:ascii="Times New Roman" w:hAnsi="Times New Roman" w:eastAsia="宋体" w:cs="Times New Roman"/>
          <w:kern w:val="2"/>
          <w:sz w:val="24"/>
          <w:szCs w:val="24"/>
        </w:rPr>
        <w:t>验收监测单</w:t>
      </w:r>
      <w:r>
        <w:rPr>
          <w:rFonts w:hint="default" w:ascii="Times New Roman" w:hAnsi="Times New Roman" w:eastAsia="宋体" w:cs="Times New Roman"/>
          <w:color w:val="auto"/>
          <w:kern w:val="2"/>
          <w:sz w:val="24"/>
          <w:szCs w:val="24"/>
        </w:rPr>
        <w:t>位-</w:t>
      </w:r>
      <w:r>
        <w:rPr>
          <w:rFonts w:hint="eastAsia" w:ascii="Times New Roman" w:hAnsi="Times New Roman" w:eastAsia="宋体" w:cs="Times New Roman"/>
          <w:color w:val="auto"/>
          <w:kern w:val="2"/>
          <w:sz w:val="24"/>
          <w:szCs w:val="24"/>
          <w:lang w:eastAsia="zh-CN"/>
        </w:rPr>
        <w:t>山东华晟环境检测有限公司</w:t>
      </w:r>
      <w:r>
        <w:rPr>
          <w:rFonts w:hint="default" w:ascii="Times New Roman" w:hAnsi="Times New Roman" w:eastAsia="宋体" w:cs="Times New Roman"/>
          <w:color w:val="auto"/>
          <w:kern w:val="2"/>
          <w:sz w:val="24"/>
          <w:szCs w:val="24"/>
        </w:rPr>
        <w:t>等单位</w:t>
      </w:r>
      <w:r>
        <w:rPr>
          <w:rFonts w:hint="default" w:ascii="Times New Roman" w:hAnsi="Times New Roman" w:eastAsia="宋体" w:cs="Times New Roman"/>
          <w:kern w:val="2"/>
          <w:sz w:val="24"/>
          <w:szCs w:val="24"/>
        </w:rPr>
        <w:t>的代表</w:t>
      </w:r>
      <w:r>
        <w:rPr>
          <w:rFonts w:hint="eastAsia" w:ascii="Times New Roman" w:hAnsi="Times New Roman" w:eastAsia="宋体" w:cs="Times New Roman"/>
          <w:kern w:val="2"/>
          <w:sz w:val="24"/>
          <w:szCs w:val="24"/>
          <w:lang w:eastAsia="zh-CN"/>
        </w:rPr>
        <w:t>及两名特邀专家组成</w:t>
      </w:r>
      <w:r>
        <w:rPr>
          <w:rFonts w:hint="default" w:ascii="Times New Roman" w:hAnsi="Times New Roman" w:eastAsia="宋体" w:cs="Times New Roman"/>
          <w:kern w:val="2"/>
          <w:sz w:val="24"/>
          <w:szCs w:val="24"/>
        </w:rPr>
        <w:t>（验收组名单附后）</w:t>
      </w:r>
      <w:r>
        <w:rPr>
          <w:rFonts w:hint="eastAsia" w:ascii="Times New Roman" w:hAnsi="Times New Roman" w:eastAsia="宋体" w:cs="Times New Roman"/>
          <w:kern w:val="2"/>
          <w:sz w:val="24"/>
          <w:szCs w:val="24"/>
          <w:lang w:eastAsia="zh-CN"/>
        </w:rPr>
        <w:t>。</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验收组听取了该工程环境保护执行情况和竣工环境保护验收监测情况的汇报，对该工程环境保护设施的建设、运行情</w:t>
      </w:r>
      <w:r>
        <w:rPr>
          <w:rFonts w:hint="default" w:ascii="Times New Roman" w:hAnsi="Times New Roman" w:eastAsia="宋体" w:cs="Times New Roman"/>
          <w:bCs/>
          <w:kern w:val="2"/>
          <w:sz w:val="24"/>
          <w:szCs w:val="24"/>
        </w:rPr>
        <w:t>况进行了现场检查，核实了有关资料。</w:t>
      </w:r>
      <w:r>
        <w:rPr>
          <w:rFonts w:hint="default" w:ascii="Times New Roman" w:hAnsi="Times New Roman" w:eastAsia="宋体" w:cs="Times New Roman"/>
          <w:sz w:val="24"/>
          <w:szCs w:val="24"/>
        </w:rPr>
        <w:t>经认真讨论，形成竣工环境保护验收意见如下：</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一、工程建设基本情况</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项目名称：</w:t>
      </w:r>
      <w:r>
        <w:rPr>
          <w:rFonts w:hint="eastAsia" w:ascii="Times New Roman" w:hAnsi="Times New Roman" w:eastAsia="宋体" w:cs="Times New Roman"/>
          <w:bCs/>
          <w:color w:val="auto"/>
          <w:kern w:val="2"/>
          <w:sz w:val="24"/>
          <w:szCs w:val="24"/>
          <w:lang w:val="en-US" w:eastAsia="zh-CN"/>
        </w:rPr>
        <w:t>中国石油天然气股份有限公司山东济南销售分公司垛石加油站项目</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建设单位：</w:t>
      </w:r>
      <w:r>
        <w:rPr>
          <w:rFonts w:hint="eastAsia" w:ascii="Times New Roman" w:hAnsi="Times New Roman" w:eastAsia="宋体" w:cs="Times New Roman"/>
          <w:bCs/>
          <w:color w:val="auto"/>
          <w:kern w:val="2"/>
          <w:sz w:val="24"/>
          <w:szCs w:val="24"/>
          <w:lang w:eastAsia="zh-CN"/>
        </w:rPr>
        <w:t>中国石油天然气股份有限公司山东销售分公司</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建设性质：</w:t>
      </w:r>
      <w:r>
        <w:rPr>
          <w:rFonts w:hint="eastAsia" w:ascii="Times New Roman" w:hAnsi="Times New Roman" w:eastAsia="宋体" w:cs="Times New Roman"/>
          <w:sz w:val="24"/>
          <w:szCs w:val="24"/>
          <w:lang w:eastAsia="zh-CN"/>
        </w:rPr>
        <w:t>新建</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地理位置：</w:t>
      </w:r>
      <w:r>
        <w:rPr>
          <w:rFonts w:hint="eastAsia" w:ascii="Times New Roman" w:hAnsi="Times New Roman" w:eastAsia="宋体" w:cs="Times New Roman"/>
          <w:sz w:val="24"/>
          <w:szCs w:val="24"/>
          <w:lang w:val="en-US" w:eastAsia="zh-CN"/>
        </w:rPr>
        <w:t>济阳县垛石镇省道 249 线以南、东宋屯村</w:t>
      </w:r>
      <w:r>
        <w:rPr>
          <w:rFonts w:hint="default" w:ascii="Times New Roman" w:hAnsi="Times New Roman" w:eastAsia="宋体" w:cs="Times New Roman"/>
          <w:kern w:val="2"/>
          <w:sz w:val="24"/>
          <w:szCs w:val="24"/>
        </w:rPr>
        <w:t>。</w:t>
      </w:r>
    </w:p>
    <w:p>
      <w:pPr>
        <w:pStyle w:val="23"/>
        <w:spacing w:after="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建设规模：本项目占地2271m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，项目总投资500万元，主要新建加油站站房约80m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，加油站罩棚约600m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，加油机3台，其中1台两枪一油品柴油加油机、1台四枪两油品汽油加油机和1台两枪两油品汽油柴油加油机，年销售汽油2190t、柴油1825t。</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（二）建设过程及环保审批情况</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中国石油天然气股份有限公司山东销售分公司于2018年8月委托山东民通环境安全科技有限公司编制完成了《中国石油天然气股份有限公司山东济南销售分公司垛石加油站项目环境影响报告表》，并于2018年10月10日经济阳县环境保护局审批（济阳环报告表［2018］89号）。</w:t>
      </w:r>
    </w:p>
    <w:p>
      <w:pPr>
        <w:spacing w:after="0" w:afterLine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本项目于2020年9月开工建设，2020年10月建成，2021年8月投入试生产阶段，运营期间运行状况良好，环保设施同时进行试运行，具备竣工验收条件。</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（三）验收范围</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本项目建设无分期，本次验收内容为中国石油天然气股份有限公司山东</w:t>
      </w:r>
      <w:r>
        <w:rPr>
          <w:rFonts w:hint="eastAsia" w:ascii="Times New Roman" w:hAnsi="Times New Roman" w:eastAsia="宋体" w:cs="Times New Roman"/>
          <w:sz w:val="24"/>
          <w:szCs w:val="24"/>
          <w:lang w:eastAsia="zh-CN"/>
        </w:rPr>
        <w:t>济南</w:t>
      </w:r>
      <w:r>
        <w:rPr>
          <w:rFonts w:hint="default" w:ascii="Times New Roman" w:hAnsi="Times New Roman" w:eastAsia="宋体" w:cs="Times New Roman"/>
          <w:sz w:val="24"/>
          <w:szCs w:val="24"/>
          <w:lang w:eastAsia="zh-CN"/>
        </w:rPr>
        <w:t>销售分公司垛石加油站项目建成后的全部内容。</w:t>
      </w:r>
    </w:p>
    <w:p>
      <w:pPr>
        <w:keepNext w:val="0"/>
        <w:keepLines w:val="0"/>
        <w:pageBreakBefore w:val="0"/>
        <w:kinsoku/>
        <w:overflowPunct/>
        <w:topLinePunct w:val="0"/>
        <w:bidi w:val="0"/>
        <w:adjustRightInd/>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二、工程变动情况</w:t>
      </w:r>
    </w:p>
    <w:p>
      <w:pPr>
        <w:pStyle w:val="23"/>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与环评相比较，环评中设置4个加油岛，设置2台四枪四油品潜油泵汽油加油机和2台四枪四油品潜油泵柴油加油机变更为实际建设3个加油岛，设置1台两枪一油品柴油加油机、1台四枪两油品汽油加油机和1台两枪两油品汽油柴油加油机；站房（综合服务区）建筑面积由176m</w:t>
      </w:r>
      <w:r>
        <w:rPr>
          <w:rFonts w:hint="default" w:ascii="Times New Roman" w:hAnsi="Times New Roman" w:eastAsia="宋体" w:cs="Times New Roman"/>
          <w:b w:val="0"/>
          <w:bCs w:val="0"/>
          <w:sz w:val="24"/>
          <w:szCs w:val="24"/>
          <w:vertAlign w:val="superscript"/>
          <w:lang w:val="en-US" w:eastAsia="zh-CN"/>
        </w:rPr>
        <w:t>2</w:t>
      </w:r>
      <w:r>
        <w:rPr>
          <w:rFonts w:hint="default" w:ascii="Times New Roman" w:hAnsi="Times New Roman" w:eastAsia="宋体" w:cs="Times New Roman"/>
          <w:b w:val="0"/>
          <w:bCs w:val="0"/>
          <w:sz w:val="24"/>
          <w:szCs w:val="24"/>
          <w:lang w:val="en-US" w:eastAsia="zh-CN"/>
        </w:rPr>
        <w:t>变更为80m</w:t>
      </w:r>
      <w:r>
        <w:rPr>
          <w:rFonts w:hint="default" w:ascii="Times New Roman" w:hAnsi="Times New Roman" w:eastAsia="宋体" w:cs="Times New Roman"/>
          <w:b w:val="0"/>
          <w:bCs w:val="0"/>
          <w:sz w:val="24"/>
          <w:szCs w:val="24"/>
          <w:vertAlign w:val="superscript"/>
          <w:lang w:val="en-US" w:eastAsia="zh-CN"/>
        </w:rPr>
        <w:t>2</w:t>
      </w:r>
      <w:r>
        <w:rPr>
          <w:rFonts w:hint="default" w:ascii="Times New Roman" w:hAnsi="Times New Roman" w:eastAsia="宋体" w:cs="Times New Roman"/>
          <w:b w:val="0"/>
          <w:bCs w:val="0"/>
          <w:sz w:val="24"/>
          <w:szCs w:val="24"/>
          <w:lang w:val="en-US" w:eastAsia="zh-CN"/>
        </w:rPr>
        <w:t>；项目性质和规模不变，使用功能未发生变化且环境防护距离范围内未新增敏感点；因此项目发生的变动均不属于重大变动。</w:t>
      </w:r>
    </w:p>
    <w:p>
      <w:pPr>
        <w:pStyle w:val="23"/>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因此，该项目实际建设过程中项目的性质、规模、地点、运营工艺等其他内容未发生重大变动，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关于印发淀粉等五个行业建设项目重大变动清单的通知》（环办环评函[2019]934号）和关于印发《污染影响类建设项目重大变动清单（试行）》的通知（环办环评函[2020]688号）等的有关规定，不属于重大变更，应纳入竣工环境保护验收管理。</w:t>
      </w:r>
    </w:p>
    <w:p>
      <w:pPr>
        <w:keepNext w:val="0"/>
        <w:keepLines w:val="0"/>
        <w:pageBreakBefore w:val="0"/>
        <w:widowControl w:val="0"/>
        <w:kinsoku/>
        <w:overflowPunct/>
        <w:topLinePunct w:val="0"/>
        <w:bidi w:val="0"/>
        <w:spacing w:after="0" w:line="360" w:lineRule="auto"/>
        <w:ind w:leftChars="0" w:right="0" w:firstLine="56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三、环境保护设施建设情况</w:t>
      </w:r>
    </w:p>
    <w:p>
      <w:pPr>
        <w:pStyle w:val="23"/>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1、废气</w:t>
      </w:r>
    </w:p>
    <w:p>
      <w:pPr>
        <w:pStyle w:val="23"/>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本项目废气主要为卸油、储油、加油、油气回收系统等过程排放到大气环境中的油气和加油车辆尾气。</w:t>
      </w:r>
    </w:p>
    <w:p>
      <w:pPr>
        <w:pStyle w:val="23"/>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项目营运期大气污染源主要是卸油、储油、加油等过程排放到大气环境中的油气。在装卸作业中，油罐车通过输油管道向储罐内卸油，罐内液面上升，形成正压，罐内饱和油蒸气由通气管排向大气中（这一过程也称“大呼吸”）；在加油作业环节中，由于加油枪与油箱口的连接属非密接触，使得大量油气从油箱口排出进入大气；油品在储存中，由于环境温度的变化，地下油罐小呼吸损失。卸油、储油、加油均设置油气回收装置。由于柴油挥发性比汽油要低，因此在柴油卸车、加油过程中无需装配油气回收装置。油品装卸和加油过程产生的非甲烷总烃经油气回收系统（活性炭+冷凝法）处理后，经高出地面8m的埋地油罐通气管排放。未收集废气通过无组织排放。</w:t>
      </w:r>
    </w:p>
    <w:p>
      <w:pPr>
        <w:keepNext w:val="0"/>
        <w:keepLines w:val="0"/>
        <w:pageBreakBefore w:val="0"/>
        <w:kinsoku/>
        <w:overflowPunct/>
        <w:topLinePunct w:val="0"/>
        <w:bidi w:val="0"/>
        <w:adjustRightInd/>
        <w:spacing w:after="0" w:line="360" w:lineRule="auto"/>
        <w:ind w:right="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2、废水</w:t>
      </w:r>
    </w:p>
    <w:p>
      <w:pPr>
        <w:pStyle w:val="23"/>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本项目加油站不设洗车房，项目污水主要为职工生活用水。生活污水经化粪池沉淀后由环卫部门定期清运，不外排。</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3、噪声</w:t>
      </w:r>
    </w:p>
    <w:p>
      <w:pPr>
        <w:pStyle w:val="23"/>
        <w:spacing w:after="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本项目噪声源主要为加油机及加油车辆噪声，噪声值约为 65～75dB（A）之间。营运期产生的噪声，对出入站区内来往的机动车严格管理，采取车辆进站时减速、禁止鸣笛、加油时车辆熄火和平稳启动等措施，使站区内的交通噪声降到最低；项目采用低噪声潜油泵，布设于地下，经减震基座、地面隔声等措施处理。</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4、固体废物</w:t>
      </w:r>
    </w:p>
    <w:p>
      <w:pPr>
        <w:pStyle w:val="23"/>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运营过程中产生的固体废物包括危险废物和一般固废。危险废物主要为清罐油渣和废活性炭。清罐油渣委托东营争峰新能源技术有限公司处置；废活性炭暂未产生，待产生后委托有资质的单位处置。一般固废主要包括生活垃圾，委托环卫部门定期清运。</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四、环境保护设施调试效果</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color w:val="auto"/>
          <w:kern w:val="2"/>
          <w:sz w:val="24"/>
          <w:szCs w:val="24"/>
        </w:rPr>
        <w:t>根据《</w:t>
      </w:r>
      <w:r>
        <w:rPr>
          <w:rFonts w:hint="eastAsia" w:ascii="Times New Roman" w:hAnsi="Times New Roman" w:eastAsia="宋体" w:cs="Times New Roman"/>
          <w:sz w:val="24"/>
          <w:szCs w:val="24"/>
          <w:lang w:val="en-US" w:eastAsia="zh-CN"/>
        </w:rPr>
        <w:t>中国石油天然气股份有限公司山东济南销售分公司垛石加油站项目</w:t>
      </w:r>
      <w:r>
        <w:rPr>
          <w:rFonts w:hint="default" w:ascii="Times New Roman" w:hAnsi="Times New Roman" w:eastAsia="宋体" w:cs="Times New Roman"/>
          <w:color w:val="auto"/>
          <w:kern w:val="2"/>
          <w:sz w:val="24"/>
          <w:szCs w:val="24"/>
        </w:rPr>
        <w:t>竣工环境保护验收</w:t>
      </w:r>
      <w:r>
        <w:rPr>
          <w:rFonts w:hint="default" w:ascii="Times New Roman" w:hAnsi="Times New Roman" w:eastAsia="宋体" w:cs="Times New Roman"/>
          <w:color w:val="auto"/>
          <w:kern w:val="2"/>
          <w:sz w:val="24"/>
          <w:szCs w:val="24"/>
          <w:lang w:eastAsia="zh-CN"/>
        </w:rPr>
        <w:t>检</w:t>
      </w:r>
      <w:r>
        <w:rPr>
          <w:rFonts w:hint="default" w:ascii="Times New Roman" w:hAnsi="Times New Roman" w:eastAsia="宋体" w:cs="Times New Roman"/>
          <w:color w:val="auto"/>
          <w:kern w:val="2"/>
          <w:sz w:val="24"/>
          <w:szCs w:val="24"/>
        </w:rPr>
        <w:t>测报告》</w:t>
      </w:r>
      <w:r>
        <w:rPr>
          <w:rFonts w:hint="default" w:ascii="Times New Roman" w:hAnsi="Times New Roman" w:eastAsia="宋体" w:cs="Times New Roman"/>
          <w:kern w:val="2"/>
          <w:sz w:val="24"/>
          <w:szCs w:val="24"/>
        </w:rPr>
        <w:t>可知：</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1、</w:t>
      </w:r>
      <w:r>
        <w:rPr>
          <w:rFonts w:hint="default" w:ascii="Times New Roman" w:hAnsi="Times New Roman" w:eastAsia="宋体" w:cs="Times New Roman"/>
          <w:kern w:val="2"/>
          <w:sz w:val="24"/>
          <w:szCs w:val="24"/>
        </w:rPr>
        <w:t>监测期间的生产工况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监测期间，该企业生产正常，工况稳定，满足验收监测技术规范要求。</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污染物达标排放情况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kern w:val="2"/>
          <w:sz w:val="24"/>
          <w:szCs w:val="24"/>
          <w:lang w:val="en-US" w:eastAsia="zh-CN"/>
        </w:rPr>
        <w:t>废气：</w:t>
      </w:r>
    </w:p>
    <w:p>
      <w:pPr>
        <w:pStyle w:val="23"/>
        <w:keepNext w:val="0"/>
        <w:keepLines w:val="0"/>
        <w:pageBreakBefore w:val="0"/>
        <w:widowControl w:val="0"/>
        <w:kinsoku/>
        <w:wordWrap/>
        <w:overflowPunct/>
        <w:topLinePunct w:val="0"/>
        <w:autoSpaceDE/>
        <w:autoSpaceDN/>
        <w:bidi w:val="0"/>
        <w:adjustRightInd w:val="0"/>
        <w:snapToGrid w:val="0"/>
        <w:spacing w:after="0"/>
        <w:ind w:firstLine="480" w:firstLineChars="200"/>
        <w:jc w:val="both"/>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监测期间，本项目各工序正常运行，油气回收排放口最大排放浓度为5.62×10</w:t>
      </w:r>
      <w:r>
        <w:rPr>
          <w:rFonts w:hint="default" w:ascii="Times New Roman" w:hAnsi="Times New Roman" w:eastAsia="宋体" w:cs="Times New Roman"/>
          <w:b w:val="0"/>
          <w:bCs w:val="0"/>
          <w:color w:val="000000"/>
          <w:sz w:val="24"/>
          <w:szCs w:val="24"/>
          <w:highlight w:val="none"/>
          <w:vertAlign w:val="superscript"/>
          <w:lang w:eastAsia="zh-CN"/>
        </w:rPr>
        <w:t>3</w:t>
      </w:r>
      <w:r>
        <w:rPr>
          <w:rFonts w:hint="default" w:ascii="Times New Roman" w:hAnsi="Times New Roman" w:eastAsia="宋体" w:cs="Times New Roman"/>
          <w:b w:val="0"/>
          <w:bCs w:val="0"/>
          <w:color w:val="000000"/>
          <w:sz w:val="24"/>
          <w:szCs w:val="24"/>
          <w:highlight w:val="none"/>
          <w:lang w:eastAsia="zh-CN"/>
        </w:rPr>
        <w:t>mg/m</w:t>
      </w:r>
      <w:r>
        <w:rPr>
          <w:rFonts w:hint="default" w:ascii="Times New Roman" w:hAnsi="Times New Roman" w:eastAsia="宋体" w:cs="Times New Roman"/>
          <w:b w:val="0"/>
          <w:bCs w:val="0"/>
          <w:color w:val="000000"/>
          <w:sz w:val="24"/>
          <w:szCs w:val="24"/>
          <w:highlight w:val="none"/>
          <w:vertAlign w:val="superscript"/>
          <w:lang w:eastAsia="zh-CN"/>
        </w:rPr>
        <w:t>3</w:t>
      </w:r>
      <w:r>
        <w:rPr>
          <w:rFonts w:hint="default" w:ascii="Times New Roman" w:hAnsi="Times New Roman" w:eastAsia="宋体" w:cs="Times New Roman"/>
          <w:b w:val="0"/>
          <w:bCs w:val="0"/>
          <w:color w:val="000000"/>
          <w:sz w:val="24"/>
          <w:szCs w:val="24"/>
          <w:highlight w:val="none"/>
          <w:lang w:eastAsia="zh-CN"/>
        </w:rPr>
        <w:t>。</w:t>
      </w:r>
    </w:p>
    <w:p>
      <w:pPr>
        <w:pStyle w:val="23"/>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项目油气回收系统排放口废气非甲烷总烃满足《加油站大气污染物综合排放标准》（GB20952-2020）标准要求（浓度≤25g/m</w:t>
      </w:r>
      <w:r>
        <w:rPr>
          <w:rFonts w:hint="default" w:ascii="Times New Roman" w:hAnsi="Times New Roman" w:eastAsia="宋体" w:cs="Times New Roman"/>
          <w:b w:val="0"/>
          <w:bCs w:val="0"/>
          <w:color w:val="000000"/>
          <w:sz w:val="24"/>
          <w:szCs w:val="24"/>
          <w:highlight w:val="none"/>
          <w:vertAlign w:val="superscript"/>
          <w:lang w:eastAsia="zh-CN"/>
        </w:rPr>
        <w:t>3</w:t>
      </w:r>
      <w:r>
        <w:rPr>
          <w:rFonts w:hint="default" w:ascii="Times New Roman" w:hAnsi="Times New Roman" w:eastAsia="宋体" w:cs="Times New Roman"/>
          <w:b w:val="0"/>
          <w:bCs w:val="0"/>
          <w:color w:val="000000"/>
          <w:sz w:val="24"/>
          <w:szCs w:val="24"/>
          <w:highlight w:val="none"/>
          <w:lang w:eastAsia="zh-CN"/>
        </w:rPr>
        <w:t>）。</w:t>
      </w:r>
    </w:p>
    <w:p>
      <w:pPr>
        <w:pStyle w:val="23"/>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监测期间，本项目非甲烷总烃厂界浓度最大值为1.22mg/m</w:t>
      </w:r>
      <w:r>
        <w:rPr>
          <w:rFonts w:hint="default" w:ascii="Times New Roman" w:hAnsi="Times New Roman" w:eastAsia="宋体" w:cs="Times New Roman"/>
          <w:b w:val="0"/>
          <w:bCs w:val="0"/>
          <w:color w:val="000000"/>
          <w:sz w:val="24"/>
          <w:szCs w:val="24"/>
          <w:highlight w:val="none"/>
          <w:vertAlign w:val="superscript"/>
          <w:lang w:eastAsia="zh-CN"/>
        </w:rPr>
        <w:t>3</w:t>
      </w:r>
      <w:r>
        <w:rPr>
          <w:rFonts w:hint="default" w:ascii="Times New Roman" w:hAnsi="Times New Roman" w:eastAsia="宋体" w:cs="Times New Roman"/>
          <w:b w:val="0"/>
          <w:bCs w:val="0"/>
          <w:color w:val="000000"/>
          <w:sz w:val="24"/>
          <w:szCs w:val="24"/>
          <w:highlight w:val="none"/>
          <w:lang w:eastAsia="zh-CN"/>
        </w:rPr>
        <w:t>。</w:t>
      </w:r>
    </w:p>
    <w:p>
      <w:pPr>
        <w:pStyle w:val="9"/>
        <w:spacing w:after="0" w:line="360" w:lineRule="auto"/>
        <w:ind w:left="0" w:leftChars="0"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b w:val="0"/>
          <w:bCs w:val="0"/>
          <w:color w:val="000000"/>
          <w:sz w:val="24"/>
          <w:szCs w:val="24"/>
          <w:highlight w:val="none"/>
          <w:lang w:eastAsia="zh-CN"/>
        </w:rPr>
        <w:t>项目无组织非甲烷总烃废气满足《大气污染物综合排放标准》（GB16297-1996）无</w:t>
      </w:r>
    </w:p>
    <w:p>
      <w:pPr>
        <w:keepNext w:val="0"/>
        <w:keepLines w:val="0"/>
        <w:pageBreakBefore w:val="0"/>
        <w:widowControl w:val="0"/>
        <w:numPr>
          <w:ilvl w:val="0"/>
          <w:numId w:val="2"/>
        </w:numPr>
        <w:kinsoku/>
        <w:overflowPunct/>
        <w:topLinePunct w:val="0"/>
        <w:bidi w:val="0"/>
        <w:spacing w:after="0" w:afterLines="0" w:line="360" w:lineRule="auto"/>
        <w:ind w:leftChars="0" w:right="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废水：</w:t>
      </w:r>
    </w:p>
    <w:p>
      <w:pPr>
        <w:pStyle w:val="23"/>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本项目加油站不设洗车房，项目污水主要为职工生活用水。生活污水经化粪池沉淀后由环卫部门定期清运，不外排。</w:t>
      </w:r>
    </w:p>
    <w:p>
      <w:pPr>
        <w:keepNext w:val="0"/>
        <w:keepLines w:val="0"/>
        <w:pageBreakBefore w:val="0"/>
        <w:widowControl w:val="0"/>
        <w:numPr>
          <w:ilvl w:val="0"/>
          <w:numId w:val="2"/>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噪声：</w:t>
      </w:r>
    </w:p>
    <w:p>
      <w:pPr>
        <w:pStyle w:val="9"/>
        <w:numPr>
          <w:ilvl w:val="-1"/>
          <w:numId w:val="0"/>
        </w:numPr>
        <w:spacing w:after="0" w:afterLines="0"/>
        <w:ind w:firstLine="480" w:firstLineChars="200"/>
        <w:rPr>
          <w:rFonts w:hint="default" w:ascii="Times New Roman" w:hAnsi="Times New Roman" w:eastAsia="宋体" w:cs="Times New Roman"/>
          <w:color w:val="000000"/>
          <w:sz w:val="24"/>
          <w:highlight w:val="none"/>
          <w:lang w:val="en-US" w:eastAsia="zh-CN"/>
        </w:rPr>
      </w:pPr>
      <w:r>
        <w:rPr>
          <w:rFonts w:hint="default" w:ascii="Times New Roman" w:hAnsi="Times New Roman" w:eastAsia="宋体" w:cs="Times New Roman"/>
          <w:color w:val="000000"/>
          <w:sz w:val="24"/>
          <w:highlight w:val="none"/>
          <w:lang w:val="en-US" w:eastAsia="zh-CN"/>
        </w:rPr>
        <w:t>监测期间，项目东、南、西、北厂界监测点昼间噪声最大值分别为57.0dB（A）、53.3dB（A）、54.2dB（A）、55.7dB（A），夜间噪声最大值分别为45.8dB（A）、47.1dB（A）、44.1dB（A）、44.9dB（A）；厂界昼间、夜间噪声均满足《工业企业厂界环境噪声排放标准》（GB12348-2008）中2类标准要求。</w:t>
      </w:r>
    </w:p>
    <w:p>
      <w:pPr>
        <w:keepNext w:val="0"/>
        <w:keepLines w:val="0"/>
        <w:pageBreakBefore w:val="0"/>
        <w:widowControl w:val="0"/>
        <w:numPr>
          <w:ilvl w:val="0"/>
          <w:numId w:val="0"/>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（4）固体废物：</w:t>
      </w:r>
    </w:p>
    <w:p>
      <w:pPr>
        <w:pStyle w:val="23"/>
        <w:numPr>
          <w:ilvl w:val="0"/>
          <w:numId w:val="0"/>
        </w:numPr>
        <w:spacing w:after="0" w:afterLines="0"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运营过程中产生的固体废物包括危险废物和一般固废。危险废物主要为清罐油渣和废活性炭。清罐油渣委托东营争峰新能源技术有限公司处置；废活性炭暂未产生，待产生后委托有资质的单位处置。一般固废主要包括生活垃圾，委托环卫部门定期清运。</w:t>
      </w:r>
    </w:p>
    <w:p>
      <w:pPr>
        <w:pStyle w:val="23"/>
        <w:numPr>
          <w:ilvl w:val="0"/>
          <w:numId w:val="0"/>
        </w:numPr>
        <w:spacing w:after="0" w:afterLines="0" w:line="360" w:lineRule="auto"/>
        <w:ind w:firstLine="480" w:firstLineChars="200"/>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一般固体废物处置满足《一般工业固体废物贮存和填埋污染控制标准》（GB18599-2020）要求，危险废物处置满足《危险废物贮存污染控制标准》（GB18597-2001）及修改单中的相关标准。</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lang w:eastAsia="zh-CN"/>
        </w:rPr>
        <w:t>五、</w:t>
      </w:r>
      <w:r>
        <w:rPr>
          <w:rFonts w:hint="default" w:ascii="Times New Roman" w:hAnsi="Times New Roman" w:eastAsia="宋体" w:cs="Times New Roman"/>
          <w:b/>
          <w:color w:val="000000"/>
          <w:sz w:val="24"/>
          <w:szCs w:val="24"/>
        </w:rPr>
        <w:t>工程建设对环境的影响</w:t>
      </w:r>
    </w:p>
    <w:p>
      <w:pPr>
        <w:keepNext w:val="0"/>
        <w:keepLines w:val="0"/>
        <w:pageBreakBefore w:val="0"/>
        <w:numPr>
          <w:ilvl w:val="0"/>
          <w:numId w:val="0"/>
        </w:numPr>
        <w:kinsoku/>
        <w:overflowPunct/>
        <w:topLinePunct w:val="0"/>
        <w:bidi w:val="0"/>
        <w:spacing w:after="0" w:line="360" w:lineRule="auto"/>
        <w:ind w:right="0" w:rightChars="0" w:firstLine="480" w:firstLineChars="200"/>
        <w:rPr>
          <w:rFonts w:hint="default" w:ascii="Times New Roman" w:hAnsi="Times New Roman" w:eastAsia="宋体" w:cs="Times New Roman"/>
          <w:b/>
          <w:color w:val="000000"/>
          <w:sz w:val="24"/>
          <w:szCs w:val="24"/>
        </w:rPr>
      </w:pPr>
      <w:r>
        <w:rPr>
          <w:rFonts w:hint="default" w:ascii="Times New Roman" w:hAnsi="Times New Roman" w:eastAsia="宋体" w:cs="Times New Roman"/>
          <w:color w:val="000000"/>
          <w:sz w:val="24"/>
          <w:szCs w:val="24"/>
          <w:lang w:eastAsia="zh-CN"/>
        </w:rPr>
        <w:t>本项目位于</w:t>
      </w:r>
      <w:r>
        <w:rPr>
          <w:rFonts w:hint="eastAsia" w:ascii="Times New Roman" w:hAnsi="Times New Roman" w:eastAsia="宋体" w:cs="Times New Roman"/>
          <w:color w:val="000000"/>
          <w:sz w:val="24"/>
          <w:szCs w:val="24"/>
          <w:lang w:val="en-US" w:eastAsia="zh-CN"/>
        </w:rPr>
        <w:t>济阳县垛石镇省道 249 线以南、东宋屯村</w:t>
      </w:r>
      <w:r>
        <w:rPr>
          <w:rFonts w:hint="default" w:ascii="Times New Roman" w:hAnsi="Times New Roman" w:eastAsia="宋体" w:cs="Times New Roman"/>
          <w:color w:val="000000"/>
          <w:sz w:val="24"/>
          <w:szCs w:val="24"/>
        </w:rPr>
        <w:t>，监测结果表明，</w:t>
      </w:r>
      <w:r>
        <w:rPr>
          <w:rFonts w:hint="default" w:ascii="Times New Roman" w:hAnsi="Times New Roman" w:eastAsia="宋体" w:cs="Times New Roman"/>
          <w:color w:val="000000"/>
          <w:sz w:val="24"/>
          <w:szCs w:val="24"/>
          <w:lang w:eastAsia="zh-CN"/>
        </w:rPr>
        <w:t>本</w:t>
      </w:r>
      <w:r>
        <w:rPr>
          <w:rFonts w:hint="default" w:ascii="Times New Roman" w:hAnsi="Times New Roman" w:eastAsia="宋体" w:cs="Times New Roman"/>
          <w:color w:val="000000"/>
          <w:sz w:val="24"/>
          <w:szCs w:val="24"/>
        </w:rPr>
        <w:t>项目废气、</w:t>
      </w:r>
      <w:r>
        <w:rPr>
          <w:rFonts w:hint="default" w:ascii="Times New Roman" w:hAnsi="Times New Roman" w:eastAsia="宋体" w:cs="Times New Roman"/>
          <w:color w:val="000000"/>
          <w:sz w:val="24"/>
          <w:szCs w:val="24"/>
          <w:lang w:eastAsia="zh-CN"/>
        </w:rPr>
        <w:t>废水、</w:t>
      </w:r>
      <w:r>
        <w:rPr>
          <w:rFonts w:hint="default" w:ascii="Times New Roman" w:hAnsi="Times New Roman" w:eastAsia="宋体" w:cs="Times New Roman"/>
          <w:color w:val="000000"/>
          <w:sz w:val="24"/>
          <w:szCs w:val="24"/>
        </w:rPr>
        <w:t>噪声均符合国家标准要求，达标排放，</w:t>
      </w:r>
      <w:r>
        <w:rPr>
          <w:rFonts w:hint="default" w:ascii="Times New Roman" w:hAnsi="Times New Roman" w:eastAsia="宋体" w:cs="Times New Roman"/>
          <w:color w:val="000000"/>
          <w:sz w:val="24"/>
          <w:szCs w:val="24"/>
          <w:lang w:eastAsia="zh-CN"/>
        </w:rPr>
        <w:t>固体废物均合理处置，</w:t>
      </w:r>
      <w:r>
        <w:rPr>
          <w:rFonts w:hint="default" w:ascii="Times New Roman" w:hAnsi="Times New Roman" w:eastAsia="宋体" w:cs="Times New Roman"/>
          <w:color w:val="000000"/>
          <w:sz w:val="24"/>
          <w:szCs w:val="24"/>
        </w:rPr>
        <w:t>对周围环境影响</w:t>
      </w:r>
      <w:r>
        <w:rPr>
          <w:rFonts w:hint="default" w:ascii="Times New Roman" w:hAnsi="Times New Roman" w:eastAsia="宋体" w:cs="Times New Roman"/>
          <w:color w:val="000000"/>
          <w:sz w:val="24"/>
          <w:szCs w:val="24"/>
          <w:lang w:eastAsia="zh-CN"/>
        </w:rPr>
        <w:t>较小。</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kern w:val="2"/>
          <w:sz w:val="24"/>
          <w:szCs w:val="24"/>
        </w:rPr>
      </w:pPr>
      <w:r>
        <w:rPr>
          <w:rFonts w:hint="default" w:ascii="Times New Roman" w:hAnsi="Times New Roman" w:eastAsia="宋体" w:cs="Times New Roman"/>
          <w:b/>
          <w:color w:val="000000"/>
          <w:sz w:val="24"/>
          <w:szCs w:val="24"/>
        </w:rPr>
        <w:t>六、验收结论</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根据该项目竣工环境保护验收报告和现场检查，项目环保手续已经完备，技术资料齐全，执行了环境影响评价和</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三同时</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管理制度，基本落实环评报告表及其审批意见所规定的各项环境污染防治措施，各类污染物能够实现达标排放要求，符合竣工环境保护验收条件，验收合格。</w:t>
      </w:r>
    </w:p>
    <w:p>
      <w:pPr>
        <w:keepNext w:val="0"/>
        <w:keepLines w:val="0"/>
        <w:pageBreakBefore w:val="0"/>
        <w:widowControl/>
        <w:kinsoku/>
        <w:overflowPunct/>
        <w:topLinePunct w:val="0"/>
        <w:bidi w:val="0"/>
        <w:adjustRightInd w:val="0"/>
        <w:snapToGrid w:val="0"/>
        <w:spacing w:after="0" w:line="360" w:lineRule="auto"/>
        <w:ind w:leftChars="0" w:right="0" w:firstLine="582"/>
        <w:jc w:val="both"/>
        <w:rPr>
          <w:rFonts w:hint="default" w:ascii="Times New Roman" w:hAnsi="Times New Roman" w:eastAsia="宋体" w:cs="Times New Roman"/>
          <w:b/>
          <w:kern w:val="0"/>
          <w:sz w:val="24"/>
          <w:szCs w:val="24"/>
        </w:rPr>
      </w:pPr>
      <w:r>
        <w:rPr>
          <w:rFonts w:hint="default" w:ascii="Times New Roman" w:hAnsi="Times New Roman" w:eastAsia="宋体" w:cs="Times New Roman"/>
          <w:b/>
          <w:kern w:val="0"/>
          <w:sz w:val="24"/>
          <w:szCs w:val="24"/>
        </w:rPr>
        <w:t>七、建议和后续要求</w:t>
      </w:r>
    </w:p>
    <w:p>
      <w:pPr>
        <w:keepNext w:val="0"/>
        <w:keepLines w:val="0"/>
        <w:pageBreakBefore w:val="0"/>
        <w:kinsoku/>
        <w:overflowPunct/>
        <w:topLinePunct w:val="0"/>
        <w:autoSpaceDE/>
        <w:autoSpaceDN/>
        <w:bidi w:val="0"/>
        <w:adjustRightInd w:val="0"/>
        <w:snapToGrid w:val="0"/>
        <w:spacing w:after="0" w:line="360" w:lineRule="auto"/>
        <w:ind w:firstLine="480" w:firstLineChars="200"/>
        <w:jc w:val="left"/>
        <w:rPr>
          <w:rFonts w:hint="default" w:ascii="Times New Roman" w:hAnsi="Times New Roman" w:eastAsia="宋体" w:cs="Times New Roman"/>
          <w:kern w:val="2"/>
          <w:sz w:val="24"/>
          <w:szCs w:val="24"/>
        </w:rPr>
      </w:pPr>
      <w:r>
        <w:rPr>
          <w:rFonts w:hint="eastAsia" w:ascii="Times New Roman" w:hAnsi="Times New Roman" w:eastAsia="宋体" w:cs="Times New Roman"/>
          <w:color w:val="000000"/>
          <w:sz w:val="24"/>
          <w:szCs w:val="24"/>
          <w:lang w:val="en-US" w:eastAsia="zh-CN"/>
        </w:rPr>
        <w:t>1、</w:t>
      </w:r>
      <w:r>
        <w:rPr>
          <w:rFonts w:hint="default" w:ascii="Times New Roman" w:hAnsi="Times New Roman" w:eastAsia="宋体" w:cs="Times New Roman"/>
          <w:sz w:val="24"/>
          <w:szCs w:val="24"/>
        </w:rPr>
        <w:t>加强</w:t>
      </w:r>
      <w:r>
        <w:rPr>
          <w:rFonts w:hint="eastAsia" w:ascii="Times New Roman" w:hAnsi="Times New Roman" w:eastAsia="宋体" w:cs="Times New Roman"/>
          <w:sz w:val="24"/>
          <w:szCs w:val="24"/>
          <w:lang w:eastAsia="zh-CN"/>
        </w:rPr>
        <w:t>设备</w:t>
      </w:r>
      <w:r>
        <w:rPr>
          <w:rFonts w:hint="default" w:ascii="Times New Roman" w:hAnsi="Times New Roman" w:eastAsia="宋体" w:cs="Times New Roman"/>
          <w:sz w:val="24"/>
          <w:szCs w:val="24"/>
        </w:rPr>
        <w:t>的日常维护和管理，制定日常管理制度，记录好每次运行时间和运行状态，确保环保设施正常运行和各项污染物稳定达标排放，</w:t>
      </w:r>
      <w:r>
        <w:rPr>
          <w:rFonts w:hint="default" w:ascii="Times New Roman" w:hAnsi="Times New Roman" w:eastAsia="宋体" w:cs="Times New Roman"/>
          <w:kern w:val="2"/>
          <w:sz w:val="24"/>
          <w:szCs w:val="24"/>
        </w:rPr>
        <w:t>并按照《排污单位自行监测技术指南 总则》（HJ 819-2017）要求，企业制定自行测方案（计划），定期开展监测，并按照《企事业单位环境信息公开管理办法》要求进行环境信息公开。</w:t>
      </w:r>
    </w:p>
    <w:p>
      <w:pPr>
        <w:keepNext w:val="0"/>
        <w:keepLines w:val="0"/>
        <w:pageBreakBefore w:val="0"/>
        <w:kinsoku/>
        <w:overflowPunct/>
        <w:topLinePunct w:val="0"/>
        <w:autoSpaceDE/>
        <w:autoSpaceDN/>
        <w:bidi w:val="0"/>
        <w:adjustRightInd w:val="0"/>
        <w:snapToGrid w:val="0"/>
        <w:spacing w:after="0" w:line="360" w:lineRule="auto"/>
        <w:ind w:firstLine="480" w:firstLineChars="200"/>
        <w:jc w:val="left"/>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严格按照环境影响评价和“三同时”管理制度及《建设项目竣工环境保护验收暂行办法》（国环规环评[2017]4号）的相关规定，进行日常生产运营，一旦发现有生产设备和环保设备不正常运行、危险废物随意乱堆乱放等各类异常现场，应及时处理整修</w:t>
      </w:r>
      <w:r>
        <w:rPr>
          <w:rFonts w:hint="eastAsia" w:ascii="Times New Roman" w:hAnsi="Times New Roman" w:eastAsia="宋体" w:cs="Times New Roman"/>
          <w:sz w:val="24"/>
          <w:szCs w:val="24"/>
          <w:lang w:val="en-US" w:eastAsia="zh-CN"/>
        </w:rPr>
        <w:t>，同时尽快完善危废暂存间建设，保证所产生的危险废物妥善贮存。</w:t>
      </w:r>
      <w:bookmarkStart w:id="0" w:name="_GoBack"/>
      <w:bookmarkEnd w:id="0"/>
    </w:p>
    <w:p>
      <w:pPr>
        <w:keepNext w:val="0"/>
        <w:keepLines w:val="0"/>
        <w:pageBreakBefore w:val="0"/>
        <w:widowControl w:val="0"/>
        <w:kinsoku/>
        <w:overflowPunct/>
        <w:topLinePunct w:val="0"/>
        <w:bidi w:val="0"/>
        <w:spacing w:after="0" w:line="360" w:lineRule="auto"/>
        <w:ind w:leftChars="0" w:right="0" w:firstLine="602"/>
        <w:jc w:val="right"/>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r>
        <w:rPr>
          <w:rFonts w:hint="eastAsia" w:ascii="Times New Roman" w:hAnsi="Times New Roman" w:eastAsia="宋体" w:cs="Times New Roman"/>
          <w:b/>
          <w:color w:val="auto"/>
          <w:kern w:val="2"/>
          <w:sz w:val="24"/>
          <w:szCs w:val="24"/>
          <w:lang w:eastAsia="zh-CN"/>
        </w:rPr>
        <w:drawing>
          <wp:inline distT="0" distB="0" distL="114300" distR="114300">
            <wp:extent cx="4958080" cy="8815070"/>
            <wp:effectExtent l="0" t="0" r="13970" b="5080"/>
            <wp:docPr id="1" name="图片 1" descr="80729aac453b081f94366445d4278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0729aac453b081f94366445d4278f4"/>
                    <pic:cNvPicPr>
                      <a:picLocks noChangeAspect="1"/>
                    </pic:cNvPicPr>
                  </pic:nvPicPr>
                  <pic:blipFill>
                    <a:blip r:embed="rId8"/>
                    <a:stretch>
                      <a:fillRect/>
                    </a:stretch>
                  </pic:blipFill>
                  <pic:spPr>
                    <a:xfrm>
                      <a:off x="0" y="0"/>
                      <a:ext cx="4958080" cy="8815070"/>
                    </a:xfrm>
                    <a:prstGeom prst="rect">
                      <a:avLst/>
                    </a:prstGeom>
                  </pic:spPr>
                </pic:pic>
              </a:graphicData>
            </a:graphic>
          </wp:inline>
        </w:drawing>
      </w:r>
    </w:p>
    <w:p>
      <w:pPr>
        <w:pStyle w:val="2"/>
        <w:ind w:left="0" w:leftChars="0" w:firstLine="0" w:firstLineChars="0"/>
        <w:rPr>
          <w:rFonts w:hint="eastAsia" w:ascii="Times New Roman" w:hAnsi="Times New Roman" w:eastAsia="宋体" w:cs="Times New Roman"/>
          <w:b/>
          <w:color w:val="auto"/>
          <w:kern w:val="2"/>
          <w:sz w:val="24"/>
          <w:szCs w:val="24"/>
          <w:lang w:eastAsia="zh-CN"/>
        </w:rPr>
      </w:pPr>
    </w:p>
    <w:p>
      <w:pPr>
        <w:pStyle w:val="22"/>
        <w:ind w:firstLine="0" w:firstLineChars="0"/>
        <w:rPr>
          <w:rFonts w:hint="default" w:ascii="Times New Roman" w:hAnsi="Times New Roman" w:eastAsia="宋体" w:cs="Times New Roman"/>
          <w:sz w:val="24"/>
          <w:szCs w:val="24"/>
          <w:lang w:val="en-US" w:eastAsia="zh-CN"/>
        </w:rPr>
      </w:pPr>
    </w:p>
    <w:sectPr>
      <w:headerReference r:id="rId5" w:type="default"/>
      <w:footerReference r:id="rId6" w:type="default"/>
      <w:pgSz w:w="11850" w:h="16783"/>
      <w:pgMar w:top="1440" w:right="1423" w:bottom="1440" w:left="1423" w:header="851" w:footer="992" w:gutter="0"/>
      <w:cols w:space="0" w:num="1"/>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ind w:firstLine="360"/>
      <w:rPr>
        <w:rFonts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80BCAD"/>
    <w:multiLevelType w:val="singleLevel"/>
    <w:tmpl w:val="FC80BCAD"/>
    <w:lvl w:ilvl="0" w:tentative="0">
      <w:start w:val="1"/>
      <w:numFmt w:val="bullet"/>
      <w:pStyle w:val="13"/>
      <w:lvlText w:val=""/>
      <w:lvlJc w:val="left"/>
      <w:pPr>
        <w:tabs>
          <w:tab w:val="left" w:pos="2040"/>
        </w:tabs>
        <w:ind w:left="2040" w:hanging="360"/>
      </w:pPr>
      <w:rPr>
        <w:rFonts w:hint="default" w:ascii="Wingdings" w:hAnsi="Wingdings"/>
      </w:rPr>
    </w:lvl>
  </w:abstractNum>
  <w:abstractNum w:abstractNumId="1">
    <w:nsid w:val="0B60A679"/>
    <w:multiLevelType w:val="singleLevel"/>
    <w:tmpl w:val="0B60A679"/>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trackRevisions w:val="1"/>
  <w:documentProtection w:enforcement="0"/>
  <w:defaultTabStop w:val="420"/>
  <w:doNotHyphenateCaps/>
  <w:drawingGridVerticalSpacing w:val="15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MjNkZDE3NjJiZmU3MzFlNjgxMTIzZjViZDlhMDEifQ=="/>
  </w:docVars>
  <w:rsids>
    <w:rsidRoot w:val="00172A27"/>
    <w:rsid w:val="00035A13"/>
    <w:rsid w:val="0003659E"/>
    <w:rsid w:val="00051171"/>
    <w:rsid w:val="0005571D"/>
    <w:rsid w:val="00082D69"/>
    <w:rsid w:val="000B6AB9"/>
    <w:rsid w:val="000C5950"/>
    <w:rsid w:val="000D22C0"/>
    <w:rsid w:val="000D2C30"/>
    <w:rsid w:val="000E6A6D"/>
    <w:rsid w:val="00100522"/>
    <w:rsid w:val="00100D45"/>
    <w:rsid w:val="00112FCB"/>
    <w:rsid w:val="00123494"/>
    <w:rsid w:val="00123D3F"/>
    <w:rsid w:val="00136E9D"/>
    <w:rsid w:val="001374C9"/>
    <w:rsid w:val="00151430"/>
    <w:rsid w:val="001B2C20"/>
    <w:rsid w:val="001C4038"/>
    <w:rsid w:val="001E3192"/>
    <w:rsid w:val="001F25A9"/>
    <w:rsid w:val="00204BB3"/>
    <w:rsid w:val="00240D08"/>
    <w:rsid w:val="00244A46"/>
    <w:rsid w:val="002801F6"/>
    <w:rsid w:val="002849BC"/>
    <w:rsid w:val="002863EA"/>
    <w:rsid w:val="002874F0"/>
    <w:rsid w:val="002906CD"/>
    <w:rsid w:val="00294FC2"/>
    <w:rsid w:val="002B32BD"/>
    <w:rsid w:val="002F2B00"/>
    <w:rsid w:val="002F4D8C"/>
    <w:rsid w:val="002F5573"/>
    <w:rsid w:val="00304D4E"/>
    <w:rsid w:val="00306497"/>
    <w:rsid w:val="00321DDE"/>
    <w:rsid w:val="00345CAC"/>
    <w:rsid w:val="003A0123"/>
    <w:rsid w:val="003B47BB"/>
    <w:rsid w:val="003C26BC"/>
    <w:rsid w:val="003C3CA8"/>
    <w:rsid w:val="003E1ED5"/>
    <w:rsid w:val="003E323E"/>
    <w:rsid w:val="00411DD0"/>
    <w:rsid w:val="00436EA1"/>
    <w:rsid w:val="00454708"/>
    <w:rsid w:val="00464600"/>
    <w:rsid w:val="00474534"/>
    <w:rsid w:val="00475734"/>
    <w:rsid w:val="00476E07"/>
    <w:rsid w:val="0048437D"/>
    <w:rsid w:val="00493633"/>
    <w:rsid w:val="004A0639"/>
    <w:rsid w:val="004A497C"/>
    <w:rsid w:val="004B7E5F"/>
    <w:rsid w:val="004C36BB"/>
    <w:rsid w:val="004C40B4"/>
    <w:rsid w:val="004E2FE4"/>
    <w:rsid w:val="00522759"/>
    <w:rsid w:val="00532369"/>
    <w:rsid w:val="00587216"/>
    <w:rsid w:val="005A5206"/>
    <w:rsid w:val="005A6685"/>
    <w:rsid w:val="005B00F4"/>
    <w:rsid w:val="005B1BA4"/>
    <w:rsid w:val="005D72B5"/>
    <w:rsid w:val="005E0897"/>
    <w:rsid w:val="005E09DC"/>
    <w:rsid w:val="0060524E"/>
    <w:rsid w:val="00607661"/>
    <w:rsid w:val="0062738C"/>
    <w:rsid w:val="00635C38"/>
    <w:rsid w:val="00656C9A"/>
    <w:rsid w:val="00660B7E"/>
    <w:rsid w:val="006633A9"/>
    <w:rsid w:val="00675801"/>
    <w:rsid w:val="00675B32"/>
    <w:rsid w:val="00676B00"/>
    <w:rsid w:val="00687553"/>
    <w:rsid w:val="006915ED"/>
    <w:rsid w:val="006A00F0"/>
    <w:rsid w:val="006A4004"/>
    <w:rsid w:val="006F79A8"/>
    <w:rsid w:val="00710178"/>
    <w:rsid w:val="007371E6"/>
    <w:rsid w:val="00746AC2"/>
    <w:rsid w:val="0075590D"/>
    <w:rsid w:val="00777542"/>
    <w:rsid w:val="0079354C"/>
    <w:rsid w:val="0079381D"/>
    <w:rsid w:val="00794F0E"/>
    <w:rsid w:val="007B66FA"/>
    <w:rsid w:val="007B7205"/>
    <w:rsid w:val="007C652D"/>
    <w:rsid w:val="007D1C85"/>
    <w:rsid w:val="007F3A23"/>
    <w:rsid w:val="008017AA"/>
    <w:rsid w:val="008047FA"/>
    <w:rsid w:val="008105AC"/>
    <w:rsid w:val="00820E46"/>
    <w:rsid w:val="00827A40"/>
    <w:rsid w:val="00834FAD"/>
    <w:rsid w:val="008515B7"/>
    <w:rsid w:val="00856FE8"/>
    <w:rsid w:val="00860219"/>
    <w:rsid w:val="00876AD0"/>
    <w:rsid w:val="00892B1A"/>
    <w:rsid w:val="00892C76"/>
    <w:rsid w:val="008D1DEF"/>
    <w:rsid w:val="008F6892"/>
    <w:rsid w:val="0091374D"/>
    <w:rsid w:val="009318B7"/>
    <w:rsid w:val="0094565D"/>
    <w:rsid w:val="00987513"/>
    <w:rsid w:val="009A15C6"/>
    <w:rsid w:val="009B41E2"/>
    <w:rsid w:val="009C5305"/>
    <w:rsid w:val="009F29BA"/>
    <w:rsid w:val="00A00D62"/>
    <w:rsid w:val="00A12AFC"/>
    <w:rsid w:val="00A23A98"/>
    <w:rsid w:val="00A263F8"/>
    <w:rsid w:val="00A32939"/>
    <w:rsid w:val="00A57E27"/>
    <w:rsid w:val="00A87D8D"/>
    <w:rsid w:val="00A97E42"/>
    <w:rsid w:val="00AC4896"/>
    <w:rsid w:val="00AE567B"/>
    <w:rsid w:val="00AE7916"/>
    <w:rsid w:val="00B012B2"/>
    <w:rsid w:val="00B04612"/>
    <w:rsid w:val="00B15EB9"/>
    <w:rsid w:val="00B20B7C"/>
    <w:rsid w:val="00B25879"/>
    <w:rsid w:val="00B265CF"/>
    <w:rsid w:val="00B355D4"/>
    <w:rsid w:val="00B419D8"/>
    <w:rsid w:val="00B42638"/>
    <w:rsid w:val="00B50064"/>
    <w:rsid w:val="00B54C75"/>
    <w:rsid w:val="00B8081D"/>
    <w:rsid w:val="00B84B89"/>
    <w:rsid w:val="00B90D5E"/>
    <w:rsid w:val="00B9519E"/>
    <w:rsid w:val="00BA090A"/>
    <w:rsid w:val="00BE053E"/>
    <w:rsid w:val="00BE697B"/>
    <w:rsid w:val="00C273CD"/>
    <w:rsid w:val="00C65C81"/>
    <w:rsid w:val="00C7749F"/>
    <w:rsid w:val="00C82779"/>
    <w:rsid w:val="00C94515"/>
    <w:rsid w:val="00CE5494"/>
    <w:rsid w:val="00CE6E57"/>
    <w:rsid w:val="00D0629A"/>
    <w:rsid w:val="00D16BE8"/>
    <w:rsid w:val="00D27945"/>
    <w:rsid w:val="00D64752"/>
    <w:rsid w:val="00D705C2"/>
    <w:rsid w:val="00D96E1A"/>
    <w:rsid w:val="00DF6E75"/>
    <w:rsid w:val="00DF72AB"/>
    <w:rsid w:val="00E02AB0"/>
    <w:rsid w:val="00E4216C"/>
    <w:rsid w:val="00E46C72"/>
    <w:rsid w:val="00E544C5"/>
    <w:rsid w:val="00E749C3"/>
    <w:rsid w:val="00E770BA"/>
    <w:rsid w:val="00E81432"/>
    <w:rsid w:val="00E81D6E"/>
    <w:rsid w:val="00E852D0"/>
    <w:rsid w:val="00E87B21"/>
    <w:rsid w:val="00EB0F5B"/>
    <w:rsid w:val="00EB33EC"/>
    <w:rsid w:val="00EC287A"/>
    <w:rsid w:val="00ED368E"/>
    <w:rsid w:val="00F1024F"/>
    <w:rsid w:val="00F14097"/>
    <w:rsid w:val="00F14501"/>
    <w:rsid w:val="00F3369D"/>
    <w:rsid w:val="00F33F12"/>
    <w:rsid w:val="00F426D9"/>
    <w:rsid w:val="00F564CC"/>
    <w:rsid w:val="00FA009F"/>
    <w:rsid w:val="00FA255C"/>
    <w:rsid w:val="00FA5F64"/>
    <w:rsid w:val="00FA7250"/>
    <w:rsid w:val="00FB2A45"/>
    <w:rsid w:val="00FE02A1"/>
    <w:rsid w:val="00FE1F4C"/>
    <w:rsid w:val="00FE3872"/>
    <w:rsid w:val="00FF0264"/>
    <w:rsid w:val="00FF4184"/>
    <w:rsid w:val="02874060"/>
    <w:rsid w:val="02C7498E"/>
    <w:rsid w:val="03CF05A3"/>
    <w:rsid w:val="04773D02"/>
    <w:rsid w:val="04F64D61"/>
    <w:rsid w:val="05312C57"/>
    <w:rsid w:val="05982B91"/>
    <w:rsid w:val="06DC3814"/>
    <w:rsid w:val="074671CC"/>
    <w:rsid w:val="0766665A"/>
    <w:rsid w:val="07AD0944"/>
    <w:rsid w:val="08FA74EB"/>
    <w:rsid w:val="093B00AF"/>
    <w:rsid w:val="09865549"/>
    <w:rsid w:val="0A5E79C8"/>
    <w:rsid w:val="0AA05173"/>
    <w:rsid w:val="0AE850E5"/>
    <w:rsid w:val="0C793B3D"/>
    <w:rsid w:val="0C850E03"/>
    <w:rsid w:val="0D7C6268"/>
    <w:rsid w:val="0DAD0CD4"/>
    <w:rsid w:val="0F76507F"/>
    <w:rsid w:val="106525CA"/>
    <w:rsid w:val="10C304AB"/>
    <w:rsid w:val="10F37360"/>
    <w:rsid w:val="1110472C"/>
    <w:rsid w:val="116A15B6"/>
    <w:rsid w:val="11C86278"/>
    <w:rsid w:val="143A4ACA"/>
    <w:rsid w:val="145A1C25"/>
    <w:rsid w:val="14D33197"/>
    <w:rsid w:val="15553DF7"/>
    <w:rsid w:val="15B33D50"/>
    <w:rsid w:val="15E81ECB"/>
    <w:rsid w:val="15F26564"/>
    <w:rsid w:val="178E0669"/>
    <w:rsid w:val="188D7E54"/>
    <w:rsid w:val="1918245D"/>
    <w:rsid w:val="1A5F31B7"/>
    <w:rsid w:val="1A9B36F6"/>
    <w:rsid w:val="1AD71EA4"/>
    <w:rsid w:val="1D3D2E8E"/>
    <w:rsid w:val="1DCF6A15"/>
    <w:rsid w:val="1E061AFB"/>
    <w:rsid w:val="1E3A5589"/>
    <w:rsid w:val="1FB0700F"/>
    <w:rsid w:val="1FB60655"/>
    <w:rsid w:val="1FE7169E"/>
    <w:rsid w:val="201D7A42"/>
    <w:rsid w:val="202F4709"/>
    <w:rsid w:val="20EF52E9"/>
    <w:rsid w:val="21081222"/>
    <w:rsid w:val="21B2626F"/>
    <w:rsid w:val="221B3059"/>
    <w:rsid w:val="226D3CFE"/>
    <w:rsid w:val="22D929C4"/>
    <w:rsid w:val="22FD2DEE"/>
    <w:rsid w:val="2306772B"/>
    <w:rsid w:val="24803B66"/>
    <w:rsid w:val="24EE055F"/>
    <w:rsid w:val="256D51AD"/>
    <w:rsid w:val="25730E5F"/>
    <w:rsid w:val="25DA358A"/>
    <w:rsid w:val="27183FAE"/>
    <w:rsid w:val="28702BFD"/>
    <w:rsid w:val="287A70C8"/>
    <w:rsid w:val="29E52C04"/>
    <w:rsid w:val="2A7704C9"/>
    <w:rsid w:val="2C5A2F7C"/>
    <w:rsid w:val="2C631EE5"/>
    <w:rsid w:val="2D42357D"/>
    <w:rsid w:val="2FEE4FC6"/>
    <w:rsid w:val="303B521B"/>
    <w:rsid w:val="30446957"/>
    <w:rsid w:val="31447B17"/>
    <w:rsid w:val="31545D96"/>
    <w:rsid w:val="322A6115"/>
    <w:rsid w:val="325E60DB"/>
    <w:rsid w:val="32A4059B"/>
    <w:rsid w:val="3307355C"/>
    <w:rsid w:val="33C81DD3"/>
    <w:rsid w:val="350A75D4"/>
    <w:rsid w:val="35B07AA5"/>
    <w:rsid w:val="36B15195"/>
    <w:rsid w:val="38105541"/>
    <w:rsid w:val="386F3A84"/>
    <w:rsid w:val="39493F69"/>
    <w:rsid w:val="3B0844DE"/>
    <w:rsid w:val="3C931740"/>
    <w:rsid w:val="3CE227B1"/>
    <w:rsid w:val="3E047166"/>
    <w:rsid w:val="3E083A98"/>
    <w:rsid w:val="3EBD4C50"/>
    <w:rsid w:val="3F307FC6"/>
    <w:rsid w:val="3F3F6175"/>
    <w:rsid w:val="3F5F5D14"/>
    <w:rsid w:val="3F8D744B"/>
    <w:rsid w:val="3FB36297"/>
    <w:rsid w:val="40225A34"/>
    <w:rsid w:val="417D1105"/>
    <w:rsid w:val="41FC7E24"/>
    <w:rsid w:val="420115B3"/>
    <w:rsid w:val="4420552A"/>
    <w:rsid w:val="44285812"/>
    <w:rsid w:val="455B5A78"/>
    <w:rsid w:val="455F2AA3"/>
    <w:rsid w:val="45B544A3"/>
    <w:rsid w:val="45E845F0"/>
    <w:rsid w:val="471E352A"/>
    <w:rsid w:val="47D8037F"/>
    <w:rsid w:val="493E0B7E"/>
    <w:rsid w:val="49506749"/>
    <w:rsid w:val="49C55197"/>
    <w:rsid w:val="49CD6A25"/>
    <w:rsid w:val="4A1168BD"/>
    <w:rsid w:val="4A5821EF"/>
    <w:rsid w:val="4B4674D2"/>
    <w:rsid w:val="4B7C5A47"/>
    <w:rsid w:val="4BCC3852"/>
    <w:rsid w:val="4BEB2588"/>
    <w:rsid w:val="4C144871"/>
    <w:rsid w:val="4C345582"/>
    <w:rsid w:val="4CFA33FC"/>
    <w:rsid w:val="4E7723EA"/>
    <w:rsid w:val="4E9457FA"/>
    <w:rsid w:val="502B6E83"/>
    <w:rsid w:val="5078219D"/>
    <w:rsid w:val="51142D8E"/>
    <w:rsid w:val="511B243F"/>
    <w:rsid w:val="51AE70CE"/>
    <w:rsid w:val="529B46C0"/>
    <w:rsid w:val="52E349A0"/>
    <w:rsid w:val="52F62681"/>
    <w:rsid w:val="532458E8"/>
    <w:rsid w:val="54970FF4"/>
    <w:rsid w:val="54D041E8"/>
    <w:rsid w:val="55BC4161"/>
    <w:rsid w:val="56937BD7"/>
    <w:rsid w:val="57EE219F"/>
    <w:rsid w:val="586216B7"/>
    <w:rsid w:val="590D7306"/>
    <w:rsid w:val="59366F33"/>
    <w:rsid w:val="59610487"/>
    <w:rsid w:val="599F18F9"/>
    <w:rsid w:val="59A83D85"/>
    <w:rsid w:val="59B92F56"/>
    <w:rsid w:val="59E25E8C"/>
    <w:rsid w:val="5AB94A93"/>
    <w:rsid w:val="5AEA1F97"/>
    <w:rsid w:val="5C211791"/>
    <w:rsid w:val="5C8439DC"/>
    <w:rsid w:val="5CD62FD7"/>
    <w:rsid w:val="5CDE795B"/>
    <w:rsid w:val="5D2807D4"/>
    <w:rsid w:val="5DC22282"/>
    <w:rsid w:val="5DCC210D"/>
    <w:rsid w:val="5DD23BD9"/>
    <w:rsid w:val="5E1637D7"/>
    <w:rsid w:val="5E1F609D"/>
    <w:rsid w:val="5E50770E"/>
    <w:rsid w:val="5E54739E"/>
    <w:rsid w:val="5F190BA3"/>
    <w:rsid w:val="614F11BA"/>
    <w:rsid w:val="621D3446"/>
    <w:rsid w:val="62895E57"/>
    <w:rsid w:val="63113C8D"/>
    <w:rsid w:val="63A731B1"/>
    <w:rsid w:val="63AB48A9"/>
    <w:rsid w:val="63D037D4"/>
    <w:rsid w:val="63D41A4D"/>
    <w:rsid w:val="653B3E7E"/>
    <w:rsid w:val="654C556F"/>
    <w:rsid w:val="66306408"/>
    <w:rsid w:val="67496A8D"/>
    <w:rsid w:val="682436AA"/>
    <w:rsid w:val="68BD0ABC"/>
    <w:rsid w:val="68D80F78"/>
    <w:rsid w:val="68F1343C"/>
    <w:rsid w:val="6939445F"/>
    <w:rsid w:val="6AD54F6D"/>
    <w:rsid w:val="6B4E204F"/>
    <w:rsid w:val="6BFC5334"/>
    <w:rsid w:val="6CFF7247"/>
    <w:rsid w:val="6E4A4A40"/>
    <w:rsid w:val="6F063E1D"/>
    <w:rsid w:val="6F4C183A"/>
    <w:rsid w:val="6F812984"/>
    <w:rsid w:val="6FFF6F45"/>
    <w:rsid w:val="70F21638"/>
    <w:rsid w:val="71226A90"/>
    <w:rsid w:val="72130C84"/>
    <w:rsid w:val="728263F5"/>
    <w:rsid w:val="72B727BB"/>
    <w:rsid w:val="72D407BC"/>
    <w:rsid w:val="7388340E"/>
    <w:rsid w:val="73AB4460"/>
    <w:rsid w:val="73E63676"/>
    <w:rsid w:val="741A2FF9"/>
    <w:rsid w:val="74DD6887"/>
    <w:rsid w:val="750A7806"/>
    <w:rsid w:val="75703EEA"/>
    <w:rsid w:val="75BF4004"/>
    <w:rsid w:val="762228EF"/>
    <w:rsid w:val="77EE65ED"/>
    <w:rsid w:val="79426BD7"/>
    <w:rsid w:val="796A316D"/>
    <w:rsid w:val="798727B4"/>
    <w:rsid w:val="79F51CB5"/>
    <w:rsid w:val="7A5902CD"/>
    <w:rsid w:val="7A7748C0"/>
    <w:rsid w:val="7A971671"/>
    <w:rsid w:val="7A976B94"/>
    <w:rsid w:val="7AD11380"/>
    <w:rsid w:val="7B505291"/>
    <w:rsid w:val="7BDE3D7C"/>
    <w:rsid w:val="7C584461"/>
    <w:rsid w:val="7CB30260"/>
    <w:rsid w:val="7CD21CE4"/>
    <w:rsid w:val="7CEE7D3C"/>
    <w:rsid w:val="7DBE38D5"/>
    <w:rsid w:val="7E342880"/>
    <w:rsid w:val="7F7C79D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360" w:lineRule="auto"/>
      <w:ind w:firstLine="200" w:firstLineChars="200"/>
      <w:jc w:val="both"/>
    </w:pPr>
    <w:rPr>
      <w:rFonts w:ascii="Tahoma" w:hAnsi="Tahoma" w:eastAsia="微软雅黑" w:cs="Tahoma"/>
      <w:sz w:val="22"/>
      <w:szCs w:val="22"/>
      <w:lang w:val="en-US" w:eastAsia="zh-CN" w:bidi="ar-SA"/>
    </w:rPr>
  </w:style>
  <w:style w:type="paragraph" w:styleId="6">
    <w:name w:val="heading 1"/>
    <w:basedOn w:val="1"/>
    <w:next w:val="1"/>
    <w:link w:val="35"/>
    <w:qFormat/>
    <w:locked/>
    <w:uiPriority w:val="0"/>
    <w:pPr>
      <w:keepNext/>
      <w:keepLines/>
      <w:spacing w:before="340" w:after="330" w:line="578" w:lineRule="auto"/>
      <w:outlineLvl w:val="0"/>
    </w:pPr>
    <w:rPr>
      <w:b/>
      <w:bCs/>
      <w:kern w:val="44"/>
      <w:sz w:val="44"/>
      <w:szCs w:val="44"/>
    </w:rPr>
  </w:style>
  <w:style w:type="paragraph" w:styleId="7">
    <w:name w:val="heading 2"/>
    <w:basedOn w:val="1"/>
    <w:next w:val="1"/>
    <w:qFormat/>
    <w:locked/>
    <w:uiPriority w:val="0"/>
    <w:pPr>
      <w:keepNext/>
      <w:spacing w:line="360" w:lineRule="auto"/>
      <w:ind w:firstLine="0" w:firstLineChars="0"/>
      <w:outlineLvl w:val="1"/>
    </w:pPr>
    <w:rPr>
      <w:b/>
      <w:bCs/>
      <w:sz w:val="28"/>
    </w:rPr>
  </w:style>
  <w:style w:type="paragraph" w:styleId="8">
    <w:name w:val="heading 4"/>
    <w:basedOn w:val="1"/>
    <w:next w:val="1"/>
    <w:link w:val="33"/>
    <w:qFormat/>
    <w:locked/>
    <w:uiPriority w:val="0"/>
    <w:pPr>
      <w:widowControl w:val="0"/>
      <w:adjustRightInd/>
      <w:snapToGrid/>
      <w:spacing w:beforeLines="50" w:afterLines="50"/>
      <w:outlineLvl w:val="3"/>
    </w:pPr>
    <w:rPr>
      <w:rFonts w:ascii="Times New Roman" w:hAnsi="Times New Roman" w:eastAsia="宋体" w:cs="Times New Roman"/>
      <w:b/>
      <w:kern w:val="2"/>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rPr>
      <w:sz w:val="21"/>
    </w:rPr>
  </w:style>
  <w:style w:type="paragraph" w:styleId="3">
    <w:name w:val="Body Text Indent"/>
    <w:basedOn w:val="1"/>
    <w:next w:val="4"/>
    <w:qFormat/>
    <w:uiPriority w:val="0"/>
    <w:pPr>
      <w:spacing w:after="120"/>
      <w:ind w:left="420" w:leftChars="200"/>
    </w:pPr>
    <w:rPr>
      <w:sz w:val="20"/>
      <w:szCs w:val="20"/>
    </w:rPr>
  </w:style>
  <w:style w:type="paragraph" w:customStyle="1" w:styleId="4">
    <w:name w:val="样式 正文文本缩进 + 行距: 1.5 倍行距"/>
    <w:basedOn w:val="5"/>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9">
    <w:name w:val="Normal Indent"/>
    <w:basedOn w:val="1"/>
    <w:next w:val="1"/>
    <w:qFormat/>
    <w:uiPriority w:val="0"/>
    <w:pPr>
      <w:ind w:firstLine="420"/>
    </w:pPr>
    <w:rPr>
      <w:szCs w:val="20"/>
    </w:rPr>
  </w:style>
  <w:style w:type="paragraph" w:styleId="10">
    <w:name w:val="Document Map"/>
    <w:basedOn w:val="1"/>
    <w:link w:val="32"/>
    <w:semiHidden/>
    <w:qFormat/>
    <w:uiPriority w:val="99"/>
    <w:rPr>
      <w:rFonts w:ascii="宋体" w:eastAsia="宋体" w:cs="宋体"/>
      <w:sz w:val="18"/>
      <w:szCs w:val="18"/>
    </w:rPr>
  </w:style>
  <w:style w:type="paragraph" w:styleId="11">
    <w:name w:val="annotation text"/>
    <w:basedOn w:val="1"/>
    <w:qFormat/>
    <w:uiPriority w:val="0"/>
    <w:pPr>
      <w:jc w:val="left"/>
    </w:pPr>
  </w:style>
  <w:style w:type="paragraph" w:styleId="12">
    <w:name w:val="Body Text"/>
    <w:basedOn w:val="1"/>
    <w:next w:val="13"/>
    <w:link w:val="27"/>
    <w:qFormat/>
    <w:uiPriority w:val="99"/>
    <w:pPr>
      <w:widowControl w:val="0"/>
      <w:adjustRightInd/>
      <w:snapToGrid/>
      <w:spacing w:after="120"/>
    </w:pPr>
    <w:rPr>
      <w:rFonts w:ascii="Calibri" w:hAnsi="Calibri" w:eastAsia="宋体" w:cs="Times New Roman"/>
      <w:sz w:val="24"/>
      <w:szCs w:val="24"/>
    </w:rPr>
  </w:style>
  <w:style w:type="paragraph" w:styleId="13">
    <w:name w:val="List Bullet 5"/>
    <w:basedOn w:val="1"/>
    <w:semiHidden/>
    <w:unhideWhenUsed/>
    <w:qFormat/>
    <w:uiPriority w:val="99"/>
    <w:pPr>
      <w:numPr>
        <w:ilvl w:val="0"/>
        <w:numId w:val="1"/>
      </w:numPr>
    </w:pPr>
  </w:style>
  <w:style w:type="paragraph" w:styleId="14">
    <w:name w:val="footer"/>
    <w:basedOn w:val="1"/>
    <w:link w:val="26"/>
    <w:qFormat/>
    <w:uiPriority w:val="99"/>
    <w:pPr>
      <w:widowControl w:val="0"/>
      <w:tabs>
        <w:tab w:val="center" w:pos="4153"/>
        <w:tab w:val="right" w:pos="8306"/>
      </w:tabs>
      <w:adjustRightInd/>
      <w:spacing w:after="0"/>
    </w:pPr>
    <w:rPr>
      <w:rFonts w:ascii="Calibri" w:hAnsi="Calibri" w:eastAsia="宋体" w:cs="Calibri"/>
      <w:kern w:val="2"/>
      <w:sz w:val="18"/>
      <w:szCs w:val="18"/>
    </w:rPr>
  </w:style>
  <w:style w:type="paragraph" w:styleId="15">
    <w:name w:val="header"/>
    <w:basedOn w:val="1"/>
    <w:link w:val="25"/>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cs="Calibri"/>
      <w:kern w:val="2"/>
      <w:sz w:val="18"/>
      <w:szCs w:val="18"/>
    </w:rPr>
  </w:style>
  <w:style w:type="paragraph" w:styleId="16">
    <w:name w:val="Title"/>
    <w:basedOn w:val="1"/>
    <w:next w:val="1"/>
    <w:link w:val="31"/>
    <w:qFormat/>
    <w:uiPriority w:val="99"/>
    <w:pPr>
      <w:widowControl w:val="0"/>
      <w:adjustRightInd/>
      <w:snapToGrid/>
      <w:spacing w:after="0"/>
      <w:jc w:val="center"/>
    </w:pPr>
    <w:rPr>
      <w:rFonts w:ascii="方正小标宋简体" w:hAnsi="宋体" w:eastAsia="方正小标宋简体" w:cs="方正小标宋简体"/>
      <w:kern w:val="2"/>
      <w:sz w:val="36"/>
      <w:szCs w:val="36"/>
    </w:rPr>
  </w:style>
  <w:style w:type="paragraph" w:styleId="17">
    <w:name w:val="Body Text First Indent"/>
    <w:basedOn w:val="12"/>
    <w:next w:val="1"/>
    <w:qFormat/>
    <w:uiPriority w:val="0"/>
    <w:pPr>
      <w:spacing w:after="120" w:line="240" w:lineRule="auto"/>
      <w:ind w:firstLine="420" w:firstLineChars="100"/>
    </w:pPr>
    <w:rPr>
      <w:sz w:val="28"/>
      <w:szCs w:val="24"/>
    </w:rPr>
  </w:style>
  <w:style w:type="table" w:styleId="19">
    <w:name w:val="Table Grid"/>
    <w:basedOn w:val="18"/>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locked/>
    <w:uiPriority w:val="0"/>
    <w:rPr>
      <w:b/>
      <w:bCs/>
    </w:rPr>
  </w:style>
  <w:style w:type="paragraph" w:customStyle="1" w:styleId="22">
    <w:name w:val="Default"/>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23">
    <w:name w:val="样式 样式 样式 样式 小四 左 首行缩进:  2 字符 + 首行缩进:  2 字符 Char + 右  0 字符1 + 首行缩...3"/>
    <w:basedOn w:val="1"/>
    <w:qFormat/>
    <w:uiPriority w:val="0"/>
    <w:pPr>
      <w:ind w:firstLine="480"/>
      <w:jc w:val="left"/>
      <w:textAlignment w:val="baseline"/>
    </w:pPr>
    <w:rPr>
      <w:rFonts w:cs="宋体"/>
      <w:sz w:val="24"/>
      <w:szCs w:val="20"/>
    </w:rPr>
  </w:style>
  <w:style w:type="paragraph" w:customStyle="1" w:styleId="24">
    <w:name w:val="样式 标题 1一级标题 + 段前: 0.5 行 段后: 0.5 行"/>
    <w:basedOn w:val="6"/>
    <w:qFormat/>
    <w:uiPriority w:val="0"/>
    <w:pPr>
      <w:spacing w:line="320" w:lineRule="exact"/>
      <w:outlineLvl w:val="9"/>
    </w:pPr>
    <w:rPr>
      <w:spacing w:val="-6"/>
      <w:kern w:val="0"/>
      <w:sz w:val="21"/>
      <w:szCs w:val="21"/>
    </w:rPr>
  </w:style>
  <w:style w:type="character" w:customStyle="1" w:styleId="25">
    <w:name w:val="页眉 Char"/>
    <w:link w:val="15"/>
    <w:qFormat/>
    <w:locked/>
    <w:uiPriority w:val="99"/>
    <w:rPr>
      <w:sz w:val="18"/>
      <w:szCs w:val="18"/>
    </w:rPr>
  </w:style>
  <w:style w:type="character" w:customStyle="1" w:styleId="26">
    <w:name w:val="页脚 Char"/>
    <w:link w:val="14"/>
    <w:qFormat/>
    <w:locked/>
    <w:uiPriority w:val="99"/>
    <w:rPr>
      <w:sz w:val="18"/>
      <w:szCs w:val="18"/>
    </w:rPr>
  </w:style>
  <w:style w:type="character" w:customStyle="1" w:styleId="27">
    <w:name w:val="正文文本 Char"/>
    <w:link w:val="12"/>
    <w:qFormat/>
    <w:locked/>
    <w:uiPriority w:val="99"/>
    <w:rPr>
      <w:rFonts w:eastAsia="宋体"/>
      <w:sz w:val="24"/>
      <w:szCs w:val="24"/>
    </w:rPr>
  </w:style>
  <w:style w:type="character" w:customStyle="1" w:styleId="28">
    <w:name w:val="Body Text Char1"/>
    <w:semiHidden/>
    <w:qFormat/>
    <w:uiPriority w:val="99"/>
    <w:rPr>
      <w:rFonts w:ascii="Tahoma" w:hAnsi="Tahoma" w:eastAsia="微软雅黑" w:cs="Tahoma"/>
      <w:kern w:val="0"/>
      <w:sz w:val="22"/>
    </w:rPr>
  </w:style>
  <w:style w:type="character" w:customStyle="1" w:styleId="29">
    <w:name w:val="正文文本 Char1"/>
    <w:semiHidden/>
    <w:qFormat/>
    <w:uiPriority w:val="99"/>
    <w:rPr>
      <w:rFonts w:ascii="Tahoma" w:hAnsi="Tahoma" w:eastAsia="微软雅黑" w:cs="Tahoma"/>
      <w:kern w:val="0"/>
      <w:sz w:val="22"/>
      <w:szCs w:val="22"/>
    </w:rPr>
  </w:style>
  <w:style w:type="paragraph" w:customStyle="1" w:styleId="30">
    <w:name w:val="Normal (Web)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1">
    <w:name w:val="标题 Char"/>
    <w:link w:val="16"/>
    <w:qFormat/>
    <w:locked/>
    <w:uiPriority w:val="99"/>
    <w:rPr>
      <w:rFonts w:ascii="方正小标宋简体" w:hAnsi="宋体" w:eastAsia="方正小标宋简体" w:cs="方正小标宋简体"/>
      <w:sz w:val="36"/>
      <w:szCs w:val="36"/>
    </w:rPr>
  </w:style>
  <w:style w:type="character" w:customStyle="1" w:styleId="32">
    <w:name w:val="文档结构图 Char"/>
    <w:link w:val="10"/>
    <w:semiHidden/>
    <w:qFormat/>
    <w:locked/>
    <w:uiPriority w:val="99"/>
    <w:rPr>
      <w:rFonts w:ascii="宋体" w:hAnsi="Tahoma" w:eastAsia="宋体" w:cs="宋体"/>
      <w:kern w:val="0"/>
      <w:sz w:val="18"/>
      <w:szCs w:val="18"/>
    </w:rPr>
  </w:style>
  <w:style w:type="character" w:customStyle="1" w:styleId="33">
    <w:name w:val="标题 4 Char"/>
    <w:basedOn w:val="20"/>
    <w:link w:val="8"/>
    <w:qFormat/>
    <w:uiPriority w:val="0"/>
    <w:rPr>
      <w:rFonts w:ascii="Times New Roman" w:hAnsi="Times New Roman"/>
      <w:b/>
      <w:kern w:val="2"/>
      <w:sz w:val="28"/>
      <w:szCs w:val="28"/>
    </w:rPr>
  </w:style>
  <w:style w:type="paragraph" w:customStyle="1" w:styleId="34">
    <w:name w:val="陈光的正文"/>
    <w:basedOn w:val="1"/>
    <w:qFormat/>
    <w:uiPriority w:val="0"/>
    <w:pPr>
      <w:widowControl w:val="0"/>
      <w:spacing w:beforeLines="10" w:afterLines="10"/>
      <w:ind w:firstLine="560"/>
    </w:pPr>
    <w:rPr>
      <w:rFonts w:ascii="Times New Roman" w:hAnsi="Times New Roman" w:eastAsia="宋体" w:cs="Times New Roman"/>
      <w:kern w:val="2"/>
      <w:sz w:val="28"/>
      <w:szCs w:val="20"/>
    </w:rPr>
  </w:style>
  <w:style w:type="character" w:customStyle="1" w:styleId="35">
    <w:name w:val="标题 1 Char"/>
    <w:basedOn w:val="20"/>
    <w:link w:val="6"/>
    <w:qFormat/>
    <w:uiPriority w:val="9"/>
    <w:rPr>
      <w:rFonts w:ascii="Tahoma" w:hAnsi="Tahoma" w:eastAsia="微软雅黑" w:cs="Tahoma"/>
      <w:b/>
      <w:bCs/>
      <w:kern w:val="44"/>
      <w:sz w:val="44"/>
      <w:szCs w:val="44"/>
    </w:rPr>
  </w:style>
  <w:style w:type="paragraph" w:customStyle="1" w:styleId="36">
    <w:name w:val="文字描述"/>
    <w:basedOn w:val="1"/>
    <w:qFormat/>
    <w:uiPriority w:val="0"/>
    <w:pPr>
      <w:adjustRightInd w:val="0"/>
      <w:snapToGrid w:val="0"/>
      <w:spacing w:line="360" w:lineRule="auto"/>
      <w:ind w:firstLine="200" w:firstLineChars="200"/>
    </w:pPr>
    <w:rPr>
      <w:spacing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Company</Company>
  <Pages>6</Pages>
  <Words>3468</Words>
  <Characters>3882</Characters>
  <Lines>49</Lines>
  <Paragraphs>13</Paragraphs>
  <TotalTime>0</TotalTime>
  <ScaleCrop>false</ScaleCrop>
  <LinksUpToDate>false</LinksUpToDate>
  <CharactersWithSpaces>3912</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2017-12-20T07:30:00Z</dcterms:created>
  <dc:creator>fay</dc:creator>
  <cp:lastModifiedBy>六月</cp:lastModifiedBy>
  <cp:lastPrinted>2021-12-08T03:21:00Z</cp:lastPrinted>
  <dcterms:modified xsi:type="dcterms:W3CDTF">2023-08-16T01:51:55Z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CB9D0B4038C242BD806CE55AE569A3B2</vt:lpwstr>
  </property>
</Properties>
</file>