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5"/>
        <w:keepNext w:val="0"/>
        <w:keepLines w:val="0"/>
        <w:pageBreakBefore w:val="0"/>
        <w:kinsoku/>
        <w:overflowPunct/>
        <w:topLinePunct w:val="0"/>
        <w:bidi w:val="0"/>
        <w:adjustRightInd w:val="0"/>
        <w:snapToGrid w:val="0"/>
        <w:spacing w:after="0" w:line="360" w:lineRule="auto"/>
        <w:ind w:left="0" w:leftChars="0" w:right="0" w:firstLine="0" w:firstLineChars="0"/>
        <w:jc w:val="center"/>
        <w:rPr>
          <w:rFonts w:hint="default" w:ascii="Times New Roman" w:hAnsi="Times New Roman" w:eastAsia="宋体" w:cs="Times New Roman"/>
          <w:b/>
          <w:bCs/>
          <w:sz w:val="30"/>
          <w:szCs w:val="30"/>
          <w:lang w:eastAsia="zh-CN"/>
        </w:rPr>
      </w:pPr>
      <w:bookmarkStart w:id="0" w:name="_GoBack"/>
      <w:r>
        <w:rPr>
          <w:rFonts w:hint="eastAsia" w:ascii="Times New Roman" w:hAnsi="Times New Roman" w:eastAsia="宋体" w:cs="Times New Roman"/>
          <w:b/>
          <w:bCs/>
          <w:sz w:val="30"/>
          <w:szCs w:val="30"/>
          <w:lang w:val="en-US" w:eastAsia="zh-CN"/>
        </w:rPr>
        <w:t>齐鲁中科光物理与工程技术研究院研发实验室</w:t>
      </w:r>
    </w:p>
    <w:p>
      <w:pPr>
        <w:pStyle w:val="15"/>
        <w:keepNext w:val="0"/>
        <w:keepLines w:val="0"/>
        <w:pageBreakBefore w:val="0"/>
        <w:widowControl w:val="0"/>
        <w:kinsoku/>
        <w:wordWrap/>
        <w:overflowPunct/>
        <w:topLinePunct w:val="0"/>
        <w:autoSpaceDE/>
        <w:autoSpaceDN/>
        <w:bidi w:val="0"/>
        <w:adjustRightInd w:val="0"/>
        <w:snapToGrid w:val="0"/>
        <w:spacing w:after="0" w:line="360" w:lineRule="auto"/>
        <w:ind w:leftChars="0" w:right="0" w:firstLine="0" w:firstLineChars="0"/>
        <w:textAlignment w:val="auto"/>
        <w:rPr>
          <w:rFonts w:hint="default" w:ascii="Times New Roman" w:hAnsi="Times New Roman" w:eastAsia="宋体" w:cs="Times New Roman"/>
          <w:b/>
          <w:sz w:val="30"/>
          <w:szCs w:val="30"/>
        </w:rPr>
      </w:pPr>
      <w:r>
        <w:rPr>
          <w:rFonts w:hint="default" w:ascii="Times New Roman" w:hAnsi="Times New Roman" w:eastAsia="宋体" w:cs="Times New Roman"/>
          <w:b/>
          <w:bCs/>
          <w:sz w:val="30"/>
          <w:szCs w:val="30"/>
        </w:rPr>
        <w:t>竣工环境保护验收意见</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bCs/>
          <w:kern w:val="2"/>
          <w:sz w:val="24"/>
          <w:szCs w:val="24"/>
        </w:rPr>
        <w:t>根据《建设项目环境保护管理条例》（国务院令第682号）和《建设项目竣工环境保护验收暂行办法》（国环规环评[2017]4号）要</w:t>
      </w:r>
      <w:r>
        <w:rPr>
          <w:rFonts w:hint="default" w:ascii="Times New Roman" w:hAnsi="Times New Roman" w:eastAsia="宋体" w:cs="Times New Roman"/>
          <w:bCs/>
          <w:color w:val="auto"/>
          <w:kern w:val="2"/>
          <w:sz w:val="24"/>
          <w:szCs w:val="24"/>
        </w:rPr>
        <w:t>求，</w:t>
      </w:r>
      <w:r>
        <w:rPr>
          <w:rFonts w:hint="eastAsia" w:ascii="Times New Roman" w:hAnsi="Times New Roman" w:eastAsia="宋体" w:cs="Times New Roman"/>
          <w:bCs/>
          <w:color w:val="auto"/>
          <w:kern w:val="2"/>
          <w:sz w:val="24"/>
          <w:szCs w:val="24"/>
          <w:lang w:eastAsia="zh-CN"/>
        </w:rPr>
        <w:t>202</w:t>
      </w:r>
      <w:r>
        <w:rPr>
          <w:rFonts w:hint="eastAsia" w:ascii="Times New Roman" w:hAnsi="Times New Roman" w:eastAsia="宋体" w:cs="Times New Roman"/>
          <w:bCs/>
          <w:color w:val="auto"/>
          <w:kern w:val="2"/>
          <w:sz w:val="24"/>
          <w:szCs w:val="24"/>
          <w:lang w:val="en-US" w:eastAsia="zh-CN"/>
        </w:rPr>
        <w:t>2</w:t>
      </w:r>
      <w:r>
        <w:rPr>
          <w:rFonts w:hint="eastAsia" w:ascii="Times New Roman" w:hAnsi="Times New Roman" w:eastAsia="宋体" w:cs="Times New Roman"/>
          <w:bCs/>
          <w:color w:val="auto"/>
          <w:kern w:val="2"/>
          <w:sz w:val="24"/>
          <w:szCs w:val="24"/>
          <w:lang w:eastAsia="zh-CN"/>
        </w:rPr>
        <w:t>年1月</w:t>
      </w:r>
      <w:r>
        <w:rPr>
          <w:rFonts w:hint="eastAsia" w:ascii="Times New Roman" w:hAnsi="Times New Roman" w:eastAsia="宋体" w:cs="Times New Roman"/>
          <w:bCs/>
          <w:color w:val="auto"/>
          <w:kern w:val="2"/>
          <w:sz w:val="24"/>
          <w:szCs w:val="24"/>
          <w:lang w:val="en-US" w:eastAsia="zh-CN"/>
        </w:rPr>
        <w:t>14</w:t>
      </w:r>
      <w:r>
        <w:rPr>
          <w:rFonts w:hint="eastAsia" w:ascii="Times New Roman" w:hAnsi="Times New Roman" w:eastAsia="宋体" w:cs="Times New Roman"/>
          <w:bCs/>
          <w:color w:val="auto"/>
          <w:kern w:val="2"/>
          <w:sz w:val="24"/>
          <w:szCs w:val="24"/>
          <w:lang w:eastAsia="zh-CN"/>
        </w:rPr>
        <w:t>日</w:t>
      </w:r>
      <w:r>
        <w:rPr>
          <w:rFonts w:hint="default" w:ascii="Times New Roman" w:hAnsi="Times New Roman" w:eastAsia="宋体" w:cs="Times New Roman"/>
          <w:bCs/>
          <w:color w:val="auto"/>
          <w:kern w:val="2"/>
          <w:sz w:val="24"/>
          <w:szCs w:val="24"/>
        </w:rPr>
        <w:t>，</w:t>
      </w:r>
      <w:r>
        <w:rPr>
          <w:rFonts w:hint="eastAsia" w:ascii="Times New Roman" w:hAnsi="Times New Roman" w:eastAsia="宋体" w:cs="Times New Roman"/>
          <w:bCs/>
          <w:color w:val="auto"/>
          <w:kern w:val="2"/>
          <w:sz w:val="24"/>
          <w:szCs w:val="24"/>
          <w:lang w:eastAsia="zh-CN"/>
        </w:rPr>
        <w:t>齐鲁中科光物理与工程技术研究院</w:t>
      </w:r>
      <w:r>
        <w:rPr>
          <w:rFonts w:hint="default" w:ascii="Times New Roman" w:hAnsi="Times New Roman" w:eastAsia="宋体" w:cs="Times New Roman"/>
          <w:bCs/>
          <w:color w:val="auto"/>
          <w:kern w:val="2"/>
          <w:sz w:val="24"/>
          <w:szCs w:val="24"/>
        </w:rPr>
        <w:t>在</w:t>
      </w:r>
      <w:r>
        <w:rPr>
          <w:rFonts w:hint="eastAsia" w:ascii="Times New Roman" w:hAnsi="Times New Roman" w:eastAsia="宋体" w:cs="Times New Roman"/>
          <w:bCs/>
          <w:color w:val="auto"/>
          <w:kern w:val="2"/>
          <w:sz w:val="24"/>
          <w:szCs w:val="24"/>
          <w:lang w:eastAsia="zh-CN"/>
        </w:rPr>
        <w:t>齐鲁中科光物理与工程技术研究院</w:t>
      </w:r>
      <w:r>
        <w:rPr>
          <w:rFonts w:hint="default" w:ascii="Times New Roman" w:hAnsi="Times New Roman" w:eastAsia="宋体" w:cs="Times New Roman"/>
          <w:bCs/>
          <w:color w:val="auto"/>
          <w:kern w:val="2"/>
          <w:sz w:val="24"/>
          <w:szCs w:val="24"/>
          <w:lang w:val="zh-CN"/>
        </w:rPr>
        <w:t>会议室内</w:t>
      </w:r>
      <w:r>
        <w:rPr>
          <w:rFonts w:hint="default" w:ascii="Times New Roman" w:hAnsi="Times New Roman" w:eastAsia="宋体" w:cs="Times New Roman"/>
          <w:bCs/>
          <w:color w:val="auto"/>
          <w:kern w:val="2"/>
          <w:sz w:val="24"/>
          <w:szCs w:val="24"/>
        </w:rPr>
        <w:t>召开了</w:t>
      </w:r>
      <w:r>
        <w:rPr>
          <w:rFonts w:hint="eastAsia" w:ascii="Times New Roman" w:hAnsi="Times New Roman" w:eastAsia="宋体" w:cs="Times New Roman"/>
          <w:bCs/>
          <w:color w:val="auto"/>
          <w:kern w:val="2"/>
          <w:sz w:val="24"/>
          <w:szCs w:val="24"/>
          <w:lang w:val="en-US" w:eastAsia="zh-CN"/>
        </w:rPr>
        <w:t>齐鲁中科光物理与工程技术研究院研发实验室</w:t>
      </w:r>
      <w:r>
        <w:rPr>
          <w:rFonts w:hint="default" w:ascii="Times New Roman" w:hAnsi="Times New Roman" w:eastAsia="宋体" w:cs="Times New Roman"/>
          <w:bCs/>
          <w:color w:val="auto"/>
          <w:kern w:val="2"/>
          <w:sz w:val="24"/>
          <w:szCs w:val="24"/>
          <w:lang w:eastAsia="zh-CN"/>
        </w:rPr>
        <w:t>竣工环境保护验收会议</w:t>
      </w:r>
      <w:r>
        <w:rPr>
          <w:rFonts w:hint="default" w:ascii="Times New Roman" w:hAnsi="Times New Roman" w:eastAsia="宋体" w:cs="Times New Roman"/>
          <w:bCs/>
          <w:color w:val="auto"/>
          <w:kern w:val="2"/>
          <w:sz w:val="24"/>
          <w:szCs w:val="24"/>
        </w:rPr>
        <w:t>。验收组由建设单位-</w:t>
      </w:r>
      <w:r>
        <w:rPr>
          <w:rFonts w:hint="eastAsia" w:ascii="Times New Roman" w:hAnsi="Times New Roman" w:eastAsia="宋体" w:cs="Times New Roman"/>
          <w:bCs/>
          <w:color w:val="auto"/>
          <w:kern w:val="2"/>
          <w:sz w:val="24"/>
          <w:szCs w:val="24"/>
          <w:lang w:eastAsia="zh-CN"/>
        </w:rPr>
        <w:t>齐鲁中科光物理与工程技术研究院</w:t>
      </w:r>
      <w:r>
        <w:rPr>
          <w:rFonts w:hint="default" w:ascii="Times New Roman" w:hAnsi="Times New Roman" w:eastAsia="宋体" w:cs="Times New Roman"/>
          <w:bCs/>
          <w:kern w:val="2"/>
          <w:sz w:val="24"/>
          <w:szCs w:val="24"/>
        </w:rPr>
        <w:t>、</w:t>
      </w:r>
      <w:r>
        <w:rPr>
          <w:rFonts w:hint="default" w:ascii="Times New Roman" w:hAnsi="Times New Roman" w:eastAsia="宋体" w:cs="Times New Roman"/>
          <w:kern w:val="2"/>
          <w:sz w:val="24"/>
          <w:szCs w:val="24"/>
        </w:rPr>
        <w:t>验收监测单</w:t>
      </w:r>
      <w:r>
        <w:rPr>
          <w:rFonts w:hint="default" w:ascii="Times New Roman" w:hAnsi="Times New Roman" w:eastAsia="宋体" w:cs="Times New Roman"/>
          <w:color w:val="auto"/>
          <w:kern w:val="2"/>
          <w:sz w:val="24"/>
          <w:szCs w:val="24"/>
        </w:rPr>
        <w:t>位-</w:t>
      </w:r>
      <w:r>
        <w:rPr>
          <w:rFonts w:hint="default" w:ascii="Times New Roman" w:hAnsi="Times New Roman" w:eastAsia="宋体" w:cs="Times New Roman"/>
          <w:color w:val="auto"/>
          <w:kern w:val="2"/>
          <w:sz w:val="24"/>
          <w:szCs w:val="24"/>
          <w:lang w:eastAsia="zh-CN"/>
        </w:rPr>
        <w:t>山东华晟环境检测有限公司</w:t>
      </w:r>
      <w:r>
        <w:rPr>
          <w:rFonts w:hint="default" w:ascii="Times New Roman" w:hAnsi="Times New Roman" w:eastAsia="宋体" w:cs="Times New Roman"/>
          <w:color w:val="auto"/>
          <w:kern w:val="2"/>
          <w:sz w:val="24"/>
          <w:szCs w:val="24"/>
        </w:rPr>
        <w:t>等单位</w:t>
      </w:r>
      <w:r>
        <w:rPr>
          <w:rFonts w:hint="default" w:ascii="Times New Roman" w:hAnsi="Times New Roman" w:eastAsia="宋体" w:cs="Times New Roman"/>
          <w:kern w:val="2"/>
          <w:sz w:val="24"/>
          <w:szCs w:val="24"/>
        </w:rPr>
        <w:t>的代表</w:t>
      </w:r>
      <w:r>
        <w:rPr>
          <w:rFonts w:hint="default" w:ascii="Times New Roman" w:hAnsi="Times New Roman" w:eastAsia="宋体" w:cs="Times New Roman"/>
          <w:kern w:val="2"/>
          <w:sz w:val="24"/>
          <w:szCs w:val="24"/>
          <w:lang w:eastAsia="zh-CN"/>
        </w:rPr>
        <w:t>组成</w:t>
      </w:r>
      <w:r>
        <w:rPr>
          <w:rFonts w:hint="default" w:ascii="Times New Roman" w:hAnsi="Times New Roman" w:eastAsia="宋体" w:cs="Times New Roman"/>
          <w:kern w:val="2"/>
          <w:sz w:val="24"/>
          <w:szCs w:val="24"/>
        </w:rPr>
        <w:t>（验收组名单附后）。</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kern w:val="2"/>
          <w:sz w:val="24"/>
          <w:szCs w:val="24"/>
        </w:rPr>
        <w:t>验收组听取了该工程环境保护执行情况和竣工环境保护验收监测情况的汇报，对该工程环境保护设施的建设、运行情</w:t>
      </w:r>
      <w:r>
        <w:rPr>
          <w:rFonts w:hint="default" w:ascii="Times New Roman" w:hAnsi="Times New Roman" w:eastAsia="宋体" w:cs="Times New Roman"/>
          <w:bCs/>
          <w:kern w:val="2"/>
          <w:sz w:val="24"/>
          <w:szCs w:val="24"/>
        </w:rPr>
        <w:t>况进行了现场检查，核实了有关资料。</w:t>
      </w:r>
      <w:r>
        <w:rPr>
          <w:rFonts w:hint="default" w:ascii="Times New Roman" w:hAnsi="Times New Roman" w:eastAsia="宋体" w:cs="Times New Roman"/>
          <w:sz w:val="24"/>
          <w:szCs w:val="24"/>
        </w:rPr>
        <w:t>经认真讨论，形成竣工环境保护验收意见如下：</w:t>
      </w:r>
    </w:p>
    <w:p>
      <w:pPr>
        <w:keepNext w:val="0"/>
        <w:keepLines w:val="0"/>
        <w:pageBreakBefore w:val="0"/>
        <w:widowControl w:val="0"/>
        <w:kinsoku/>
        <w:overflowPunct/>
        <w:topLinePunct w:val="0"/>
        <w:bidi w:val="0"/>
        <w:spacing w:after="0" w:line="360" w:lineRule="auto"/>
        <w:ind w:leftChars="0" w:right="0" w:firstLine="560"/>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一、工程建设基本情况</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（一）建设地点、规模、主要建设内容</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b w:val="0"/>
          <w:bCs w:val="0"/>
          <w:kern w:val="2"/>
          <w:sz w:val="24"/>
          <w:szCs w:val="24"/>
          <w:lang w:eastAsia="zh-CN"/>
        </w:rPr>
      </w:pPr>
      <w:r>
        <w:rPr>
          <w:rFonts w:hint="default" w:ascii="Times New Roman" w:hAnsi="Times New Roman" w:eastAsia="宋体" w:cs="Times New Roman"/>
          <w:b w:val="0"/>
          <w:bCs w:val="0"/>
          <w:kern w:val="2"/>
          <w:sz w:val="24"/>
          <w:szCs w:val="24"/>
        </w:rPr>
        <w:t>项目名称：</w:t>
      </w:r>
      <w:r>
        <w:rPr>
          <w:rFonts w:hint="eastAsia" w:ascii="Times New Roman" w:hAnsi="Times New Roman" w:eastAsia="宋体" w:cs="Times New Roman"/>
          <w:bCs/>
          <w:color w:val="auto"/>
          <w:kern w:val="2"/>
          <w:sz w:val="24"/>
          <w:szCs w:val="24"/>
          <w:lang w:val="en-US" w:eastAsia="zh-CN"/>
        </w:rPr>
        <w:t>齐鲁中科光物理与工程技术研究院研发实验室</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b w:val="0"/>
          <w:bCs w:val="0"/>
          <w:kern w:val="2"/>
          <w:sz w:val="24"/>
          <w:szCs w:val="24"/>
          <w:lang w:eastAsia="zh-CN"/>
        </w:rPr>
      </w:pPr>
      <w:r>
        <w:rPr>
          <w:rFonts w:hint="default" w:ascii="Times New Roman" w:hAnsi="Times New Roman" w:eastAsia="宋体" w:cs="Times New Roman"/>
          <w:b w:val="0"/>
          <w:bCs w:val="0"/>
          <w:kern w:val="2"/>
          <w:sz w:val="24"/>
          <w:szCs w:val="24"/>
        </w:rPr>
        <w:t>建设单位：</w:t>
      </w:r>
      <w:r>
        <w:rPr>
          <w:rFonts w:hint="eastAsia" w:ascii="Times New Roman" w:hAnsi="Times New Roman" w:eastAsia="宋体" w:cs="Times New Roman"/>
          <w:bCs/>
          <w:color w:val="auto"/>
          <w:kern w:val="2"/>
          <w:sz w:val="24"/>
          <w:szCs w:val="24"/>
          <w:lang w:eastAsia="zh-CN"/>
        </w:rPr>
        <w:t>齐鲁中科光物理与工程技术研究院</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建设性质：</w:t>
      </w:r>
      <w:r>
        <w:rPr>
          <w:rFonts w:hint="eastAsia" w:ascii="Times New Roman" w:hAnsi="Times New Roman" w:eastAsia="宋体" w:cs="Times New Roman"/>
          <w:sz w:val="24"/>
          <w:szCs w:val="24"/>
          <w:lang w:eastAsia="zh-CN"/>
        </w:rPr>
        <w:t>新建</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地理位置：</w:t>
      </w:r>
      <w:r>
        <w:rPr>
          <w:rFonts w:hint="eastAsia" w:ascii="Times New Roman" w:hAnsi="Times New Roman" w:eastAsia="宋体" w:cs="Times New Roman"/>
          <w:sz w:val="24"/>
          <w:szCs w:val="24"/>
          <w:lang w:val="en-US" w:eastAsia="zh-CN"/>
        </w:rPr>
        <w:t>山东省济南市高新区世纪大道2566号迪亚双创产业园</w:t>
      </w:r>
      <w:r>
        <w:rPr>
          <w:rFonts w:hint="default" w:ascii="Times New Roman" w:hAnsi="Times New Roman" w:eastAsia="宋体" w:cs="Times New Roman"/>
          <w:kern w:val="2"/>
          <w:sz w:val="24"/>
          <w:szCs w:val="24"/>
        </w:rPr>
        <w:t>。</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建设规模：齐鲁中科光物理与工程技术研究院位于山东省济南市高新区世纪大道2566号迪亚双创产业园，项目占地面积240m</w:t>
      </w:r>
      <w:r>
        <w:rPr>
          <w:rFonts w:hint="default" w:ascii="Times New Roman" w:hAnsi="Times New Roman" w:eastAsia="宋体" w:cs="Times New Roman"/>
          <w:kern w:val="2"/>
          <w:sz w:val="24"/>
          <w:szCs w:val="24"/>
          <w:vertAlign w:val="superscript"/>
        </w:rPr>
        <w:t>2</w:t>
      </w:r>
      <w:r>
        <w:rPr>
          <w:rFonts w:hint="default" w:ascii="Times New Roman" w:hAnsi="Times New Roman" w:eastAsia="宋体" w:cs="Times New Roman"/>
          <w:kern w:val="2"/>
          <w:sz w:val="24"/>
          <w:szCs w:val="24"/>
        </w:rPr>
        <w:t>，建筑面积240m</w:t>
      </w:r>
      <w:r>
        <w:rPr>
          <w:rFonts w:hint="default" w:ascii="Times New Roman" w:hAnsi="Times New Roman" w:eastAsia="宋体" w:cs="Times New Roman"/>
          <w:kern w:val="2"/>
          <w:sz w:val="24"/>
          <w:szCs w:val="24"/>
          <w:vertAlign w:val="superscript"/>
        </w:rPr>
        <w:t>2</w:t>
      </w:r>
      <w:r>
        <w:rPr>
          <w:rFonts w:hint="default" w:ascii="Times New Roman" w:hAnsi="Times New Roman" w:eastAsia="宋体" w:cs="Times New Roman"/>
          <w:kern w:val="2"/>
          <w:sz w:val="24"/>
          <w:szCs w:val="24"/>
        </w:rPr>
        <w:t>，租赁9号楼5楼层，设理化室、检测室、制剂室、办公室、仓库及危废间等。总投资180万元，其中环保投资7万元，项目职工定员12人，每天工作8小时，年工作300天，年工作时间2400小时，夜间不生产。</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（二）建设过程及环保审批情况</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齐鲁中科光物理与工程技术研究院2021年9月委托山东国环环保科技有限公司编制完成了《齐鲁中科光物理与工程技术研究院研发实验室建设项目环境影响报告表》，并于2021年10月20日经济南市生态环境局审批（济环报告表［2021］G96号）。</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本项目于2021年10月开工建设，2021年10月建成并投入试生产阶段，运营期间运行状况良好，环保设施同时进行试运行，具备竣工验收条件。</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（三）验收范围</w:t>
      </w:r>
    </w:p>
    <w:p>
      <w:pPr>
        <w:spacing w:after="0" w:afterLines="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本次验收内容为</w:t>
      </w:r>
      <w:r>
        <w:rPr>
          <w:rFonts w:hint="eastAsia" w:ascii="Times New Roman" w:hAnsi="Times New Roman" w:eastAsia="宋体" w:cs="Times New Roman"/>
          <w:sz w:val="24"/>
          <w:szCs w:val="24"/>
          <w:lang w:eastAsia="zh-CN"/>
        </w:rPr>
        <w:t>齐鲁中科光物理与工程技术研究院研发实验室</w:t>
      </w:r>
      <w:r>
        <w:rPr>
          <w:rFonts w:hint="default" w:ascii="Times New Roman" w:hAnsi="Times New Roman" w:eastAsia="宋体" w:cs="Times New Roman"/>
          <w:sz w:val="24"/>
          <w:szCs w:val="24"/>
          <w:lang w:eastAsia="zh-CN"/>
        </w:rPr>
        <w:t>建成后的全部内容。</w:t>
      </w:r>
    </w:p>
    <w:p>
      <w:pPr>
        <w:keepNext w:val="0"/>
        <w:keepLines w:val="0"/>
        <w:pageBreakBefore w:val="0"/>
        <w:kinsoku/>
        <w:overflowPunct/>
        <w:topLinePunct w:val="0"/>
        <w:bidi w:val="0"/>
        <w:adjustRightInd/>
        <w:spacing w:after="0" w:line="360" w:lineRule="auto"/>
        <w:ind w:leftChars="0" w:right="0" w:firstLine="562"/>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二、工程变动情况</w:t>
      </w:r>
    </w:p>
    <w:p>
      <w:pPr>
        <w:pStyle w:val="24"/>
        <w:numPr>
          <w:ilvl w:val="0"/>
          <w:numId w:val="0"/>
        </w:numPr>
        <w:spacing w:after="0"/>
        <w:ind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与环评相较，排气筒高度由28米变更为30米；生产设备：不溶性微粒测定仪、渗透压测定仪、灭菌柜未建设；原料料使用量减少；因此，项目发生的变动均不属于重大变动。</w:t>
      </w:r>
    </w:p>
    <w:p>
      <w:pPr>
        <w:pStyle w:val="24"/>
        <w:numPr>
          <w:ilvl w:val="0"/>
          <w:numId w:val="0"/>
        </w:numPr>
        <w:spacing w:after="0"/>
        <w:ind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因此，根据《中华人民共和国环境影响评价法》、《建设项目环境保护管理条例》(国务院令第682号)、《关于印发环评管理中部分行业建设项目重大变动清单的通知》（环办[2015]52号）、《关于印发制浆造纸等十四个行业建设项目重大变动清单的通知》（环办环评[2018]6号）、《关于印发淀粉等五个行业建设项目重大变动清单的通知》（环办环评函[2019]934号）和关于印发《污染影响类建设项目重大变动清单（试行）》的通知（环办环评函[2020]688号）等的有关规定，该项目实际建设过程中项目的性质、规模、地点、运营工艺等内容未发生重大变动，应纳入竣工环境保护验收管理。</w:t>
      </w:r>
    </w:p>
    <w:p>
      <w:pPr>
        <w:keepNext w:val="0"/>
        <w:keepLines w:val="0"/>
        <w:pageBreakBefore w:val="0"/>
        <w:widowControl w:val="0"/>
        <w:kinsoku/>
        <w:overflowPunct/>
        <w:topLinePunct w:val="0"/>
        <w:bidi w:val="0"/>
        <w:spacing w:after="0" w:line="360" w:lineRule="auto"/>
        <w:ind w:leftChars="0" w:right="0" w:firstLine="562"/>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三、环境保护设施建设情况</w:t>
      </w:r>
    </w:p>
    <w:p>
      <w:pPr>
        <w:pStyle w:val="24"/>
        <w:keepNext w:val="0"/>
        <w:keepLines w:val="0"/>
        <w:pageBreakBefore w:val="0"/>
        <w:widowControl w:val="0"/>
        <w:kinsoku/>
        <w:wordWrap/>
        <w:overflowPunct/>
        <w:topLinePunct w:val="0"/>
        <w:autoSpaceDE/>
        <w:autoSpaceDN/>
        <w:bidi w:val="0"/>
        <w:adjustRightInd w:val="0"/>
        <w:snapToGrid w:val="0"/>
        <w:spacing w:after="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1、废气</w:t>
      </w:r>
    </w:p>
    <w:p>
      <w:pPr>
        <w:pStyle w:val="24"/>
        <w:keepNext w:val="0"/>
        <w:keepLines w:val="0"/>
        <w:pageBreakBefore w:val="0"/>
        <w:widowControl w:val="0"/>
        <w:kinsoku/>
        <w:wordWrap/>
        <w:overflowPunct/>
        <w:topLinePunct w:val="0"/>
        <w:autoSpaceDE/>
        <w:autoSpaceDN/>
        <w:bidi w:val="0"/>
        <w:adjustRightInd w:val="0"/>
        <w:snapToGrid w:val="0"/>
        <w:spacing w:after="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eastAsia="宋体" w:cs="Times New Roman"/>
          <w:b w:val="0"/>
          <w:bCs w:val="0"/>
          <w:color w:val="000000"/>
          <w:sz w:val="24"/>
          <w:szCs w:val="24"/>
          <w:highlight w:val="none"/>
          <w:lang w:eastAsia="zh-CN"/>
        </w:rPr>
        <w:t>本项目有组织废气：本项目产生的废气主要为酸雾（氯化氢、硫酸雾）、有机废气（VOCs）等。项目全程在通风橱内进行，经通风橱收集后，通过活性炭吸附净化装置，净化后通过通风管输送至楼顶排气筒DA001排放（高度30m）。</w:t>
      </w:r>
    </w:p>
    <w:p>
      <w:pPr>
        <w:pStyle w:val="24"/>
        <w:keepNext w:val="0"/>
        <w:keepLines w:val="0"/>
        <w:pageBreakBefore w:val="0"/>
        <w:widowControl w:val="0"/>
        <w:kinsoku/>
        <w:wordWrap/>
        <w:overflowPunct/>
        <w:topLinePunct w:val="0"/>
        <w:autoSpaceDE/>
        <w:autoSpaceDN/>
        <w:bidi w:val="0"/>
        <w:adjustRightInd w:val="0"/>
        <w:snapToGrid w:val="0"/>
        <w:spacing w:after="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eastAsia="宋体" w:cs="Times New Roman"/>
          <w:b w:val="0"/>
          <w:bCs w:val="0"/>
          <w:color w:val="000000"/>
          <w:sz w:val="24"/>
          <w:szCs w:val="24"/>
          <w:highlight w:val="none"/>
          <w:lang w:eastAsia="zh-CN"/>
        </w:rPr>
        <w:t>本项目无组织废气：无组织废气主要为未被收集的有机废气（VOCs）、酸性气体（硫化氢、硫酸雾），以及气流粉碎过程中无组织排放的颗粒物。</w:t>
      </w:r>
    </w:p>
    <w:p>
      <w:pPr>
        <w:keepNext w:val="0"/>
        <w:keepLines w:val="0"/>
        <w:pageBreakBefore w:val="0"/>
        <w:kinsoku/>
        <w:overflowPunct/>
        <w:topLinePunct w:val="0"/>
        <w:bidi w:val="0"/>
        <w:adjustRightInd/>
        <w:spacing w:after="0" w:line="360" w:lineRule="auto"/>
        <w:ind w:right="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2、废水</w:t>
      </w:r>
    </w:p>
    <w:p>
      <w:pPr>
        <w:pStyle w:val="24"/>
        <w:spacing w:after="0"/>
        <w:jc w:val="both"/>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000000"/>
          <w:kern w:val="0"/>
          <w:sz w:val="24"/>
          <w:szCs w:val="24"/>
          <w:highlight w:val="none"/>
          <w:lang w:val="en-US" w:eastAsia="zh-CN" w:bidi="ar"/>
        </w:rPr>
        <w:t>本项目产生废水为生活污水、地面清洗废水、实验器具前两次清洗后清洗废水、纯水制备废水、实验废液、实验器具前两次清洗废液。实验废液及实验器具前两次清洗废液委托山东朋光环保科技有限公司进行处理，其他废水经迪亚双创产业园污水站处理后，满足《污水排入城镇下水道水质标准》（GB/T31962-2015）A级标准通过市政管网进入林业示范园水质净化厂深度处理。</w:t>
      </w:r>
    </w:p>
    <w:p>
      <w:pPr>
        <w:keepNext w:val="0"/>
        <w:keepLines w:val="0"/>
        <w:pageBreakBefore w:val="0"/>
        <w:kinsoku/>
        <w:overflowPunct/>
        <w:topLinePunct w:val="0"/>
        <w:bidi w:val="0"/>
        <w:adjustRightInd/>
        <w:spacing w:after="0" w:line="360" w:lineRule="auto"/>
        <w:ind w:left="0" w:leftChars="0" w:right="0"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3、噪声</w:t>
      </w:r>
    </w:p>
    <w:p>
      <w:pPr>
        <w:pStyle w:val="24"/>
        <w:spacing w:after="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本项目主要噪声源为通风橱、检测过程中的仪器、设备等在运行过程中产生的噪声，噪声值在60~80dB（A）之间。本项目实验设备均布置于室内，采取门窗、墙体隔声，全部设备均选用低噪声设备并采取减振措施。加强管理，经常保养和维护机械设备避免设备在不良状态下运行。</w:t>
      </w:r>
    </w:p>
    <w:p>
      <w:pPr>
        <w:keepNext w:val="0"/>
        <w:keepLines w:val="0"/>
        <w:pageBreakBefore w:val="0"/>
        <w:kinsoku/>
        <w:overflowPunct/>
        <w:topLinePunct w:val="0"/>
        <w:bidi w:val="0"/>
        <w:adjustRightInd/>
        <w:spacing w:after="0" w:line="360" w:lineRule="auto"/>
        <w:ind w:left="0" w:leftChars="0" w:right="0" w:firstLine="480" w:firstLineChars="200"/>
        <w:rPr>
          <w:rFonts w:hint="default" w:ascii="Times New Roman" w:hAnsi="Times New Roman" w:eastAsia="宋体" w:cs="Times New Roman"/>
          <w:b w:val="0"/>
          <w:bCs w:val="0"/>
          <w:kern w:val="2"/>
          <w:sz w:val="24"/>
          <w:szCs w:val="24"/>
          <w:lang w:val="en-US" w:eastAsia="zh-CN"/>
        </w:rPr>
      </w:pPr>
      <w:r>
        <w:rPr>
          <w:rFonts w:hint="default" w:ascii="Times New Roman" w:hAnsi="Times New Roman" w:eastAsia="宋体" w:cs="Times New Roman"/>
          <w:b w:val="0"/>
          <w:bCs w:val="0"/>
          <w:kern w:val="2"/>
          <w:sz w:val="24"/>
          <w:szCs w:val="24"/>
          <w:lang w:val="en-US" w:eastAsia="zh-CN"/>
        </w:rPr>
        <w:t>4、固体废物</w:t>
      </w:r>
    </w:p>
    <w:p>
      <w:pPr>
        <w:pStyle w:val="24"/>
        <w:keepNext w:val="0"/>
        <w:keepLines w:val="0"/>
        <w:pageBreakBefore w:val="0"/>
        <w:widowControl/>
        <w:kinsoku/>
        <w:wordWrap/>
        <w:overflowPunct/>
        <w:topLinePunct w:val="0"/>
        <w:autoSpaceDE/>
        <w:autoSpaceDN/>
        <w:bidi w:val="0"/>
        <w:adjustRightInd/>
        <w:snapToGrid/>
        <w:spacing w:after="0"/>
        <w:ind w:firstLine="480" w:firstLineChars="200"/>
        <w:jc w:val="left"/>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本项目运营过程中产生的主要固体废物包括：一般废包装物、实验废液、实验器皿前两次清洗废水、实验废物、不合格产品、废活性炭、废试剂瓶、生活垃圾。</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color w:val="auto"/>
          <w:kern w:val="2"/>
          <w:sz w:val="24"/>
          <w:szCs w:val="24"/>
        </w:rPr>
        <w:t>根据《</w:t>
      </w:r>
      <w:r>
        <w:rPr>
          <w:rFonts w:hint="eastAsia" w:ascii="Times New Roman" w:hAnsi="Times New Roman" w:eastAsia="宋体" w:cs="Times New Roman"/>
          <w:sz w:val="24"/>
          <w:szCs w:val="24"/>
          <w:lang w:val="en-US" w:eastAsia="zh-CN"/>
        </w:rPr>
        <w:t>齐鲁中科光物理与工程技术研究院研发实验室</w:t>
      </w:r>
      <w:r>
        <w:rPr>
          <w:rFonts w:hint="default" w:ascii="Times New Roman" w:hAnsi="Times New Roman" w:eastAsia="宋体" w:cs="Times New Roman"/>
          <w:color w:val="auto"/>
          <w:kern w:val="2"/>
          <w:sz w:val="24"/>
          <w:szCs w:val="24"/>
        </w:rPr>
        <w:t>竣工环境保护验收</w:t>
      </w:r>
      <w:r>
        <w:rPr>
          <w:rFonts w:hint="default" w:ascii="Times New Roman" w:hAnsi="Times New Roman" w:eastAsia="宋体" w:cs="Times New Roman"/>
          <w:color w:val="auto"/>
          <w:kern w:val="2"/>
          <w:sz w:val="24"/>
          <w:szCs w:val="24"/>
          <w:lang w:eastAsia="zh-CN"/>
        </w:rPr>
        <w:t>检</w:t>
      </w:r>
      <w:r>
        <w:rPr>
          <w:rFonts w:hint="default" w:ascii="Times New Roman" w:hAnsi="Times New Roman" w:eastAsia="宋体" w:cs="Times New Roman"/>
          <w:color w:val="auto"/>
          <w:kern w:val="2"/>
          <w:sz w:val="24"/>
          <w:szCs w:val="24"/>
        </w:rPr>
        <w:t>测报告》</w:t>
      </w:r>
      <w:r>
        <w:rPr>
          <w:rFonts w:hint="default" w:ascii="Times New Roman" w:hAnsi="Times New Roman" w:eastAsia="宋体" w:cs="Times New Roman"/>
          <w:kern w:val="2"/>
          <w:sz w:val="24"/>
          <w:szCs w:val="24"/>
        </w:rPr>
        <w:t>可知：</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rPr>
        <w:t>1、</w:t>
      </w:r>
      <w:r>
        <w:rPr>
          <w:rFonts w:hint="default" w:ascii="Times New Roman" w:hAnsi="Times New Roman" w:eastAsia="宋体" w:cs="Times New Roman"/>
          <w:kern w:val="2"/>
          <w:sz w:val="24"/>
          <w:szCs w:val="24"/>
        </w:rPr>
        <w:t>监测期间的生产工况</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监测期间，该企业</w:t>
      </w:r>
      <w:r>
        <w:rPr>
          <w:rFonts w:hint="eastAsia" w:ascii="Times New Roman" w:hAnsi="Times New Roman" w:eastAsia="宋体" w:cs="Times New Roman"/>
          <w:kern w:val="2"/>
          <w:sz w:val="24"/>
          <w:szCs w:val="24"/>
          <w:lang w:eastAsia="zh-CN"/>
        </w:rPr>
        <w:t>运行</w:t>
      </w:r>
      <w:r>
        <w:rPr>
          <w:rFonts w:hint="default" w:ascii="Times New Roman" w:hAnsi="Times New Roman" w:eastAsia="宋体" w:cs="Times New Roman"/>
          <w:kern w:val="2"/>
          <w:sz w:val="24"/>
          <w:szCs w:val="24"/>
        </w:rPr>
        <w:t>正常，工况稳定，满足验收监测技术规范要求。</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rPr>
        <w:t>2、</w:t>
      </w:r>
      <w:r>
        <w:rPr>
          <w:rFonts w:hint="default" w:ascii="Times New Roman" w:hAnsi="Times New Roman" w:eastAsia="宋体" w:cs="Times New Roman"/>
          <w:kern w:val="2"/>
          <w:sz w:val="24"/>
          <w:szCs w:val="24"/>
        </w:rPr>
        <w:t>污染物达标排放情况</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（1）</w:t>
      </w:r>
      <w:r>
        <w:rPr>
          <w:rFonts w:hint="default" w:ascii="Times New Roman" w:hAnsi="Times New Roman" w:eastAsia="宋体" w:cs="Times New Roman"/>
          <w:kern w:val="2"/>
          <w:sz w:val="24"/>
          <w:szCs w:val="24"/>
          <w:lang w:val="en-US" w:eastAsia="zh-CN"/>
        </w:rPr>
        <w:t>废气：</w:t>
      </w:r>
    </w:p>
    <w:p>
      <w:pPr>
        <w:pStyle w:val="3"/>
        <w:adjustRightInd w:val="0"/>
        <w:snapToGrid w:val="0"/>
        <w:spacing w:after="0" w:line="360" w:lineRule="auto"/>
        <w:ind w:left="0" w:leftChars="0" w:firstLine="480" w:firstLineChars="200"/>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rPr>
        <w:t>监</w:t>
      </w:r>
      <w:r>
        <w:rPr>
          <w:rFonts w:hint="default" w:ascii="Times New Roman" w:hAnsi="Times New Roman" w:cs="Times New Roman" w:eastAsiaTheme="minorEastAsia"/>
          <w:color w:val="auto"/>
          <w:sz w:val="24"/>
          <w:szCs w:val="24"/>
          <w:highlight w:val="none"/>
        </w:rPr>
        <w:t>测期间，</w:t>
      </w:r>
      <w:r>
        <w:rPr>
          <w:rFonts w:hint="default" w:ascii="Times New Roman" w:hAnsi="Times New Roman" w:cs="Times New Roman" w:eastAsiaTheme="minorEastAsia"/>
          <w:sz w:val="24"/>
          <w:szCs w:val="24"/>
          <w:highlight w:val="none"/>
          <w:lang w:eastAsia="zh-CN"/>
        </w:rPr>
        <w:t>本项目各生产工序</w:t>
      </w:r>
      <w:r>
        <w:rPr>
          <w:rFonts w:hint="default" w:ascii="Times New Roman" w:hAnsi="Times New Roman" w:cs="Times New Roman" w:eastAsiaTheme="minorEastAsia"/>
          <w:sz w:val="24"/>
          <w:highlight w:val="none"/>
          <w:lang w:eastAsia="zh-CN"/>
        </w:rPr>
        <w:t>正常运行，研发废气排气筒P1出口硫酸雾</w:t>
      </w:r>
      <w:r>
        <w:rPr>
          <w:rFonts w:hint="default" w:ascii="Times New Roman" w:hAnsi="Times New Roman" w:cs="Times New Roman" w:eastAsiaTheme="minorEastAsia"/>
          <w:sz w:val="24"/>
          <w:highlight w:val="none"/>
          <w:lang w:val="en-US" w:eastAsia="zh-CN"/>
        </w:rPr>
        <w:t>最大排放浓度为0.38mg/m</w:t>
      </w:r>
      <w:r>
        <w:rPr>
          <w:rFonts w:hint="default" w:ascii="Times New Roman" w:hAnsi="Times New Roman" w:cs="Times New Roman" w:eastAsiaTheme="minorEastAsia"/>
          <w:sz w:val="24"/>
          <w:highlight w:val="none"/>
          <w:vertAlign w:val="superscript"/>
          <w:lang w:val="en-US" w:eastAsia="zh-CN"/>
        </w:rPr>
        <w:t>3</w:t>
      </w:r>
      <w:r>
        <w:rPr>
          <w:rFonts w:hint="default" w:ascii="Times New Roman" w:hAnsi="Times New Roman" w:cs="Times New Roman" w:eastAsiaTheme="minorEastAsia"/>
          <w:sz w:val="24"/>
          <w:highlight w:val="none"/>
          <w:lang w:val="en-US" w:eastAsia="zh-CN"/>
        </w:rPr>
        <w:t>，排放速率为7.9×10</w:t>
      </w:r>
      <w:r>
        <w:rPr>
          <w:rFonts w:hint="default" w:ascii="Times New Roman" w:hAnsi="Times New Roman" w:cs="Times New Roman" w:eastAsiaTheme="minorEastAsia"/>
          <w:sz w:val="24"/>
          <w:highlight w:val="none"/>
          <w:vertAlign w:val="superscript"/>
          <w:lang w:val="en-US" w:eastAsia="zh-CN"/>
        </w:rPr>
        <w:t>-4</w:t>
      </w:r>
      <w:r>
        <w:rPr>
          <w:rFonts w:hint="default" w:ascii="Times New Roman" w:hAnsi="Times New Roman" w:cs="Times New Roman" w:eastAsiaTheme="minorEastAsia"/>
          <w:sz w:val="24"/>
          <w:highlight w:val="none"/>
          <w:lang w:val="en-US" w:eastAsia="zh-CN"/>
        </w:rPr>
        <w:t>kg/h；VOCs（非甲烷总烃）最大排放浓度为2.86mg/m</w:t>
      </w:r>
      <w:r>
        <w:rPr>
          <w:rFonts w:hint="default" w:ascii="Times New Roman" w:hAnsi="Times New Roman" w:cs="Times New Roman" w:eastAsiaTheme="minorEastAsia"/>
          <w:sz w:val="24"/>
          <w:highlight w:val="none"/>
          <w:vertAlign w:val="superscript"/>
          <w:lang w:val="en-US" w:eastAsia="zh-CN"/>
        </w:rPr>
        <w:t>3</w:t>
      </w:r>
      <w:r>
        <w:rPr>
          <w:rFonts w:hint="default" w:ascii="Times New Roman" w:hAnsi="Times New Roman" w:cs="Times New Roman" w:eastAsiaTheme="minorEastAsia"/>
          <w:sz w:val="24"/>
          <w:highlight w:val="none"/>
          <w:lang w:val="en-US" w:eastAsia="zh-CN"/>
        </w:rPr>
        <w:t>，排放速率为5.5×10</w:t>
      </w:r>
      <w:r>
        <w:rPr>
          <w:rFonts w:hint="default" w:ascii="Times New Roman" w:hAnsi="Times New Roman" w:cs="Times New Roman" w:eastAsiaTheme="minorEastAsia"/>
          <w:sz w:val="24"/>
          <w:highlight w:val="none"/>
          <w:vertAlign w:val="superscript"/>
          <w:lang w:val="en-US" w:eastAsia="zh-CN"/>
        </w:rPr>
        <w:t>-3</w:t>
      </w:r>
      <w:r>
        <w:rPr>
          <w:rFonts w:hint="default" w:ascii="Times New Roman" w:hAnsi="Times New Roman" w:cs="Times New Roman" w:eastAsiaTheme="minorEastAsia"/>
          <w:sz w:val="24"/>
          <w:highlight w:val="none"/>
          <w:lang w:val="en-US" w:eastAsia="zh-CN"/>
        </w:rPr>
        <w:t>kg/h；氯化氢为未检出</w:t>
      </w:r>
      <w:r>
        <w:rPr>
          <w:rFonts w:hint="default" w:ascii="Times New Roman" w:hAnsi="Times New Roman" w:cs="Times New Roman" w:eastAsiaTheme="minorEastAsia"/>
          <w:sz w:val="24"/>
          <w:szCs w:val="24"/>
          <w:highlight w:val="none"/>
          <w:lang w:val="en-US" w:eastAsia="zh-CN"/>
        </w:rPr>
        <w:t>。</w:t>
      </w:r>
    </w:p>
    <w:p>
      <w:pPr>
        <w:pStyle w:val="24"/>
        <w:keepNext w:val="0"/>
        <w:keepLines w:val="0"/>
        <w:pageBreakBefore w:val="0"/>
        <w:widowControl w:val="0"/>
        <w:kinsoku/>
        <w:wordWrap/>
        <w:overflowPunct/>
        <w:topLinePunct w:val="0"/>
        <w:autoSpaceDE/>
        <w:autoSpaceDN/>
        <w:bidi w:val="0"/>
        <w:adjustRightInd w:val="0"/>
        <w:snapToGrid w:val="0"/>
        <w:spacing w:after="0"/>
        <w:ind w:firstLine="480" w:firstLineChars="200"/>
        <w:textAlignment w:val="baseline"/>
        <w:outlineLvl w:val="9"/>
        <w:rPr>
          <w:rFonts w:hint="default" w:ascii="Times New Roman" w:hAnsi="Times New Roman" w:cs="Times New Roman" w:eastAsiaTheme="minorEastAsia"/>
          <w:sz w:val="24"/>
          <w:lang w:eastAsia="zh-CN"/>
        </w:rPr>
      </w:pPr>
      <w:r>
        <w:rPr>
          <w:rFonts w:hint="default" w:ascii="Times New Roman" w:hAnsi="Times New Roman" w:cs="Times New Roman" w:eastAsiaTheme="minorEastAsia"/>
          <w:color w:val="auto"/>
          <w:sz w:val="24"/>
          <w:szCs w:val="24"/>
          <w:lang w:val="en-US" w:eastAsia="zh-CN"/>
        </w:rPr>
        <w:t>项目</w:t>
      </w:r>
      <w:r>
        <w:rPr>
          <w:rFonts w:hint="default" w:ascii="Times New Roman" w:hAnsi="Times New Roman" w:cs="Times New Roman" w:eastAsiaTheme="minorEastAsia"/>
          <w:sz w:val="24"/>
          <w:lang w:eastAsia="zh-CN"/>
        </w:rPr>
        <w:t>有组织</w:t>
      </w:r>
      <w:r>
        <w:rPr>
          <w:rFonts w:hint="default" w:ascii="Times New Roman" w:hAnsi="Times New Roman" w:cs="Times New Roman" w:eastAsiaTheme="minorEastAsia"/>
          <w:sz w:val="24"/>
          <w:lang w:val="en-US" w:eastAsia="zh-CN"/>
        </w:rPr>
        <w:t>VOCs满足</w:t>
      </w:r>
      <w:r>
        <w:rPr>
          <w:rFonts w:hint="default" w:ascii="Times New Roman" w:hAnsi="Times New Roman" w:cs="Times New Roman" w:eastAsiaTheme="minorEastAsia"/>
          <w:sz w:val="24"/>
          <w:lang w:eastAsia="zh-CN"/>
        </w:rPr>
        <w:t>《挥发性有机物排放标准第7部分：其他行业》（DB37/2801.7-2019）表1中非重点行业II时段排放限值；《制药工业大气污染物排放标准》（GB37823-2019）表2大气污染物特别排放限值（</w:t>
      </w:r>
      <w:r>
        <w:rPr>
          <w:rFonts w:hint="default" w:ascii="Times New Roman" w:hAnsi="Times New Roman" w:cs="Times New Roman" w:eastAsiaTheme="minorEastAsia"/>
          <w:sz w:val="24"/>
          <w:lang w:val="en-US" w:eastAsia="zh-CN"/>
        </w:rPr>
        <w:t>60mg/m</w:t>
      </w:r>
      <w:r>
        <w:rPr>
          <w:rFonts w:hint="default" w:ascii="Times New Roman" w:hAnsi="Times New Roman" w:cs="Times New Roman" w:eastAsiaTheme="minorEastAsia"/>
          <w:sz w:val="24"/>
          <w:vertAlign w:val="superscript"/>
          <w:lang w:val="en-US" w:eastAsia="zh-CN"/>
        </w:rPr>
        <w:t>3</w:t>
      </w:r>
      <w:r>
        <w:rPr>
          <w:rFonts w:hint="default" w:ascii="Times New Roman" w:hAnsi="Times New Roman" w:cs="Times New Roman" w:eastAsiaTheme="minorEastAsia"/>
          <w:sz w:val="24"/>
          <w:vertAlign w:val="baseline"/>
          <w:lang w:val="en-US" w:eastAsia="zh-CN"/>
        </w:rPr>
        <w:t>、16kg/h</w:t>
      </w:r>
      <w:r>
        <w:rPr>
          <w:rFonts w:hint="default" w:ascii="Times New Roman" w:hAnsi="Times New Roman" w:cs="Times New Roman" w:eastAsiaTheme="minorEastAsia"/>
          <w:sz w:val="24"/>
          <w:lang w:eastAsia="zh-CN"/>
        </w:rPr>
        <w:t>）；有组织氯化氢满足</w:t>
      </w:r>
      <w:r>
        <w:rPr>
          <w:rFonts w:hint="default" w:ascii="Times New Roman" w:hAnsi="Times New Roman" w:cs="Times New Roman" w:eastAsiaTheme="minorEastAsia"/>
          <w:sz w:val="24"/>
        </w:rPr>
        <w:t>《制药工业大气污染物排放标准》（GB37823-2019）表2排放限值；《大气污染物综合排放标准》（GB16297-1996）表2二级标准的限值</w:t>
      </w:r>
      <w:r>
        <w:rPr>
          <w:rFonts w:hint="default" w:ascii="Times New Roman" w:hAnsi="Times New Roman" w:cs="Times New Roman" w:eastAsiaTheme="minorEastAsia"/>
          <w:sz w:val="24"/>
          <w:lang w:eastAsia="zh-CN"/>
        </w:rPr>
        <w:t>（</w:t>
      </w:r>
      <w:r>
        <w:rPr>
          <w:rFonts w:hint="default" w:ascii="Times New Roman" w:hAnsi="Times New Roman" w:cs="Times New Roman" w:eastAsiaTheme="minorEastAsia"/>
          <w:sz w:val="24"/>
          <w:lang w:val="en-US" w:eastAsia="zh-CN"/>
        </w:rPr>
        <w:t>30mg/m</w:t>
      </w:r>
      <w:r>
        <w:rPr>
          <w:rFonts w:hint="default" w:ascii="Times New Roman" w:hAnsi="Times New Roman" w:cs="Times New Roman" w:eastAsiaTheme="minorEastAsia"/>
          <w:sz w:val="24"/>
          <w:vertAlign w:val="superscript"/>
          <w:lang w:val="en-US" w:eastAsia="zh-CN"/>
        </w:rPr>
        <w:t>3</w:t>
      </w:r>
      <w:r>
        <w:rPr>
          <w:rFonts w:hint="default" w:ascii="Times New Roman" w:hAnsi="Times New Roman" w:cs="Times New Roman" w:eastAsiaTheme="minorEastAsia"/>
          <w:sz w:val="24"/>
          <w:vertAlign w:val="baseline"/>
          <w:lang w:val="en-US" w:eastAsia="zh-CN"/>
        </w:rPr>
        <w:t>、1.4kg/h</w:t>
      </w:r>
      <w:r>
        <w:rPr>
          <w:rFonts w:hint="default" w:ascii="Times New Roman" w:hAnsi="Times New Roman" w:cs="Times New Roman" w:eastAsiaTheme="minorEastAsia"/>
          <w:sz w:val="24"/>
          <w:lang w:eastAsia="zh-CN"/>
        </w:rPr>
        <w:t>）；有组织硫酸雾满足</w:t>
      </w:r>
      <w:r>
        <w:rPr>
          <w:rFonts w:hint="default" w:ascii="Times New Roman" w:hAnsi="Times New Roman" w:cs="Times New Roman" w:eastAsiaTheme="minorEastAsia"/>
          <w:sz w:val="24"/>
        </w:rPr>
        <w:t>《大气污染物综合排放标准》（GB16297-1996）表2二级标准的限值</w:t>
      </w:r>
      <w:r>
        <w:rPr>
          <w:rFonts w:hint="default" w:ascii="Times New Roman" w:hAnsi="Times New Roman" w:cs="Times New Roman" w:eastAsiaTheme="minorEastAsia"/>
          <w:sz w:val="24"/>
          <w:lang w:eastAsia="zh-CN"/>
        </w:rPr>
        <w:t>（</w:t>
      </w:r>
      <w:r>
        <w:rPr>
          <w:rFonts w:hint="default" w:ascii="Times New Roman" w:hAnsi="Times New Roman" w:cs="Times New Roman" w:eastAsiaTheme="minorEastAsia"/>
          <w:sz w:val="24"/>
          <w:lang w:val="en-US" w:eastAsia="zh-CN"/>
        </w:rPr>
        <w:t>45mg/m</w:t>
      </w:r>
      <w:r>
        <w:rPr>
          <w:rFonts w:hint="default" w:ascii="Times New Roman" w:hAnsi="Times New Roman" w:cs="Times New Roman" w:eastAsiaTheme="minorEastAsia"/>
          <w:sz w:val="24"/>
          <w:vertAlign w:val="superscript"/>
          <w:lang w:val="en-US" w:eastAsia="zh-CN"/>
        </w:rPr>
        <w:t>3</w:t>
      </w:r>
      <w:r>
        <w:rPr>
          <w:rFonts w:hint="default" w:ascii="Times New Roman" w:hAnsi="Times New Roman" w:cs="Times New Roman" w:eastAsiaTheme="minorEastAsia"/>
          <w:sz w:val="24"/>
          <w:vertAlign w:val="baseline"/>
          <w:lang w:val="en-US" w:eastAsia="zh-CN"/>
        </w:rPr>
        <w:t>、8.8kg/h</w:t>
      </w:r>
      <w:r>
        <w:rPr>
          <w:rFonts w:hint="default" w:ascii="Times New Roman" w:hAnsi="Times New Roman" w:cs="Times New Roman" w:eastAsiaTheme="minorEastAsia"/>
          <w:sz w:val="24"/>
          <w:lang w:eastAsia="zh-CN"/>
        </w:rPr>
        <w:t>）。</w:t>
      </w:r>
    </w:p>
    <w:p>
      <w:pPr>
        <w:pStyle w:val="3"/>
        <w:adjustRightInd w:val="0"/>
        <w:snapToGrid w:val="0"/>
        <w:spacing w:after="0" w:line="360" w:lineRule="auto"/>
        <w:ind w:left="0" w:leftChars="0" w:firstLine="480" w:firstLineChars="200"/>
        <w:rPr>
          <w:rFonts w:hint="default" w:ascii="Times New Roman" w:hAnsi="Times New Roman" w:cs="Times New Roman" w:eastAsiaTheme="minorEastAsia"/>
          <w:color w:val="auto"/>
          <w:sz w:val="24"/>
          <w:szCs w:val="24"/>
          <w:highlight w:val="none"/>
          <w:vertAlign w:val="baseline"/>
          <w:lang w:val="en-US" w:eastAsia="zh-CN"/>
        </w:rPr>
      </w:pPr>
      <w:r>
        <w:rPr>
          <w:rFonts w:hint="default" w:ascii="Times New Roman" w:hAnsi="Times New Roman" w:cs="Times New Roman" w:eastAsiaTheme="minorEastAsia"/>
          <w:color w:val="auto"/>
          <w:sz w:val="24"/>
          <w:szCs w:val="24"/>
          <w:highlight w:val="none"/>
        </w:rPr>
        <w:t>监测期间，</w:t>
      </w:r>
      <w:r>
        <w:rPr>
          <w:rFonts w:hint="default" w:ascii="Times New Roman" w:hAnsi="Times New Roman" w:cs="Times New Roman" w:eastAsiaTheme="minorEastAsia"/>
          <w:color w:val="auto"/>
          <w:sz w:val="24"/>
          <w:szCs w:val="24"/>
          <w:highlight w:val="none"/>
          <w:lang w:eastAsia="zh-CN"/>
        </w:rPr>
        <w:t>本项目硫酸雾</w:t>
      </w:r>
      <w:r>
        <w:rPr>
          <w:rFonts w:hint="default" w:ascii="Times New Roman" w:hAnsi="Times New Roman" w:cs="Times New Roman" w:eastAsiaTheme="minorEastAsia"/>
          <w:color w:val="auto"/>
          <w:sz w:val="24"/>
          <w:szCs w:val="24"/>
          <w:highlight w:val="none"/>
        </w:rPr>
        <w:t>厂界浓度最大值</w:t>
      </w:r>
      <w:r>
        <w:rPr>
          <w:rFonts w:hint="default" w:ascii="Times New Roman" w:hAnsi="Times New Roman" w:cs="Times New Roman" w:eastAsiaTheme="minorEastAsia"/>
          <w:color w:val="auto"/>
          <w:sz w:val="24"/>
          <w:szCs w:val="24"/>
          <w:highlight w:val="none"/>
          <w:lang w:val="en-US" w:eastAsia="zh-CN"/>
        </w:rPr>
        <w:t>0.038mg/m</w:t>
      </w:r>
      <w:r>
        <w:rPr>
          <w:rFonts w:hint="default" w:ascii="Times New Roman" w:hAnsi="Times New Roman" w:cs="Times New Roman" w:eastAsiaTheme="minorEastAsia"/>
          <w:color w:val="auto"/>
          <w:sz w:val="24"/>
          <w:szCs w:val="24"/>
          <w:highlight w:val="none"/>
          <w:vertAlign w:val="superscript"/>
          <w:lang w:val="en-US" w:eastAsia="zh-CN"/>
        </w:rPr>
        <w:t>3</w:t>
      </w:r>
      <w:r>
        <w:rPr>
          <w:rFonts w:hint="default" w:ascii="Times New Roman" w:hAnsi="Times New Roman" w:cs="Times New Roman" w:eastAsiaTheme="minorEastAsia"/>
          <w:color w:val="auto"/>
          <w:sz w:val="24"/>
          <w:szCs w:val="24"/>
          <w:highlight w:val="none"/>
          <w:lang w:eastAsia="zh-CN"/>
        </w:rPr>
        <w:t>；VOCs（非甲烷总烃）</w:t>
      </w:r>
      <w:r>
        <w:rPr>
          <w:rFonts w:hint="default" w:ascii="Times New Roman" w:hAnsi="Times New Roman" w:cs="Times New Roman" w:eastAsiaTheme="minorEastAsia"/>
          <w:color w:val="auto"/>
          <w:sz w:val="24"/>
          <w:szCs w:val="24"/>
          <w:highlight w:val="none"/>
        </w:rPr>
        <w:t>厂界浓度最大值为</w:t>
      </w:r>
      <w:r>
        <w:rPr>
          <w:rFonts w:hint="default" w:ascii="Times New Roman" w:hAnsi="Times New Roman" w:cs="Times New Roman" w:eastAsiaTheme="minorEastAsia"/>
          <w:color w:val="auto"/>
          <w:sz w:val="24"/>
          <w:szCs w:val="24"/>
          <w:highlight w:val="none"/>
          <w:lang w:val="en-US" w:eastAsia="zh-CN"/>
        </w:rPr>
        <w:t>1.28mg/m</w:t>
      </w:r>
      <w:r>
        <w:rPr>
          <w:rFonts w:hint="default" w:ascii="Times New Roman" w:hAnsi="Times New Roman" w:cs="Times New Roman" w:eastAsiaTheme="minorEastAsia"/>
          <w:color w:val="auto"/>
          <w:sz w:val="24"/>
          <w:szCs w:val="24"/>
          <w:highlight w:val="none"/>
          <w:vertAlign w:val="superscript"/>
          <w:lang w:val="en-US" w:eastAsia="zh-CN"/>
        </w:rPr>
        <w:t>3</w:t>
      </w:r>
      <w:r>
        <w:rPr>
          <w:rFonts w:hint="default" w:ascii="Times New Roman" w:hAnsi="Times New Roman" w:cs="Times New Roman" w:eastAsiaTheme="minorEastAsia"/>
          <w:color w:val="auto"/>
          <w:sz w:val="24"/>
          <w:szCs w:val="24"/>
          <w:highlight w:val="none"/>
          <w:lang w:eastAsia="zh-CN"/>
        </w:rPr>
        <w:t>；颗粒物</w:t>
      </w:r>
      <w:r>
        <w:rPr>
          <w:rFonts w:hint="default" w:ascii="Times New Roman" w:hAnsi="Times New Roman" w:cs="Times New Roman" w:eastAsiaTheme="minorEastAsia"/>
          <w:color w:val="auto"/>
          <w:sz w:val="24"/>
          <w:szCs w:val="24"/>
          <w:highlight w:val="none"/>
        </w:rPr>
        <w:t>厂界浓度最大值为</w:t>
      </w:r>
      <w:r>
        <w:rPr>
          <w:rFonts w:hint="default" w:ascii="Times New Roman" w:hAnsi="Times New Roman" w:cs="Times New Roman" w:eastAsiaTheme="minorEastAsia"/>
          <w:color w:val="auto"/>
          <w:sz w:val="24"/>
          <w:szCs w:val="24"/>
          <w:highlight w:val="none"/>
          <w:lang w:val="en-US" w:eastAsia="zh-CN"/>
        </w:rPr>
        <w:t>228μg/m</w:t>
      </w:r>
      <w:r>
        <w:rPr>
          <w:rFonts w:hint="default" w:ascii="Times New Roman" w:hAnsi="Times New Roman" w:cs="Times New Roman" w:eastAsiaTheme="minorEastAsia"/>
          <w:color w:val="auto"/>
          <w:sz w:val="24"/>
          <w:szCs w:val="24"/>
          <w:highlight w:val="none"/>
          <w:vertAlign w:val="superscript"/>
          <w:lang w:val="en-US" w:eastAsia="zh-CN"/>
        </w:rPr>
        <w:t>3</w:t>
      </w:r>
      <w:r>
        <w:rPr>
          <w:rFonts w:hint="default" w:ascii="Times New Roman" w:hAnsi="Times New Roman" w:cs="Times New Roman" w:eastAsiaTheme="minorEastAsia"/>
          <w:color w:val="auto"/>
          <w:sz w:val="24"/>
          <w:szCs w:val="24"/>
          <w:highlight w:val="none"/>
          <w:lang w:eastAsia="zh-CN"/>
        </w:rPr>
        <w:t>；氯化氢厂界为未检出</w:t>
      </w:r>
      <w:r>
        <w:rPr>
          <w:rFonts w:hint="default" w:ascii="Times New Roman" w:hAnsi="Times New Roman" w:cs="Times New Roman" w:eastAsiaTheme="minorEastAsia"/>
          <w:color w:val="auto"/>
          <w:sz w:val="24"/>
          <w:szCs w:val="24"/>
          <w:highlight w:val="none"/>
          <w:vertAlign w:val="baseline"/>
          <w:lang w:val="en-US" w:eastAsia="zh-CN"/>
        </w:rPr>
        <w:t>。</w:t>
      </w:r>
    </w:p>
    <w:p>
      <w:pPr>
        <w:pStyle w:val="24"/>
        <w:keepNext w:val="0"/>
        <w:keepLines w:val="0"/>
        <w:pageBreakBefore w:val="0"/>
        <w:widowControl w:val="0"/>
        <w:kinsoku/>
        <w:wordWrap/>
        <w:overflowPunct/>
        <w:topLinePunct w:val="0"/>
        <w:autoSpaceDE/>
        <w:autoSpaceDN/>
        <w:bidi w:val="0"/>
        <w:adjustRightInd w:val="0"/>
        <w:snapToGrid w:val="0"/>
        <w:spacing w:after="0"/>
        <w:ind w:firstLine="480" w:firstLineChars="200"/>
        <w:textAlignment w:val="baseline"/>
        <w:outlineLvl w:val="9"/>
        <w:rPr>
          <w:rFonts w:hint="default" w:ascii="Times New Roman" w:hAnsi="Times New Roman" w:cs="Times New Roman" w:eastAsiaTheme="minorEastAsia"/>
          <w:sz w:val="24"/>
          <w:lang w:val="en-US" w:eastAsia="zh-CN"/>
        </w:rPr>
      </w:pPr>
      <w:r>
        <w:rPr>
          <w:rFonts w:hint="default" w:ascii="Times New Roman" w:hAnsi="Times New Roman" w:cs="Times New Roman" w:eastAsiaTheme="minorEastAsia"/>
          <w:color w:val="auto"/>
          <w:sz w:val="24"/>
          <w:szCs w:val="24"/>
          <w:highlight w:val="none"/>
          <w:vertAlign w:val="baseline"/>
          <w:lang w:val="en-US" w:eastAsia="zh-CN"/>
        </w:rPr>
        <w:t>项目</w:t>
      </w:r>
      <w:r>
        <w:rPr>
          <w:rFonts w:hint="default" w:ascii="Times New Roman" w:hAnsi="Times New Roman" w:cs="Times New Roman" w:eastAsiaTheme="minorEastAsia"/>
          <w:sz w:val="24"/>
          <w:lang w:eastAsia="zh-CN"/>
        </w:rPr>
        <w:t>无组织颗粒物满足《大气污染物综合排放标准》（GB16297-1996）表2无组织排放监控浓度限值</w:t>
      </w:r>
      <w:r>
        <w:rPr>
          <w:rFonts w:hint="default" w:ascii="Times New Roman" w:hAnsi="Times New Roman" w:cs="Times New Roman" w:eastAsiaTheme="minorEastAsia"/>
          <w:sz w:val="24"/>
          <w:lang w:val="en-US" w:eastAsia="zh-CN"/>
        </w:rPr>
        <w:t>（1.0mg/m</w:t>
      </w:r>
      <w:r>
        <w:rPr>
          <w:rFonts w:hint="default" w:ascii="Times New Roman" w:hAnsi="Times New Roman" w:cs="Times New Roman" w:eastAsiaTheme="minorEastAsia"/>
          <w:sz w:val="24"/>
          <w:vertAlign w:val="superscript"/>
          <w:lang w:val="en-US" w:eastAsia="zh-CN"/>
        </w:rPr>
        <w:t>3</w:t>
      </w:r>
      <w:r>
        <w:rPr>
          <w:rFonts w:hint="default" w:ascii="Times New Roman" w:hAnsi="Times New Roman" w:cs="Times New Roman" w:eastAsiaTheme="minorEastAsia"/>
          <w:sz w:val="24"/>
          <w:lang w:val="en-US" w:eastAsia="zh-CN"/>
        </w:rPr>
        <w:t>）；</w:t>
      </w:r>
      <w:r>
        <w:rPr>
          <w:rFonts w:hint="default" w:ascii="Times New Roman" w:hAnsi="Times New Roman" w:cs="Times New Roman" w:eastAsiaTheme="minorEastAsia"/>
          <w:sz w:val="24"/>
          <w:lang w:eastAsia="zh-CN"/>
        </w:rPr>
        <w:t>无组织</w:t>
      </w:r>
      <w:r>
        <w:rPr>
          <w:rFonts w:hint="default" w:ascii="Times New Roman" w:hAnsi="Times New Roman" w:cs="Times New Roman" w:eastAsiaTheme="minorEastAsia"/>
          <w:sz w:val="24"/>
          <w:lang w:val="en-US" w:eastAsia="zh-CN"/>
        </w:rPr>
        <w:t>VOCs满足《挥发性有机物排放标准第7部分：其他行业》（DB37/2801.7-2019）表2厂界监控点浓度限值及《挥发性有机物无组织排放控制标准》（GB37822-2019）要求（2.0mg/m</w:t>
      </w:r>
      <w:r>
        <w:rPr>
          <w:rFonts w:hint="default" w:ascii="Times New Roman" w:hAnsi="Times New Roman" w:cs="Times New Roman" w:eastAsiaTheme="minorEastAsia"/>
          <w:sz w:val="24"/>
          <w:vertAlign w:val="superscript"/>
          <w:lang w:val="en-US" w:eastAsia="zh-CN"/>
        </w:rPr>
        <w:t>3</w:t>
      </w:r>
      <w:r>
        <w:rPr>
          <w:rFonts w:hint="default" w:ascii="Times New Roman" w:hAnsi="Times New Roman" w:cs="Times New Roman" w:eastAsiaTheme="minorEastAsia"/>
          <w:sz w:val="24"/>
          <w:lang w:val="en-US" w:eastAsia="zh-CN"/>
        </w:rPr>
        <w:t>）；</w:t>
      </w:r>
      <w:r>
        <w:rPr>
          <w:rFonts w:hint="default" w:ascii="Times New Roman" w:hAnsi="Times New Roman" w:cs="Times New Roman" w:eastAsiaTheme="minorEastAsia"/>
          <w:sz w:val="24"/>
          <w:lang w:eastAsia="zh-CN"/>
        </w:rPr>
        <w:t>无组织</w:t>
      </w:r>
      <w:r>
        <w:rPr>
          <w:rFonts w:hint="default" w:ascii="Times New Roman" w:hAnsi="Times New Roman" w:cs="Times New Roman" w:eastAsiaTheme="minorEastAsia"/>
          <w:sz w:val="24"/>
          <w:lang w:val="en-US" w:eastAsia="zh-CN"/>
        </w:rPr>
        <w:t>氯化氢满足《制药工业大气污染物排放标准》（GB37823-2019）表4浓度限值（0.2mg/m</w:t>
      </w:r>
      <w:r>
        <w:rPr>
          <w:rFonts w:hint="default" w:ascii="Times New Roman" w:hAnsi="Times New Roman" w:cs="Times New Roman" w:eastAsiaTheme="minorEastAsia"/>
          <w:sz w:val="24"/>
          <w:vertAlign w:val="superscript"/>
          <w:lang w:val="en-US" w:eastAsia="zh-CN"/>
        </w:rPr>
        <w:t>3</w:t>
      </w:r>
      <w:r>
        <w:rPr>
          <w:rFonts w:hint="default" w:ascii="Times New Roman" w:hAnsi="Times New Roman" w:cs="Times New Roman" w:eastAsiaTheme="minorEastAsia"/>
          <w:sz w:val="24"/>
          <w:lang w:val="en-US" w:eastAsia="zh-CN"/>
        </w:rPr>
        <w:t>）；</w:t>
      </w:r>
      <w:r>
        <w:rPr>
          <w:rFonts w:hint="default" w:ascii="Times New Roman" w:hAnsi="Times New Roman" w:cs="Times New Roman" w:eastAsiaTheme="minorEastAsia"/>
          <w:sz w:val="24"/>
          <w:lang w:eastAsia="zh-CN"/>
        </w:rPr>
        <w:t>无组织</w:t>
      </w:r>
      <w:r>
        <w:rPr>
          <w:rFonts w:hint="default" w:ascii="Times New Roman" w:hAnsi="Times New Roman" w:cs="Times New Roman" w:eastAsiaTheme="minorEastAsia"/>
          <w:sz w:val="24"/>
          <w:lang w:val="en-US" w:eastAsia="zh-CN"/>
        </w:rPr>
        <w:t>硫酸雾满足《大气污染物综合排放标准》（GB16297-1996）表2无组织排放监控浓度限值（1.2mg/m</w:t>
      </w:r>
      <w:r>
        <w:rPr>
          <w:rFonts w:hint="default" w:ascii="Times New Roman" w:hAnsi="Times New Roman" w:cs="Times New Roman" w:eastAsiaTheme="minorEastAsia"/>
          <w:sz w:val="24"/>
          <w:vertAlign w:val="superscript"/>
          <w:lang w:val="en-US" w:eastAsia="zh-CN"/>
        </w:rPr>
        <w:t>3</w:t>
      </w:r>
      <w:r>
        <w:rPr>
          <w:rFonts w:hint="default" w:ascii="Times New Roman" w:hAnsi="Times New Roman" w:cs="Times New Roman" w:eastAsiaTheme="minorEastAsia"/>
          <w:sz w:val="24"/>
          <w:lang w:val="en-US" w:eastAsia="zh-CN"/>
        </w:rPr>
        <w:t>）。</w:t>
      </w:r>
    </w:p>
    <w:p>
      <w:pPr>
        <w:keepNext w:val="0"/>
        <w:keepLines w:val="0"/>
        <w:pageBreakBefore w:val="0"/>
        <w:widowControl w:val="0"/>
        <w:numPr>
          <w:ilvl w:val="0"/>
          <w:numId w:val="2"/>
        </w:numPr>
        <w:kinsoku/>
        <w:overflowPunct/>
        <w:topLinePunct w:val="0"/>
        <w:bidi w:val="0"/>
        <w:spacing w:after="0" w:afterLines="0" w:line="360" w:lineRule="auto"/>
        <w:ind w:leftChars="0" w:right="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废水：</w:t>
      </w:r>
    </w:p>
    <w:p>
      <w:pPr>
        <w:pStyle w:val="24"/>
        <w:spacing w:after="0"/>
        <w:jc w:val="both"/>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000000"/>
          <w:kern w:val="0"/>
          <w:sz w:val="24"/>
          <w:szCs w:val="24"/>
          <w:highlight w:val="none"/>
          <w:lang w:val="en-US" w:eastAsia="zh-CN" w:bidi="ar"/>
        </w:rPr>
        <w:t>监测期间，厂区污水经迪亚双创产业园污水站处理后，出水水质满足《污水排入城镇下水道水质标准》（GB/T31962-2015） 中 A 级标准要求。</w:t>
      </w:r>
    </w:p>
    <w:p>
      <w:pPr>
        <w:keepNext w:val="0"/>
        <w:keepLines w:val="0"/>
        <w:pageBreakBefore w:val="0"/>
        <w:widowControl w:val="0"/>
        <w:numPr>
          <w:ilvl w:val="0"/>
          <w:numId w:val="2"/>
        </w:numPr>
        <w:kinsoku/>
        <w:overflowPunct/>
        <w:topLinePunct w:val="0"/>
        <w:bidi w:val="0"/>
        <w:spacing w:after="0" w:afterLines="0" w:line="360" w:lineRule="auto"/>
        <w:ind w:leftChars="0" w:right="0"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噪声：</w:t>
      </w:r>
    </w:p>
    <w:p>
      <w:pPr>
        <w:pStyle w:val="24"/>
        <w:spacing w:after="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监测期间，项目南、西、北、东厂界监测点昼间噪声最大值分别为54.6dB（A）、57.0dB（A）、54.0dB（A）、53.6dB（A），厂界昼间噪声满足《工业企业厂界环境噪声排放标准》（GB12348-2008）中2类标准。</w:t>
      </w:r>
    </w:p>
    <w:p>
      <w:pPr>
        <w:keepNext w:val="0"/>
        <w:keepLines w:val="0"/>
        <w:pageBreakBefore w:val="0"/>
        <w:widowControl w:val="0"/>
        <w:numPr>
          <w:ilvl w:val="0"/>
          <w:numId w:val="0"/>
        </w:numPr>
        <w:kinsoku/>
        <w:overflowPunct/>
        <w:topLinePunct w:val="0"/>
        <w:bidi w:val="0"/>
        <w:spacing w:after="0" w:afterLines="0" w:line="360" w:lineRule="auto"/>
        <w:ind w:leftChars="0" w:right="0"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（4）固体废物：</w:t>
      </w:r>
    </w:p>
    <w:p>
      <w:pPr>
        <w:pStyle w:val="24"/>
        <w:keepNext w:val="0"/>
        <w:keepLines w:val="0"/>
        <w:pageBreakBefore w:val="0"/>
        <w:widowControl/>
        <w:kinsoku/>
        <w:wordWrap/>
        <w:overflowPunct/>
        <w:topLinePunct w:val="0"/>
        <w:autoSpaceDE/>
        <w:autoSpaceDN/>
        <w:bidi w:val="0"/>
        <w:adjustRightInd/>
        <w:snapToGrid/>
        <w:spacing w:after="0"/>
        <w:ind w:firstLine="480" w:firstLineChars="200"/>
        <w:jc w:val="left"/>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一般固废：一般废包装物收集后，外售资源回收单位；生活垃圾由环卫部门定期清运处理。</w:t>
      </w:r>
    </w:p>
    <w:p>
      <w:pPr>
        <w:pStyle w:val="24"/>
        <w:keepNext w:val="0"/>
        <w:keepLines w:val="0"/>
        <w:pageBreakBefore w:val="0"/>
        <w:widowControl/>
        <w:kinsoku/>
        <w:wordWrap/>
        <w:overflowPunct/>
        <w:topLinePunct w:val="0"/>
        <w:autoSpaceDE/>
        <w:autoSpaceDN/>
        <w:bidi w:val="0"/>
        <w:adjustRightInd/>
        <w:snapToGrid/>
        <w:spacing w:after="0"/>
        <w:ind w:firstLine="480" w:firstLineChars="200"/>
        <w:jc w:val="left"/>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危险废物：实验废液、实验器皿前两次清洗废水、实验废物、不合格产品、废活性炭、废试剂瓶收集后，暂存于危废间，委托山东朋光环保科技有限公司进行处置。</w:t>
      </w:r>
    </w:p>
    <w:p>
      <w:pPr>
        <w:pStyle w:val="24"/>
        <w:keepNext w:val="0"/>
        <w:keepLines w:val="0"/>
        <w:pageBreakBefore w:val="0"/>
        <w:widowControl/>
        <w:kinsoku/>
        <w:wordWrap/>
        <w:overflowPunct/>
        <w:topLinePunct w:val="0"/>
        <w:autoSpaceDE/>
        <w:autoSpaceDN/>
        <w:bidi w:val="0"/>
        <w:adjustRightInd/>
        <w:snapToGrid/>
        <w:spacing w:after="0"/>
        <w:ind w:firstLine="480" w:firstLineChars="200"/>
        <w:jc w:val="left"/>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一般固体废物处置满足《一般工业固体废物贮存和填埋污染控制标准》（GB18599-2020）要求）；危险废物处置满足《危险废物贮存污染控制标准》(GB18597-2001)及修改单的规定。</w:t>
      </w:r>
    </w:p>
    <w:p>
      <w:pPr>
        <w:keepNext w:val="0"/>
        <w:keepLines w:val="0"/>
        <w:pageBreakBefore w:val="0"/>
        <w:kinsoku/>
        <w:overflowPunct/>
        <w:topLinePunct w:val="0"/>
        <w:bidi w:val="0"/>
        <w:spacing w:after="0" w:line="360" w:lineRule="auto"/>
        <w:ind w:leftChars="0" w:right="0" w:firstLine="562"/>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lang w:eastAsia="zh-CN"/>
        </w:rPr>
        <w:t>五、</w:t>
      </w:r>
      <w:r>
        <w:rPr>
          <w:rFonts w:hint="default" w:ascii="Times New Roman" w:hAnsi="Times New Roman" w:eastAsia="宋体" w:cs="Times New Roman"/>
          <w:b/>
          <w:color w:val="000000"/>
          <w:sz w:val="24"/>
          <w:szCs w:val="24"/>
        </w:rPr>
        <w:t>工程建设对环境的影响</w:t>
      </w:r>
    </w:p>
    <w:p>
      <w:pPr>
        <w:keepNext w:val="0"/>
        <w:keepLines w:val="0"/>
        <w:pageBreakBefore w:val="0"/>
        <w:numPr>
          <w:ilvl w:val="0"/>
          <w:numId w:val="0"/>
        </w:numPr>
        <w:kinsoku/>
        <w:overflowPunct/>
        <w:topLinePunct w:val="0"/>
        <w:bidi w:val="0"/>
        <w:spacing w:after="0" w:line="360" w:lineRule="auto"/>
        <w:ind w:right="0" w:rightChars="0" w:firstLine="480" w:firstLineChars="200"/>
        <w:rPr>
          <w:rFonts w:hint="default" w:ascii="Times New Roman" w:hAnsi="Times New Roman" w:eastAsia="宋体" w:cs="Times New Roman"/>
          <w:b/>
          <w:color w:val="000000"/>
          <w:sz w:val="24"/>
          <w:szCs w:val="24"/>
        </w:rPr>
      </w:pPr>
      <w:r>
        <w:rPr>
          <w:rFonts w:hint="default" w:ascii="Times New Roman" w:hAnsi="Times New Roman" w:eastAsia="宋体" w:cs="Times New Roman"/>
          <w:color w:val="000000"/>
          <w:sz w:val="24"/>
          <w:szCs w:val="24"/>
          <w:lang w:eastAsia="zh-CN"/>
        </w:rPr>
        <w:t>本项目位于</w:t>
      </w:r>
      <w:r>
        <w:rPr>
          <w:rFonts w:hint="eastAsia" w:ascii="Times New Roman" w:hAnsi="Times New Roman" w:eastAsia="宋体" w:cs="Times New Roman"/>
          <w:color w:val="000000"/>
          <w:sz w:val="24"/>
          <w:szCs w:val="24"/>
          <w:lang w:val="en-US" w:eastAsia="zh-CN"/>
        </w:rPr>
        <w:t>山东省济南市高新区世纪大道2566号迪亚双创产业园</w:t>
      </w:r>
      <w:r>
        <w:rPr>
          <w:rFonts w:hint="default" w:ascii="Times New Roman" w:hAnsi="Times New Roman" w:eastAsia="宋体" w:cs="Times New Roman"/>
          <w:color w:val="000000"/>
          <w:sz w:val="24"/>
          <w:szCs w:val="24"/>
        </w:rPr>
        <w:t>，监测结果表明，</w:t>
      </w:r>
      <w:r>
        <w:rPr>
          <w:rFonts w:hint="default" w:ascii="Times New Roman" w:hAnsi="Times New Roman" w:eastAsia="宋体" w:cs="Times New Roman"/>
          <w:color w:val="000000"/>
          <w:sz w:val="24"/>
          <w:szCs w:val="24"/>
          <w:lang w:eastAsia="zh-CN"/>
        </w:rPr>
        <w:t>本</w:t>
      </w:r>
      <w:r>
        <w:rPr>
          <w:rFonts w:hint="default" w:ascii="Times New Roman" w:hAnsi="Times New Roman" w:eastAsia="宋体" w:cs="Times New Roman"/>
          <w:color w:val="000000"/>
          <w:sz w:val="24"/>
          <w:szCs w:val="24"/>
        </w:rPr>
        <w:t>项目废气、</w:t>
      </w:r>
      <w:r>
        <w:rPr>
          <w:rFonts w:hint="default" w:ascii="Times New Roman" w:hAnsi="Times New Roman" w:eastAsia="宋体" w:cs="Times New Roman"/>
          <w:color w:val="000000"/>
          <w:sz w:val="24"/>
          <w:szCs w:val="24"/>
          <w:lang w:eastAsia="zh-CN"/>
        </w:rPr>
        <w:t>废水、</w:t>
      </w:r>
      <w:r>
        <w:rPr>
          <w:rFonts w:hint="default" w:ascii="Times New Roman" w:hAnsi="Times New Roman" w:eastAsia="宋体" w:cs="Times New Roman"/>
          <w:color w:val="000000"/>
          <w:sz w:val="24"/>
          <w:szCs w:val="24"/>
        </w:rPr>
        <w:t>噪声均符合国家标准要求，达标排放，</w:t>
      </w:r>
      <w:r>
        <w:rPr>
          <w:rFonts w:hint="default" w:ascii="Times New Roman" w:hAnsi="Times New Roman" w:eastAsia="宋体" w:cs="Times New Roman"/>
          <w:color w:val="000000"/>
          <w:sz w:val="24"/>
          <w:szCs w:val="24"/>
          <w:lang w:eastAsia="zh-CN"/>
        </w:rPr>
        <w:t>固体废物均合理处置，</w:t>
      </w:r>
      <w:r>
        <w:rPr>
          <w:rFonts w:hint="default" w:ascii="Times New Roman" w:hAnsi="Times New Roman" w:eastAsia="宋体" w:cs="Times New Roman"/>
          <w:color w:val="000000"/>
          <w:sz w:val="24"/>
          <w:szCs w:val="24"/>
        </w:rPr>
        <w:t>对周围环境影响</w:t>
      </w:r>
      <w:r>
        <w:rPr>
          <w:rFonts w:hint="default" w:ascii="Times New Roman" w:hAnsi="Times New Roman" w:eastAsia="宋体" w:cs="Times New Roman"/>
          <w:color w:val="000000"/>
          <w:sz w:val="24"/>
          <w:szCs w:val="24"/>
          <w:lang w:eastAsia="zh-CN"/>
        </w:rPr>
        <w:t>较小。</w:t>
      </w:r>
    </w:p>
    <w:p>
      <w:pPr>
        <w:keepNext w:val="0"/>
        <w:keepLines w:val="0"/>
        <w:pageBreakBefore w:val="0"/>
        <w:kinsoku/>
        <w:overflowPunct/>
        <w:topLinePunct w:val="0"/>
        <w:bidi w:val="0"/>
        <w:spacing w:after="0" w:line="360" w:lineRule="auto"/>
        <w:ind w:leftChars="0" w:right="0" w:firstLine="562"/>
        <w:rPr>
          <w:rFonts w:hint="default" w:ascii="Times New Roman" w:hAnsi="Times New Roman" w:eastAsia="宋体" w:cs="Times New Roman"/>
          <w:b/>
          <w:kern w:val="2"/>
          <w:sz w:val="24"/>
          <w:szCs w:val="24"/>
        </w:rPr>
      </w:pPr>
      <w:r>
        <w:rPr>
          <w:rFonts w:hint="default" w:ascii="Times New Roman" w:hAnsi="Times New Roman" w:eastAsia="宋体" w:cs="Times New Roman"/>
          <w:b/>
          <w:color w:val="000000"/>
          <w:sz w:val="24"/>
          <w:szCs w:val="24"/>
        </w:rPr>
        <w:t>六、验收结论</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根据该项目竣工环境保护验收报告和现场检查，项目环保手续已经完备，技术资料齐全，执行了环境影响评价和</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三同时</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管理制度，基本落实环评报告表及其审批意见所规定的各项环境污染防治措施，各类污染物能够实现达标排放要求，符合竣工环境保护验收条件，验收合格。</w:t>
      </w:r>
    </w:p>
    <w:p>
      <w:pPr>
        <w:keepNext w:val="0"/>
        <w:keepLines w:val="0"/>
        <w:pageBreakBefore w:val="0"/>
        <w:widowControl/>
        <w:kinsoku/>
        <w:overflowPunct/>
        <w:topLinePunct w:val="0"/>
        <w:bidi w:val="0"/>
        <w:adjustRightInd w:val="0"/>
        <w:snapToGrid w:val="0"/>
        <w:spacing w:after="0" w:line="360" w:lineRule="auto"/>
        <w:ind w:leftChars="0" w:right="0" w:firstLine="582"/>
        <w:jc w:val="both"/>
        <w:rPr>
          <w:rFonts w:hint="default" w:ascii="Times New Roman" w:hAnsi="Times New Roman" w:eastAsia="宋体" w:cs="Times New Roman"/>
          <w:b/>
          <w:kern w:val="0"/>
          <w:sz w:val="24"/>
          <w:szCs w:val="24"/>
        </w:rPr>
      </w:pPr>
      <w:r>
        <w:rPr>
          <w:rFonts w:hint="default" w:ascii="Times New Roman" w:hAnsi="Times New Roman" w:eastAsia="宋体" w:cs="Times New Roman"/>
          <w:b/>
          <w:kern w:val="0"/>
          <w:sz w:val="24"/>
          <w:szCs w:val="24"/>
        </w:rPr>
        <w:t>七、建议和后续要求</w:t>
      </w:r>
    </w:p>
    <w:p>
      <w:pPr>
        <w:keepNext w:val="0"/>
        <w:keepLines w:val="0"/>
        <w:pageBreakBefore w:val="0"/>
        <w:widowControl/>
        <w:kinsoku/>
        <w:overflowPunct/>
        <w:topLinePunct w:val="0"/>
        <w:bidi w:val="0"/>
        <w:adjustRightInd w:val="0"/>
        <w:snapToGrid w:val="0"/>
        <w:spacing w:after="0" w:line="360" w:lineRule="auto"/>
        <w:ind w:leftChars="0" w:right="0" w:firstLine="580"/>
        <w:jc w:val="both"/>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（1）按照《危险废物贮存污染物控制标准》（GB18597-2001）及修改单中的相关要求，进一步规范危废间的建设与管理，分类存放；规范标识、台账，妥善处置，减少对环境影响。</w:t>
      </w:r>
    </w:p>
    <w:p>
      <w:pPr>
        <w:keepNext w:val="0"/>
        <w:keepLines w:val="0"/>
        <w:pageBreakBefore w:val="0"/>
        <w:widowControl/>
        <w:kinsoku/>
        <w:overflowPunct/>
        <w:topLinePunct w:val="0"/>
        <w:bidi w:val="0"/>
        <w:adjustRightInd w:val="0"/>
        <w:snapToGrid w:val="0"/>
        <w:spacing w:after="0" w:line="360" w:lineRule="auto"/>
        <w:ind w:leftChars="0" w:right="0" w:firstLine="580"/>
        <w:jc w:val="both"/>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w:t>
      </w:r>
      <w:r>
        <w:rPr>
          <w:rFonts w:hint="default" w:ascii="Times New Roman" w:hAnsi="Times New Roman" w:eastAsia="宋体" w:cs="Times New Roman"/>
          <w:kern w:val="0"/>
          <w:sz w:val="24"/>
          <w:szCs w:val="24"/>
          <w:lang w:val="en-US" w:eastAsia="zh-CN"/>
        </w:rPr>
        <w:t>2</w:t>
      </w:r>
      <w:r>
        <w:rPr>
          <w:rFonts w:hint="default" w:ascii="Times New Roman" w:hAnsi="Times New Roman" w:eastAsia="宋体" w:cs="Times New Roman"/>
          <w:kern w:val="0"/>
          <w:sz w:val="24"/>
          <w:szCs w:val="24"/>
        </w:rPr>
        <w:t>）为保障环保设施</w:t>
      </w:r>
      <w:r>
        <w:rPr>
          <w:rFonts w:hint="default" w:ascii="Times New Roman" w:hAnsi="Times New Roman" w:eastAsia="宋体" w:cs="Times New Roman"/>
          <w:kern w:val="0"/>
          <w:sz w:val="24"/>
          <w:szCs w:val="24"/>
          <w:lang w:eastAsia="zh-CN"/>
        </w:rPr>
        <w:t>正常</w:t>
      </w:r>
      <w:r>
        <w:rPr>
          <w:rFonts w:hint="default" w:ascii="Times New Roman" w:hAnsi="Times New Roman" w:eastAsia="宋体" w:cs="Times New Roman"/>
          <w:kern w:val="0"/>
          <w:sz w:val="24"/>
          <w:szCs w:val="24"/>
        </w:rPr>
        <w:t>运行，日常维护保养和运行需由专人负责，并做好记录。</w:t>
      </w:r>
    </w:p>
    <w:p>
      <w:pPr>
        <w:keepNext w:val="0"/>
        <w:keepLines w:val="0"/>
        <w:pageBreakBefore w:val="0"/>
        <w:widowControl/>
        <w:kinsoku/>
        <w:overflowPunct/>
        <w:topLinePunct w:val="0"/>
        <w:bidi w:val="0"/>
        <w:adjustRightInd w:val="0"/>
        <w:snapToGrid w:val="0"/>
        <w:spacing w:after="0" w:line="360" w:lineRule="auto"/>
        <w:ind w:leftChars="0" w:right="0" w:firstLine="580"/>
        <w:jc w:val="both"/>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w:t>
      </w:r>
      <w:r>
        <w:rPr>
          <w:rFonts w:hint="default" w:ascii="Times New Roman" w:hAnsi="Times New Roman" w:eastAsia="宋体" w:cs="Times New Roman"/>
          <w:kern w:val="0"/>
          <w:sz w:val="24"/>
          <w:szCs w:val="24"/>
          <w:lang w:val="en-US" w:eastAsia="zh-CN"/>
        </w:rPr>
        <w:t>3</w:t>
      </w:r>
      <w:r>
        <w:rPr>
          <w:rFonts w:hint="default" w:ascii="Times New Roman" w:hAnsi="Times New Roman" w:eastAsia="宋体" w:cs="Times New Roman"/>
          <w:kern w:val="0"/>
          <w:sz w:val="24"/>
          <w:szCs w:val="24"/>
        </w:rPr>
        <w:t>）按照企业自行监测技术指南相关要求开展企业定期自行监测工作，并按照《企事业单位环境信息公开管理办法》要求进行环境信息公开。</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lang w:val="en-US" w:eastAsia="zh-CN"/>
        </w:rPr>
        <w:t>4</w:t>
      </w:r>
      <w:r>
        <w:rPr>
          <w:rFonts w:hint="default"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rPr>
        <w:t>搞好环保知识教育和技术培训，提高公司职工环保素质，完善环保资料的建档和管理。</w:t>
      </w:r>
    </w:p>
    <w:p>
      <w:pPr>
        <w:keepNext w:val="0"/>
        <w:keepLines w:val="0"/>
        <w:pageBreakBefore w:val="0"/>
        <w:kinsoku/>
        <w:overflowPunct/>
        <w:topLinePunct w:val="0"/>
        <w:bidi w:val="0"/>
        <w:spacing w:after="0" w:line="240" w:lineRule="auto"/>
        <w:ind w:leftChars="0" w:right="0" w:firstLine="0"/>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br w:type="page"/>
      </w:r>
    </w:p>
    <w:p>
      <w:pPr>
        <w:keepNext w:val="0"/>
        <w:keepLines w:val="0"/>
        <w:pageBreakBefore w:val="0"/>
        <w:kinsoku/>
        <w:overflowPunct/>
        <w:topLinePunct w:val="0"/>
        <w:bidi w:val="0"/>
        <w:spacing w:after="0" w:line="360" w:lineRule="auto"/>
        <w:ind w:leftChars="0" w:right="0" w:firstLine="562"/>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八、验收人员信息</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附件</w:t>
      </w:r>
      <w:r>
        <w:rPr>
          <w:rFonts w:hint="eastAsia" w:ascii="Times New Roman" w:hAnsi="Times New Roman" w:eastAsia="宋体" w:cs="Times New Roman"/>
          <w:kern w:val="2"/>
          <w:sz w:val="24"/>
          <w:szCs w:val="24"/>
          <w:lang w:eastAsia="zh-CN"/>
        </w:rPr>
        <w:t>：齐鲁中科光物理与工程技术研究院研发实验室竣工环境保护验收名单</w:t>
      </w:r>
      <w:r>
        <w:rPr>
          <w:rFonts w:hint="default" w:ascii="Times New Roman" w:hAnsi="Times New Roman" w:eastAsia="宋体" w:cs="Times New Roman"/>
          <w:kern w:val="2"/>
          <w:sz w:val="24"/>
          <w:szCs w:val="24"/>
        </w:rPr>
        <w:t>。</w:t>
      </w:r>
    </w:p>
    <w:p>
      <w:pPr>
        <w:keepNext w:val="0"/>
        <w:keepLines w:val="0"/>
        <w:pageBreakBefore w:val="0"/>
        <w:widowControl/>
        <w:kinsoku/>
        <w:overflowPunct/>
        <w:topLinePunct w:val="0"/>
        <w:bidi w:val="0"/>
        <w:adjustRightInd w:val="0"/>
        <w:snapToGrid w:val="0"/>
        <w:spacing w:after="0" w:line="360" w:lineRule="auto"/>
        <w:ind w:leftChars="0" w:right="0" w:firstLine="580"/>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验收组签字：</w:t>
      </w:r>
    </w:p>
    <w:p>
      <w:pPr>
        <w:pStyle w:val="2"/>
        <w:spacing w:line="360" w:lineRule="auto"/>
        <w:jc w:val="right"/>
        <w:rPr>
          <w:rFonts w:hint="default" w:ascii="Times New Roman" w:hAnsi="Times New Roman" w:eastAsia="宋体" w:cs="Times New Roman"/>
          <w:sz w:val="24"/>
          <w:szCs w:val="24"/>
        </w:rPr>
      </w:pPr>
    </w:p>
    <w:p>
      <w:pPr>
        <w:keepNext w:val="0"/>
        <w:keepLines w:val="0"/>
        <w:pageBreakBefore w:val="0"/>
        <w:widowControl w:val="0"/>
        <w:kinsoku/>
        <w:overflowPunct/>
        <w:topLinePunct w:val="0"/>
        <w:bidi w:val="0"/>
        <w:spacing w:after="0" w:line="360" w:lineRule="auto"/>
        <w:ind w:leftChars="0" w:right="0" w:firstLine="602"/>
        <w:jc w:val="right"/>
        <w:rPr>
          <w:rFonts w:hint="default" w:ascii="Times New Roman" w:hAnsi="Times New Roman" w:eastAsia="宋体" w:cs="Times New Roman"/>
          <w:b/>
          <w:color w:val="auto"/>
          <w:kern w:val="2"/>
          <w:sz w:val="24"/>
          <w:szCs w:val="24"/>
        </w:rPr>
      </w:pPr>
    </w:p>
    <w:p>
      <w:pPr>
        <w:pStyle w:val="2"/>
        <w:rPr>
          <w:rFonts w:hint="default" w:ascii="Times New Roman" w:hAnsi="Times New Roman" w:eastAsia="宋体" w:cs="Times New Roman"/>
          <w:b/>
          <w:color w:val="auto"/>
          <w:kern w:val="2"/>
          <w:sz w:val="24"/>
          <w:szCs w:val="24"/>
        </w:rPr>
      </w:pPr>
    </w:p>
    <w:p>
      <w:pPr>
        <w:rPr>
          <w:rFonts w:hint="default" w:ascii="Times New Roman" w:hAnsi="Times New Roman" w:eastAsia="宋体" w:cs="Times New Roman"/>
          <w:b/>
          <w:color w:val="auto"/>
          <w:kern w:val="2"/>
          <w:sz w:val="24"/>
          <w:szCs w:val="24"/>
        </w:rPr>
      </w:pPr>
    </w:p>
    <w:p>
      <w:pPr>
        <w:pStyle w:val="2"/>
        <w:rPr>
          <w:rFonts w:hint="default" w:ascii="Times New Roman" w:hAnsi="Times New Roman" w:eastAsia="宋体" w:cs="Times New Roman"/>
          <w:b/>
          <w:color w:val="auto"/>
          <w:kern w:val="2"/>
          <w:sz w:val="24"/>
          <w:szCs w:val="24"/>
        </w:rPr>
      </w:pPr>
    </w:p>
    <w:p>
      <w:pPr>
        <w:rPr>
          <w:rFonts w:hint="default" w:ascii="Times New Roman" w:hAnsi="Times New Roman" w:eastAsia="宋体" w:cs="Times New Roman"/>
          <w:b/>
          <w:color w:val="auto"/>
          <w:kern w:val="2"/>
          <w:sz w:val="24"/>
          <w:szCs w:val="24"/>
        </w:rPr>
      </w:pPr>
    </w:p>
    <w:p>
      <w:pPr>
        <w:pStyle w:val="2"/>
        <w:rPr>
          <w:rFonts w:hint="default" w:ascii="Times New Roman" w:hAnsi="Times New Roman" w:eastAsia="宋体" w:cs="Times New Roman"/>
          <w:b/>
          <w:color w:val="auto"/>
          <w:kern w:val="2"/>
          <w:sz w:val="24"/>
          <w:szCs w:val="24"/>
        </w:rPr>
      </w:pPr>
    </w:p>
    <w:p>
      <w:pPr>
        <w:rPr>
          <w:rFonts w:hint="default" w:ascii="Times New Roman" w:hAnsi="Times New Roman" w:eastAsia="宋体" w:cs="Times New Roman"/>
          <w:b/>
          <w:color w:val="auto"/>
          <w:kern w:val="2"/>
          <w:sz w:val="24"/>
          <w:szCs w:val="24"/>
        </w:rPr>
      </w:pPr>
    </w:p>
    <w:p>
      <w:pPr>
        <w:pStyle w:val="2"/>
        <w:rPr>
          <w:rFonts w:hint="default" w:ascii="Times New Roman" w:hAnsi="Times New Roman" w:eastAsia="宋体" w:cs="Times New Roman"/>
          <w:b/>
          <w:color w:val="auto"/>
          <w:kern w:val="2"/>
          <w:sz w:val="24"/>
          <w:szCs w:val="24"/>
        </w:rPr>
      </w:pPr>
    </w:p>
    <w:p>
      <w:pPr>
        <w:rPr>
          <w:rFonts w:hint="default" w:ascii="Times New Roman" w:hAnsi="Times New Roman" w:eastAsia="宋体" w:cs="Times New Roman"/>
          <w:b/>
          <w:color w:val="auto"/>
          <w:kern w:val="2"/>
          <w:sz w:val="24"/>
          <w:szCs w:val="24"/>
        </w:rPr>
      </w:pPr>
    </w:p>
    <w:p>
      <w:pPr>
        <w:pStyle w:val="2"/>
        <w:rPr>
          <w:rFonts w:hint="default"/>
        </w:rPr>
      </w:pPr>
    </w:p>
    <w:p>
      <w:pPr>
        <w:keepNext w:val="0"/>
        <w:keepLines w:val="0"/>
        <w:pageBreakBefore w:val="0"/>
        <w:widowControl/>
        <w:kinsoku/>
        <w:wordWrap/>
        <w:overflowPunct/>
        <w:topLinePunct w:val="0"/>
        <w:bidi w:val="0"/>
        <w:spacing w:after="0" w:line="360" w:lineRule="auto"/>
        <w:ind w:leftChars="0" w:right="0" w:firstLine="580"/>
        <w:jc w:val="right"/>
        <w:rPr>
          <w:rFonts w:hint="eastAsia" w:ascii="Times New Roman" w:hAnsi="Times New Roman" w:eastAsia="宋体" w:cs="Times New Roman"/>
          <w:sz w:val="24"/>
          <w:szCs w:val="24"/>
          <w:lang w:eastAsia="zh-CN"/>
        </w:rPr>
      </w:pPr>
    </w:p>
    <w:p>
      <w:pPr>
        <w:keepNext w:val="0"/>
        <w:keepLines w:val="0"/>
        <w:pageBreakBefore w:val="0"/>
        <w:widowControl/>
        <w:kinsoku/>
        <w:wordWrap/>
        <w:overflowPunct/>
        <w:topLinePunct w:val="0"/>
        <w:bidi w:val="0"/>
        <w:spacing w:after="0" w:line="360" w:lineRule="auto"/>
        <w:ind w:leftChars="0" w:right="0" w:firstLine="580"/>
        <w:jc w:val="right"/>
        <w:rPr>
          <w:rFonts w:hint="eastAsia" w:ascii="Times New Roman" w:hAnsi="Times New Roman" w:eastAsia="宋体" w:cs="Times New Roman"/>
          <w:sz w:val="24"/>
          <w:szCs w:val="24"/>
          <w:lang w:eastAsia="zh-CN"/>
        </w:rPr>
      </w:pPr>
    </w:p>
    <w:p>
      <w:pPr>
        <w:keepNext w:val="0"/>
        <w:keepLines w:val="0"/>
        <w:pageBreakBefore w:val="0"/>
        <w:widowControl/>
        <w:kinsoku/>
        <w:wordWrap/>
        <w:overflowPunct/>
        <w:topLinePunct w:val="0"/>
        <w:bidi w:val="0"/>
        <w:spacing w:after="0" w:line="360" w:lineRule="auto"/>
        <w:ind w:leftChars="0" w:right="0" w:firstLine="580"/>
        <w:jc w:val="right"/>
        <w:rPr>
          <w:rFonts w:hint="eastAsia" w:ascii="Times New Roman" w:hAnsi="Times New Roman" w:eastAsia="宋体" w:cs="Times New Roman"/>
          <w:sz w:val="24"/>
          <w:szCs w:val="24"/>
          <w:lang w:eastAsia="zh-CN"/>
        </w:rPr>
      </w:pPr>
    </w:p>
    <w:p>
      <w:pPr>
        <w:keepNext w:val="0"/>
        <w:keepLines w:val="0"/>
        <w:pageBreakBefore w:val="0"/>
        <w:widowControl/>
        <w:kinsoku/>
        <w:wordWrap/>
        <w:overflowPunct/>
        <w:topLinePunct w:val="0"/>
        <w:bidi w:val="0"/>
        <w:spacing w:after="0" w:line="360" w:lineRule="auto"/>
        <w:ind w:leftChars="0" w:right="0" w:firstLine="580"/>
        <w:jc w:val="right"/>
        <w:rPr>
          <w:rFonts w:hint="eastAsia" w:ascii="Times New Roman" w:hAnsi="Times New Roman" w:eastAsia="宋体" w:cs="Times New Roman"/>
          <w:sz w:val="24"/>
          <w:szCs w:val="24"/>
          <w:lang w:eastAsia="zh-CN"/>
        </w:rPr>
      </w:pPr>
    </w:p>
    <w:p>
      <w:pPr>
        <w:keepNext w:val="0"/>
        <w:keepLines w:val="0"/>
        <w:pageBreakBefore w:val="0"/>
        <w:widowControl/>
        <w:kinsoku/>
        <w:wordWrap/>
        <w:overflowPunct/>
        <w:topLinePunct w:val="0"/>
        <w:bidi w:val="0"/>
        <w:spacing w:after="0" w:line="360" w:lineRule="auto"/>
        <w:ind w:leftChars="0" w:right="0" w:firstLine="580"/>
        <w:jc w:val="right"/>
        <w:rPr>
          <w:rFonts w:hint="default"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齐鲁中科光物理与工程技术研究院</w:t>
      </w:r>
    </w:p>
    <w:p>
      <w:pPr>
        <w:widowControl/>
        <w:snapToGrid w:val="0"/>
        <w:ind w:firstLine="580"/>
        <w:jc w:val="righ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2022年1月14日</w:t>
      </w:r>
    </w:p>
    <w:p>
      <w:pPr>
        <w:pStyle w:val="2"/>
        <w:rPr>
          <w:rFonts w:hint="eastAsia" w:ascii="Times New Roman" w:hAnsi="Times New Roman" w:eastAsia="宋体" w:cs="Times New Roman"/>
          <w:sz w:val="24"/>
          <w:szCs w:val="24"/>
          <w:lang w:val="en-US" w:eastAsia="zh-CN"/>
        </w:rPr>
      </w:pPr>
    </w:p>
    <w:p>
      <w:pPr>
        <w:rPr>
          <w:rFonts w:hint="default"/>
          <w:lang w:val="en-US" w:eastAsia="zh-CN"/>
        </w:rPr>
        <w:sectPr>
          <w:headerReference r:id="rId5" w:type="default"/>
          <w:footerReference r:id="rId6" w:type="default"/>
          <w:pgSz w:w="11850" w:h="16783"/>
          <w:pgMar w:top="1440" w:right="1423" w:bottom="1440" w:left="1423" w:header="851" w:footer="992" w:gutter="0"/>
          <w:cols w:space="0" w:num="1"/>
          <w:docGrid w:type="lines" w:linePitch="314" w:charSpace="0"/>
        </w:sectPr>
      </w:pPr>
    </w:p>
    <w:p>
      <w:pPr>
        <w:pStyle w:val="23"/>
        <w:ind w:firstLine="0" w:firstLineChars="0"/>
        <w:rPr>
          <w:rFonts w:hint="default" w:ascii="Times New Roman" w:hAnsi="Times New Roman" w:eastAsia="宋体" w:cs="Times New Roman"/>
          <w:sz w:val="24"/>
          <w:szCs w:val="24"/>
          <w:lang w:val="en-US" w:eastAsia="zh-CN"/>
        </w:rPr>
      </w:pPr>
    </w:p>
    <w:bookmarkEnd w:id="0"/>
    <w:sectPr>
      <w:pgSz w:w="16783" w:h="11850" w:orient="landscape"/>
      <w:pgMar w:top="1423" w:right="1440" w:bottom="1423" w:left="1440" w:header="851" w:footer="992" w:gutter="0"/>
      <w:cols w:space="0" w:num="1"/>
      <w:docGrid w:type="lines" w:linePitch="314"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40"/>
      </w:pPr>
      <w:r>
        <w:separator/>
      </w:r>
    </w:p>
  </w:endnote>
  <w:endnote w:type="continuationSeparator" w:id="1">
    <w:p>
      <w:pPr>
        <w:spacing w:line="240" w:lineRule="auto"/>
        <w:ind w:firstLine="4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方正小标宋简体">
    <w:altName w:val="微软雅黑"/>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ind w:firstLine="440"/>
      </w:pPr>
      <w:r>
        <w:separator/>
      </w:r>
    </w:p>
  </w:footnote>
  <w:footnote w:type="continuationSeparator" w:id="1">
    <w:p>
      <w:pPr>
        <w:spacing w:before="0" w:after="0" w:line="360" w:lineRule="auto"/>
        <w:ind w:firstLine="4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ind w:firstLine="360"/>
      <w:rPr>
        <w:rFonts w:cs="Tahom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C80BCAD"/>
    <w:multiLevelType w:val="singleLevel"/>
    <w:tmpl w:val="FC80BCAD"/>
    <w:lvl w:ilvl="0" w:tentative="0">
      <w:start w:val="1"/>
      <w:numFmt w:val="bullet"/>
      <w:pStyle w:val="12"/>
      <w:lvlText w:val=""/>
      <w:lvlJc w:val="left"/>
      <w:pPr>
        <w:tabs>
          <w:tab w:val="left" w:pos="2040"/>
        </w:tabs>
        <w:ind w:left="2040" w:hanging="360"/>
      </w:pPr>
      <w:rPr>
        <w:rFonts w:hint="default" w:ascii="Wingdings" w:hAnsi="Wingdings"/>
      </w:rPr>
    </w:lvl>
  </w:abstractNum>
  <w:abstractNum w:abstractNumId="1">
    <w:nsid w:val="0B60A679"/>
    <w:multiLevelType w:val="singleLevel"/>
    <w:tmpl w:val="0B60A679"/>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trackRevisions w:val="1"/>
  <w:documentProtection w:enforcement="0"/>
  <w:defaultTabStop w:val="420"/>
  <w:doNotHyphenateCaps/>
  <w:drawingGridVerticalSpacing w:val="157"/>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gxMjNkZDE3NjJiZmU3MzFlNjgxMTIzZjViZDlhMDEifQ=="/>
  </w:docVars>
  <w:rsids>
    <w:rsidRoot w:val="00172A27"/>
    <w:rsid w:val="00035A13"/>
    <w:rsid w:val="0003659E"/>
    <w:rsid w:val="00051171"/>
    <w:rsid w:val="0005571D"/>
    <w:rsid w:val="00082D69"/>
    <w:rsid w:val="000B6AB9"/>
    <w:rsid w:val="000C5950"/>
    <w:rsid w:val="000D22C0"/>
    <w:rsid w:val="000D2C30"/>
    <w:rsid w:val="000E6A6D"/>
    <w:rsid w:val="00100522"/>
    <w:rsid w:val="00100D45"/>
    <w:rsid w:val="00112FCB"/>
    <w:rsid w:val="00123494"/>
    <w:rsid w:val="00123D3F"/>
    <w:rsid w:val="00136E9D"/>
    <w:rsid w:val="001374C9"/>
    <w:rsid w:val="00151430"/>
    <w:rsid w:val="001B2C20"/>
    <w:rsid w:val="001C4038"/>
    <w:rsid w:val="001E3192"/>
    <w:rsid w:val="001F25A9"/>
    <w:rsid w:val="00204BB3"/>
    <w:rsid w:val="00240D08"/>
    <w:rsid w:val="00244A46"/>
    <w:rsid w:val="002801F6"/>
    <w:rsid w:val="002849BC"/>
    <w:rsid w:val="002863EA"/>
    <w:rsid w:val="002874F0"/>
    <w:rsid w:val="002906CD"/>
    <w:rsid w:val="00294FC2"/>
    <w:rsid w:val="002B32BD"/>
    <w:rsid w:val="002F2B00"/>
    <w:rsid w:val="002F4D8C"/>
    <w:rsid w:val="002F5573"/>
    <w:rsid w:val="00304D4E"/>
    <w:rsid w:val="00306497"/>
    <w:rsid w:val="00321DDE"/>
    <w:rsid w:val="00345CAC"/>
    <w:rsid w:val="003A0123"/>
    <w:rsid w:val="003B47BB"/>
    <w:rsid w:val="003C26BC"/>
    <w:rsid w:val="003C3CA8"/>
    <w:rsid w:val="003E1ED5"/>
    <w:rsid w:val="003E323E"/>
    <w:rsid w:val="00411DD0"/>
    <w:rsid w:val="00436EA1"/>
    <w:rsid w:val="00454708"/>
    <w:rsid w:val="00464600"/>
    <w:rsid w:val="00474534"/>
    <w:rsid w:val="00475734"/>
    <w:rsid w:val="00476E07"/>
    <w:rsid w:val="0048437D"/>
    <w:rsid w:val="00493633"/>
    <w:rsid w:val="004A0639"/>
    <w:rsid w:val="004A497C"/>
    <w:rsid w:val="004B7E5F"/>
    <w:rsid w:val="004C36BB"/>
    <w:rsid w:val="004C40B4"/>
    <w:rsid w:val="004E2FE4"/>
    <w:rsid w:val="00522759"/>
    <w:rsid w:val="00532369"/>
    <w:rsid w:val="00587216"/>
    <w:rsid w:val="005A5206"/>
    <w:rsid w:val="005A6685"/>
    <w:rsid w:val="005B00F4"/>
    <w:rsid w:val="005B1BA4"/>
    <w:rsid w:val="005D72B5"/>
    <w:rsid w:val="005E0897"/>
    <w:rsid w:val="005E09DC"/>
    <w:rsid w:val="0060524E"/>
    <w:rsid w:val="00607661"/>
    <w:rsid w:val="0062738C"/>
    <w:rsid w:val="00635C38"/>
    <w:rsid w:val="00656C9A"/>
    <w:rsid w:val="00660B7E"/>
    <w:rsid w:val="006633A9"/>
    <w:rsid w:val="00675801"/>
    <w:rsid w:val="00675B32"/>
    <w:rsid w:val="00676B00"/>
    <w:rsid w:val="00687553"/>
    <w:rsid w:val="006915ED"/>
    <w:rsid w:val="006A00F0"/>
    <w:rsid w:val="006A4004"/>
    <w:rsid w:val="006F79A8"/>
    <w:rsid w:val="00710178"/>
    <w:rsid w:val="007371E6"/>
    <w:rsid w:val="00746AC2"/>
    <w:rsid w:val="0075590D"/>
    <w:rsid w:val="00777542"/>
    <w:rsid w:val="0079354C"/>
    <w:rsid w:val="0079381D"/>
    <w:rsid w:val="00794F0E"/>
    <w:rsid w:val="007B66FA"/>
    <w:rsid w:val="007B7205"/>
    <w:rsid w:val="007C652D"/>
    <w:rsid w:val="007D1C85"/>
    <w:rsid w:val="007F3A23"/>
    <w:rsid w:val="008017AA"/>
    <w:rsid w:val="008047FA"/>
    <w:rsid w:val="008105AC"/>
    <w:rsid w:val="00820E46"/>
    <w:rsid w:val="00827A40"/>
    <w:rsid w:val="00834FAD"/>
    <w:rsid w:val="008515B7"/>
    <w:rsid w:val="00856FE8"/>
    <w:rsid w:val="00860219"/>
    <w:rsid w:val="00876AD0"/>
    <w:rsid w:val="00892B1A"/>
    <w:rsid w:val="00892C76"/>
    <w:rsid w:val="008D1DEF"/>
    <w:rsid w:val="008F6892"/>
    <w:rsid w:val="0091374D"/>
    <w:rsid w:val="009318B7"/>
    <w:rsid w:val="0094565D"/>
    <w:rsid w:val="00987513"/>
    <w:rsid w:val="009A15C6"/>
    <w:rsid w:val="009B41E2"/>
    <w:rsid w:val="009C5305"/>
    <w:rsid w:val="009F29BA"/>
    <w:rsid w:val="00A00D62"/>
    <w:rsid w:val="00A12AFC"/>
    <w:rsid w:val="00A23A98"/>
    <w:rsid w:val="00A263F8"/>
    <w:rsid w:val="00A32939"/>
    <w:rsid w:val="00A57E27"/>
    <w:rsid w:val="00A87D8D"/>
    <w:rsid w:val="00A97E42"/>
    <w:rsid w:val="00AC4896"/>
    <w:rsid w:val="00AE567B"/>
    <w:rsid w:val="00AE7916"/>
    <w:rsid w:val="00B012B2"/>
    <w:rsid w:val="00B04612"/>
    <w:rsid w:val="00B15EB9"/>
    <w:rsid w:val="00B20B7C"/>
    <w:rsid w:val="00B25879"/>
    <w:rsid w:val="00B265CF"/>
    <w:rsid w:val="00B355D4"/>
    <w:rsid w:val="00B419D8"/>
    <w:rsid w:val="00B42638"/>
    <w:rsid w:val="00B50064"/>
    <w:rsid w:val="00B54C75"/>
    <w:rsid w:val="00B8081D"/>
    <w:rsid w:val="00B84B89"/>
    <w:rsid w:val="00B90D5E"/>
    <w:rsid w:val="00B9519E"/>
    <w:rsid w:val="00BA090A"/>
    <w:rsid w:val="00BE053E"/>
    <w:rsid w:val="00BE697B"/>
    <w:rsid w:val="00C273CD"/>
    <w:rsid w:val="00C65C81"/>
    <w:rsid w:val="00C7749F"/>
    <w:rsid w:val="00C82779"/>
    <w:rsid w:val="00C94515"/>
    <w:rsid w:val="00CE5494"/>
    <w:rsid w:val="00CE6E57"/>
    <w:rsid w:val="00D0629A"/>
    <w:rsid w:val="00D16BE8"/>
    <w:rsid w:val="00D27945"/>
    <w:rsid w:val="00D64752"/>
    <w:rsid w:val="00D705C2"/>
    <w:rsid w:val="00D96E1A"/>
    <w:rsid w:val="00DF6E75"/>
    <w:rsid w:val="00DF72AB"/>
    <w:rsid w:val="00E02AB0"/>
    <w:rsid w:val="00E4216C"/>
    <w:rsid w:val="00E46C72"/>
    <w:rsid w:val="00E544C5"/>
    <w:rsid w:val="00E749C3"/>
    <w:rsid w:val="00E770BA"/>
    <w:rsid w:val="00E81432"/>
    <w:rsid w:val="00E81D6E"/>
    <w:rsid w:val="00E852D0"/>
    <w:rsid w:val="00E87B21"/>
    <w:rsid w:val="00EB0F5B"/>
    <w:rsid w:val="00EB33EC"/>
    <w:rsid w:val="00EC287A"/>
    <w:rsid w:val="00ED368E"/>
    <w:rsid w:val="00F1024F"/>
    <w:rsid w:val="00F14097"/>
    <w:rsid w:val="00F14501"/>
    <w:rsid w:val="00F3369D"/>
    <w:rsid w:val="00F33F12"/>
    <w:rsid w:val="00F426D9"/>
    <w:rsid w:val="00F564CC"/>
    <w:rsid w:val="00FA009F"/>
    <w:rsid w:val="00FA255C"/>
    <w:rsid w:val="00FA5F64"/>
    <w:rsid w:val="00FA7250"/>
    <w:rsid w:val="00FB2A45"/>
    <w:rsid w:val="00FE02A1"/>
    <w:rsid w:val="00FE1F4C"/>
    <w:rsid w:val="00FE3872"/>
    <w:rsid w:val="00FF0264"/>
    <w:rsid w:val="00FF4184"/>
    <w:rsid w:val="02874060"/>
    <w:rsid w:val="02C7498E"/>
    <w:rsid w:val="030F2A78"/>
    <w:rsid w:val="03CF05A3"/>
    <w:rsid w:val="04773D02"/>
    <w:rsid w:val="04F64D61"/>
    <w:rsid w:val="05312C57"/>
    <w:rsid w:val="05982B91"/>
    <w:rsid w:val="06B576B4"/>
    <w:rsid w:val="06DC3814"/>
    <w:rsid w:val="074671CC"/>
    <w:rsid w:val="0766665A"/>
    <w:rsid w:val="07AD0944"/>
    <w:rsid w:val="087B4B2D"/>
    <w:rsid w:val="093B00AF"/>
    <w:rsid w:val="09865549"/>
    <w:rsid w:val="0A5E79C8"/>
    <w:rsid w:val="0AA05173"/>
    <w:rsid w:val="0AE850E5"/>
    <w:rsid w:val="0C793B3D"/>
    <w:rsid w:val="0C850E03"/>
    <w:rsid w:val="0D7C6268"/>
    <w:rsid w:val="0DAD0CD4"/>
    <w:rsid w:val="0E5C0ED0"/>
    <w:rsid w:val="0F0F1371"/>
    <w:rsid w:val="0F76507F"/>
    <w:rsid w:val="106525CA"/>
    <w:rsid w:val="10C304AB"/>
    <w:rsid w:val="10F37360"/>
    <w:rsid w:val="1110472C"/>
    <w:rsid w:val="116A15B6"/>
    <w:rsid w:val="11C86278"/>
    <w:rsid w:val="139A1CD6"/>
    <w:rsid w:val="143A4ACA"/>
    <w:rsid w:val="145A1C25"/>
    <w:rsid w:val="14D13E26"/>
    <w:rsid w:val="14D33197"/>
    <w:rsid w:val="15553DF7"/>
    <w:rsid w:val="15B33D50"/>
    <w:rsid w:val="15DA0777"/>
    <w:rsid w:val="15E81ECB"/>
    <w:rsid w:val="15F26564"/>
    <w:rsid w:val="16881707"/>
    <w:rsid w:val="178E0669"/>
    <w:rsid w:val="184303B5"/>
    <w:rsid w:val="188D7E54"/>
    <w:rsid w:val="1918245D"/>
    <w:rsid w:val="197511F7"/>
    <w:rsid w:val="1A5F31B7"/>
    <w:rsid w:val="1A9B36F6"/>
    <w:rsid w:val="1AD71EA4"/>
    <w:rsid w:val="1CEF7581"/>
    <w:rsid w:val="1D3D2E8E"/>
    <w:rsid w:val="1DCF6A15"/>
    <w:rsid w:val="1E061AFB"/>
    <w:rsid w:val="1FB0700F"/>
    <w:rsid w:val="1FB60655"/>
    <w:rsid w:val="1FE7169E"/>
    <w:rsid w:val="201D7A42"/>
    <w:rsid w:val="202F4709"/>
    <w:rsid w:val="20EF52E9"/>
    <w:rsid w:val="21081222"/>
    <w:rsid w:val="21B2626F"/>
    <w:rsid w:val="221B3059"/>
    <w:rsid w:val="226D3CFE"/>
    <w:rsid w:val="22D929C4"/>
    <w:rsid w:val="22E97112"/>
    <w:rsid w:val="22FD2DEE"/>
    <w:rsid w:val="2306772B"/>
    <w:rsid w:val="237B1C30"/>
    <w:rsid w:val="24EE055F"/>
    <w:rsid w:val="256D51AD"/>
    <w:rsid w:val="25730E5F"/>
    <w:rsid w:val="25DA358A"/>
    <w:rsid w:val="27183FAE"/>
    <w:rsid w:val="28702BFD"/>
    <w:rsid w:val="287A70C8"/>
    <w:rsid w:val="29E52C04"/>
    <w:rsid w:val="2A7704C9"/>
    <w:rsid w:val="2C5A2F7C"/>
    <w:rsid w:val="2C5B7A7A"/>
    <w:rsid w:val="2C631EE5"/>
    <w:rsid w:val="2D42357D"/>
    <w:rsid w:val="2FEE4FC6"/>
    <w:rsid w:val="303B521B"/>
    <w:rsid w:val="30446957"/>
    <w:rsid w:val="31165624"/>
    <w:rsid w:val="31447B17"/>
    <w:rsid w:val="31545D96"/>
    <w:rsid w:val="32181D4B"/>
    <w:rsid w:val="322A6115"/>
    <w:rsid w:val="325E60DB"/>
    <w:rsid w:val="32A4059B"/>
    <w:rsid w:val="3307355C"/>
    <w:rsid w:val="33C81DD3"/>
    <w:rsid w:val="38105541"/>
    <w:rsid w:val="386F3A84"/>
    <w:rsid w:val="39493F69"/>
    <w:rsid w:val="3B0844DE"/>
    <w:rsid w:val="3BC907C3"/>
    <w:rsid w:val="3C931740"/>
    <w:rsid w:val="3CE227B1"/>
    <w:rsid w:val="3E047166"/>
    <w:rsid w:val="3E083A98"/>
    <w:rsid w:val="3EBD4C50"/>
    <w:rsid w:val="3F307FC6"/>
    <w:rsid w:val="3F3F6175"/>
    <w:rsid w:val="3F5F5D14"/>
    <w:rsid w:val="3F8D744B"/>
    <w:rsid w:val="3FB36297"/>
    <w:rsid w:val="40225A34"/>
    <w:rsid w:val="417D1105"/>
    <w:rsid w:val="41FC7E24"/>
    <w:rsid w:val="420115B3"/>
    <w:rsid w:val="426125CF"/>
    <w:rsid w:val="427E149F"/>
    <w:rsid w:val="44034335"/>
    <w:rsid w:val="4420552A"/>
    <w:rsid w:val="44285812"/>
    <w:rsid w:val="455B5A78"/>
    <w:rsid w:val="455F2AA3"/>
    <w:rsid w:val="45B544A3"/>
    <w:rsid w:val="45E845F0"/>
    <w:rsid w:val="471E352A"/>
    <w:rsid w:val="47D8037F"/>
    <w:rsid w:val="493E0B7E"/>
    <w:rsid w:val="49506749"/>
    <w:rsid w:val="49C55197"/>
    <w:rsid w:val="49CD6A25"/>
    <w:rsid w:val="4A1168BD"/>
    <w:rsid w:val="4A2F3EE7"/>
    <w:rsid w:val="4A5821EF"/>
    <w:rsid w:val="4B4674D2"/>
    <w:rsid w:val="4B7C5A47"/>
    <w:rsid w:val="4BCC3852"/>
    <w:rsid w:val="4BEB2588"/>
    <w:rsid w:val="4C144871"/>
    <w:rsid w:val="4C345582"/>
    <w:rsid w:val="4CFA33FC"/>
    <w:rsid w:val="4DEA6DA2"/>
    <w:rsid w:val="4E7723EA"/>
    <w:rsid w:val="4E9C001A"/>
    <w:rsid w:val="502B6E83"/>
    <w:rsid w:val="5078219D"/>
    <w:rsid w:val="51142D8E"/>
    <w:rsid w:val="511B243F"/>
    <w:rsid w:val="51AE70CE"/>
    <w:rsid w:val="529B46C0"/>
    <w:rsid w:val="52E349A0"/>
    <w:rsid w:val="52F62681"/>
    <w:rsid w:val="532458E8"/>
    <w:rsid w:val="54970FF4"/>
    <w:rsid w:val="54D041E8"/>
    <w:rsid w:val="55BC4161"/>
    <w:rsid w:val="56937BD7"/>
    <w:rsid w:val="57EE219F"/>
    <w:rsid w:val="586216B7"/>
    <w:rsid w:val="590D7306"/>
    <w:rsid w:val="59366F33"/>
    <w:rsid w:val="59610487"/>
    <w:rsid w:val="599F18F9"/>
    <w:rsid w:val="59A83D85"/>
    <w:rsid w:val="59B92F56"/>
    <w:rsid w:val="59E25E8C"/>
    <w:rsid w:val="5AB94A93"/>
    <w:rsid w:val="5AEA1F97"/>
    <w:rsid w:val="5C0F67ED"/>
    <w:rsid w:val="5C211791"/>
    <w:rsid w:val="5C8439DC"/>
    <w:rsid w:val="5CD62FD7"/>
    <w:rsid w:val="5CDE795B"/>
    <w:rsid w:val="5D2807D4"/>
    <w:rsid w:val="5DC22282"/>
    <w:rsid w:val="5DCC210D"/>
    <w:rsid w:val="5DD23BD9"/>
    <w:rsid w:val="5DF97045"/>
    <w:rsid w:val="5E1637D7"/>
    <w:rsid w:val="5E1F609D"/>
    <w:rsid w:val="5E50770E"/>
    <w:rsid w:val="5E54739E"/>
    <w:rsid w:val="5F190BA3"/>
    <w:rsid w:val="614F11BA"/>
    <w:rsid w:val="621D3446"/>
    <w:rsid w:val="62895E57"/>
    <w:rsid w:val="63113C8D"/>
    <w:rsid w:val="637D3F61"/>
    <w:rsid w:val="63A731B1"/>
    <w:rsid w:val="63AB48A9"/>
    <w:rsid w:val="63D037D4"/>
    <w:rsid w:val="63D41A4D"/>
    <w:rsid w:val="653B3E7E"/>
    <w:rsid w:val="654C556F"/>
    <w:rsid w:val="66306408"/>
    <w:rsid w:val="67115D27"/>
    <w:rsid w:val="682436AA"/>
    <w:rsid w:val="68BD0ABC"/>
    <w:rsid w:val="68D80F78"/>
    <w:rsid w:val="68F1343C"/>
    <w:rsid w:val="6939445F"/>
    <w:rsid w:val="6A1B75A5"/>
    <w:rsid w:val="6AB86025"/>
    <w:rsid w:val="6AD54F6D"/>
    <w:rsid w:val="6B4E204F"/>
    <w:rsid w:val="6BFC5334"/>
    <w:rsid w:val="6CFF7247"/>
    <w:rsid w:val="6E4A4A40"/>
    <w:rsid w:val="6F063E1D"/>
    <w:rsid w:val="6F0E2C27"/>
    <w:rsid w:val="6F4C183A"/>
    <w:rsid w:val="6F812984"/>
    <w:rsid w:val="6FDE4694"/>
    <w:rsid w:val="6FFF6F45"/>
    <w:rsid w:val="70F21638"/>
    <w:rsid w:val="72130C84"/>
    <w:rsid w:val="728263F5"/>
    <w:rsid w:val="72B727BB"/>
    <w:rsid w:val="72D407BC"/>
    <w:rsid w:val="72E31D4B"/>
    <w:rsid w:val="7388340E"/>
    <w:rsid w:val="73AB4460"/>
    <w:rsid w:val="73E63676"/>
    <w:rsid w:val="741A2FF9"/>
    <w:rsid w:val="743F7A11"/>
    <w:rsid w:val="74DD6887"/>
    <w:rsid w:val="750A7806"/>
    <w:rsid w:val="75703EEA"/>
    <w:rsid w:val="75BF4004"/>
    <w:rsid w:val="762228EF"/>
    <w:rsid w:val="77EE65ED"/>
    <w:rsid w:val="79426BD7"/>
    <w:rsid w:val="796A316D"/>
    <w:rsid w:val="798727B4"/>
    <w:rsid w:val="79F51CB5"/>
    <w:rsid w:val="7A5902CD"/>
    <w:rsid w:val="7A7748C0"/>
    <w:rsid w:val="7A971671"/>
    <w:rsid w:val="7A976B94"/>
    <w:rsid w:val="7AD11380"/>
    <w:rsid w:val="7B505291"/>
    <w:rsid w:val="7BDE3D7C"/>
    <w:rsid w:val="7C584461"/>
    <w:rsid w:val="7CB30260"/>
    <w:rsid w:val="7CD21CE4"/>
    <w:rsid w:val="7CEE7D3C"/>
    <w:rsid w:val="7D584F27"/>
    <w:rsid w:val="7DBE38D5"/>
    <w:rsid w:val="7E342880"/>
    <w:rsid w:val="7F0C4BBE"/>
    <w:rsid w:val="7F7C79D4"/>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0" w:semiHidden="0" w:name="heading 2" w:locked="1"/>
    <w:lsdException w:qFormat="1" w:uiPriority="0" w:name="heading 3" w:locked="1"/>
    <w:lsdException w:qFormat="1" w:unhideWhenUsed="0" w:uiPriority="0" w:semiHidden="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qFormat="1" w:unhideWhenUsed="0"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line="360" w:lineRule="auto"/>
      <w:ind w:firstLine="200" w:firstLineChars="200"/>
      <w:jc w:val="both"/>
    </w:pPr>
    <w:rPr>
      <w:rFonts w:ascii="Tahoma" w:hAnsi="Tahoma" w:eastAsia="微软雅黑" w:cs="Tahoma"/>
      <w:sz w:val="22"/>
      <w:szCs w:val="22"/>
      <w:lang w:val="en-US" w:eastAsia="zh-CN" w:bidi="ar-SA"/>
    </w:rPr>
  </w:style>
  <w:style w:type="paragraph" w:styleId="4">
    <w:name w:val="heading 1"/>
    <w:basedOn w:val="1"/>
    <w:next w:val="1"/>
    <w:link w:val="36"/>
    <w:qFormat/>
    <w:locked/>
    <w:uiPriority w:val="0"/>
    <w:pPr>
      <w:keepNext/>
      <w:keepLines/>
      <w:spacing w:before="340" w:after="330" w:line="578" w:lineRule="auto"/>
      <w:outlineLvl w:val="0"/>
    </w:pPr>
    <w:rPr>
      <w:b/>
      <w:bCs/>
      <w:kern w:val="44"/>
      <w:sz w:val="44"/>
      <w:szCs w:val="44"/>
    </w:rPr>
  </w:style>
  <w:style w:type="paragraph" w:styleId="5">
    <w:name w:val="heading 2"/>
    <w:basedOn w:val="1"/>
    <w:next w:val="1"/>
    <w:qFormat/>
    <w:locked/>
    <w:uiPriority w:val="0"/>
    <w:pPr>
      <w:keepNext/>
      <w:spacing w:line="360" w:lineRule="auto"/>
      <w:ind w:firstLine="0" w:firstLineChars="0"/>
      <w:outlineLvl w:val="1"/>
    </w:pPr>
    <w:rPr>
      <w:b/>
      <w:bCs/>
      <w:sz w:val="28"/>
    </w:rPr>
  </w:style>
  <w:style w:type="paragraph" w:styleId="6">
    <w:name w:val="heading 4"/>
    <w:basedOn w:val="1"/>
    <w:next w:val="1"/>
    <w:link w:val="34"/>
    <w:qFormat/>
    <w:locked/>
    <w:uiPriority w:val="0"/>
    <w:pPr>
      <w:widowControl w:val="0"/>
      <w:adjustRightInd/>
      <w:snapToGrid/>
      <w:spacing w:beforeLines="50" w:afterLines="50"/>
      <w:outlineLvl w:val="3"/>
    </w:pPr>
    <w:rPr>
      <w:rFonts w:ascii="Times New Roman" w:hAnsi="Times New Roman" w:eastAsia="宋体" w:cs="Times New Roman"/>
      <w:b/>
      <w:kern w:val="2"/>
      <w:sz w:val="28"/>
      <w:szCs w:val="28"/>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ind w:firstLine="420"/>
    </w:pPr>
    <w:rPr>
      <w:sz w:val="21"/>
    </w:rPr>
  </w:style>
  <w:style w:type="paragraph" w:styleId="3">
    <w:name w:val="Body Text Indent"/>
    <w:basedOn w:val="1"/>
    <w:next w:val="1"/>
    <w:qFormat/>
    <w:uiPriority w:val="0"/>
    <w:pPr>
      <w:spacing w:after="120"/>
      <w:ind w:left="420" w:leftChars="200"/>
    </w:pPr>
    <w:rPr>
      <w:sz w:val="20"/>
      <w:szCs w:val="20"/>
    </w:rPr>
  </w:style>
  <w:style w:type="paragraph" w:styleId="7">
    <w:name w:val="Normal Indent"/>
    <w:basedOn w:val="1"/>
    <w:next w:val="1"/>
    <w:qFormat/>
    <w:uiPriority w:val="0"/>
    <w:pPr>
      <w:ind w:firstLine="420"/>
    </w:pPr>
    <w:rPr>
      <w:szCs w:val="20"/>
    </w:rPr>
  </w:style>
  <w:style w:type="paragraph" w:styleId="8">
    <w:name w:val="Document Map"/>
    <w:basedOn w:val="1"/>
    <w:link w:val="33"/>
    <w:semiHidden/>
    <w:qFormat/>
    <w:uiPriority w:val="99"/>
    <w:rPr>
      <w:rFonts w:ascii="宋体" w:eastAsia="宋体" w:cs="宋体"/>
      <w:sz w:val="18"/>
      <w:szCs w:val="18"/>
    </w:rPr>
  </w:style>
  <w:style w:type="paragraph" w:styleId="9">
    <w:name w:val="annotation text"/>
    <w:basedOn w:val="1"/>
    <w:qFormat/>
    <w:uiPriority w:val="0"/>
    <w:pPr>
      <w:jc w:val="left"/>
    </w:pPr>
  </w:style>
  <w:style w:type="paragraph" w:styleId="10">
    <w:name w:val="Body Text"/>
    <w:basedOn w:val="1"/>
    <w:next w:val="11"/>
    <w:link w:val="28"/>
    <w:qFormat/>
    <w:uiPriority w:val="99"/>
    <w:pPr>
      <w:widowControl w:val="0"/>
      <w:adjustRightInd/>
      <w:snapToGrid/>
      <w:spacing w:after="120"/>
    </w:pPr>
    <w:rPr>
      <w:rFonts w:ascii="Calibri" w:hAnsi="Calibri" w:eastAsia="宋体" w:cs="Times New Roman"/>
      <w:sz w:val="24"/>
      <w:szCs w:val="24"/>
    </w:rPr>
  </w:style>
  <w:style w:type="paragraph" w:customStyle="1" w:styleId="11">
    <w:name w:val="Date1"/>
    <w:basedOn w:val="1"/>
    <w:next w:val="1"/>
    <w:qFormat/>
    <w:uiPriority w:val="0"/>
    <w:rPr>
      <w:sz w:val="21"/>
      <w:szCs w:val="20"/>
    </w:rPr>
  </w:style>
  <w:style w:type="paragraph" w:styleId="12">
    <w:name w:val="List Bullet 5"/>
    <w:basedOn w:val="1"/>
    <w:semiHidden/>
    <w:unhideWhenUsed/>
    <w:qFormat/>
    <w:uiPriority w:val="99"/>
    <w:pPr>
      <w:numPr>
        <w:ilvl w:val="0"/>
        <w:numId w:val="1"/>
      </w:numPr>
    </w:pPr>
  </w:style>
  <w:style w:type="paragraph" w:styleId="13">
    <w:name w:val="footer"/>
    <w:basedOn w:val="1"/>
    <w:link w:val="27"/>
    <w:qFormat/>
    <w:uiPriority w:val="99"/>
    <w:pPr>
      <w:widowControl w:val="0"/>
      <w:tabs>
        <w:tab w:val="center" w:pos="4153"/>
        <w:tab w:val="right" w:pos="8306"/>
      </w:tabs>
      <w:adjustRightInd/>
      <w:spacing w:after="0"/>
    </w:pPr>
    <w:rPr>
      <w:rFonts w:ascii="Calibri" w:hAnsi="Calibri" w:eastAsia="宋体" w:cs="Calibri"/>
      <w:kern w:val="2"/>
      <w:sz w:val="18"/>
      <w:szCs w:val="18"/>
    </w:rPr>
  </w:style>
  <w:style w:type="paragraph" w:styleId="14">
    <w:name w:val="header"/>
    <w:basedOn w:val="1"/>
    <w:link w:val="26"/>
    <w:qFormat/>
    <w:uiPriority w:val="99"/>
    <w:pPr>
      <w:widowControl w:val="0"/>
      <w:pBdr>
        <w:bottom w:val="single" w:color="auto" w:sz="6" w:space="1"/>
      </w:pBdr>
      <w:tabs>
        <w:tab w:val="center" w:pos="4153"/>
        <w:tab w:val="right" w:pos="8306"/>
      </w:tabs>
      <w:adjustRightInd/>
      <w:spacing w:after="0"/>
      <w:jc w:val="center"/>
    </w:pPr>
    <w:rPr>
      <w:rFonts w:ascii="Calibri" w:hAnsi="Calibri" w:eastAsia="宋体" w:cs="Calibri"/>
      <w:kern w:val="2"/>
      <w:sz w:val="18"/>
      <w:szCs w:val="18"/>
    </w:rPr>
  </w:style>
  <w:style w:type="paragraph" w:styleId="15">
    <w:name w:val="Title"/>
    <w:basedOn w:val="1"/>
    <w:next w:val="1"/>
    <w:link w:val="32"/>
    <w:qFormat/>
    <w:uiPriority w:val="99"/>
    <w:pPr>
      <w:widowControl w:val="0"/>
      <w:adjustRightInd/>
      <w:snapToGrid/>
      <w:spacing w:after="0"/>
      <w:jc w:val="center"/>
    </w:pPr>
    <w:rPr>
      <w:rFonts w:ascii="方正小标宋简体" w:hAnsi="宋体" w:eastAsia="方正小标宋简体" w:cs="方正小标宋简体"/>
      <w:kern w:val="2"/>
      <w:sz w:val="36"/>
      <w:szCs w:val="36"/>
    </w:rPr>
  </w:style>
  <w:style w:type="paragraph" w:styleId="16">
    <w:name w:val="Body Text First Indent"/>
    <w:basedOn w:val="10"/>
    <w:next w:val="1"/>
    <w:qFormat/>
    <w:uiPriority w:val="0"/>
    <w:pPr>
      <w:spacing w:after="120" w:line="240" w:lineRule="auto"/>
      <w:ind w:firstLine="420" w:firstLineChars="100"/>
    </w:pPr>
    <w:rPr>
      <w:sz w:val="28"/>
      <w:szCs w:val="24"/>
    </w:rPr>
  </w:style>
  <w:style w:type="table" w:styleId="18">
    <w:name w:val="Table Grid"/>
    <w:basedOn w:val="17"/>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qFormat/>
    <w:locked/>
    <w:uiPriority w:val="0"/>
    <w:rPr>
      <w:b/>
      <w:bCs/>
    </w:rPr>
  </w:style>
  <w:style w:type="paragraph" w:customStyle="1" w:styleId="21">
    <w:name w:val="样式 正文文本缩进 + 行距: 1.5 倍行距"/>
    <w:basedOn w:val="22"/>
    <w:next w:val="1"/>
    <w:qFormat/>
    <w:uiPriority w:val="0"/>
    <w:pPr>
      <w:snapToGrid/>
      <w:spacing w:before="0" w:after="120" w:line="360" w:lineRule="auto"/>
      <w:ind w:left="90" w:leftChars="32" w:firstLine="560" w:firstLineChars="200"/>
    </w:pPr>
    <w:rPr>
      <w:rFonts w:ascii="Times New Roman" w:eastAsia="宋体" w:cs="宋体"/>
    </w:rPr>
  </w:style>
  <w:style w:type="paragraph" w:customStyle="1" w:styleId="22">
    <w:name w:val="Body Text Indent"/>
    <w:basedOn w:val="1"/>
    <w:next w:val="21"/>
    <w:qFormat/>
    <w:uiPriority w:val="0"/>
    <w:pPr>
      <w:spacing w:after="120" w:afterLines="0"/>
      <w:ind w:left="420" w:leftChars="200"/>
    </w:pPr>
    <w:rPr>
      <w:rFonts w:ascii="Times New Roman" w:hAnsi="Times New Roman" w:eastAsia="宋体"/>
      <w:sz w:val="24"/>
    </w:rPr>
  </w:style>
  <w:style w:type="paragraph" w:customStyle="1" w:styleId="23">
    <w:name w:val="Default"/>
    <w:qFormat/>
    <w:uiPriority w:val="0"/>
    <w:pPr>
      <w:widowControl w:val="0"/>
      <w:autoSpaceDE w:val="0"/>
      <w:autoSpaceDN w:val="0"/>
      <w:adjustRightInd w:val="0"/>
      <w:spacing w:line="360" w:lineRule="auto"/>
      <w:ind w:firstLine="200" w:firstLineChars="200"/>
      <w:jc w:val="both"/>
    </w:pPr>
    <w:rPr>
      <w:rFonts w:ascii="宋体" w:hAnsi="Calibri" w:eastAsia="宋体" w:cs="宋体"/>
      <w:color w:val="000000"/>
      <w:sz w:val="24"/>
      <w:szCs w:val="24"/>
      <w:lang w:val="en-US" w:eastAsia="zh-CN" w:bidi="ar-SA"/>
    </w:rPr>
  </w:style>
  <w:style w:type="paragraph" w:customStyle="1" w:styleId="24">
    <w:name w:val="样式 样式 样式 样式 小四 左 首行缩进:  2 字符 + 首行缩进:  2 字符 Char + 右  0 字符1 + 首行缩...3"/>
    <w:basedOn w:val="1"/>
    <w:qFormat/>
    <w:uiPriority w:val="0"/>
    <w:pPr>
      <w:ind w:firstLine="480"/>
      <w:jc w:val="left"/>
      <w:textAlignment w:val="baseline"/>
    </w:pPr>
    <w:rPr>
      <w:rFonts w:cs="宋体"/>
      <w:sz w:val="24"/>
      <w:szCs w:val="20"/>
    </w:rPr>
  </w:style>
  <w:style w:type="paragraph" w:customStyle="1" w:styleId="25">
    <w:name w:val="样式 标题 1一级标题 + 段前: 0.5 行 段后: 0.5 行"/>
    <w:basedOn w:val="4"/>
    <w:qFormat/>
    <w:uiPriority w:val="0"/>
    <w:pPr>
      <w:spacing w:line="320" w:lineRule="exact"/>
      <w:outlineLvl w:val="9"/>
    </w:pPr>
    <w:rPr>
      <w:spacing w:val="-6"/>
      <w:kern w:val="0"/>
      <w:sz w:val="21"/>
      <w:szCs w:val="21"/>
    </w:rPr>
  </w:style>
  <w:style w:type="character" w:customStyle="1" w:styleId="26">
    <w:name w:val="页眉 Char"/>
    <w:link w:val="14"/>
    <w:qFormat/>
    <w:locked/>
    <w:uiPriority w:val="99"/>
    <w:rPr>
      <w:sz w:val="18"/>
      <w:szCs w:val="18"/>
    </w:rPr>
  </w:style>
  <w:style w:type="character" w:customStyle="1" w:styleId="27">
    <w:name w:val="页脚 Char"/>
    <w:link w:val="13"/>
    <w:qFormat/>
    <w:locked/>
    <w:uiPriority w:val="99"/>
    <w:rPr>
      <w:sz w:val="18"/>
      <w:szCs w:val="18"/>
    </w:rPr>
  </w:style>
  <w:style w:type="character" w:customStyle="1" w:styleId="28">
    <w:name w:val="正文文本 Char"/>
    <w:link w:val="10"/>
    <w:qFormat/>
    <w:locked/>
    <w:uiPriority w:val="99"/>
    <w:rPr>
      <w:rFonts w:eastAsia="宋体"/>
      <w:sz w:val="24"/>
      <w:szCs w:val="24"/>
    </w:rPr>
  </w:style>
  <w:style w:type="character" w:customStyle="1" w:styleId="29">
    <w:name w:val="Body Text Char1"/>
    <w:semiHidden/>
    <w:qFormat/>
    <w:uiPriority w:val="99"/>
    <w:rPr>
      <w:rFonts w:ascii="Tahoma" w:hAnsi="Tahoma" w:eastAsia="微软雅黑" w:cs="Tahoma"/>
      <w:kern w:val="0"/>
      <w:sz w:val="22"/>
    </w:rPr>
  </w:style>
  <w:style w:type="character" w:customStyle="1" w:styleId="30">
    <w:name w:val="正文文本 Char1"/>
    <w:semiHidden/>
    <w:qFormat/>
    <w:uiPriority w:val="99"/>
    <w:rPr>
      <w:rFonts w:ascii="Tahoma" w:hAnsi="Tahoma" w:eastAsia="微软雅黑" w:cs="Tahoma"/>
      <w:kern w:val="0"/>
      <w:sz w:val="22"/>
      <w:szCs w:val="22"/>
    </w:rPr>
  </w:style>
  <w:style w:type="paragraph" w:customStyle="1" w:styleId="31">
    <w:name w:val="Normal (Web)1"/>
    <w:basedOn w:val="1"/>
    <w:qFormat/>
    <w:uiPriority w:val="0"/>
    <w:pPr>
      <w:adjustRightInd/>
      <w:snapToGrid/>
      <w:spacing w:before="100" w:beforeAutospacing="1" w:after="100" w:afterAutospacing="1"/>
    </w:pPr>
    <w:rPr>
      <w:rFonts w:ascii="宋体" w:hAnsi="宋体" w:eastAsia="宋体" w:cs="宋体"/>
      <w:sz w:val="24"/>
      <w:szCs w:val="24"/>
    </w:rPr>
  </w:style>
  <w:style w:type="character" w:customStyle="1" w:styleId="32">
    <w:name w:val="标题 Char"/>
    <w:link w:val="15"/>
    <w:qFormat/>
    <w:locked/>
    <w:uiPriority w:val="99"/>
    <w:rPr>
      <w:rFonts w:ascii="方正小标宋简体" w:hAnsi="宋体" w:eastAsia="方正小标宋简体" w:cs="方正小标宋简体"/>
      <w:sz w:val="36"/>
      <w:szCs w:val="36"/>
    </w:rPr>
  </w:style>
  <w:style w:type="character" w:customStyle="1" w:styleId="33">
    <w:name w:val="文档结构图 Char"/>
    <w:link w:val="8"/>
    <w:semiHidden/>
    <w:qFormat/>
    <w:locked/>
    <w:uiPriority w:val="99"/>
    <w:rPr>
      <w:rFonts w:ascii="宋体" w:hAnsi="Tahoma" w:eastAsia="宋体" w:cs="宋体"/>
      <w:kern w:val="0"/>
      <w:sz w:val="18"/>
      <w:szCs w:val="18"/>
    </w:rPr>
  </w:style>
  <w:style w:type="character" w:customStyle="1" w:styleId="34">
    <w:name w:val="标题 4 Char"/>
    <w:basedOn w:val="19"/>
    <w:link w:val="6"/>
    <w:qFormat/>
    <w:uiPriority w:val="0"/>
    <w:rPr>
      <w:rFonts w:ascii="Times New Roman" w:hAnsi="Times New Roman"/>
      <w:b/>
      <w:kern w:val="2"/>
      <w:sz w:val="28"/>
      <w:szCs w:val="28"/>
    </w:rPr>
  </w:style>
  <w:style w:type="paragraph" w:customStyle="1" w:styleId="35">
    <w:name w:val="陈光的正文"/>
    <w:basedOn w:val="1"/>
    <w:qFormat/>
    <w:uiPriority w:val="0"/>
    <w:pPr>
      <w:widowControl w:val="0"/>
      <w:spacing w:beforeLines="10" w:afterLines="10"/>
      <w:ind w:firstLine="560"/>
    </w:pPr>
    <w:rPr>
      <w:rFonts w:ascii="Times New Roman" w:hAnsi="Times New Roman" w:eastAsia="宋体" w:cs="Times New Roman"/>
      <w:kern w:val="2"/>
      <w:sz w:val="28"/>
      <w:szCs w:val="20"/>
    </w:rPr>
  </w:style>
  <w:style w:type="character" w:customStyle="1" w:styleId="36">
    <w:name w:val="标题 1 Char"/>
    <w:basedOn w:val="19"/>
    <w:link w:val="4"/>
    <w:qFormat/>
    <w:uiPriority w:val="9"/>
    <w:rPr>
      <w:rFonts w:ascii="Tahoma" w:hAnsi="Tahoma" w:eastAsia="微软雅黑" w:cs="Tahoma"/>
      <w:b/>
      <w:bCs/>
      <w:kern w:val="44"/>
      <w:sz w:val="44"/>
      <w:szCs w:val="44"/>
    </w:rPr>
  </w:style>
  <w:style w:type="paragraph" w:customStyle="1" w:styleId="37">
    <w:name w:val="文字描述"/>
    <w:basedOn w:val="1"/>
    <w:qFormat/>
    <w:uiPriority w:val="0"/>
    <w:pPr>
      <w:adjustRightInd w:val="0"/>
      <w:snapToGrid w:val="0"/>
      <w:spacing w:line="360" w:lineRule="auto"/>
      <w:ind w:firstLine="200" w:firstLineChars="200"/>
    </w:pPr>
    <w:rPr>
      <w:spacing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Company</Company>
  <Pages>6</Pages>
  <Words>3468</Words>
  <Characters>3882</Characters>
  <Lines>49</Lines>
  <Paragraphs>13</Paragraphs>
  <TotalTime>1</TotalTime>
  <ScaleCrop>false</ScaleCrop>
  <LinksUpToDate>false</LinksUpToDate>
  <CharactersWithSpaces>3912</CharactersWithSpaces>
  <Application>WPS Office_12.1.0.15336_F1E327BC-269C-435d-A152-05C5408002CA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2017-12-20T07:30:00Z</dcterms:created>
  <dc:creator>fay</dc:creator>
  <cp:lastModifiedBy>六月</cp:lastModifiedBy>
  <cp:lastPrinted>2022-01-13T05:42:00Z</cp:lastPrinted>
  <dcterms:modified xsi:type="dcterms:W3CDTF">2023-08-16T02:01:18Z</dcterms:modified>
  <cp:revision>133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2052-12.1.0.15336</vt:lpwstr>
  </property>
  <property fmtid="{D5CDD505-2E9C-101B-9397-08002B2CF9AE}" pid="3" name="ICV">
    <vt:lpwstr>CB9D0B4038C242BD806CE55AE569A3B2</vt:lpwstr>
  </property>
</Properties>
</file>