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济南卧虎山白鹤生态旅游度假湾第一期建设项目</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2021年12月25日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山东白鹤（集团）有限公司</w:t>
      </w:r>
      <w:r>
        <w:rPr>
          <w:rFonts w:hint="default" w:ascii="Times New Roman" w:hAnsi="Times New Roman" w:eastAsia="宋体" w:cs="Times New Roman"/>
          <w:bCs/>
          <w:color w:val="auto"/>
          <w:kern w:val="2"/>
          <w:sz w:val="24"/>
          <w:szCs w:val="24"/>
        </w:rPr>
        <w:t>在济南卧虎山白鹤生态旅游度假湾</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济南卧虎山白鹤生态旅游度假湾第一期建设项目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山东白鹤（集团）有限公司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济南卧虎山白鹤生态旅游度假湾第一期建设项目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山东白鹤（集团）有限公司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default" w:ascii="Times New Roman" w:hAnsi="Times New Roman" w:eastAsia="宋体" w:cs="Times New Roman"/>
          <w:sz w:val="24"/>
          <w:szCs w:val="24"/>
          <w:lang w:val="en-US"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济南市历城区仲宫镇杨而村</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kern w:val="2"/>
          <w:sz w:val="24"/>
          <w:szCs w:val="24"/>
        </w:rPr>
        <w:t>建设规模：济南卧虎山白鹤生态旅游度假湾位于济南市历城区仲宫镇杨而村，一期建设项目为道路修建、水电等基础设施建设以及污水处理设施建设。该项目劳动定员150人，年工作365天，每天工作8小时，一班制。</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山东白鹤（集团）有限公司2005年9月委托济南市环境保护科学研究所编制完成了《济南卧虎山白鹤生态旅游度假湾环境影响报告表》，（一期于2005年11月2日经历城区环境保护局审批）。</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本项目一期于2005年9月开工建设，2008年5月建成并投入试运营阶段。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本项目于2011年6月27日委托济南市历城区环境保护监测站编制完成了《济南卧虎山白鹤旅游度假湾项目》竣工环境保护验收检测报告；因企业验收批复丢失，应企业要求现重新做竣工环境保护验收。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济南卧虎山白鹤生态旅游度假湾第一期建设项目</w:t>
      </w:r>
      <w:r>
        <w:rPr>
          <w:rFonts w:hint="default" w:ascii="Times New Roman" w:hAnsi="Times New Roman" w:eastAsia="宋体" w:cs="Times New Roman"/>
          <w:color w:val="000000"/>
          <w:spacing w:val="0"/>
          <w:kern w:val="21"/>
          <w:sz w:val="24"/>
          <w:szCs w:val="24"/>
        </w:rPr>
        <w:t>建成后的全部内容</w:t>
      </w:r>
      <w:r>
        <w:rPr>
          <w:rFonts w:hint="eastAsia" w:ascii="Times New Roman" w:hAnsi="Times New Roman" w:eastAsia="宋体" w:cs="Times New Roman"/>
          <w:color w:val="000000"/>
          <w:spacing w:val="0"/>
          <w:kern w:val="21"/>
          <w:sz w:val="24"/>
          <w:szCs w:val="24"/>
          <w:lang w:eastAsia="zh-CN"/>
        </w:rPr>
        <w:t>（本次验收项目内容均不在《山东省生态保护红线规划（2016-2020年）》文件内容之内）</w:t>
      </w:r>
      <w:r>
        <w:rPr>
          <w:rFonts w:hint="default" w:ascii="Times New Roman" w:hAnsi="Times New Roman" w:eastAsia="宋体" w:cs="Times New Roman"/>
          <w:color w:val="000000"/>
          <w:spacing w:val="0"/>
          <w:kern w:val="21"/>
          <w:sz w:val="24"/>
          <w:szCs w:val="24"/>
        </w:rPr>
        <w:t>。</w:t>
      </w:r>
    </w:p>
    <w:p>
      <w:pPr>
        <w:keepNext w:val="0"/>
        <w:keepLines w:val="0"/>
        <w:pageBreakBefore w:val="0"/>
        <w:numPr>
          <w:ilvl w:val="0"/>
          <w:numId w:val="2"/>
        </w:numPr>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工程变动情况</w:t>
      </w:r>
    </w:p>
    <w:tbl>
      <w:tblPr>
        <w:tblStyle w:val="1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148"/>
        <w:gridCol w:w="5453"/>
        <w:gridCol w:w="1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b w:val="0"/>
                <w:bCs w:val="0"/>
              </w:rPr>
            </w:pPr>
            <w:r>
              <w:rPr>
                <w:rFonts w:hint="default" w:ascii="Times New Roman" w:hAnsi="Times New Roman" w:eastAsia="宋体" w:cs="Times New Roman"/>
                <w:b w:val="0"/>
                <w:bCs w:val="0"/>
              </w:rPr>
              <w:t>工程类别</w:t>
            </w: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b w:val="0"/>
                <w:bCs w:val="0"/>
              </w:rPr>
            </w:pPr>
            <w:r>
              <w:rPr>
                <w:rFonts w:hint="default" w:ascii="Times New Roman" w:hAnsi="Times New Roman" w:eastAsia="宋体" w:cs="Times New Roman"/>
                <w:b w:val="0"/>
                <w:bCs w:val="0"/>
              </w:rPr>
              <w:t>项目名称</w:t>
            </w:r>
          </w:p>
        </w:tc>
        <w:tc>
          <w:tcPr>
            <w:tcW w:w="2959"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b w:val="0"/>
                <w:bCs w:val="0"/>
              </w:rPr>
            </w:pPr>
            <w:r>
              <w:rPr>
                <w:rFonts w:hint="default" w:ascii="Times New Roman" w:hAnsi="Times New Roman" w:eastAsia="宋体" w:cs="Times New Roman"/>
                <w:b w:val="0"/>
                <w:bCs w:val="0"/>
              </w:rPr>
              <w:t>建设内容</w:t>
            </w:r>
          </w:p>
        </w:tc>
        <w:tc>
          <w:tcPr>
            <w:tcW w:w="1010"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b w:val="0"/>
                <w:bCs w:val="0"/>
              </w:rPr>
            </w:pPr>
            <w:r>
              <w:rPr>
                <w:rFonts w:hint="default" w:ascii="Times New Roman" w:hAnsi="Times New Roman" w:eastAsia="宋体" w:cs="Times New Roman"/>
                <w:b w:val="0"/>
                <w:bCs w:val="0"/>
              </w:rPr>
              <w:t>实际建设内容与环评批复一致性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restar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主体工程</w:t>
            </w:r>
          </w:p>
        </w:tc>
        <w:tc>
          <w:tcPr>
            <w:tcW w:w="623" w:type="pct"/>
            <w:tcBorders>
              <w:tl2br w:val="nil"/>
              <w:tr2bl w:val="nil"/>
            </w:tcBorders>
            <w:noWrap w:val="0"/>
            <w:vAlign w:val="center"/>
          </w:tcPr>
          <w:p>
            <w:pPr>
              <w:widowControl w:val="0"/>
              <w:autoSpaceDE/>
              <w:autoSpaceDN/>
              <w:adjustRightInd w:val="0"/>
              <w:snapToGrid w:val="0"/>
              <w:spacing w:before="0" w:after="0" w:line="240" w:lineRule="auto"/>
              <w:ind w:left="0" w:leftChars="0" w:right="0" w:righ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一期</w:t>
            </w:r>
          </w:p>
        </w:tc>
        <w:tc>
          <w:tcPr>
            <w:tcW w:w="2959" w:type="pct"/>
            <w:tcBorders>
              <w:tl2br w:val="nil"/>
              <w:tr2bl w:val="nil"/>
            </w:tcBorders>
            <w:noWrap w:val="0"/>
            <w:vAlign w:val="center"/>
          </w:tcPr>
          <w:p>
            <w:pPr>
              <w:autoSpaceDE/>
              <w:autoSpaceDN/>
              <w:adjustRightInd w:val="0"/>
              <w:snapToGrid w:val="0"/>
              <w:spacing w:before="0" w:after="0" w:line="240" w:lineRule="auto"/>
              <w:ind w:left="0" w:right="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一期建设项目为道路修建、水电等基础设施建设以及污水处理设施建设（对外交通：度假区设一个主出入口，道路与卧虎山水库大坝连接。</w:t>
            </w:r>
          </w:p>
          <w:p>
            <w:pPr>
              <w:autoSpaceDE/>
              <w:autoSpaceDN/>
              <w:adjustRightInd w:val="0"/>
              <w:snapToGrid w:val="0"/>
              <w:spacing w:before="0" w:after="0" w:line="240" w:lineRule="auto"/>
              <w:ind w:left="0" w:right="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车行道：度假区修筑二级景区公路两条。一条环绕山谷，贯穿集镇、酒店、庄园区，连接出口；一条从谷口穿过，连接休闲区和白鹤山庄及出口。公共区域车行道路宽8米，长1560米；非公共区域车行道宽6米，长2083米。车行道占地面积为25000平方米。</w:t>
            </w:r>
          </w:p>
          <w:p>
            <w:pPr>
              <w:autoSpaceDE/>
              <w:autoSpaceDN/>
              <w:adjustRightInd w:val="0"/>
              <w:snapToGrid w:val="0"/>
              <w:spacing w:before="0" w:after="0" w:line="240" w:lineRule="auto"/>
              <w:ind w:left="0" w:leftChars="0" w:right="0" w:rightChars="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步行道：步行道依山势串联各个景点，与出入口相通。步行道宽2米，长12500米，占地面积25000平方米。）</w:t>
            </w:r>
          </w:p>
        </w:tc>
        <w:tc>
          <w:tcPr>
            <w:tcW w:w="1010" w:type="pct"/>
            <w:vMerge w:val="restar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lang w:eastAsia="zh-CN"/>
              </w:rPr>
            </w:pPr>
            <w:r>
              <w:rPr>
                <w:rFonts w:hint="default" w:ascii="Times New Roman" w:hAnsi="Times New Roman" w:eastAsia="宋体" w:cs="Times New Roman"/>
                <w:lang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restar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公用工程</w:t>
            </w: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给水系统</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用水由自建地下井水提供。</w:t>
            </w:r>
          </w:p>
        </w:tc>
        <w:tc>
          <w:tcPr>
            <w:tcW w:w="1010"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排水系统</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废水主要为职工和游客生活用水，经</w:t>
            </w:r>
            <w:r>
              <w:rPr>
                <w:rFonts w:hint="default" w:ascii="Times New Roman" w:hAnsi="Times New Roman" w:eastAsia="宋体" w:cs="Times New Roman"/>
                <w:lang w:eastAsia="zh-CN"/>
              </w:rPr>
              <w:t>济南卧虎山白鹤生态旅游度假湾污水处理站</w:t>
            </w:r>
            <w:r>
              <w:rPr>
                <w:rFonts w:hint="default" w:ascii="Times New Roman" w:hAnsi="Times New Roman" w:eastAsia="宋体" w:cs="Times New Roman"/>
                <w:lang w:val="en-US" w:eastAsia="zh-CN"/>
              </w:rPr>
              <w:t>处理后绿化浇灌，不外排。</w:t>
            </w:r>
          </w:p>
        </w:tc>
        <w:tc>
          <w:tcPr>
            <w:tcW w:w="1010"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供电系统</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由当地供电公司供应。</w:t>
            </w:r>
          </w:p>
        </w:tc>
        <w:tc>
          <w:tcPr>
            <w:tcW w:w="1010"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restar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环保工程</w:t>
            </w: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废水处置</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t>项目运营过程产生的废水主要是生活污水，生活污水经化粪池沉淀排入景区自建污水处理站（项目污水处理站于</w:t>
            </w:r>
            <w:r>
              <w:rPr>
                <w:rFonts w:hint="default" w:ascii="Times New Roman" w:hAnsi="Times New Roman" w:eastAsia="宋体" w:cs="Times New Roman"/>
                <w:lang w:val="en-US" w:eastAsia="zh-CN"/>
              </w:rPr>
              <w:t>2021年进行改造，目前已改造完毕并投入使用，</w:t>
            </w:r>
            <w:r>
              <w:rPr>
                <w:rFonts w:hint="default" w:ascii="Times New Roman" w:hAnsi="Times New Roman" w:eastAsia="宋体" w:cs="Times New Roman"/>
                <w:lang w:eastAsia="zh-CN"/>
              </w:rPr>
              <w:t>设计处理能力100m</w:t>
            </w:r>
            <w:r>
              <w:rPr>
                <w:rFonts w:hint="default" w:ascii="Times New Roman" w:hAnsi="Times New Roman" w:eastAsia="宋体" w:cs="Times New Roman"/>
                <w:vertAlign w:val="baseline"/>
                <w:lang w:eastAsia="zh-CN"/>
              </w:rPr>
              <w:t>3</w:t>
            </w:r>
            <w:r>
              <w:rPr>
                <w:rFonts w:hint="default" w:ascii="Times New Roman" w:hAnsi="Times New Roman" w:eastAsia="宋体" w:cs="Times New Roman"/>
                <w:lang w:eastAsia="zh-CN"/>
              </w:rPr>
              <w:t>/d，采用“预处理+生化处理（A/O）+MBR”处理工艺），经处理后满足《城市污水再生利用 城市杂用水水质》（GB/T18920-2020）标准后，全部回用于冲厕和绿化等。</w:t>
            </w:r>
          </w:p>
        </w:tc>
        <w:tc>
          <w:tcPr>
            <w:tcW w:w="1010" w:type="pct"/>
            <w:vMerge w:val="restar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废气处置</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废气主要为餐厅的饮食油烟，位于一号楼一层（投影面积：4.5m*1.2m），餐饮安装油烟净化器，油烟净化率应达到山东省地方标准《饮食业油烟排放标准》（DB37/597-2006）的规定。</w:t>
            </w:r>
          </w:p>
        </w:tc>
        <w:tc>
          <w:tcPr>
            <w:tcW w:w="1010"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固废处置</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t>生活垃圾暂存在景区垃圾桶内，定期由环卫部门清运，处理设施和处理方案满足</w:t>
            </w:r>
            <w:r>
              <w:rPr>
                <w:rFonts w:hint="default" w:ascii="Times New Roman" w:hAnsi="Times New Roman" w:eastAsia="宋体" w:cs="Times New Roman"/>
                <w:lang w:val="en-US" w:eastAsia="zh-CN"/>
              </w:rPr>
              <w:t>《一般工业固体废物贮存和填埋污染控制标准》（GB18599-2020）的要求。</w:t>
            </w:r>
          </w:p>
        </w:tc>
        <w:tc>
          <w:tcPr>
            <w:tcW w:w="1010"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06"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c>
          <w:tcPr>
            <w:tcW w:w="623" w:type="pct"/>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r>
              <w:rPr>
                <w:rFonts w:hint="default" w:ascii="Times New Roman" w:hAnsi="Times New Roman" w:eastAsia="宋体" w:cs="Times New Roman"/>
              </w:rPr>
              <w:t>噪声处置</w:t>
            </w:r>
          </w:p>
        </w:tc>
        <w:tc>
          <w:tcPr>
            <w:tcW w:w="2959" w:type="pct"/>
            <w:tcBorders>
              <w:tl2br w:val="nil"/>
              <w:tr2bl w:val="nil"/>
            </w:tcBorders>
            <w:noWrap w:val="0"/>
            <w:vAlign w:val="center"/>
          </w:tcPr>
          <w:p>
            <w:pPr>
              <w:widowControl w:val="0"/>
              <w:spacing w:after="0" w:line="240" w:lineRule="auto"/>
              <w:ind w:firstLine="0" w:firstLineChars="0"/>
              <w:jc w:val="left"/>
              <w:rPr>
                <w:rFonts w:hint="default" w:ascii="Times New Roman" w:hAnsi="Times New Roman" w:eastAsia="宋体" w:cs="Times New Roman"/>
              </w:rPr>
            </w:pPr>
            <w:r>
              <w:rPr>
                <w:rFonts w:hint="default" w:ascii="Times New Roman" w:hAnsi="Times New Roman" w:eastAsia="宋体" w:cs="Times New Roman"/>
              </w:rPr>
              <w:t>运营期间主要为社会噪声（游客），加强管理，</w:t>
            </w:r>
            <w:r>
              <w:rPr>
                <w:rFonts w:hint="default" w:ascii="Times New Roman" w:hAnsi="Times New Roman" w:eastAsia="宋体" w:cs="Times New Roman"/>
                <w:lang w:eastAsia="zh-CN"/>
              </w:rPr>
              <w:t>敏感点</w:t>
            </w:r>
            <w:r>
              <w:rPr>
                <w:rFonts w:hint="default" w:ascii="Times New Roman" w:hAnsi="Times New Roman" w:eastAsia="宋体" w:cs="Times New Roman"/>
              </w:rPr>
              <w:t>满足《</w:t>
            </w:r>
            <w:r>
              <w:rPr>
                <w:rFonts w:hint="default" w:ascii="Times New Roman" w:hAnsi="Times New Roman" w:eastAsia="宋体" w:cs="Times New Roman"/>
                <w:lang w:eastAsia="zh-CN"/>
              </w:rPr>
              <w:t>声环境质量标准</w:t>
            </w:r>
            <w:r>
              <w:rPr>
                <w:rFonts w:hint="default" w:ascii="Times New Roman" w:hAnsi="Times New Roman" w:eastAsia="宋体" w:cs="Times New Roman"/>
              </w:rPr>
              <w:t>》（</w:t>
            </w:r>
            <w:r>
              <w:rPr>
                <w:rFonts w:hint="default" w:ascii="Times New Roman" w:hAnsi="Times New Roman" w:eastAsia="宋体" w:cs="Times New Roman"/>
                <w:lang w:eastAsia="zh-CN"/>
              </w:rPr>
              <w:t>GB3096-2018</w:t>
            </w:r>
            <w:r>
              <w:rPr>
                <w:rFonts w:hint="default" w:ascii="Times New Roman" w:hAnsi="Times New Roman" w:eastAsia="宋体" w:cs="Times New Roman"/>
              </w:rPr>
              <w:t>）中</w:t>
            </w:r>
            <w:r>
              <w:rPr>
                <w:rFonts w:hint="default" w:ascii="Times New Roman" w:hAnsi="Times New Roman" w:eastAsia="宋体" w:cs="Times New Roman"/>
                <w:lang w:val="en-US" w:eastAsia="zh-CN"/>
              </w:rPr>
              <w:t>1</w:t>
            </w:r>
            <w:r>
              <w:rPr>
                <w:rFonts w:hint="default" w:ascii="Times New Roman" w:hAnsi="Times New Roman" w:eastAsia="宋体" w:cs="Times New Roman"/>
              </w:rPr>
              <w:t>类标准（昼间55dB(A)，夜间45dB(A)）。</w:t>
            </w:r>
          </w:p>
        </w:tc>
        <w:tc>
          <w:tcPr>
            <w:tcW w:w="1010" w:type="pct"/>
            <w:vMerge w:val="continue"/>
            <w:tcBorders>
              <w:tl2br w:val="nil"/>
              <w:tr2bl w:val="nil"/>
            </w:tcBorders>
            <w:noWrap w:val="0"/>
            <w:vAlign w:val="center"/>
          </w:tcPr>
          <w:p>
            <w:pPr>
              <w:widowControl w:val="0"/>
              <w:spacing w:after="0" w:line="240" w:lineRule="auto"/>
              <w:ind w:firstLine="0" w:firstLineChars="0"/>
              <w:jc w:val="center"/>
              <w:rPr>
                <w:rFonts w:hint="default" w:ascii="Times New Roman" w:hAnsi="Times New Roman" w:eastAsia="宋体" w:cs="Times New Roman"/>
              </w:rPr>
            </w:pPr>
          </w:p>
        </w:tc>
      </w:tr>
    </w:tbl>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据现场勘查和了解，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运营期废气主要为汽车尾气、恶臭气体、餐厅燃气废气、油烟。汽车尾气：加强管理，绿化隔离措施；垃圾收集点、公厕恶臭气体：垃圾及时清运，日产日清，定期杀菌、消毒，加强绿化措施；餐厅燃气废气：天然气为清洁能源，各项大气污染物的产生量较少。油烟：经油烟净化器处理后通过8m排气筒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项目废水主要为游客以及员工产生的生活污水、酒店顾客生活污水、餐饮废水。生活污水、餐饮废水废水经化粪池预处理后排入景区污水处理站深度处理，绿化浇灌，不外排。项目无生产废水产生。</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运行期噪声主要为车辆交通噪声、项目区服务设施噪声、人流活动噪声等。本项目各项噪声源较分散，经采取距离衰减及建筑、绿化阻挡、合理布局等措施，噪声对周围环境影响较小。</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营运期固体废物主要为游客丢弃的生活垃圾，厨余垃圾，以各种材料的包装物、纸类、塑料袋、食品残渣及果皮等为主。存放在垃圾桶内，由环卫部门统一收集处理。项目产生的固废均得到妥善处置，对环境影响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济南卧虎山白鹤生态旅游度假湾第一期建设项目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9"/>
        <w:spacing w:after="0" w:afterLines="0" w:line="360" w:lineRule="auto"/>
        <w:ind w:left="0" w:leftChars="0"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b w:val="0"/>
          <w:bCs w:val="0"/>
          <w:color w:val="000000"/>
          <w:sz w:val="24"/>
          <w:szCs w:val="24"/>
          <w:lang w:eastAsia="zh-CN"/>
        </w:rPr>
        <w:t>验收期间，</w:t>
      </w:r>
      <w:r>
        <w:rPr>
          <w:rFonts w:hint="default" w:ascii="Times New Roman" w:hAnsi="Times New Roman" w:eastAsia="宋体" w:cs="Times New Roman"/>
          <w:color w:val="000000"/>
          <w:sz w:val="24"/>
          <w:szCs w:val="24"/>
          <w:lang w:val="en-US" w:eastAsia="zh-CN"/>
        </w:rPr>
        <w:t>油烟排气筒出口烟油最大排放浓度为0.345mg/m</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lang w:val="en-US" w:eastAsia="zh-CN"/>
        </w:rPr>
        <w:t>，排放速率为1.3×10</w:t>
      </w:r>
      <w:r>
        <w:rPr>
          <w:rFonts w:hint="default" w:ascii="Times New Roman" w:hAnsi="Times New Roman" w:eastAsia="宋体" w:cs="Times New Roman"/>
          <w:color w:val="000000"/>
          <w:sz w:val="24"/>
          <w:szCs w:val="24"/>
          <w:vertAlign w:val="superscript"/>
          <w:lang w:val="en-US" w:eastAsia="zh-CN"/>
        </w:rPr>
        <w:t>-3</w:t>
      </w:r>
      <w:r>
        <w:rPr>
          <w:rFonts w:hint="default" w:ascii="Times New Roman" w:hAnsi="Times New Roman" w:eastAsia="宋体" w:cs="Times New Roman"/>
          <w:color w:val="000000"/>
          <w:sz w:val="24"/>
          <w:szCs w:val="24"/>
          <w:lang w:val="en-US" w:eastAsia="zh-CN"/>
        </w:rPr>
        <w:t>kg/h；项目油烟满足《饮食业油烟排放标准》(DB37/597-2006）排放限值。</w:t>
      </w:r>
    </w:p>
    <w:p>
      <w:pPr>
        <w:keepNext w:val="0"/>
        <w:keepLines w:val="0"/>
        <w:pageBreakBefore w:val="0"/>
        <w:widowControl w:val="0"/>
        <w:numPr>
          <w:ilvl w:val="0"/>
          <w:numId w:val="3"/>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numPr>
          <w:ilvl w:val="-1"/>
          <w:numId w:val="0"/>
        </w:numPr>
        <w:spacing w:after="0" w:afterLines="0"/>
        <w:ind w:firstLine="520"/>
        <w:rPr>
          <w:rFonts w:hint="eastAsia" w:ascii="Times New Roman" w:hAnsi="Times New Roman" w:eastAsia="宋体" w:cs="Times New Roman"/>
          <w:spacing w:val="10"/>
          <w:sz w:val="24"/>
          <w:lang w:eastAsia="zh-CN"/>
        </w:rPr>
      </w:pPr>
      <w:r>
        <w:rPr>
          <w:rFonts w:hint="default" w:ascii="Times New Roman" w:hAnsi="Times New Roman" w:eastAsia="宋体" w:cs="Times New Roman"/>
          <w:spacing w:val="10"/>
          <w:sz w:val="24"/>
        </w:rPr>
        <w:t>验收期间，厂区污水经污水处理站处理后，出水水质满足《城市污水再生利用城市杂用水水质》（GB/T18920-2020）标准要求</w:t>
      </w:r>
      <w:r>
        <w:rPr>
          <w:rFonts w:hint="eastAsia" w:ascii="Times New Roman" w:hAnsi="Times New Roman" w:eastAsia="宋体" w:cs="Times New Roman"/>
          <w:spacing w:val="10"/>
          <w:sz w:val="24"/>
          <w:lang w:eastAsia="zh-CN"/>
        </w:rPr>
        <w:t>。</w:t>
      </w:r>
    </w:p>
    <w:p>
      <w:pPr>
        <w:keepNext w:val="0"/>
        <w:keepLines w:val="0"/>
        <w:pageBreakBefore w:val="0"/>
        <w:widowControl w:val="0"/>
        <w:numPr>
          <w:ilvl w:val="0"/>
          <w:numId w:val="3"/>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验收期间，项目敏感点杨而村监测点昼间噪声最大值为48.8dB（A），夜间噪声最大值为43.0dB（A）昼间、夜间噪声均满足《声环境质量标准》GB3096-2018中1类标准。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4"/>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营运期固体废物主要为游客丢弃的生活垃圾，厨余垃圾，以各种材料的包装物、纸类、塑料袋、食品残渣及果皮等为主。存放在垃圾桶内，由环卫部门统一收集处理。</w:t>
      </w:r>
    </w:p>
    <w:p>
      <w:pPr>
        <w:pStyle w:val="24"/>
        <w:numPr>
          <w:ilvl w:val="0"/>
          <w:numId w:val="0"/>
        </w:numPr>
        <w:spacing w:after="0" w:afterLines="0"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一般固废的处置符合《一般工业固体废物贮存和填埋污染控制标准》（GB18599-2020）的要求</w:t>
      </w:r>
      <w:r>
        <w:rPr>
          <w:rFonts w:hint="default" w:ascii="Times New Roman" w:hAnsi="Times New Roman" w:eastAsia="宋体" w:cs="Times New Roman"/>
          <w:sz w:val="24"/>
          <w:szCs w:val="24"/>
          <w:lang w:eastAsia="zh-CN"/>
        </w:rPr>
        <w:t>。</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济南市历城区仲宫镇杨而村</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widowControl/>
        <w:snapToGrid w:val="0"/>
        <w:ind w:firstLine="580"/>
        <w:jc w:val="right"/>
        <w:rPr>
          <w:rFonts w:hint="eastAsia"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rPr>
        <w:drawing>
          <wp:inline distT="0" distB="0" distL="114300" distR="114300">
            <wp:extent cx="4958080" cy="8815070"/>
            <wp:effectExtent l="0" t="0" r="13970" b="5080"/>
            <wp:docPr id="1" name="图片 1" descr="dc56e81782a00f5060c321518a11f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c56e81782a00f5060c321518a11f16"/>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bookmarkStart w:id="0" w:name="_GoBack"/>
      <w:bookmarkEnd w:id="0"/>
    </w:p>
    <w:p>
      <w:pPr>
        <w:pStyle w:val="2"/>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宋体" w:hAnsi="宋体" w:eastAsia="宋体" w:cs="宋体"/>
          <w:b/>
          <w:bCs/>
          <w:lang w:val="en-US" w:eastAsia="zh-CN"/>
        </w:rPr>
      </w:pPr>
    </w:p>
    <w:p>
      <w:pPr>
        <w:keepNext w:val="0"/>
        <w:keepLines w:val="0"/>
        <w:pageBreakBefore w:val="0"/>
        <w:widowControl/>
        <w:kinsoku/>
        <w:wordWrap/>
        <w:overflowPunct/>
        <w:topLinePunct w:val="0"/>
        <w:autoSpaceDE w:val="0"/>
        <w:autoSpaceDN w:val="0"/>
        <w:bidi w:val="0"/>
        <w:adjustRightInd w:val="0"/>
        <w:snapToGrid w:val="0"/>
        <w:spacing w:after="0" w:line="240" w:lineRule="auto"/>
        <w:ind w:leftChars="-16" w:right="-68" w:rightChars="-31" w:hanging="34" w:hangingChars="16"/>
        <w:jc w:val="center"/>
        <w:textAlignment w:val="auto"/>
        <w:rPr>
          <w:rFonts w:hint="eastAsia" w:ascii="Times New Roman" w:hAnsi="Times New Roman" w:eastAsia="宋体" w:cs="Times New Roman"/>
          <w:b/>
          <w:bCs/>
          <w:kern w:val="2"/>
          <w:sz w:val="21"/>
          <w:szCs w:val="21"/>
          <w:lang w:val="zh-CN"/>
        </w:rPr>
      </w:pPr>
    </w:p>
    <w:p>
      <w:pPr>
        <w:pStyle w:val="23"/>
        <w:ind w:firstLine="0" w:firstLineChars="0"/>
        <w:rPr>
          <w:rFonts w:hint="default" w:ascii="Times New Roman" w:hAnsi="Times New Roman" w:eastAsia="宋体" w:cs="Times New Roman"/>
          <w:sz w:val="24"/>
          <w:szCs w:val="24"/>
          <w:lang w:val="en-US" w:eastAsia="zh-CN"/>
        </w:rPr>
      </w:pPr>
    </w:p>
    <w:p>
      <w:pPr>
        <w:pStyle w:val="2"/>
        <w:rPr>
          <w:rFonts w:hint="default"/>
          <w:lang w:val="en-US" w:eastAsia="zh-CN"/>
        </w:rPr>
      </w:pPr>
    </w:p>
    <w:p>
      <w:pPr>
        <w:pStyle w:val="23"/>
        <w:ind w:firstLine="0" w:firstLineChars="0"/>
        <w:rPr>
          <w:rFonts w:hint="default" w:ascii="Times New Roman" w:hAnsi="Times New Roman" w:eastAsia="宋体" w:cs="Times New Roman"/>
          <w:sz w:val="24"/>
          <w:szCs w:val="24"/>
          <w:lang w:val="en-US" w:eastAsia="zh-CN"/>
        </w:rPr>
      </w:pPr>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F2C22C"/>
    <w:multiLevelType w:val="singleLevel"/>
    <w:tmpl w:val="BEF2C22C"/>
    <w:lvl w:ilvl="0" w:tentative="0">
      <w:start w:val="2"/>
      <w:numFmt w:val="chineseCounting"/>
      <w:suff w:val="nothing"/>
      <w:lvlText w:val="%1、"/>
      <w:lvlJc w:val="left"/>
      <w:rPr>
        <w:rFonts w:hint="eastAsia"/>
      </w:rPr>
    </w:lvl>
  </w:abstractNum>
  <w:abstractNum w:abstractNumId="1">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2">
    <w:nsid w:val="0B60A679"/>
    <w:multiLevelType w:val="singleLevel"/>
    <w:tmpl w:val="0B60A679"/>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0F2A78"/>
    <w:rsid w:val="03CF05A3"/>
    <w:rsid w:val="04773D02"/>
    <w:rsid w:val="04F64D61"/>
    <w:rsid w:val="05312C57"/>
    <w:rsid w:val="05982B91"/>
    <w:rsid w:val="06DC3814"/>
    <w:rsid w:val="074671CC"/>
    <w:rsid w:val="0766665A"/>
    <w:rsid w:val="07AD0944"/>
    <w:rsid w:val="087B4B2D"/>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43A4ACA"/>
    <w:rsid w:val="145A1C25"/>
    <w:rsid w:val="14D33197"/>
    <w:rsid w:val="15553DF7"/>
    <w:rsid w:val="15B33D50"/>
    <w:rsid w:val="15E81ECB"/>
    <w:rsid w:val="15F26564"/>
    <w:rsid w:val="178E0669"/>
    <w:rsid w:val="188D7E54"/>
    <w:rsid w:val="1918245D"/>
    <w:rsid w:val="197511F7"/>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FD2DEE"/>
    <w:rsid w:val="2306772B"/>
    <w:rsid w:val="2449146F"/>
    <w:rsid w:val="24EE055F"/>
    <w:rsid w:val="256D51AD"/>
    <w:rsid w:val="25730E5F"/>
    <w:rsid w:val="25DA358A"/>
    <w:rsid w:val="27183FAE"/>
    <w:rsid w:val="28702BFD"/>
    <w:rsid w:val="287A70C8"/>
    <w:rsid w:val="29E52C04"/>
    <w:rsid w:val="2A7704C9"/>
    <w:rsid w:val="2C5A2F7C"/>
    <w:rsid w:val="2C5B7A7A"/>
    <w:rsid w:val="2C631EE5"/>
    <w:rsid w:val="2D42357D"/>
    <w:rsid w:val="2FEE4FC6"/>
    <w:rsid w:val="303B521B"/>
    <w:rsid w:val="30446957"/>
    <w:rsid w:val="31165624"/>
    <w:rsid w:val="31447B17"/>
    <w:rsid w:val="31545D96"/>
    <w:rsid w:val="322A6115"/>
    <w:rsid w:val="325E60DB"/>
    <w:rsid w:val="32A4059B"/>
    <w:rsid w:val="3307355C"/>
    <w:rsid w:val="33C81DD3"/>
    <w:rsid w:val="38105541"/>
    <w:rsid w:val="386F3A84"/>
    <w:rsid w:val="39493F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2917B36"/>
    <w:rsid w:val="44034335"/>
    <w:rsid w:val="4420552A"/>
    <w:rsid w:val="44285812"/>
    <w:rsid w:val="455B5A78"/>
    <w:rsid w:val="455F2AA3"/>
    <w:rsid w:val="45B544A3"/>
    <w:rsid w:val="45E845F0"/>
    <w:rsid w:val="471E352A"/>
    <w:rsid w:val="47D8037F"/>
    <w:rsid w:val="493E0B7E"/>
    <w:rsid w:val="49506749"/>
    <w:rsid w:val="49C55197"/>
    <w:rsid w:val="49CD6A25"/>
    <w:rsid w:val="4A1168BD"/>
    <w:rsid w:val="4A5821EF"/>
    <w:rsid w:val="4B4674D2"/>
    <w:rsid w:val="4B7C5A47"/>
    <w:rsid w:val="4BCC3852"/>
    <w:rsid w:val="4BEB2588"/>
    <w:rsid w:val="4C144871"/>
    <w:rsid w:val="4C345582"/>
    <w:rsid w:val="4CFA33FC"/>
    <w:rsid w:val="4DEA6DA2"/>
    <w:rsid w:val="4E7723EA"/>
    <w:rsid w:val="4EB82042"/>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7D3F61"/>
    <w:rsid w:val="63A731B1"/>
    <w:rsid w:val="63AB48A9"/>
    <w:rsid w:val="63D037D4"/>
    <w:rsid w:val="63D41A4D"/>
    <w:rsid w:val="653B3E7E"/>
    <w:rsid w:val="654C556F"/>
    <w:rsid w:val="66306408"/>
    <w:rsid w:val="682436AA"/>
    <w:rsid w:val="68BD0ABC"/>
    <w:rsid w:val="68D80F78"/>
    <w:rsid w:val="68F1343C"/>
    <w:rsid w:val="6939445F"/>
    <w:rsid w:val="6AB86025"/>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68C5C5D"/>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6"/>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4"/>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3"/>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8"/>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List Bullet 5"/>
    <w:basedOn w:val="1"/>
    <w:semiHidden/>
    <w:unhideWhenUsed/>
    <w:qFormat/>
    <w:uiPriority w:val="99"/>
    <w:pPr>
      <w:numPr>
        <w:ilvl w:val="0"/>
        <w:numId w:val="1"/>
      </w:numPr>
    </w:pPr>
  </w:style>
  <w:style w:type="paragraph" w:styleId="15">
    <w:name w:val="footer"/>
    <w:basedOn w:val="1"/>
    <w:link w:val="27"/>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6"/>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2"/>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w:basedOn w:val="12"/>
    <w:next w:val="1"/>
    <w:qFormat/>
    <w:uiPriority w:val="0"/>
    <w:pPr>
      <w:spacing w:after="120" w:line="240" w:lineRule="auto"/>
      <w:ind w:firstLine="420" w:firstLineChars="100"/>
    </w:pPr>
    <w:rPr>
      <w:sz w:val="28"/>
      <w:szCs w:val="24"/>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4">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5">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6">
    <w:name w:val="页眉 Char"/>
    <w:link w:val="16"/>
    <w:qFormat/>
    <w:locked/>
    <w:uiPriority w:val="99"/>
    <w:rPr>
      <w:sz w:val="18"/>
      <w:szCs w:val="18"/>
    </w:rPr>
  </w:style>
  <w:style w:type="character" w:customStyle="1" w:styleId="27">
    <w:name w:val="页脚 Char"/>
    <w:link w:val="15"/>
    <w:qFormat/>
    <w:locked/>
    <w:uiPriority w:val="99"/>
    <w:rPr>
      <w:sz w:val="18"/>
      <w:szCs w:val="18"/>
    </w:rPr>
  </w:style>
  <w:style w:type="character" w:customStyle="1" w:styleId="28">
    <w:name w:val="正文文本 Char"/>
    <w:link w:val="12"/>
    <w:qFormat/>
    <w:locked/>
    <w:uiPriority w:val="99"/>
    <w:rPr>
      <w:rFonts w:eastAsia="宋体"/>
      <w:sz w:val="24"/>
      <w:szCs w:val="24"/>
    </w:rPr>
  </w:style>
  <w:style w:type="character" w:customStyle="1" w:styleId="29">
    <w:name w:val="Body Text Char1"/>
    <w:semiHidden/>
    <w:qFormat/>
    <w:uiPriority w:val="99"/>
    <w:rPr>
      <w:rFonts w:ascii="Tahoma" w:hAnsi="Tahoma" w:eastAsia="微软雅黑" w:cs="Tahoma"/>
      <w:kern w:val="0"/>
      <w:sz w:val="22"/>
    </w:rPr>
  </w:style>
  <w:style w:type="character" w:customStyle="1" w:styleId="30">
    <w:name w:val="正文文本 Char1"/>
    <w:semiHidden/>
    <w:qFormat/>
    <w:uiPriority w:val="99"/>
    <w:rPr>
      <w:rFonts w:ascii="Tahoma" w:hAnsi="Tahoma" w:eastAsia="微软雅黑" w:cs="Tahoma"/>
      <w:kern w:val="0"/>
      <w:sz w:val="22"/>
      <w:szCs w:val="22"/>
    </w:rPr>
  </w:style>
  <w:style w:type="paragraph" w:customStyle="1" w:styleId="31">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2">
    <w:name w:val="标题 Char"/>
    <w:link w:val="17"/>
    <w:qFormat/>
    <w:locked/>
    <w:uiPriority w:val="99"/>
    <w:rPr>
      <w:rFonts w:ascii="方正小标宋简体" w:hAnsi="宋体" w:eastAsia="方正小标宋简体" w:cs="方正小标宋简体"/>
      <w:sz w:val="36"/>
      <w:szCs w:val="36"/>
    </w:rPr>
  </w:style>
  <w:style w:type="character" w:customStyle="1" w:styleId="33">
    <w:name w:val="文档结构图 Char"/>
    <w:link w:val="10"/>
    <w:semiHidden/>
    <w:qFormat/>
    <w:locked/>
    <w:uiPriority w:val="99"/>
    <w:rPr>
      <w:rFonts w:ascii="宋体" w:hAnsi="Tahoma" w:eastAsia="宋体" w:cs="宋体"/>
      <w:kern w:val="0"/>
      <w:sz w:val="18"/>
      <w:szCs w:val="18"/>
    </w:rPr>
  </w:style>
  <w:style w:type="character" w:customStyle="1" w:styleId="34">
    <w:name w:val="标题 4 Char"/>
    <w:basedOn w:val="21"/>
    <w:link w:val="8"/>
    <w:qFormat/>
    <w:uiPriority w:val="0"/>
    <w:rPr>
      <w:rFonts w:ascii="Times New Roman" w:hAnsi="Times New Roman"/>
      <w:b/>
      <w:kern w:val="2"/>
      <w:sz w:val="28"/>
      <w:szCs w:val="28"/>
    </w:rPr>
  </w:style>
  <w:style w:type="paragraph" w:customStyle="1" w:styleId="35">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6">
    <w:name w:val="标题 1 Char"/>
    <w:basedOn w:val="21"/>
    <w:link w:val="6"/>
    <w:qFormat/>
    <w:uiPriority w:val="9"/>
    <w:rPr>
      <w:rFonts w:ascii="Tahoma" w:hAnsi="Tahoma" w:eastAsia="微软雅黑" w:cs="Tahoma"/>
      <w:b/>
      <w:bCs/>
      <w:kern w:val="44"/>
      <w:sz w:val="44"/>
      <w:szCs w:val="44"/>
    </w:rPr>
  </w:style>
  <w:style w:type="paragraph" w:customStyle="1" w:styleId="37">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2</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2022-01-21T01:17:00Z</cp:lastPrinted>
  <dcterms:modified xsi:type="dcterms:W3CDTF">2023-08-16T02:03:54Z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